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024913">
      <w:pPr>
        <w:spacing w:line="360" w:lineRule="auto"/>
        <w:jc w:val="center"/>
        <w:rPr>
          <w:b/>
          <w:bCs/>
          <w:sz w:val="32"/>
          <w:szCs w:val="32"/>
        </w:rPr>
      </w:pPr>
      <w:bookmarkStart w:id="0" w:name="_Toc31698"/>
      <w:r>
        <w:rPr>
          <w:b/>
          <w:bCs/>
          <w:sz w:val="32"/>
          <w:szCs w:val="32"/>
        </w:rPr>
        <w:tab/>
      </w:r>
    </w:p>
    <w:p w14:paraId="307B290A">
      <w:pPr>
        <w:spacing w:line="360" w:lineRule="auto"/>
        <w:jc w:val="center"/>
        <w:rPr>
          <w:b/>
          <w:bCs/>
          <w:sz w:val="32"/>
          <w:szCs w:val="32"/>
        </w:rPr>
      </w:pPr>
      <w:r>
        <w:rPr>
          <w:b/>
          <w:bCs/>
          <w:sz w:val="32"/>
          <w:szCs w:val="32"/>
        </w:rPr>
        <w:t>目  录</w:t>
      </w:r>
    </w:p>
    <w:p w14:paraId="092202A7">
      <w:pPr>
        <w:pStyle w:val="17"/>
        <w:tabs>
          <w:tab w:val="right" w:leader="dot" w:pos="8296"/>
        </w:tabs>
        <w:spacing w:line="600" w:lineRule="auto"/>
        <w:rPr>
          <w:rFonts w:eastAsiaTheme="minorEastAsia"/>
          <w:sz w:val="24"/>
        </w:rPr>
      </w:pPr>
      <w:r>
        <w:rPr>
          <w:rFonts w:eastAsia="黑体"/>
          <w:b/>
          <w:sz w:val="24"/>
        </w:rPr>
        <w:fldChar w:fldCharType="begin"/>
      </w:r>
      <w:r>
        <w:rPr>
          <w:rFonts w:eastAsia="黑体"/>
          <w:b/>
          <w:sz w:val="24"/>
        </w:rPr>
        <w:instrText xml:space="preserve">TOC \o "1-1" \h \u </w:instrText>
      </w:r>
      <w:r>
        <w:rPr>
          <w:rFonts w:eastAsia="黑体"/>
          <w:b/>
          <w:sz w:val="24"/>
        </w:rPr>
        <w:fldChar w:fldCharType="separate"/>
      </w:r>
      <w:r>
        <w:fldChar w:fldCharType="begin"/>
      </w:r>
      <w:r>
        <w:instrText xml:space="preserve"> HYPERLINK \l "_Toc101052670" </w:instrText>
      </w:r>
      <w:r>
        <w:fldChar w:fldCharType="separate"/>
      </w:r>
      <w:r>
        <w:rPr>
          <w:rStyle w:val="29"/>
          <w:b/>
          <w:bCs/>
          <w:snapToGrid w:val="0"/>
          <w:color w:val="auto"/>
          <w:sz w:val="24"/>
        </w:rPr>
        <w:t>一、建设项目基本情况</w:t>
      </w:r>
      <w:r>
        <w:rPr>
          <w:sz w:val="24"/>
        </w:rPr>
        <w:tab/>
      </w:r>
      <w:r>
        <w:rPr>
          <w:sz w:val="24"/>
        </w:rPr>
        <w:fldChar w:fldCharType="begin"/>
      </w:r>
      <w:r>
        <w:rPr>
          <w:sz w:val="24"/>
        </w:rPr>
        <w:instrText xml:space="preserve"> PAGEREF _Toc101052670 \h </w:instrText>
      </w:r>
      <w:r>
        <w:rPr>
          <w:sz w:val="24"/>
        </w:rPr>
        <w:fldChar w:fldCharType="separate"/>
      </w:r>
      <w:r>
        <w:rPr>
          <w:sz w:val="24"/>
        </w:rPr>
        <w:t>1</w:t>
      </w:r>
      <w:r>
        <w:rPr>
          <w:sz w:val="24"/>
        </w:rPr>
        <w:fldChar w:fldCharType="end"/>
      </w:r>
      <w:r>
        <w:rPr>
          <w:sz w:val="24"/>
        </w:rPr>
        <w:fldChar w:fldCharType="end"/>
      </w:r>
    </w:p>
    <w:p w14:paraId="316B01D6">
      <w:pPr>
        <w:pStyle w:val="17"/>
        <w:tabs>
          <w:tab w:val="right" w:leader="dot" w:pos="8296"/>
        </w:tabs>
        <w:spacing w:line="600" w:lineRule="auto"/>
        <w:rPr>
          <w:rFonts w:eastAsiaTheme="minorEastAsia"/>
          <w:sz w:val="24"/>
        </w:rPr>
      </w:pPr>
      <w:r>
        <w:fldChar w:fldCharType="begin"/>
      </w:r>
      <w:r>
        <w:instrText xml:space="preserve"> HYPERLINK \l "_Toc101052671" </w:instrText>
      </w:r>
      <w:r>
        <w:fldChar w:fldCharType="separate"/>
      </w:r>
      <w:r>
        <w:rPr>
          <w:rStyle w:val="29"/>
          <w:b/>
          <w:bCs/>
          <w:snapToGrid w:val="0"/>
          <w:color w:val="auto"/>
          <w:sz w:val="24"/>
        </w:rPr>
        <w:t>二、建设项目工程分析</w:t>
      </w:r>
      <w:r>
        <w:rPr>
          <w:sz w:val="24"/>
        </w:rPr>
        <w:tab/>
      </w:r>
      <w:r>
        <w:rPr>
          <w:sz w:val="24"/>
        </w:rPr>
        <w:fldChar w:fldCharType="begin"/>
      </w:r>
      <w:r>
        <w:rPr>
          <w:sz w:val="24"/>
        </w:rPr>
        <w:instrText xml:space="preserve"> PAGEREF _Toc101052671 \h </w:instrText>
      </w:r>
      <w:r>
        <w:rPr>
          <w:sz w:val="24"/>
        </w:rPr>
        <w:fldChar w:fldCharType="separate"/>
      </w:r>
      <w:r>
        <w:rPr>
          <w:sz w:val="24"/>
        </w:rPr>
        <w:t>9</w:t>
      </w:r>
      <w:r>
        <w:rPr>
          <w:sz w:val="24"/>
        </w:rPr>
        <w:fldChar w:fldCharType="end"/>
      </w:r>
      <w:r>
        <w:rPr>
          <w:sz w:val="24"/>
        </w:rPr>
        <w:fldChar w:fldCharType="end"/>
      </w:r>
    </w:p>
    <w:p w14:paraId="5A0D7862">
      <w:pPr>
        <w:pStyle w:val="17"/>
        <w:tabs>
          <w:tab w:val="right" w:leader="dot" w:pos="8296"/>
        </w:tabs>
        <w:spacing w:line="600" w:lineRule="auto"/>
        <w:rPr>
          <w:rFonts w:eastAsiaTheme="minorEastAsia"/>
          <w:sz w:val="24"/>
        </w:rPr>
      </w:pPr>
      <w:r>
        <w:fldChar w:fldCharType="begin"/>
      </w:r>
      <w:r>
        <w:instrText xml:space="preserve"> HYPERLINK \l "_Toc101052710" </w:instrText>
      </w:r>
      <w:r>
        <w:fldChar w:fldCharType="separate"/>
      </w:r>
      <w:r>
        <w:rPr>
          <w:rStyle w:val="29"/>
          <w:b/>
          <w:bCs/>
          <w:snapToGrid w:val="0"/>
          <w:color w:val="auto"/>
          <w:sz w:val="24"/>
        </w:rPr>
        <w:t>三、区域环境质量现状、环境保护目标及评价标准</w:t>
      </w:r>
      <w:r>
        <w:rPr>
          <w:sz w:val="24"/>
        </w:rPr>
        <w:tab/>
      </w:r>
      <w:r>
        <w:rPr>
          <w:sz w:val="24"/>
        </w:rPr>
        <w:fldChar w:fldCharType="begin"/>
      </w:r>
      <w:r>
        <w:rPr>
          <w:sz w:val="24"/>
        </w:rPr>
        <w:instrText xml:space="preserve"> PAGEREF _Toc101052710 \h </w:instrText>
      </w:r>
      <w:r>
        <w:rPr>
          <w:sz w:val="24"/>
        </w:rPr>
        <w:fldChar w:fldCharType="separate"/>
      </w:r>
      <w:r>
        <w:rPr>
          <w:sz w:val="24"/>
        </w:rPr>
        <w:t>24</w:t>
      </w:r>
      <w:r>
        <w:rPr>
          <w:sz w:val="24"/>
        </w:rPr>
        <w:fldChar w:fldCharType="end"/>
      </w:r>
      <w:r>
        <w:rPr>
          <w:sz w:val="24"/>
        </w:rPr>
        <w:fldChar w:fldCharType="end"/>
      </w:r>
    </w:p>
    <w:p w14:paraId="722B3B61">
      <w:pPr>
        <w:pStyle w:val="17"/>
        <w:tabs>
          <w:tab w:val="right" w:leader="dot" w:pos="8296"/>
        </w:tabs>
        <w:spacing w:line="600" w:lineRule="auto"/>
        <w:rPr>
          <w:rFonts w:eastAsiaTheme="minorEastAsia"/>
          <w:sz w:val="24"/>
        </w:rPr>
      </w:pPr>
      <w:r>
        <w:fldChar w:fldCharType="begin"/>
      </w:r>
      <w:r>
        <w:instrText xml:space="preserve"> HYPERLINK \l "_Toc101052711" </w:instrText>
      </w:r>
      <w:r>
        <w:fldChar w:fldCharType="separate"/>
      </w:r>
      <w:r>
        <w:rPr>
          <w:rStyle w:val="29"/>
          <w:b/>
          <w:bCs/>
          <w:snapToGrid w:val="0"/>
          <w:color w:val="auto"/>
          <w:sz w:val="24"/>
        </w:rPr>
        <w:t>四、主要环境影响和保护措施</w:t>
      </w:r>
      <w:r>
        <w:rPr>
          <w:sz w:val="24"/>
        </w:rPr>
        <w:tab/>
      </w:r>
      <w:r>
        <w:rPr>
          <w:sz w:val="24"/>
        </w:rPr>
        <w:fldChar w:fldCharType="begin"/>
      </w:r>
      <w:r>
        <w:rPr>
          <w:sz w:val="24"/>
        </w:rPr>
        <w:instrText xml:space="preserve"> PAGEREF _Toc101052711 \h </w:instrText>
      </w:r>
      <w:r>
        <w:rPr>
          <w:sz w:val="24"/>
        </w:rPr>
        <w:fldChar w:fldCharType="separate"/>
      </w:r>
      <w:r>
        <w:rPr>
          <w:sz w:val="24"/>
        </w:rPr>
        <w:t>33</w:t>
      </w:r>
      <w:r>
        <w:rPr>
          <w:sz w:val="24"/>
        </w:rPr>
        <w:fldChar w:fldCharType="end"/>
      </w:r>
      <w:r>
        <w:rPr>
          <w:sz w:val="24"/>
        </w:rPr>
        <w:fldChar w:fldCharType="end"/>
      </w:r>
    </w:p>
    <w:p w14:paraId="08677D96">
      <w:pPr>
        <w:pStyle w:val="17"/>
        <w:tabs>
          <w:tab w:val="right" w:leader="dot" w:pos="8296"/>
        </w:tabs>
        <w:spacing w:line="600" w:lineRule="auto"/>
        <w:rPr>
          <w:rFonts w:eastAsiaTheme="minorEastAsia"/>
          <w:sz w:val="24"/>
        </w:rPr>
      </w:pPr>
      <w:r>
        <w:fldChar w:fldCharType="begin"/>
      </w:r>
      <w:r>
        <w:instrText xml:space="preserve"> HYPERLINK \l "_Toc101052745" </w:instrText>
      </w:r>
      <w:r>
        <w:fldChar w:fldCharType="separate"/>
      </w:r>
      <w:r>
        <w:rPr>
          <w:rStyle w:val="29"/>
          <w:b/>
          <w:bCs/>
          <w:snapToGrid w:val="0"/>
          <w:color w:val="auto"/>
          <w:sz w:val="24"/>
        </w:rPr>
        <w:t>五、环境保护措施监督检查清单</w:t>
      </w:r>
      <w:r>
        <w:rPr>
          <w:sz w:val="24"/>
        </w:rPr>
        <w:tab/>
      </w:r>
      <w:r>
        <w:rPr>
          <w:sz w:val="24"/>
        </w:rPr>
        <w:fldChar w:fldCharType="begin"/>
      </w:r>
      <w:r>
        <w:rPr>
          <w:sz w:val="24"/>
        </w:rPr>
        <w:instrText xml:space="preserve"> PAGEREF _Toc101052745 \h </w:instrText>
      </w:r>
      <w:r>
        <w:rPr>
          <w:sz w:val="24"/>
        </w:rPr>
        <w:fldChar w:fldCharType="separate"/>
      </w:r>
      <w:r>
        <w:rPr>
          <w:sz w:val="24"/>
        </w:rPr>
        <w:t>53</w:t>
      </w:r>
      <w:r>
        <w:rPr>
          <w:sz w:val="24"/>
        </w:rPr>
        <w:fldChar w:fldCharType="end"/>
      </w:r>
      <w:r>
        <w:rPr>
          <w:sz w:val="24"/>
        </w:rPr>
        <w:fldChar w:fldCharType="end"/>
      </w:r>
    </w:p>
    <w:p w14:paraId="12065F25">
      <w:pPr>
        <w:pStyle w:val="17"/>
        <w:tabs>
          <w:tab w:val="right" w:leader="dot" w:pos="8296"/>
        </w:tabs>
        <w:spacing w:line="600" w:lineRule="auto"/>
        <w:rPr>
          <w:rFonts w:eastAsiaTheme="minorEastAsia"/>
          <w:sz w:val="24"/>
        </w:rPr>
      </w:pPr>
      <w:r>
        <w:fldChar w:fldCharType="begin"/>
      </w:r>
      <w:r>
        <w:instrText xml:space="preserve"> HYPERLINK \l "_Toc101052746" </w:instrText>
      </w:r>
      <w:r>
        <w:fldChar w:fldCharType="separate"/>
      </w:r>
      <w:r>
        <w:rPr>
          <w:rStyle w:val="29"/>
          <w:b/>
          <w:bCs/>
          <w:snapToGrid w:val="0"/>
          <w:color w:val="auto"/>
          <w:sz w:val="24"/>
        </w:rPr>
        <w:t>六、结论</w:t>
      </w:r>
      <w:r>
        <w:rPr>
          <w:sz w:val="24"/>
        </w:rPr>
        <w:tab/>
      </w:r>
      <w:r>
        <w:rPr>
          <w:sz w:val="24"/>
        </w:rPr>
        <w:fldChar w:fldCharType="begin"/>
      </w:r>
      <w:r>
        <w:rPr>
          <w:sz w:val="24"/>
        </w:rPr>
        <w:instrText xml:space="preserve"> PAGEREF _Toc101052746 \h </w:instrText>
      </w:r>
      <w:r>
        <w:rPr>
          <w:sz w:val="24"/>
        </w:rPr>
        <w:fldChar w:fldCharType="separate"/>
      </w:r>
      <w:r>
        <w:rPr>
          <w:sz w:val="24"/>
        </w:rPr>
        <w:t>55</w:t>
      </w:r>
      <w:r>
        <w:rPr>
          <w:sz w:val="24"/>
        </w:rPr>
        <w:fldChar w:fldCharType="end"/>
      </w:r>
      <w:r>
        <w:rPr>
          <w:sz w:val="24"/>
        </w:rPr>
        <w:fldChar w:fldCharType="end"/>
      </w:r>
    </w:p>
    <w:p w14:paraId="677CE607">
      <w:pPr>
        <w:pStyle w:val="17"/>
        <w:tabs>
          <w:tab w:val="right" w:leader="dot" w:pos="8296"/>
        </w:tabs>
        <w:spacing w:line="600" w:lineRule="auto"/>
        <w:rPr>
          <w:sz w:val="24"/>
        </w:rPr>
      </w:pPr>
      <w:r>
        <w:fldChar w:fldCharType="begin"/>
      </w:r>
      <w:r>
        <w:instrText xml:space="preserve"> HYPERLINK \l "_Toc101052747" </w:instrText>
      </w:r>
      <w:r>
        <w:fldChar w:fldCharType="separate"/>
      </w:r>
      <w:r>
        <w:rPr>
          <w:rStyle w:val="29"/>
          <w:b/>
          <w:bCs/>
          <w:snapToGrid w:val="0"/>
          <w:color w:val="auto"/>
          <w:sz w:val="24"/>
        </w:rPr>
        <w:t>附表</w:t>
      </w:r>
      <w:r>
        <w:rPr>
          <w:sz w:val="24"/>
        </w:rPr>
        <w:tab/>
      </w:r>
      <w:r>
        <w:rPr>
          <w:sz w:val="24"/>
        </w:rPr>
        <w:fldChar w:fldCharType="begin"/>
      </w:r>
      <w:r>
        <w:rPr>
          <w:sz w:val="24"/>
        </w:rPr>
        <w:instrText xml:space="preserve"> PAGEREF _Toc101052747 \h </w:instrText>
      </w:r>
      <w:r>
        <w:rPr>
          <w:sz w:val="24"/>
        </w:rPr>
        <w:fldChar w:fldCharType="separate"/>
      </w:r>
      <w:r>
        <w:rPr>
          <w:sz w:val="24"/>
        </w:rPr>
        <w:t>56</w:t>
      </w:r>
      <w:r>
        <w:rPr>
          <w:sz w:val="24"/>
        </w:rPr>
        <w:fldChar w:fldCharType="end"/>
      </w:r>
      <w:r>
        <w:rPr>
          <w:sz w:val="24"/>
        </w:rPr>
        <w:fldChar w:fldCharType="end"/>
      </w:r>
    </w:p>
    <w:p w14:paraId="6026A6D1">
      <w:pPr>
        <w:pStyle w:val="2"/>
        <w:rPr>
          <w:rFonts w:ascii="Times New Roman" w:hAnsi="Times New Roman"/>
        </w:rPr>
      </w:pPr>
      <w:r>
        <w:rPr>
          <w:rFonts w:ascii="Times New Roman" w:hAnsi="Times New Roman"/>
        </w:rPr>
        <w:br w:type="page"/>
      </w:r>
    </w:p>
    <w:p w14:paraId="1B580ED5">
      <w:pPr>
        <w:widowControl/>
        <w:spacing w:line="480" w:lineRule="auto"/>
        <w:jc w:val="left"/>
        <w:rPr>
          <w:b/>
          <w:snapToGrid w:val="0"/>
          <w:kern w:val="44"/>
          <w:sz w:val="28"/>
          <w:szCs w:val="28"/>
        </w:rPr>
      </w:pPr>
      <w:r>
        <w:rPr>
          <w:b/>
          <w:snapToGrid w:val="0"/>
          <w:kern w:val="44"/>
          <w:sz w:val="28"/>
          <w:szCs w:val="28"/>
        </w:rPr>
        <w:t>附图</w:t>
      </w:r>
    </w:p>
    <w:p w14:paraId="517F9564">
      <w:pPr>
        <w:widowControl/>
        <w:spacing w:line="480" w:lineRule="auto"/>
        <w:jc w:val="left"/>
        <w:rPr>
          <w:snapToGrid w:val="0"/>
          <w:kern w:val="44"/>
          <w:sz w:val="28"/>
          <w:szCs w:val="28"/>
        </w:rPr>
      </w:pPr>
      <w:r>
        <w:rPr>
          <w:snapToGrid w:val="0"/>
          <w:kern w:val="44"/>
          <w:sz w:val="28"/>
          <w:szCs w:val="28"/>
        </w:rPr>
        <w:t>附图1  地理位置图</w:t>
      </w:r>
    </w:p>
    <w:p w14:paraId="7B0320F7">
      <w:pPr>
        <w:widowControl/>
        <w:spacing w:line="480" w:lineRule="auto"/>
        <w:jc w:val="left"/>
        <w:rPr>
          <w:snapToGrid w:val="0"/>
          <w:kern w:val="44"/>
          <w:sz w:val="28"/>
          <w:szCs w:val="28"/>
        </w:rPr>
      </w:pPr>
      <w:r>
        <w:rPr>
          <w:snapToGrid w:val="0"/>
          <w:kern w:val="44"/>
          <w:sz w:val="28"/>
          <w:szCs w:val="28"/>
        </w:rPr>
        <w:t>附图2  周边关系图</w:t>
      </w:r>
    </w:p>
    <w:p w14:paraId="0A193B95">
      <w:pPr>
        <w:widowControl/>
        <w:spacing w:line="480" w:lineRule="auto"/>
        <w:jc w:val="left"/>
        <w:rPr>
          <w:snapToGrid w:val="0"/>
          <w:kern w:val="44"/>
          <w:sz w:val="28"/>
          <w:szCs w:val="28"/>
        </w:rPr>
      </w:pPr>
      <w:r>
        <w:rPr>
          <w:snapToGrid w:val="0"/>
          <w:kern w:val="44"/>
          <w:sz w:val="28"/>
          <w:szCs w:val="28"/>
        </w:rPr>
        <w:t>附图3  总平面布置图</w:t>
      </w:r>
    </w:p>
    <w:p w14:paraId="2CF96832">
      <w:pPr>
        <w:widowControl/>
        <w:spacing w:line="480" w:lineRule="auto"/>
        <w:jc w:val="left"/>
        <w:rPr>
          <w:snapToGrid w:val="0"/>
          <w:kern w:val="44"/>
          <w:sz w:val="28"/>
          <w:szCs w:val="28"/>
        </w:rPr>
      </w:pPr>
      <w:r>
        <w:rPr>
          <w:snapToGrid w:val="0"/>
          <w:kern w:val="44"/>
          <w:sz w:val="28"/>
          <w:szCs w:val="28"/>
        </w:rPr>
        <w:t>附图4  水系图</w:t>
      </w:r>
    </w:p>
    <w:p w14:paraId="3FE3AEFF">
      <w:pPr>
        <w:widowControl/>
        <w:spacing w:line="480" w:lineRule="auto"/>
        <w:jc w:val="left"/>
        <w:rPr>
          <w:snapToGrid w:val="0"/>
          <w:kern w:val="44"/>
          <w:sz w:val="28"/>
          <w:szCs w:val="28"/>
        </w:rPr>
      </w:pPr>
    </w:p>
    <w:p w14:paraId="5CC1A950">
      <w:pPr>
        <w:widowControl/>
        <w:spacing w:line="480" w:lineRule="auto"/>
        <w:jc w:val="left"/>
        <w:rPr>
          <w:snapToGrid w:val="0"/>
          <w:kern w:val="44"/>
          <w:sz w:val="28"/>
          <w:szCs w:val="28"/>
        </w:rPr>
      </w:pPr>
    </w:p>
    <w:p w14:paraId="0A63E50A">
      <w:pPr>
        <w:widowControl/>
        <w:spacing w:line="480" w:lineRule="auto"/>
        <w:jc w:val="left"/>
        <w:rPr>
          <w:b/>
          <w:snapToGrid w:val="0"/>
          <w:kern w:val="44"/>
          <w:sz w:val="28"/>
          <w:szCs w:val="28"/>
        </w:rPr>
      </w:pPr>
      <w:r>
        <w:rPr>
          <w:b/>
          <w:snapToGrid w:val="0"/>
          <w:kern w:val="44"/>
          <w:sz w:val="28"/>
          <w:szCs w:val="28"/>
        </w:rPr>
        <w:t>附件</w:t>
      </w:r>
    </w:p>
    <w:p w14:paraId="0697C9E7">
      <w:pPr>
        <w:widowControl/>
        <w:spacing w:line="480" w:lineRule="auto"/>
        <w:jc w:val="left"/>
        <w:rPr>
          <w:snapToGrid w:val="0"/>
          <w:kern w:val="44"/>
          <w:sz w:val="28"/>
          <w:szCs w:val="28"/>
        </w:rPr>
      </w:pPr>
      <w:r>
        <w:rPr>
          <w:snapToGrid w:val="0"/>
          <w:kern w:val="44"/>
          <w:sz w:val="28"/>
          <w:szCs w:val="28"/>
        </w:rPr>
        <w:t>附件1  委托书</w:t>
      </w:r>
    </w:p>
    <w:p w14:paraId="2776F517">
      <w:pPr>
        <w:widowControl/>
        <w:spacing w:line="480" w:lineRule="auto"/>
        <w:jc w:val="left"/>
        <w:rPr>
          <w:snapToGrid w:val="0"/>
          <w:kern w:val="44"/>
          <w:sz w:val="28"/>
          <w:szCs w:val="28"/>
        </w:rPr>
      </w:pPr>
      <w:r>
        <w:rPr>
          <w:snapToGrid w:val="0"/>
          <w:kern w:val="44"/>
          <w:sz w:val="28"/>
          <w:szCs w:val="28"/>
        </w:rPr>
        <w:t>附件2  投资备案证</w:t>
      </w:r>
    </w:p>
    <w:p w14:paraId="5B244F55">
      <w:pPr>
        <w:widowControl/>
        <w:spacing w:line="480" w:lineRule="auto"/>
        <w:jc w:val="left"/>
        <w:rPr>
          <w:snapToGrid w:val="0"/>
          <w:kern w:val="44"/>
          <w:sz w:val="28"/>
          <w:szCs w:val="28"/>
        </w:rPr>
      </w:pPr>
      <w:r>
        <w:rPr>
          <w:snapToGrid w:val="0"/>
          <w:kern w:val="44"/>
          <w:sz w:val="28"/>
          <w:szCs w:val="28"/>
        </w:rPr>
        <w:t>附件3  原环评批复</w:t>
      </w:r>
    </w:p>
    <w:p w14:paraId="537EF398">
      <w:pPr>
        <w:widowControl/>
        <w:spacing w:line="480" w:lineRule="auto"/>
        <w:jc w:val="left"/>
        <w:rPr>
          <w:snapToGrid w:val="0"/>
          <w:kern w:val="44"/>
          <w:sz w:val="28"/>
          <w:szCs w:val="28"/>
        </w:rPr>
      </w:pPr>
      <w:r>
        <w:rPr>
          <w:snapToGrid w:val="0"/>
          <w:kern w:val="44"/>
          <w:sz w:val="28"/>
          <w:szCs w:val="28"/>
        </w:rPr>
        <w:t>附件4 原竣工环保验收批复</w:t>
      </w:r>
    </w:p>
    <w:p w14:paraId="2269B049">
      <w:pPr>
        <w:widowControl/>
        <w:spacing w:line="480" w:lineRule="auto"/>
        <w:jc w:val="left"/>
        <w:rPr>
          <w:snapToGrid w:val="0"/>
          <w:kern w:val="44"/>
          <w:sz w:val="28"/>
          <w:szCs w:val="28"/>
        </w:rPr>
      </w:pPr>
      <w:r>
        <w:rPr>
          <w:snapToGrid w:val="0"/>
          <w:kern w:val="44"/>
          <w:sz w:val="28"/>
          <w:szCs w:val="28"/>
        </w:rPr>
        <w:t>附件5  排污许可证</w:t>
      </w:r>
    </w:p>
    <w:p w14:paraId="4CD87D73">
      <w:pPr>
        <w:widowControl/>
        <w:spacing w:line="480" w:lineRule="auto"/>
        <w:jc w:val="left"/>
        <w:rPr>
          <w:snapToGrid w:val="0"/>
          <w:kern w:val="44"/>
          <w:sz w:val="28"/>
          <w:szCs w:val="28"/>
        </w:rPr>
      </w:pPr>
      <w:r>
        <w:rPr>
          <w:snapToGrid w:val="0"/>
          <w:kern w:val="44"/>
          <w:sz w:val="28"/>
          <w:szCs w:val="28"/>
        </w:rPr>
        <w:t>附件6 安全生产许可证</w:t>
      </w:r>
    </w:p>
    <w:p w14:paraId="07E36E4D">
      <w:pPr>
        <w:widowControl/>
        <w:spacing w:line="480" w:lineRule="auto"/>
        <w:jc w:val="left"/>
        <w:rPr>
          <w:snapToGrid w:val="0"/>
          <w:kern w:val="44"/>
          <w:sz w:val="28"/>
          <w:szCs w:val="28"/>
        </w:rPr>
      </w:pPr>
      <w:r>
        <w:rPr>
          <w:snapToGrid w:val="0"/>
          <w:kern w:val="44"/>
          <w:sz w:val="28"/>
          <w:szCs w:val="28"/>
        </w:rPr>
        <w:t>附件7  采矿许可证</w:t>
      </w:r>
    </w:p>
    <w:p w14:paraId="1801C64A">
      <w:pPr>
        <w:widowControl/>
        <w:spacing w:line="480" w:lineRule="auto"/>
        <w:jc w:val="left"/>
        <w:rPr>
          <w:snapToGrid w:val="0"/>
          <w:kern w:val="44"/>
          <w:sz w:val="28"/>
          <w:szCs w:val="28"/>
        </w:rPr>
      </w:pPr>
      <w:r>
        <w:rPr>
          <w:snapToGrid w:val="0"/>
          <w:kern w:val="44"/>
          <w:sz w:val="28"/>
          <w:szCs w:val="28"/>
        </w:rPr>
        <w:t>附件8 环境质量监测报告</w:t>
      </w:r>
    </w:p>
    <w:p w14:paraId="76B7B3FB">
      <w:pPr>
        <w:widowControl/>
        <w:spacing w:line="480" w:lineRule="auto"/>
        <w:jc w:val="left"/>
        <w:rPr>
          <w:snapToGrid w:val="0"/>
          <w:kern w:val="44"/>
          <w:sz w:val="28"/>
          <w:szCs w:val="28"/>
        </w:rPr>
      </w:pPr>
      <w:r>
        <w:rPr>
          <w:snapToGrid w:val="0"/>
          <w:kern w:val="44"/>
          <w:sz w:val="28"/>
          <w:szCs w:val="28"/>
        </w:rPr>
        <w:t>附件9  污染物监测报告</w:t>
      </w:r>
    </w:p>
    <w:p w14:paraId="58EBADFA">
      <w:pPr>
        <w:widowControl/>
        <w:spacing w:line="480" w:lineRule="auto"/>
        <w:jc w:val="left"/>
        <w:rPr>
          <w:snapToGrid w:val="0"/>
          <w:kern w:val="44"/>
          <w:sz w:val="28"/>
          <w:szCs w:val="28"/>
        </w:rPr>
      </w:pPr>
      <w:r>
        <w:rPr>
          <w:snapToGrid w:val="0"/>
          <w:kern w:val="44"/>
          <w:sz w:val="28"/>
          <w:szCs w:val="28"/>
        </w:rPr>
        <w:t>附件10 合同</w:t>
      </w:r>
    </w:p>
    <w:p w14:paraId="047A320F">
      <w:pPr>
        <w:widowControl/>
        <w:spacing w:line="480" w:lineRule="auto"/>
        <w:jc w:val="left"/>
        <w:rPr>
          <w:rFonts w:eastAsia="楷体_GB2312"/>
          <w:sz w:val="36"/>
          <w:szCs w:val="36"/>
        </w:rPr>
      </w:pPr>
      <w:r>
        <w:rPr>
          <w:snapToGrid w:val="0"/>
          <w:kern w:val="44"/>
          <w:sz w:val="28"/>
          <w:szCs w:val="28"/>
        </w:rPr>
        <w:t>附件11 内部进度表、控制表</w:t>
      </w:r>
      <w:r>
        <w:rPr>
          <w:rFonts w:eastAsia="黑体"/>
          <w:b/>
          <w:sz w:val="24"/>
        </w:rPr>
        <w:fldChar w:fldCharType="end"/>
      </w:r>
    </w:p>
    <w:p w14:paraId="34136D63">
      <w:pPr>
        <w:adjustRightInd w:val="0"/>
        <w:snapToGrid w:val="0"/>
        <w:spacing w:line="360" w:lineRule="auto"/>
        <w:jc w:val="center"/>
        <w:rPr>
          <w:rFonts w:eastAsia="楷体_GB2312"/>
          <w:sz w:val="36"/>
          <w:szCs w:val="36"/>
        </w:rPr>
        <w:sectPr>
          <w:footerReference r:id="rId3" w:type="default"/>
          <w:pgSz w:w="11906" w:h="16838"/>
          <w:pgMar w:top="1440" w:right="1800" w:bottom="1440" w:left="1800" w:header="851" w:footer="1077" w:gutter="0"/>
          <w:pgNumType w:fmt="upperRoman"/>
          <w:cols w:space="720" w:num="1"/>
          <w:docGrid w:linePitch="312" w:charSpace="0"/>
        </w:sectPr>
      </w:pPr>
    </w:p>
    <w:p w14:paraId="0348EC2A">
      <w:pPr>
        <w:pStyle w:val="20"/>
        <w:spacing w:before="0" w:beforeAutospacing="0" w:after="0" w:afterAutospacing="0"/>
        <w:jc w:val="center"/>
        <w:outlineLvl w:val="0"/>
        <w:rPr>
          <w:rFonts w:ascii="Times New Roman" w:hAnsi="Times New Roman"/>
          <w:b/>
          <w:bCs/>
          <w:snapToGrid w:val="0"/>
          <w:sz w:val="32"/>
          <w:szCs w:val="32"/>
        </w:rPr>
      </w:pPr>
      <w:bookmarkStart w:id="1" w:name="_Toc101052670"/>
      <w:r>
        <w:rPr>
          <w:rFonts w:ascii="Times New Roman" w:hAnsi="Times New Roman"/>
          <w:b/>
          <w:bCs/>
          <w:snapToGrid w:val="0"/>
          <w:sz w:val="32"/>
          <w:szCs w:val="32"/>
        </w:rPr>
        <w:t>一、建设项目基本情况</w:t>
      </w:r>
      <w:bookmarkEnd w:id="0"/>
      <w:bookmarkEnd w:id="1"/>
    </w:p>
    <w:tbl>
      <w:tblPr>
        <w:tblStyle w:val="25"/>
        <w:tblW w:w="104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66"/>
        <w:gridCol w:w="3686"/>
        <w:gridCol w:w="2409"/>
        <w:gridCol w:w="3117"/>
      </w:tblGrid>
      <w:tr w14:paraId="4A5CE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6" w:type="dxa"/>
            <w:tcMar>
              <w:top w:w="16" w:type="dxa"/>
              <w:left w:w="16" w:type="dxa"/>
              <w:right w:w="16" w:type="dxa"/>
            </w:tcMar>
            <w:vAlign w:val="center"/>
          </w:tcPr>
          <w:p w14:paraId="374A5ED8">
            <w:pPr>
              <w:adjustRightInd w:val="0"/>
              <w:snapToGrid w:val="0"/>
              <w:jc w:val="center"/>
              <w:rPr>
                <w:b/>
                <w:bCs/>
                <w:sz w:val="24"/>
              </w:rPr>
            </w:pPr>
            <w:r>
              <w:rPr>
                <w:b/>
                <w:bCs/>
                <w:sz w:val="24"/>
              </w:rPr>
              <w:t>建设项目名称</w:t>
            </w:r>
          </w:p>
        </w:tc>
        <w:tc>
          <w:tcPr>
            <w:tcW w:w="9212" w:type="dxa"/>
            <w:gridSpan w:val="3"/>
            <w:vAlign w:val="center"/>
          </w:tcPr>
          <w:p w14:paraId="6D5A1AF2">
            <w:pPr>
              <w:adjustRightInd w:val="0"/>
              <w:snapToGrid w:val="0"/>
              <w:jc w:val="center"/>
              <w:rPr>
                <w:sz w:val="24"/>
              </w:rPr>
            </w:pPr>
            <w:r>
              <w:rPr>
                <w:sz w:val="24"/>
              </w:rPr>
              <w:t>芒市吉盛建材中心节能环保改造项目</w:t>
            </w:r>
          </w:p>
        </w:tc>
      </w:tr>
      <w:tr w14:paraId="4DF3B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6" w:type="dxa"/>
            <w:tcMar>
              <w:top w:w="16" w:type="dxa"/>
              <w:left w:w="16" w:type="dxa"/>
              <w:right w:w="16" w:type="dxa"/>
            </w:tcMar>
            <w:vAlign w:val="center"/>
          </w:tcPr>
          <w:p w14:paraId="44806438">
            <w:pPr>
              <w:adjustRightInd w:val="0"/>
              <w:snapToGrid w:val="0"/>
              <w:jc w:val="center"/>
              <w:rPr>
                <w:b/>
                <w:bCs/>
                <w:sz w:val="24"/>
              </w:rPr>
            </w:pPr>
            <w:r>
              <w:rPr>
                <w:b/>
                <w:bCs/>
                <w:sz w:val="24"/>
              </w:rPr>
              <w:t>项目代码</w:t>
            </w:r>
          </w:p>
        </w:tc>
        <w:tc>
          <w:tcPr>
            <w:tcW w:w="9212" w:type="dxa"/>
            <w:gridSpan w:val="3"/>
            <w:vAlign w:val="center"/>
          </w:tcPr>
          <w:p w14:paraId="46281076">
            <w:pPr>
              <w:adjustRightInd w:val="0"/>
              <w:snapToGrid w:val="0"/>
              <w:jc w:val="center"/>
              <w:rPr>
                <w:sz w:val="24"/>
              </w:rPr>
            </w:pPr>
            <w:r>
              <w:rPr>
                <w:sz w:val="24"/>
              </w:rPr>
              <w:t>2205-533103-04-02-298291</w:t>
            </w:r>
          </w:p>
        </w:tc>
      </w:tr>
      <w:tr w14:paraId="7FC55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6" w:type="dxa"/>
            <w:tcMar>
              <w:top w:w="16" w:type="dxa"/>
              <w:left w:w="16" w:type="dxa"/>
              <w:right w:w="16" w:type="dxa"/>
            </w:tcMar>
            <w:vAlign w:val="center"/>
          </w:tcPr>
          <w:p w14:paraId="72E8565F">
            <w:pPr>
              <w:adjustRightInd w:val="0"/>
              <w:snapToGrid w:val="0"/>
              <w:jc w:val="center"/>
              <w:rPr>
                <w:b/>
                <w:bCs/>
                <w:sz w:val="24"/>
              </w:rPr>
            </w:pPr>
            <w:r>
              <w:rPr>
                <w:b/>
                <w:bCs/>
                <w:sz w:val="24"/>
              </w:rPr>
              <w:t>建设单位联系人</w:t>
            </w:r>
          </w:p>
        </w:tc>
        <w:tc>
          <w:tcPr>
            <w:tcW w:w="3686" w:type="dxa"/>
            <w:vAlign w:val="center"/>
          </w:tcPr>
          <w:p w14:paraId="04E287E0">
            <w:pPr>
              <w:adjustRightInd w:val="0"/>
              <w:snapToGrid w:val="0"/>
              <w:jc w:val="center"/>
              <w:rPr>
                <w:sz w:val="24"/>
              </w:rPr>
            </w:pPr>
            <w:r>
              <w:rPr>
                <w:sz w:val="24"/>
              </w:rPr>
              <w:t>何以平</w:t>
            </w:r>
          </w:p>
        </w:tc>
        <w:tc>
          <w:tcPr>
            <w:tcW w:w="2409" w:type="dxa"/>
            <w:vAlign w:val="center"/>
          </w:tcPr>
          <w:p w14:paraId="0B03054A">
            <w:pPr>
              <w:adjustRightInd w:val="0"/>
              <w:snapToGrid w:val="0"/>
              <w:jc w:val="center"/>
              <w:rPr>
                <w:sz w:val="24"/>
              </w:rPr>
            </w:pPr>
            <w:r>
              <w:rPr>
                <w:b/>
                <w:bCs/>
                <w:sz w:val="24"/>
              </w:rPr>
              <w:t>联系方式</w:t>
            </w:r>
          </w:p>
        </w:tc>
        <w:tc>
          <w:tcPr>
            <w:tcW w:w="3117" w:type="dxa"/>
            <w:vAlign w:val="center"/>
          </w:tcPr>
          <w:p w14:paraId="5C0E3528">
            <w:pPr>
              <w:adjustRightInd w:val="0"/>
              <w:snapToGrid w:val="0"/>
              <w:jc w:val="center"/>
              <w:rPr>
                <w:rFonts w:hint="eastAsia" w:eastAsia="宋体"/>
                <w:sz w:val="24"/>
                <w:lang w:eastAsia="zh-CN"/>
              </w:rPr>
            </w:pPr>
            <w:r>
              <w:rPr>
                <w:rFonts w:hint="eastAsia"/>
                <w:b/>
                <w:bCs/>
                <w:sz w:val="24"/>
                <w:lang w:val="en-US" w:eastAsia="zh-CN"/>
              </w:rPr>
              <w:t xml:space="preserve"> </w:t>
            </w:r>
          </w:p>
        </w:tc>
      </w:tr>
      <w:tr w14:paraId="4FEE7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6" w:type="dxa"/>
            <w:tcMar>
              <w:top w:w="16" w:type="dxa"/>
              <w:left w:w="16" w:type="dxa"/>
              <w:right w:w="16" w:type="dxa"/>
            </w:tcMar>
            <w:vAlign w:val="center"/>
          </w:tcPr>
          <w:p w14:paraId="67A2FE69">
            <w:pPr>
              <w:adjustRightInd w:val="0"/>
              <w:snapToGrid w:val="0"/>
              <w:jc w:val="center"/>
              <w:rPr>
                <w:b/>
                <w:bCs/>
                <w:sz w:val="24"/>
              </w:rPr>
            </w:pPr>
            <w:r>
              <w:rPr>
                <w:b/>
                <w:bCs/>
                <w:sz w:val="24"/>
              </w:rPr>
              <w:t>建设地点</w:t>
            </w:r>
          </w:p>
        </w:tc>
        <w:tc>
          <w:tcPr>
            <w:tcW w:w="9212" w:type="dxa"/>
            <w:gridSpan w:val="3"/>
            <w:vAlign w:val="center"/>
          </w:tcPr>
          <w:p w14:paraId="68CC7932">
            <w:pPr>
              <w:adjustRightInd w:val="0"/>
              <w:snapToGrid w:val="0"/>
              <w:ind w:firstLine="420"/>
              <w:jc w:val="center"/>
              <w:rPr>
                <w:sz w:val="24"/>
              </w:rPr>
            </w:pPr>
            <w:r>
              <w:rPr>
                <w:sz w:val="24"/>
              </w:rPr>
              <w:t>云南省德宏州芒市风平镇帕底村委会南相章村民小组</w:t>
            </w:r>
          </w:p>
        </w:tc>
      </w:tr>
      <w:tr w14:paraId="7A96F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6" w:type="dxa"/>
            <w:tcMar>
              <w:top w:w="16" w:type="dxa"/>
              <w:left w:w="16" w:type="dxa"/>
              <w:right w:w="16" w:type="dxa"/>
            </w:tcMar>
            <w:vAlign w:val="center"/>
          </w:tcPr>
          <w:p w14:paraId="011AE55F">
            <w:pPr>
              <w:adjustRightInd w:val="0"/>
              <w:snapToGrid w:val="0"/>
              <w:jc w:val="center"/>
              <w:rPr>
                <w:b/>
                <w:bCs/>
                <w:sz w:val="24"/>
              </w:rPr>
            </w:pPr>
            <w:r>
              <w:rPr>
                <w:b/>
                <w:bCs/>
                <w:sz w:val="24"/>
              </w:rPr>
              <w:t>地理坐标</w:t>
            </w:r>
          </w:p>
        </w:tc>
        <w:tc>
          <w:tcPr>
            <w:tcW w:w="9212" w:type="dxa"/>
            <w:gridSpan w:val="3"/>
            <w:vAlign w:val="center"/>
          </w:tcPr>
          <w:p w14:paraId="323F2F64">
            <w:pPr>
              <w:adjustRightInd w:val="0"/>
              <w:snapToGrid w:val="0"/>
              <w:jc w:val="center"/>
              <w:rPr>
                <w:sz w:val="24"/>
              </w:rPr>
            </w:pPr>
            <w:r>
              <w:rPr>
                <w:bCs/>
                <w:sz w:val="24"/>
              </w:rPr>
              <w:t>东经</w:t>
            </w:r>
            <w:r>
              <w:rPr>
                <w:bCs/>
                <w:sz w:val="24"/>
                <w:u w:val="single"/>
              </w:rPr>
              <w:t xml:space="preserve"> 98 </w:t>
            </w:r>
            <w:r>
              <w:rPr>
                <w:bCs/>
                <w:sz w:val="24"/>
              </w:rPr>
              <w:t>度</w:t>
            </w:r>
            <w:r>
              <w:rPr>
                <w:bCs/>
                <w:sz w:val="24"/>
                <w:u w:val="single"/>
              </w:rPr>
              <w:t xml:space="preserve"> 28</w:t>
            </w:r>
            <w:r>
              <w:rPr>
                <w:bCs/>
                <w:sz w:val="24"/>
              </w:rPr>
              <w:t>分</w:t>
            </w:r>
            <w:r>
              <w:rPr>
                <w:bCs/>
                <w:sz w:val="24"/>
                <w:u w:val="single"/>
              </w:rPr>
              <w:t xml:space="preserve"> 41.310 </w:t>
            </w:r>
            <w:r>
              <w:rPr>
                <w:bCs/>
                <w:sz w:val="24"/>
              </w:rPr>
              <w:t>秒，北纬</w:t>
            </w:r>
            <w:r>
              <w:rPr>
                <w:bCs/>
                <w:sz w:val="24"/>
                <w:u w:val="single"/>
              </w:rPr>
              <w:t xml:space="preserve"> 24 </w:t>
            </w:r>
            <w:r>
              <w:rPr>
                <w:bCs/>
                <w:sz w:val="24"/>
              </w:rPr>
              <w:t>度</w:t>
            </w:r>
            <w:r>
              <w:rPr>
                <w:bCs/>
                <w:sz w:val="24"/>
                <w:u w:val="single"/>
              </w:rPr>
              <w:t xml:space="preserve"> 20 </w:t>
            </w:r>
            <w:r>
              <w:rPr>
                <w:bCs/>
                <w:sz w:val="24"/>
              </w:rPr>
              <w:t>分</w:t>
            </w:r>
            <w:r>
              <w:rPr>
                <w:bCs/>
                <w:sz w:val="24"/>
                <w:u w:val="single"/>
              </w:rPr>
              <w:t xml:space="preserve"> </w:t>
            </w:r>
            <w:r>
              <w:rPr>
                <w:sz w:val="24"/>
                <w:u w:val="single"/>
              </w:rPr>
              <w:t>35.480</w:t>
            </w:r>
            <w:r>
              <w:rPr>
                <w:bCs/>
                <w:sz w:val="24"/>
                <w:u w:val="single"/>
              </w:rPr>
              <w:t xml:space="preserve"> </w:t>
            </w:r>
            <w:r>
              <w:rPr>
                <w:bCs/>
                <w:sz w:val="24"/>
              </w:rPr>
              <w:t>秒</w:t>
            </w:r>
          </w:p>
        </w:tc>
      </w:tr>
      <w:tr w14:paraId="1DA684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6" w:type="dxa"/>
            <w:tcMar>
              <w:top w:w="16" w:type="dxa"/>
              <w:left w:w="16" w:type="dxa"/>
              <w:right w:w="16" w:type="dxa"/>
            </w:tcMar>
            <w:vAlign w:val="center"/>
          </w:tcPr>
          <w:p w14:paraId="13E1785A">
            <w:pPr>
              <w:adjustRightInd w:val="0"/>
              <w:snapToGrid w:val="0"/>
              <w:jc w:val="center"/>
              <w:rPr>
                <w:b/>
                <w:bCs/>
                <w:sz w:val="24"/>
              </w:rPr>
            </w:pPr>
            <w:r>
              <w:rPr>
                <w:b/>
                <w:bCs/>
                <w:sz w:val="24"/>
              </w:rPr>
              <w:t>国民经济</w:t>
            </w:r>
          </w:p>
          <w:p w14:paraId="056AA3C2">
            <w:pPr>
              <w:adjustRightInd w:val="0"/>
              <w:snapToGrid w:val="0"/>
              <w:jc w:val="center"/>
              <w:rPr>
                <w:b/>
                <w:bCs/>
                <w:sz w:val="24"/>
              </w:rPr>
            </w:pPr>
            <w:r>
              <w:rPr>
                <w:b/>
                <w:bCs/>
                <w:sz w:val="24"/>
              </w:rPr>
              <w:t>行业类别</w:t>
            </w:r>
          </w:p>
        </w:tc>
        <w:tc>
          <w:tcPr>
            <w:tcW w:w="3686" w:type="dxa"/>
            <w:vAlign w:val="center"/>
          </w:tcPr>
          <w:p w14:paraId="25D6DA60">
            <w:pPr>
              <w:adjustRightInd w:val="0"/>
              <w:snapToGrid w:val="0"/>
              <w:jc w:val="center"/>
              <w:rPr>
                <w:sz w:val="24"/>
              </w:rPr>
            </w:pPr>
            <w:r>
              <w:rPr>
                <w:sz w:val="24"/>
              </w:rPr>
              <w:t>C3031 粘土砖瓦及建筑砌块制造</w:t>
            </w:r>
          </w:p>
        </w:tc>
        <w:tc>
          <w:tcPr>
            <w:tcW w:w="2409" w:type="dxa"/>
            <w:vAlign w:val="center"/>
          </w:tcPr>
          <w:p w14:paraId="4CC212E0">
            <w:pPr>
              <w:adjustRightInd w:val="0"/>
              <w:snapToGrid w:val="0"/>
              <w:jc w:val="center"/>
              <w:rPr>
                <w:b/>
                <w:bCs/>
                <w:sz w:val="24"/>
              </w:rPr>
            </w:pPr>
            <w:r>
              <w:rPr>
                <w:b/>
                <w:bCs/>
                <w:sz w:val="24"/>
              </w:rPr>
              <w:t>建设项目</w:t>
            </w:r>
          </w:p>
          <w:p w14:paraId="17D03617">
            <w:pPr>
              <w:adjustRightInd w:val="0"/>
              <w:snapToGrid w:val="0"/>
              <w:jc w:val="center"/>
              <w:rPr>
                <w:b/>
                <w:bCs/>
                <w:sz w:val="24"/>
              </w:rPr>
            </w:pPr>
            <w:r>
              <w:rPr>
                <w:b/>
                <w:bCs/>
                <w:sz w:val="24"/>
              </w:rPr>
              <w:t>行业类别</w:t>
            </w:r>
          </w:p>
        </w:tc>
        <w:tc>
          <w:tcPr>
            <w:tcW w:w="3117" w:type="dxa"/>
            <w:vAlign w:val="center"/>
          </w:tcPr>
          <w:p w14:paraId="66091072">
            <w:pPr>
              <w:adjustRightInd w:val="0"/>
              <w:snapToGrid w:val="0"/>
              <w:rPr>
                <w:sz w:val="24"/>
              </w:rPr>
            </w:pPr>
            <w:r>
              <w:rPr>
                <w:sz w:val="24"/>
              </w:rPr>
              <w:t>56 砖瓦石材等建筑材料制造</w:t>
            </w:r>
          </w:p>
          <w:p w14:paraId="0707068C">
            <w:pPr>
              <w:adjustRightInd w:val="0"/>
              <w:snapToGrid w:val="0"/>
              <w:jc w:val="center"/>
              <w:rPr>
                <w:sz w:val="24"/>
              </w:rPr>
            </w:pPr>
            <w:r>
              <w:rPr>
                <w:sz w:val="24"/>
              </w:rPr>
              <w:t>103 一般工业固体废物（含污水处理污泥）、建筑施工废弃物处置及综合利用</w:t>
            </w:r>
          </w:p>
        </w:tc>
      </w:tr>
      <w:tr w14:paraId="3A529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6" w:type="dxa"/>
            <w:tcMar>
              <w:top w:w="16" w:type="dxa"/>
              <w:left w:w="16" w:type="dxa"/>
              <w:right w:w="16" w:type="dxa"/>
            </w:tcMar>
            <w:vAlign w:val="center"/>
          </w:tcPr>
          <w:p w14:paraId="1A97107C">
            <w:pPr>
              <w:adjustRightInd w:val="0"/>
              <w:snapToGrid w:val="0"/>
              <w:jc w:val="center"/>
              <w:rPr>
                <w:b/>
                <w:bCs/>
                <w:sz w:val="24"/>
              </w:rPr>
            </w:pPr>
            <w:r>
              <w:rPr>
                <w:b/>
                <w:bCs/>
                <w:sz w:val="24"/>
              </w:rPr>
              <w:t>建设性质</w:t>
            </w:r>
          </w:p>
        </w:tc>
        <w:tc>
          <w:tcPr>
            <w:tcW w:w="3686" w:type="dxa"/>
            <w:vAlign w:val="center"/>
          </w:tcPr>
          <w:p w14:paraId="653C36D2">
            <w:pPr>
              <w:jc w:val="left"/>
              <w:rPr>
                <w:sz w:val="24"/>
              </w:rPr>
            </w:pPr>
            <w:r>
              <w:rPr>
                <w:sz w:val="24"/>
              </w:rPr>
              <w:sym w:font="Wingdings 2" w:char="00A3"/>
            </w:r>
            <w:r>
              <w:rPr>
                <w:sz w:val="24"/>
              </w:rPr>
              <w:t>新建（迁建）</w:t>
            </w:r>
          </w:p>
          <w:p w14:paraId="0902C891">
            <w:pPr>
              <w:jc w:val="left"/>
              <w:rPr>
                <w:sz w:val="24"/>
              </w:rPr>
            </w:pPr>
            <w:r>
              <w:rPr>
                <w:sz w:val="24"/>
              </w:rPr>
              <w:sym w:font="Wingdings 2" w:char="00A3"/>
            </w:r>
            <w:r>
              <w:rPr>
                <w:sz w:val="24"/>
              </w:rPr>
              <w:t>改建</w:t>
            </w:r>
          </w:p>
          <w:p w14:paraId="01DA3F60">
            <w:pPr>
              <w:jc w:val="left"/>
              <w:rPr>
                <w:sz w:val="24"/>
              </w:rPr>
            </w:pPr>
            <w:r>
              <w:rPr>
                <w:sz w:val="24"/>
              </w:rPr>
              <w:sym w:font="Wingdings 2" w:char="0052"/>
            </w:r>
            <w:r>
              <w:rPr>
                <w:sz w:val="24"/>
              </w:rPr>
              <w:t>扩建</w:t>
            </w:r>
          </w:p>
          <w:p w14:paraId="09C30C1D">
            <w:pPr>
              <w:jc w:val="left"/>
              <w:rPr>
                <w:sz w:val="24"/>
              </w:rPr>
            </w:pPr>
            <w:r>
              <w:rPr>
                <w:sz w:val="24"/>
              </w:rPr>
              <w:sym w:font="Wingdings 2" w:char="00A3"/>
            </w:r>
            <w:r>
              <w:rPr>
                <w:sz w:val="24"/>
              </w:rPr>
              <w:t>技术改造</w:t>
            </w:r>
          </w:p>
        </w:tc>
        <w:tc>
          <w:tcPr>
            <w:tcW w:w="2409" w:type="dxa"/>
            <w:vAlign w:val="center"/>
          </w:tcPr>
          <w:p w14:paraId="62681A08">
            <w:pPr>
              <w:adjustRightInd w:val="0"/>
              <w:snapToGrid w:val="0"/>
              <w:jc w:val="center"/>
              <w:rPr>
                <w:b/>
                <w:bCs/>
                <w:sz w:val="24"/>
              </w:rPr>
            </w:pPr>
            <w:r>
              <w:rPr>
                <w:b/>
                <w:bCs/>
                <w:sz w:val="24"/>
              </w:rPr>
              <w:t>建设项目</w:t>
            </w:r>
          </w:p>
          <w:p w14:paraId="2E9A65A2">
            <w:pPr>
              <w:adjustRightInd w:val="0"/>
              <w:snapToGrid w:val="0"/>
              <w:jc w:val="center"/>
              <w:rPr>
                <w:b/>
                <w:bCs/>
                <w:sz w:val="24"/>
              </w:rPr>
            </w:pPr>
            <w:r>
              <w:rPr>
                <w:b/>
                <w:bCs/>
                <w:sz w:val="24"/>
              </w:rPr>
              <w:t>申报情形</w:t>
            </w:r>
          </w:p>
        </w:tc>
        <w:tc>
          <w:tcPr>
            <w:tcW w:w="3117" w:type="dxa"/>
            <w:vAlign w:val="center"/>
          </w:tcPr>
          <w:p w14:paraId="4CC5B9F6">
            <w:pPr>
              <w:jc w:val="left"/>
              <w:rPr>
                <w:sz w:val="24"/>
              </w:rPr>
            </w:pPr>
            <w:r>
              <w:rPr>
                <w:sz w:val="24"/>
              </w:rPr>
              <w:sym w:font="Wingdings 2" w:char="0052"/>
            </w:r>
            <w:r>
              <w:rPr>
                <w:sz w:val="24"/>
              </w:rPr>
              <w:t>首次申报项目</w:t>
            </w:r>
          </w:p>
          <w:p w14:paraId="7A0337FB">
            <w:pPr>
              <w:jc w:val="left"/>
              <w:rPr>
                <w:sz w:val="24"/>
              </w:rPr>
            </w:pPr>
            <w:r>
              <w:rPr>
                <w:sz w:val="24"/>
              </w:rPr>
              <w:sym w:font="Wingdings 2" w:char="00A3"/>
            </w:r>
            <w:r>
              <w:rPr>
                <w:sz w:val="24"/>
              </w:rPr>
              <w:t>不予批准后再次申报项目</w:t>
            </w:r>
          </w:p>
          <w:p w14:paraId="708AAD87">
            <w:pPr>
              <w:jc w:val="left"/>
              <w:rPr>
                <w:sz w:val="24"/>
              </w:rPr>
            </w:pPr>
            <w:r>
              <w:rPr>
                <w:sz w:val="24"/>
              </w:rPr>
              <w:sym w:font="Wingdings 2" w:char="00A3"/>
            </w:r>
            <w:r>
              <w:rPr>
                <w:sz w:val="24"/>
              </w:rPr>
              <w:t>超五年重新审核项目</w:t>
            </w:r>
          </w:p>
          <w:p w14:paraId="1B5A6E03">
            <w:pPr>
              <w:jc w:val="left"/>
              <w:rPr>
                <w:sz w:val="24"/>
              </w:rPr>
            </w:pPr>
            <w:r>
              <w:rPr>
                <w:sz w:val="24"/>
              </w:rPr>
              <w:sym w:font="Wingdings 2" w:char="00A3"/>
            </w:r>
            <w:r>
              <w:rPr>
                <w:sz w:val="24"/>
              </w:rPr>
              <w:t>重大变动重新报批项目</w:t>
            </w:r>
          </w:p>
        </w:tc>
      </w:tr>
      <w:tr w14:paraId="4EA2D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6" w:type="dxa"/>
            <w:tcMar>
              <w:top w:w="16" w:type="dxa"/>
              <w:left w:w="16" w:type="dxa"/>
              <w:right w:w="16" w:type="dxa"/>
            </w:tcMar>
            <w:vAlign w:val="center"/>
          </w:tcPr>
          <w:p w14:paraId="4AD45B9F">
            <w:pPr>
              <w:adjustRightInd w:val="0"/>
              <w:snapToGrid w:val="0"/>
              <w:jc w:val="center"/>
              <w:rPr>
                <w:b/>
                <w:bCs/>
                <w:sz w:val="24"/>
              </w:rPr>
            </w:pPr>
            <w:r>
              <w:rPr>
                <w:b/>
                <w:bCs/>
                <w:sz w:val="24"/>
              </w:rPr>
              <w:t>项目审批（核准/备案）部门（选填）</w:t>
            </w:r>
          </w:p>
        </w:tc>
        <w:tc>
          <w:tcPr>
            <w:tcW w:w="3686" w:type="dxa"/>
            <w:vAlign w:val="center"/>
          </w:tcPr>
          <w:p w14:paraId="7A0B923B">
            <w:pPr>
              <w:adjustRightInd w:val="0"/>
              <w:snapToGrid w:val="0"/>
              <w:jc w:val="center"/>
              <w:rPr>
                <w:sz w:val="24"/>
              </w:rPr>
            </w:pPr>
            <w:r>
              <w:rPr>
                <w:sz w:val="24"/>
              </w:rPr>
              <w:t>芒市发展和改革局</w:t>
            </w:r>
          </w:p>
        </w:tc>
        <w:tc>
          <w:tcPr>
            <w:tcW w:w="2409" w:type="dxa"/>
            <w:vAlign w:val="center"/>
          </w:tcPr>
          <w:p w14:paraId="1AD07210">
            <w:pPr>
              <w:adjustRightInd w:val="0"/>
              <w:snapToGrid w:val="0"/>
              <w:jc w:val="center"/>
              <w:rPr>
                <w:b/>
                <w:bCs/>
                <w:sz w:val="24"/>
              </w:rPr>
            </w:pPr>
            <w:r>
              <w:rPr>
                <w:b/>
                <w:bCs/>
                <w:sz w:val="24"/>
              </w:rPr>
              <w:t>项目审批（核准/备案）文号（选填）</w:t>
            </w:r>
          </w:p>
        </w:tc>
        <w:tc>
          <w:tcPr>
            <w:tcW w:w="3117" w:type="dxa"/>
            <w:vAlign w:val="center"/>
          </w:tcPr>
          <w:p w14:paraId="0640DFCE">
            <w:pPr>
              <w:adjustRightInd w:val="0"/>
              <w:snapToGrid w:val="0"/>
              <w:jc w:val="center"/>
              <w:rPr>
                <w:sz w:val="24"/>
              </w:rPr>
            </w:pPr>
            <w:r>
              <w:rPr>
                <w:sz w:val="24"/>
              </w:rPr>
              <w:t>2205-533103-04-02-298291</w:t>
            </w:r>
          </w:p>
        </w:tc>
      </w:tr>
      <w:tr w14:paraId="6C98D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6" w:type="dxa"/>
            <w:tcMar>
              <w:top w:w="16" w:type="dxa"/>
              <w:left w:w="16" w:type="dxa"/>
              <w:right w:w="16" w:type="dxa"/>
            </w:tcMar>
            <w:vAlign w:val="center"/>
          </w:tcPr>
          <w:p w14:paraId="25EF2DCD">
            <w:pPr>
              <w:adjustRightInd w:val="0"/>
              <w:snapToGrid w:val="0"/>
              <w:jc w:val="center"/>
              <w:rPr>
                <w:b/>
                <w:bCs/>
                <w:sz w:val="24"/>
              </w:rPr>
            </w:pPr>
            <w:r>
              <w:rPr>
                <w:b/>
                <w:bCs/>
                <w:sz w:val="24"/>
              </w:rPr>
              <w:t>总投资（万元）</w:t>
            </w:r>
          </w:p>
        </w:tc>
        <w:tc>
          <w:tcPr>
            <w:tcW w:w="3686" w:type="dxa"/>
            <w:vAlign w:val="center"/>
          </w:tcPr>
          <w:p w14:paraId="03F4BB45">
            <w:pPr>
              <w:adjustRightInd w:val="0"/>
              <w:snapToGrid w:val="0"/>
              <w:jc w:val="center"/>
              <w:rPr>
                <w:sz w:val="24"/>
              </w:rPr>
            </w:pPr>
            <w:r>
              <w:rPr>
                <w:sz w:val="24"/>
              </w:rPr>
              <w:t>1200</w:t>
            </w:r>
          </w:p>
        </w:tc>
        <w:tc>
          <w:tcPr>
            <w:tcW w:w="2409" w:type="dxa"/>
            <w:tcMar>
              <w:top w:w="16" w:type="dxa"/>
              <w:left w:w="16" w:type="dxa"/>
              <w:right w:w="16" w:type="dxa"/>
            </w:tcMar>
            <w:vAlign w:val="center"/>
          </w:tcPr>
          <w:p w14:paraId="61E96E6B">
            <w:pPr>
              <w:adjustRightInd w:val="0"/>
              <w:snapToGrid w:val="0"/>
              <w:jc w:val="center"/>
              <w:rPr>
                <w:b/>
                <w:bCs/>
                <w:sz w:val="24"/>
              </w:rPr>
            </w:pPr>
            <w:r>
              <w:rPr>
                <w:b/>
                <w:bCs/>
                <w:sz w:val="24"/>
              </w:rPr>
              <w:t>环保投资（万元）</w:t>
            </w:r>
          </w:p>
        </w:tc>
        <w:tc>
          <w:tcPr>
            <w:tcW w:w="3117" w:type="dxa"/>
            <w:vAlign w:val="center"/>
          </w:tcPr>
          <w:p w14:paraId="073BC26C">
            <w:pPr>
              <w:adjustRightInd w:val="0"/>
              <w:snapToGrid w:val="0"/>
              <w:jc w:val="center"/>
              <w:rPr>
                <w:sz w:val="24"/>
              </w:rPr>
            </w:pPr>
            <w:r>
              <w:rPr>
                <w:sz w:val="24"/>
              </w:rPr>
              <w:t>260</w:t>
            </w:r>
          </w:p>
        </w:tc>
      </w:tr>
      <w:tr w14:paraId="35455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6" w:type="dxa"/>
            <w:tcMar>
              <w:top w:w="16" w:type="dxa"/>
              <w:left w:w="16" w:type="dxa"/>
              <w:right w:w="16" w:type="dxa"/>
            </w:tcMar>
            <w:vAlign w:val="center"/>
          </w:tcPr>
          <w:p w14:paraId="76DF0460">
            <w:pPr>
              <w:adjustRightInd w:val="0"/>
              <w:snapToGrid w:val="0"/>
              <w:jc w:val="center"/>
              <w:rPr>
                <w:b/>
                <w:bCs/>
                <w:sz w:val="24"/>
              </w:rPr>
            </w:pPr>
            <w:r>
              <w:rPr>
                <w:b/>
                <w:bCs/>
                <w:sz w:val="24"/>
              </w:rPr>
              <w:t>环保投资占比（%）</w:t>
            </w:r>
          </w:p>
        </w:tc>
        <w:tc>
          <w:tcPr>
            <w:tcW w:w="3686" w:type="dxa"/>
            <w:vAlign w:val="center"/>
          </w:tcPr>
          <w:p w14:paraId="3633A2F3">
            <w:pPr>
              <w:adjustRightInd w:val="0"/>
              <w:snapToGrid w:val="0"/>
              <w:jc w:val="center"/>
              <w:rPr>
                <w:sz w:val="24"/>
              </w:rPr>
            </w:pPr>
            <w:r>
              <w:rPr>
                <w:sz w:val="24"/>
              </w:rPr>
              <w:t>21.66</w:t>
            </w:r>
          </w:p>
        </w:tc>
        <w:tc>
          <w:tcPr>
            <w:tcW w:w="2409" w:type="dxa"/>
            <w:tcMar>
              <w:top w:w="16" w:type="dxa"/>
              <w:left w:w="16" w:type="dxa"/>
              <w:right w:w="16" w:type="dxa"/>
            </w:tcMar>
            <w:vAlign w:val="center"/>
          </w:tcPr>
          <w:p w14:paraId="2058CEB4">
            <w:pPr>
              <w:adjustRightInd w:val="0"/>
              <w:snapToGrid w:val="0"/>
              <w:jc w:val="center"/>
              <w:rPr>
                <w:b/>
                <w:bCs/>
                <w:sz w:val="24"/>
              </w:rPr>
            </w:pPr>
            <w:r>
              <w:rPr>
                <w:b/>
                <w:bCs/>
                <w:sz w:val="24"/>
              </w:rPr>
              <w:t>施工工期</w:t>
            </w:r>
          </w:p>
        </w:tc>
        <w:tc>
          <w:tcPr>
            <w:tcW w:w="3117" w:type="dxa"/>
            <w:vAlign w:val="center"/>
          </w:tcPr>
          <w:p w14:paraId="282DEDBD">
            <w:pPr>
              <w:pStyle w:val="66"/>
              <w:spacing w:line="299" w:lineRule="exact"/>
              <w:ind w:left="-2" w:right="37"/>
              <w:jc w:val="center"/>
              <w:rPr>
                <w:rFonts w:ascii="Times New Roman" w:hAnsi="Times New Roman" w:cs="Times New Roman"/>
                <w:sz w:val="24"/>
              </w:rPr>
            </w:pPr>
            <w:r>
              <w:rPr>
                <w:rFonts w:ascii="Times New Roman" w:hAnsi="Times New Roman" w:cs="Times New Roman"/>
                <w:sz w:val="24"/>
              </w:rPr>
              <w:t>2个月</w:t>
            </w:r>
          </w:p>
        </w:tc>
      </w:tr>
      <w:tr w14:paraId="3102E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6" w:type="dxa"/>
            <w:tcMar>
              <w:top w:w="16" w:type="dxa"/>
              <w:left w:w="16" w:type="dxa"/>
              <w:right w:w="16" w:type="dxa"/>
            </w:tcMar>
            <w:vAlign w:val="center"/>
          </w:tcPr>
          <w:p w14:paraId="2B660A02">
            <w:pPr>
              <w:adjustRightInd w:val="0"/>
              <w:snapToGrid w:val="0"/>
              <w:jc w:val="center"/>
              <w:rPr>
                <w:b/>
                <w:bCs/>
                <w:sz w:val="24"/>
              </w:rPr>
            </w:pPr>
            <w:r>
              <w:rPr>
                <w:b/>
                <w:bCs/>
                <w:sz w:val="24"/>
              </w:rPr>
              <w:t>是否开工建设</w:t>
            </w:r>
          </w:p>
        </w:tc>
        <w:tc>
          <w:tcPr>
            <w:tcW w:w="3686" w:type="dxa"/>
            <w:vAlign w:val="center"/>
          </w:tcPr>
          <w:p w14:paraId="61F3C6E7">
            <w:pPr>
              <w:adjustRightInd w:val="0"/>
              <w:snapToGrid w:val="0"/>
              <w:rPr>
                <w:sz w:val="24"/>
              </w:rPr>
            </w:pPr>
            <w:r>
              <w:rPr>
                <w:sz w:val="24"/>
              </w:rPr>
              <w:sym w:font="Wingdings 2" w:char="0052"/>
            </w:r>
            <w:r>
              <w:rPr>
                <w:sz w:val="24"/>
              </w:rPr>
              <w:t>否</w:t>
            </w:r>
          </w:p>
          <w:p w14:paraId="2D825530">
            <w:pPr>
              <w:adjustRightInd w:val="0"/>
              <w:snapToGrid w:val="0"/>
              <w:rPr>
                <w:sz w:val="24"/>
              </w:rPr>
            </w:pPr>
            <w:r>
              <w:rPr>
                <w:sz w:val="24"/>
              </w:rPr>
              <w:sym w:font="Wingdings 2" w:char="00A3"/>
            </w:r>
            <w:r>
              <w:rPr>
                <w:sz w:val="24"/>
              </w:rPr>
              <w:t>是：</w:t>
            </w:r>
            <w:r>
              <w:rPr>
                <w:sz w:val="24"/>
                <w:u w:val="single"/>
              </w:rPr>
              <w:t xml:space="preserve">              </w:t>
            </w:r>
          </w:p>
        </w:tc>
        <w:tc>
          <w:tcPr>
            <w:tcW w:w="2409" w:type="dxa"/>
            <w:tcMar>
              <w:top w:w="16" w:type="dxa"/>
              <w:left w:w="16" w:type="dxa"/>
              <w:right w:w="16" w:type="dxa"/>
            </w:tcMar>
            <w:vAlign w:val="center"/>
          </w:tcPr>
          <w:p w14:paraId="0A35B3BB">
            <w:pPr>
              <w:adjustRightInd w:val="0"/>
              <w:snapToGrid w:val="0"/>
              <w:jc w:val="center"/>
              <w:rPr>
                <w:b/>
                <w:bCs/>
                <w:spacing w:val="-6"/>
                <w:sz w:val="24"/>
              </w:rPr>
            </w:pPr>
            <w:r>
              <w:rPr>
                <w:b/>
                <w:bCs/>
                <w:spacing w:val="-6"/>
                <w:sz w:val="24"/>
              </w:rPr>
              <w:t>用地（用海）</w:t>
            </w:r>
          </w:p>
          <w:p w14:paraId="08C3BA7A">
            <w:pPr>
              <w:adjustRightInd w:val="0"/>
              <w:snapToGrid w:val="0"/>
              <w:jc w:val="center"/>
              <w:rPr>
                <w:b/>
                <w:bCs/>
                <w:sz w:val="24"/>
              </w:rPr>
            </w:pPr>
            <w:r>
              <w:rPr>
                <w:b/>
                <w:bCs/>
                <w:spacing w:val="-6"/>
                <w:sz w:val="24"/>
              </w:rPr>
              <w:t>面积（m</w:t>
            </w:r>
            <w:r>
              <w:rPr>
                <w:b/>
                <w:bCs/>
                <w:spacing w:val="-6"/>
                <w:sz w:val="24"/>
                <w:vertAlign w:val="superscript"/>
              </w:rPr>
              <w:t>2</w:t>
            </w:r>
            <w:r>
              <w:rPr>
                <w:b/>
                <w:bCs/>
                <w:spacing w:val="-6"/>
                <w:sz w:val="24"/>
              </w:rPr>
              <w:t>）</w:t>
            </w:r>
          </w:p>
        </w:tc>
        <w:tc>
          <w:tcPr>
            <w:tcW w:w="3117" w:type="dxa"/>
            <w:vAlign w:val="center"/>
          </w:tcPr>
          <w:p w14:paraId="3C4349E2">
            <w:pPr>
              <w:adjustRightInd w:val="0"/>
              <w:snapToGrid w:val="0"/>
              <w:jc w:val="center"/>
              <w:rPr>
                <w:sz w:val="24"/>
              </w:rPr>
            </w:pPr>
            <w:r>
              <w:rPr>
                <w:sz w:val="24"/>
              </w:rPr>
              <w:t>29600</w:t>
            </w:r>
          </w:p>
        </w:tc>
      </w:tr>
      <w:tr w14:paraId="2E006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0" w:hRule="atLeast"/>
          <w:jc w:val="center"/>
        </w:trPr>
        <w:tc>
          <w:tcPr>
            <w:tcW w:w="1266" w:type="dxa"/>
            <w:vAlign w:val="center"/>
          </w:tcPr>
          <w:p w14:paraId="6C8BB5E4">
            <w:pPr>
              <w:autoSpaceDE w:val="0"/>
              <w:autoSpaceDN w:val="0"/>
              <w:adjustRightInd w:val="0"/>
              <w:snapToGrid w:val="0"/>
              <w:jc w:val="center"/>
              <w:rPr>
                <w:b/>
                <w:bCs/>
                <w:kern w:val="0"/>
                <w:sz w:val="24"/>
              </w:rPr>
            </w:pPr>
            <w:r>
              <w:rPr>
                <w:b/>
                <w:bCs/>
                <w:kern w:val="0"/>
                <w:sz w:val="24"/>
              </w:rPr>
              <w:t>专项评价设置情况</w:t>
            </w:r>
          </w:p>
        </w:tc>
        <w:tc>
          <w:tcPr>
            <w:tcW w:w="9212" w:type="dxa"/>
            <w:gridSpan w:val="3"/>
            <w:vAlign w:val="center"/>
          </w:tcPr>
          <w:p w14:paraId="517C3DA8">
            <w:pPr>
              <w:spacing w:line="360" w:lineRule="auto"/>
              <w:ind w:firstLine="482" w:firstLineChars="200"/>
              <w:jc w:val="left"/>
              <w:rPr>
                <w:sz w:val="24"/>
              </w:rPr>
            </w:pPr>
            <w:r>
              <w:rPr>
                <w:b/>
                <w:sz w:val="24"/>
              </w:rPr>
              <w:t>专项评价设置：无</w:t>
            </w:r>
            <w:r>
              <w:rPr>
                <w:sz w:val="24"/>
              </w:rPr>
              <w:t>。</w:t>
            </w:r>
          </w:p>
          <w:p w14:paraId="110C0BC9">
            <w:pPr>
              <w:spacing w:line="360" w:lineRule="auto"/>
              <w:ind w:firstLine="482" w:firstLineChars="200"/>
              <w:jc w:val="left"/>
              <w:rPr>
                <w:sz w:val="24"/>
              </w:rPr>
            </w:pPr>
            <w:r>
              <w:rPr>
                <w:b/>
                <w:sz w:val="24"/>
              </w:rPr>
              <w:t>大气专项评价：无</w:t>
            </w:r>
            <w:r>
              <w:rPr>
                <w:sz w:val="24"/>
              </w:rPr>
              <w:t>，本项目排放废气中不涉及含有毒有害污染物。</w:t>
            </w:r>
          </w:p>
          <w:p w14:paraId="504ACBB2">
            <w:pPr>
              <w:spacing w:line="360" w:lineRule="auto"/>
              <w:ind w:firstLine="482" w:firstLineChars="200"/>
              <w:jc w:val="left"/>
              <w:rPr>
                <w:sz w:val="24"/>
              </w:rPr>
            </w:pPr>
            <w:r>
              <w:rPr>
                <w:b/>
                <w:sz w:val="24"/>
              </w:rPr>
              <w:t>地表水：</w:t>
            </w:r>
            <w:r>
              <w:rPr>
                <w:sz w:val="24"/>
              </w:rPr>
              <w:t>无，本项目废水不外排，不涉及新增工业废水直排建设项目及新增废水直排的污水集中处理厂；</w:t>
            </w:r>
          </w:p>
          <w:p w14:paraId="5BD75EDD">
            <w:pPr>
              <w:spacing w:line="360" w:lineRule="auto"/>
              <w:ind w:firstLine="482" w:firstLineChars="200"/>
              <w:jc w:val="left"/>
              <w:rPr>
                <w:sz w:val="24"/>
              </w:rPr>
            </w:pPr>
            <w:r>
              <w:rPr>
                <w:b/>
                <w:sz w:val="24"/>
              </w:rPr>
              <w:t>环境风险：</w:t>
            </w:r>
            <w:r>
              <w:rPr>
                <w:sz w:val="24"/>
              </w:rPr>
              <w:t>本项目Q值为0，属于＜1范围，存储量未超过临界量的建设项目。</w:t>
            </w:r>
          </w:p>
          <w:p w14:paraId="1BA016F7">
            <w:pPr>
              <w:spacing w:line="360" w:lineRule="auto"/>
              <w:ind w:firstLine="482" w:firstLineChars="200"/>
              <w:jc w:val="left"/>
              <w:rPr>
                <w:sz w:val="24"/>
              </w:rPr>
            </w:pPr>
            <w:r>
              <w:rPr>
                <w:b/>
                <w:sz w:val="24"/>
              </w:rPr>
              <w:t>生态专项评价：无，</w:t>
            </w:r>
            <w:r>
              <w:rPr>
                <w:sz w:val="24"/>
              </w:rPr>
              <w:t>不涉及河道取水；</w:t>
            </w:r>
          </w:p>
          <w:p w14:paraId="03F1DB90">
            <w:pPr>
              <w:spacing w:line="360" w:lineRule="auto"/>
              <w:ind w:firstLine="482" w:firstLineChars="200"/>
              <w:jc w:val="left"/>
            </w:pPr>
            <w:r>
              <w:rPr>
                <w:b/>
                <w:sz w:val="24"/>
              </w:rPr>
              <w:t>地下水：</w:t>
            </w:r>
            <w:r>
              <w:rPr>
                <w:sz w:val="24"/>
              </w:rPr>
              <w:t>无，根据调查，本项目不涉及集中式饮用水水源和热水、矿泉水、温泉等特殊地下水资源保护区，同时根据《</w:t>
            </w:r>
            <w:r>
              <w:fldChar w:fldCharType="begin"/>
            </w:r>
            <w:r>
              <w:instrText xml:space="preserve"> HYPERLINK "https://yhp-website.oss-cn-beijing.aliyuncs.com/upload/files/%E7%8E%AF%E5%A2%83%E5%BD%B1%E5%93%8D%E8%AF%84%E4%BB%B7%E6%8A%80%E6%9C%AF%E5%AF%BC%E5%88%99%20%E5%9C%B0%E4%B8%8B%E6%B0%B4%E7%8E%AF%E5%A2%83%EF%BC%88HJ610-2016%EF%BC%89.pdf" \t "_blank" </w:instrText>
            </w:r>
            <w:r>
              <w:fldChar w:fldCharType="separate"/>
            </w:r>
            <w:r>
              <w:rPr>
                <w:rStyle w:val="29"/>
                <w:color w:val="auto"/>
                <w:sz w:val="24"/>
                <w:u w:val="none"/>
              </w:rPr>
              <w:t>环境影响评价技术导则 地下水环境（HJ610-2016）</w:t>
            </w:r>
            <w:r>
              <w:rPr>
                <w:rStyle w:val="29"/>
                <w:color w:val="auto"/>
                <w:sz w:val="24"/>
                <w:u w:val="none"/>
              </w:rPr>
              <w:fldChar w:fldCharType="end"/>
            </w:r>
            <w:r>
              <w:rPr>
                <w:sz w:val="24"/>
              </w:rPr>
              <w:t>》，为IV，不评价。</w:t>
            </w:r>
          </w:p>
        </w:tc>
      </w:tr>
      <w:tr w14:paraId="415826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266" w:type="dxa"/>
            <w:vAlign w:val="center"/>
          </w:tcPr>
          <w:p w14:paraId="6BBA4510">
            <w:pPr>
              <w:autoSpaceDE w:val="0"/>
              <w:autoSpaceDN w:val="0"/>
              <w:adjustRightInd w:val="0"/>
              <w:snapToGrid w:val="0"/>
              <w:jc w:val="center"/>
              <w:rPr>
                <w:b/>
                <w:bCs/>
                <w:kern w:val="0"/>
                <w:sz w:val="24"/>
              </w:rPr>
            </w:pPr>
            <w:r>
              <w:rPr>
                <w:b/>
                <w:bCs/>
                <w:sz w:val="24"/>
              </w:rPr>
              <w:t>规划情况</w:t>
            </w:r>
          </w:p>
        </w:tc>
        <w:tc>
          <w:tcPr>
            <w:tcW w:w="9212" w:type="dxa"/>
            <w:gridSpan w:val="3"/>
            <w:vAlign w:val="center"/>
          </w:tcPr>
          <w:p w14:paraId="32CAB8BB">
            <w:pPr>
              <w:adjustRightInd w:val="0"/>
              <w:snapToGrid w:val="0"/>
              <w:jc w:val="center"/>
              <w:rPr>
                <w:sz w:val="24"/>
              </w:rPr>
            </w:pPr>
            <w:r>
              <w:rPr>
                <w:bCs/>
                <w:sz w:val="24"/>
              </w:rPr>
              <w:t>本项目位于</w:t>
            </w:r>
            <w:r>
              <w:rPr>
                <w:sz w:val="24"/>
              </w:rPr>
              <w:t>芒市吉盛建材中心页岩矿区范围内，</w:t>
            </w:r>
            <w:r>
              <w:rPr>
                <w:bCs/>
                <w:sz w:val="24"/>
              </w:rPr>
              <w:t>根据采矿许可证，本项目用地类型为工矿用地，符合用地规划。</w:t>
            </w:r>
          </w:p>
        </w:tc>
      </w:tr>
      <w:tr w14:paraId="5F4C7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6" w:type="dxa"/>
            <w:vAlign w:val="center"/>
          </w:tcPr>
          <w:p w14:paraId="538F90CC">
            <w:pPr>
              <w:adjustRightInd w:val="0"/>
              <w:snapToGrid w:val="0"/>
              <w:jc w:val="center"/>
              <w:rPr>
                <w:b/>
                <w:bCs/>
                <w:kern w:val="0"/>
                <w:sz w:val="24"/>
              </w:rPr>
            </w:pPr>
            <w:r>
              <w:rPr>
                <w:b/>
                <w:bCs/>
                <w:sz w:val="24"/>
              </w:rPr>
              <w:t>规划环境影响评价情况</w:t>
            </w:r>
          </w:p>
        </w:tc>
        <w:tc>
          <w:tcPr>
            <w:tcW w:w="9212" w:type="dxa"/>
            <w:gridSpan w:val="3"/>
            <w:vAlign w:val="center"/>
          </w:tcPr>
          <w:p w14:paraId="702BCF02">
            <w:pPr>
              <w:adjustRightInd w:val="0"/>
              <w:snapToGrid w:val="0"/>
              <w:spacing w:line="360" w:lineRule="auto"/>
              <w:jc w:val="center"/>
              <w:rPr>
                <w:sz w:val="24"/>
              </w:rPr>
            </w:pPr>
            <w:r>
              <w:rPr>
                <w:sz w:val="24"/>
              </w:rPr>
              <w:t>无</w:t>
            </w:r>
          </w:p>
        </w:tc>
      </w:tr>
      <w:tr w14:paraId="0AD73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6" w:type="dxa"/>
            <w:vAlign w:val="center"/>
          </w:tcPr>
          <w:p w14:paraId="25CD3B80">
            <w:pPr>
              <w:autoSpaceDE w:val="0"/>
              <w:autoSpaceDN w:val="0"/>
              <w:adjustRightInd w:val="0"/>
              <w:snapToGrid w:val="0"/>
              <w:jc w:val="center"/>
              <w:rPr>
                <w:b/>
                <w:bCs/>
                <w:kern w:val="0"/>
                <w:sz w:val="24"/>
              </w:rPr>
            </w:pPr>
            <w:r>
              <w:rPr>
                <w:b/>
                <w:bCs/>
                <w:kern w:val="0"/>
                <w:sz w:val="24"/>
              </w:rPr>
              <w:t>规划及规划环境影响评价符合性分析</w:t>
            </w:r>
          </w:p>
        </w:tc>
        <w:tc>
          <w:tcPr>
            <w:tcW w:w="9212" w:type="dxa"/>
            <w:gridSpan w:val="3"/>
            <w:vAlign w:val="center"/>
          </w:tcPr>
          <w:p w14:paraId="325F612E">
            <w:pPr>
              <w:adjustRightInd w:val="0"/>
              <w:snapToGrid w:val="0"/>
              <w:spacing w:line="360" w:lineRule="auto"/>
              <w:jc w:val="center"/>
              <w:rPr>
                <w:sz w:val="24"/>
              </w:rPr>
            </w:pPr>
            <w:r>
              <w:rPr>
                <w:sz w:val="24"/>
              </w:rPr>
              <w:t>无</w:t>
            </w:r>
          </w:p>
        </w:tc>
      </w:tr>
      <w:tr w14:paraId="3FBD2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6" w:type="dxa"/>
            <w:vAlign w:val="center"/>
          </w:tcPr>
          <w:p w14:paraId="0173542E">
            <w:pPr>
              <w:autoSpaceDE w:val="0"/>
              <w:autoSpaceDN w:val="0"/>
              <w:adjustRightInd w:val="0"/>
              <w:snapToGrid w:val="0"/>
              <w:jc w:val="center"/>
              <w:rPr>
                <w:b/>
                <w:bCs/>
                <w:kern w:val="0"/>
                <w:sz w:val="24"/>
              </w:rPr>
            </w:pPr>
            <w:r>
              <w:rPr>
                <w:b/>
                <w:bCs/>
                <w:kern w:val="0"/>
                <w:sz w:val="24"/>
              </w:rPr>
              <w:t>其他符合性分析</w:t>
            </w:r>
          </w:p>
        </w:tc>
        <w:tc>
          <w:tcPr>
            <w:tcW w:w="9212" w:type="dxa"/>
            <w:gridSpan w:val="3"/>
            <w:vAlign w:val="center"/>
          </w:tcPr>
          <w:p w14:paraId="63586EF3">
            <w:pPr>
              <w:spacing w:line="360" w:lineRule="auto"/>
              <w:ind w:firstLine="482"/>
              <w:rPr>
                <w:b/>
                <w:sz w:val="24"/>
              </w:rPr>
            </w:pPr>
            <w:r>
              <w:rPr>
                <w:b/>
                <w:sz w:val="24"/>
              </w:rPr>
              <w:t>1、与“三线一单”符合性分析</w:t>
            </w:r>
          </w:p>
          <w:p w14:paraId="586B5D63">
            <w:pPr>
              <w:spacing w:line="360" w:lineRule="auto"/>
              <w:ind w:firstLine="480"/>
              <w:rPr>
                <w:sz w:val="24"/>
              </w:rPr>
            </w:pPr>
            <w:r>
              <w:rPr>
                <w:sz w:val="24"/>
              </w:rPr>
              <w:t>2021年10月22日，德宏州人民政府发布了《关于印发德宏州“三线一单”生态环境分区管控实施方案的通知》（德政发[2021]15号），本项目的“三线一单”符合性分析见下表。</w:t>
            </w:r>
          </w:p>
          <w:p w14:paraId="10B749CF">
            <w:pPr>
              <w:ind w:firstLine="482"/>
              <w:jc w:val="center"/>
              <w:rPr>
                <w:b/>
                <w:bCs/>
                <w:sz w:val="24"/>
              </w:rPr>
            </w:pPr>
            <w:r>
              <w:rPr>
                <w:b/>
                <w:bCs/>
                <w:sz w:val="24"/>
              </w:rPr>
              <w:t>表1-1  “三线一单”符合性分析</w:t>
            </w:r>
          </w:p>
          <w:tbl>
            <w:tblPr>
              <w:tblStyle w:val="25"/>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9"/>
              <w:gridCol w:w="735"/>
              <w:gridCol w:w="3172"/>
              <w:gridCol w:w="3643"/>
              <w:gridCol w:w="687"/>
            </w:tblGrid>
            <w:tr w14:paraId="3723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484" w:type="dxa"/>
                  <w:gridSpan w:val="2"/>
                  <w:vAlign w:val="center"/>
                </w:tcPr>
                <w:p w14:paraId="5570EA48">
                  <w:pPr>
                    <w:jc w:val="center"/>
                    <w:rPr>
                      <w:b/>
                      <w:szCs w:val="21"/>
                    </w:rPr>
                  </w:pPr>
                  <w:r>
                    <w:rPr>
                      <w:b/>
                      <w:szCs w:val="21"/>
                    </w:rPr>
                    <w:t>类别</w:t>
                  </w:r>
                </w:p>
              </w:tc>
              <w:tc>
                <w:tcPr>
                  <w:tcW w:w="3172" w:type="dxa"/>
                  <w:vAlign w:val="center"/>
                </w:tcPr>
                <w:p w14:paraId="7CF3642E">
                  <w:pPr>
                    <w:jc w:val="center"/>
                    <w:rPr>
                      <w:b/>
                      <w:szCs w:val="21"/>
                    </w:rPr>
                  </w:pPr>
                  <w:r>
                    <w:rPr>
                      <w:b/>
                      <w:szCs w:val="21"/>
                    </w:rPr>
                    <w:t>内容要求</w:t>
                  </w:r>
                </w:p>
              </w:tc>
              <w:tc>
                <w:tcPr>
                  <w:tcW w:w="3643" w:type="dxa"/>
                  <w:vAlign w:val="center"/>
                </w:tcPr>
                <w:p w14:paraId="2C2B8C12">
                  <w:pPr>
                    <w:jc w:val="center"/>
                    <w:rPr>
                      <w:b/>
                      <w:szCs w:val="21"/>
                    </w:rPr>
                  </w:pPr>
                  <w:r>
                    <w:rPr>
                      <w:b/>
                      <w:szCs w:val="21"/>
                    </w:rPr>
                    <w:t>项目情况</w:t>
                  </w:r>
                </w:p>
              </w:tc>
              <w:tc>
                <w:tcPr>
                  <w:tcW w:w="687" w:type="dxa"/>
                  <w:vAlign w:val="center"/>
                </w:tcPr>
                <w:p w14:paraId="4637068D">
                  <w:pPr>
                    <w:jc w:val="center"/>
                    <w:rPr>
                      <w:b/>
                      <w:szCs w:val="21"/>
                    </w:rPr>
                  </w:pPr>
                  <w:r>
                    <w:rPr>
                      <w:b/>
                      <w:szCs w:val="21"/>
                    </w:rPr>
                    <w:t>符合情况</w:t>
                  </w:r>
                </w:p>
              </w:tc>
            </w:tr>
            <w:tr w14:paraId="0F95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484" w:type="dxa"/>
                  <w:gridSpan w:val="2"/>
                  <w:vAlign w:val="center"/>
                </w:tcPr>
                <w:p w14:paraId="6851D2A3">
                  <w:pPr>
                    <w:jc w:val="center"/>
                    <w:rPr>
                      <w:szCs w:val="21"/>
                    </w:rPr>
                  </w:pPr>
                  <w:r>
                    <w:rPr>
                      <w:szCs w:val="21"/>
                    </w:rPr>
                    <w:t>生态保护红线和一般生态空间</w:t>
                  </w:r>
                </w:p>
              </w:tc>
              <w:tc>
                <w:tcPr>
                  <w:tcW w:w="3172" w:type="dxa"/>
                  <w:vAlign w:val="center"/>
                </w:tcPr>
                <w:p w14:paraId="61054BB7">
                  <w:pPr>
                    <w:rPr>
                      <w:szCs w:val="21"/>
                    </w:rPr>
                  </w:pPr>
                  <w:r>
                    <w:rPr>
                      <w:szCs w:val="21"/>
                    </w:rPr>
                    <w:t>生态保护红线执行《云南省人民政府关于发布云南省生态保护红线的通知》（云政发〔2018〕32号）要求，生态保护红线评估调整成果获批后，按照批准成果执行。将未划入生态保护红线的自然保护区、国家公园、森林公园、风景名胜区、湿地公园、重要湿地、集中式饮用水水源地等生态功能重要区域、生态环境敏感区域划入一般生态空间。</w:t>
                  </w:r>
                </w:p>
              </w:tc>
              <w:tc>
                <w:tcPr>
                  <w:tcW w:w="3643" w:type="dxa"/>
                  <w:vAlign w:val="center"/>
                </w:tcPr>
                <w:p w14:paraId="043E5E2C">
                  <w:pPr>
                    <w:rPr>
                      <w:szCs w:val="21"/>
                    </w:rPr>
                  </w:pPr>
                  <w:r>
                    <w:rPr>
                      <w:bCs/>
                      <w:szCs w:val="21"/>
                    </w:rPr>
                    <w:t>本项目位于</w:t>
                  </w:r>
                  <w:r>
                    <w:rPr>
                      <w:szCs w:val="21"/>
                    </w:rPr>
                    <w:t>芒市吉盛建材中心页岩矿区范围内，</w:t>
                  </w:r>
                  <w:r>
                    <w:rPr>
                      <w:bCs/>
                      <w:szCs w:val="21"/>
                    </w:rPr>
                    <w:t>根据采矿许可证，本项目用地类型为工矿用地，符合用地规划，本次不新增用地</w:t>
                  </w:r>
                  <w:r>
                    <w:rPr>
                      <w:szCs w:val="21"/>
                    </w:rPr>
                    <w:t>，不涉及基本农田、生态保护红线、饮用水水源保护区、文物保护单位与保护点等，不涉及生态敏感区。</w:t>
                  </w:r>
                </w:p>
              </w:tc>
              <w:tc>
                <w:tcPr>
                  <w:tcW w:w="687" w:type="dxa"/>
                  <w:vAlign w:val="center"/>
                </w:tcPr>
                <w:p w14:paraId="567AAA34">
                  <w:pPr>
                    <w:jc w:val="center"/>
                    <w:rPr>
                      <w:szCs w:val="21"/>
                    </w:rPr>
                  </w:pPr>
                  <w:r>
                    <w:rPr>
                      <w:szCs w:val="21"/>
                    </w:rPr>
                    <w:t>符合</w:t>
                  </w:r>
                </w:p>
              </w:tc>
            </w:tr>
            <w:tr w14:paraId="63AE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749" w:type="dxa"/>
                  <w:vMerge w:val="restart"/>
                  <w:vAlign w:val="center"/>
                </w:tcPr>
                <w:p w14:paraId="325E2A93">
                  <w:pPr>
                    <w:jc w:val="center"/>
                    <w:rPr>
                      <w:szCs w:val="21"/>
                    </w:rPr>
                  </w:pPr>
                  <w:r>
                    <w:rPr>
                      <w:szCs w:val="21"/>
                    </w:rPr>
                    <w:t>环境质量底线</w:t>
                  </w:r>
                </w:p>
              </w:tc>
              <w:tc>
                <w:tcPr>
                  <w:tcW w:w="735" w:type="dxa"/>
                  <w:vAlign w:val="center"/>
                </w:tcPr>
                <w:p w14:paraId="6915999D">
                  <w:pPr>
                    <w:jc w:val="center"/>
                    <w:rPr>
                      <w:szCs w:val="21"/>
                    </w:rPr>
                  </w:pPr>
                  <w:r>
                    <w:rPr>
                      <w:szCs w:val="21"/>
                    </w:rPr>
                    <w:t>水环境质量底线</w:t>
                  </w:r>
                </w:p>
              </w:tc>
              <w:tc>
                <w:tcPr>
                  <w:tcW w:w="3172" w:type="dxa"/>
                  <w:vAlign w:val="center"/>
                </w:tcPr>
                <w:p w14:paraId="68D1B11B">
                  <w:pPr>
                    <w:rPr>
                      <w:szCs w:val="21"/>
                    </w:rPr>
                  </w:pPr>
                  <w:r>
                    <w:rPr>
                      <w:szCs w:val="21"/>
                    </w:rPr>
                    <w:t>到2025年，全州水环境质量总体优良，9个河流地表水断面中优良水体断面（达到或优于Ⅲ类）比例稳定达到100%，</w:t>
                  </w:r>
                  <w:r>
                    <w:rPr>
                      <w:rFonts w:hint="eastAsia"/>
                      <w:szCs w:val="21"/>
                      <w:lang w:eastAsia="zh-CN"/>
                    </w:rPr>
                    <w:t>“十四五”</w:t>
                  </w:r>
                  <w:r>
                    <w:rPr>
                      <w:szCs w:val="21"/>
                    </w:rPr>
                    <w:t>新增监测断面水质达标率100%，水生生态系统功能进一步提升，县市及以上集中式饮用水水源水质巩固改善。到2035年，全州水环境质量持续优良，水生生态系统全面提升，实现“人水和谐”。</w:t>
                  </w:r>
                </w:p>
              </w:tc>
              <w:tc>
                <w:tcPr>
                  <w:tcW w:w="3643" w:type="dxa"/>
                  <w:vAlign w:val="center"/>
                </w:tcPr>
                <w:p w14:paraId="62BDC033">
                  <w:pPr>
                    <w:rPr>
                      <w:szCs w:val="21"/>
                    </w:rPr>
                  </w:pPr>
                  <w:r>
                    <w:rPr>
                      <w:szCs w:val="21"/>
                    </w:rPr>
                    <w:t>1、根据《德宏州2020年环境质量公报》，2020年芒市大河（木康断面—入瑞丽江口）满足《地表水环境质量标准》（GB3838-2002）中Ⅲ类水质标准要求，未突破水环境质量底线。</w:t>
                  </w:r>
                </w:p>
                <w:p w14:paraId="69EBD7A8">
                  <w:r>
                    <w:rPr>
                      <w:szCs w:val="21"/>
                    </w:rPr>
                    <w:t>2、本项目生产废水循环使用，生活废水不外排，对周边地表水影响较小。</w:t>
                  </w:r>
                </w:p>
              </w:tc>
              <w:tc>
                <w:tcPr>
                  <w:tcW w:w="687" w:type="dxa"/>
                  <w:vAlign w:val="center"/>
                </w:tcPr>
                <w:p w14:paraId="79CCB7DC">
                  <w:pPr>
                    <w:ind w:right="105" w:rightChars="50"/>
                    <w:jc w:val="center"/>
                    <w:rPr>
                      <w:szCs w:val="21"/>
                    </w:rPr>
                  </w:pPr>
                  <w:r>
                    <w:rPr>
                      <w:szCs w:val="21"/>
                    </w:rPr>
                    <w:t>符合</w:t>
                  </w:r>
                </w:p>
              </w:tc>
            </w:tr>
            <w:tr w14:paraId="6181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749" w:type="dxa"/>
                  <w:vMerge w:val="continue"/>
                  <w:vAlign w:val="center"/>
                </w:tcPr>
                <w:p w14:paraId="63F565FE">
                  <w:pPr>
                    <w:ind w:right="105" w:rightChars="50"/>
                    <w:jc w:val="center"/>
                    <w:rPr>
                      <w:szCs w:val="21"/>
                    </w:rPr>
                  </w:pPr>
                </w:p>
              </w:tc>
              <w:tc>
                <w:tcPr>
                  <w:tcW w:w="735" w:type="dxa"/>
                  <w:vAlign w:val="center"/>
                </w:tcPr>
                <w:p w14:paraId="4CB59B3A">
                  <w:pPr>
                    <w:ind w:right="105" w:rightChars="50"/>
                    <w:jc w:val="center"/>
                    <w:rPr>
                      <w:szCs w:val="21"/>
                    </w:rPr>
                  </w:pPr>
                  <w:r>
                    <w:rPr>
                      <w:szCs w:val="21"/>
                    </w:rPr>
                    <w:t>大气环境质量底线</w:t>
                  </w:r>
                </w:p>
              </w:tc>
              <w:tc>
                <w:tcPr>
                  <w:tcW w:w="3172" w:type="dxa"/>
                  <w:vAlign w:val="center"/>
                </w:tcPr>
                <w:p w14:paraId="265A1FF3">
                  <w:pPr>
                    <w:rPr>
                      <w:szCs w:val="21"/>
                    </w:rPr>
                  </w:pPr>
                  <w:r>
                    <w:rPr>
                      <w:szCs w:val="21"/>
                    </w:rPr>
                    <w:t>到2025年，全州空气质量优良率达到省级要求，中心城市环境空气质量稳定达到国家二级标准。2035年，全州空气质量优良率保持稳定，中心城市、各县市城市环境空气质量稳定达到国家二级标准。</w:t>
                  </w:r>
                </w:p>
              </w:tc>
              <w:tc>
                <w:tcPr>
                  <w:tcW w:w="3643" w:type="dxa"/>
                  <w:vAlign w:val="center"/>
                </w:tcPr>
                <w:p w14:paraId="795DAD51">
                  <w:pPr>
                    <w:rPr>
                      <w:szCs w:val="21"/>
                    </w:rPr>
                  </w:pPr>
                  <w:r>
                    <w:rPr>
                      <w:szCs w:val="21"/>
                    </w:rPr>
                    <w:t>根据《德宏州2020年环境质量状况公报》，芒市有效监测天数359天，优235天，良121天，轻度污染3天。按空气质量指数（AQI）评价，优良率为99.2%，与2019年相比下降0.8%。污染发生的时间为3~4月份。首要污染物为可吸入颗粒物、细颗粒物和臭氧。年度综合评价，芒市环境空气质量达到二级标准，环境质量状况较好。项目营运期废水、废气、噪声、固废等经有效措施治理后均能够实现达标排放。</w:t>
                  </w:r>
                </w:p>
              </w:tc>
              <w:tc>
                <w:tcPr>
                  <w:tcW w:w="687" w:type="dxa"/>
                  <w:vAlign w:val="center"/>
                </w:tcPr>
                <w:p w14:paraId="4F3ABB15">
                  <w:pPr>
                    <w:ind w:right="105" w:rightChars="50"/>
                    <w:jc w:val="center"/>
                    <w:rPr>
                      <w:szCs w:val="21"/>
                    </w:rPr>
                  </w:pPr>
                  <w:r>
                    <w:rPr>
                      <w:szCs w:val="21"/>
                    </w:rPr>
                    <w:t>符合</w:t>
                  </w:r>
                </w:p>
              </w:tc>
            </w:tr>
            <w:tr w14:paraId="1C07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749" w:type="dxa"/>
                  <w:vMerge w:val="continue"/>
                  <w:vAlign w:val="center"/>
                </w:tcPr>
                <w:p w14:paraId="21BE80A8">
                  <w:pPr>
                    <w:ind w:right="105" w:rightChars="50"/>
                    <w:jc w:val="center"/>
                    <w:rPr>
                      <w:szCs w:val="21"/>
                    </w:rPr>
                  </w:pPr>
                </w:p>
              </w:tc>
              <w:tc>
                <w:tcPr>
                  <w:tcW w:w="735" w:type="dxa"/>
                  <w:vAlign w:val="center"/>
                </w:tcPr>
                <w:p w14:paraId="58C1208A">
                  <w:pPr>
                    <w:ind w:right="105" w:rightChars="50"/>
                    <w:jc w:val="center"/>
                    <w:rPr>
                      <w:szCs w:val="21"/>
                    </w:rPr>
                  </w:pPr>
                  <w:r>
                    <w:rPr>
                      <w:szCs w:val="21"/>
                    </w:rPr>
                    <w:t>土壤环境风险防控底线</w:t>
                  </w:r>
                </w:p>
              </w:tc>
              <w:tc>
                <w:tcPr>
                  <w:tcW w:w="3172" w:type="dxa"/>
                  <w:vAlign w:val="center"/>
                </w:tcPr>
                <w:p w14:paraId="7B8C77A2">
                  <w:pPr>
                    <w:rPr>
                      <w:szCs w:val="21"/>
                    </w:rPr>
                  </w:pPr>
                  <w:r>
                    <w:rPr>
                      <w:szCs w:val="21"/>
                    </w:rPr>
                    <w:t>到2025年，全州土壤环境质量保持优异，土壤环境风险管控水平不断提升，受污染耕地安全利用率达到85%以上，受污染建设用地地块安全利用率达到95%以上。2035年，全州土壤环境风险防范体系全面建立，农用地和建设用地土壤环境安全得到有效保障，土壤环境风险得到全面管控。</w:t>
                  </w:r>
                </w:p>
              </w:tc>
              <w:tc>
                <w:tcPr>
                  <w:tcW w:w="3643" w:type="dxa"/>
                  <w:vAlign w:val="center"/>
                </w:tcPr>
                <w:p w14:paraId="2D1DCDB3">
                  <w:pPr>
                    <w:rPr>
                      <w:szCs w:val="21"/>
                    </w:rPr>
                  </w:pPr>
                  <w:r>
                    <w:rPr>
                      <w:szCs w:val="21"/>
                    </w:rPr>
                    <w:t>云南省德宏州芒市风平镇帕底村委会南相章村民小组（不新增用地），占地范围不涉及基本农田，项目营运期各项目污染物均采取有效治理措施，对项目区土壤污染较小。</w:t>
                  </w:r>
                </w:p>
              </w:tc>
              <w:tc>
                <w:tcPr>
                  <w:tcW w:w="687" w:type="dxa"/>
                  <w:vAlign w:val="center"/>
                </w:tcPr>
                <w:p w14:paraId="0A38C74C">
                  <w:pPr>
                    <w:ind w:right="105" w:rightChars="50"/>
                    <w:jc w:val="center"/>
                    <w:rPr>
                      <w:szCs w:val="21"/>
                    </w:rPr>
                  </w:pPr>
                  <w:r>
                    <w:rPr>
                      <w:szCs w:val="21"/>
                    </w:rPr>
                    <w:t>符合</w:t>
                  </w:r>
                </w:p>
              </w:tc>
            </w:tr>
            <w:tr w14:paraId="0DD0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484" w:type="dxa"/>
                  <w:gridSpan w:val="2"/>
                  <w:vAlign w:val="center"/>
                </w:tcPr>
                <w:p w14:paraId="4D69EFBA">
                  <w:pPr>
                    <w:ind w:left="42" w:leftChars="20" w:right="42" w:rightChars="20"/>
                    <w:jc w:val="center"/>
                    <w:rPr>
                      <w:szCs w:val="21"/>
                    </w:rPr>
                  </w:pPr>
                  <w:r>
                    <w:rPr>
                      <w:szCs w:val="21"/>
                    </w:rPr>
                    <w:t>资源利用上线</w:t>
                  </w:r>
                </w:p>
              </w:tc>
              <w:tc>
                <w:tcPr>
                  <w:tcW w:w="3172" w:type="dxa"/>
                  <w:vAlign w:val="center"/>
                </w:tcPr>
                <w:p w14:paraId="4A10A13E">
                  <w:pPr>
                    <w:rPr>
                      <w:szCs w:val="21"/>
                    </w:rPr>
                  </w:pPr>
                  <w:r>
                    <w:rPr>
                      <w:szCs w:val="21"/>
                    </w:rPr>
                    <w:t>强化节约集约利用，持续提升资源能源利用效率，水资源、土地资源、能源消耗等达到云南省下达的总量和强度控制目标。</w:t>
                  </w:r>
                </w:p>
              </w:tc>
              <w:tc>
                <w:tcPr>
                  <w:tcW w:w="3643" w:type="dxa"/>
                  <w:vAlign w:val="center"/>
                </w:tcPr>
                <w:p w14:paraId="67251DC5">
                  <w:pPr>
                    <w:rPr>
                      <w:szCs w:val="21"/>
                    </w:rPr>
                  </w:pPr>
                  <w:r>
                    <w:rPr>
                      <w:szCs w:val="21"/>
                    </w:rPr>
                    <w:t>本项目主要涉及资源为煤矸石、电、水等资源，项目占地面积较小、用电量较小资源消耗量较小，因此项目资源利用符合资源利用上限要求。</w:t>
                  </w:r>
                </w:p>
              </w:tc>
              <w:tc>
                <w:tcPr>
                  <w:tcW w:w="687" w:type="dxa"/>
                  <w:vAlign w:val="center"/>
                </w:tcPr>
                <w:p w14:paraId="62C3BF5D">
                  <w:pPr>
                    <w:ind w:left="42" w:leftChars="20" w:right="42" w:rightChars="20"/>
                    <w:jc w:val="center"/>
                    <w:rPr>
                      <w:szCs w:val="21"/>
                    </w:rPr>
                  </w:pPr>
                  <w:r>
                    <w:rPr>
                      <w:szCs w:val="21"/>
                    </w:rPr>
                    <w:t>符合</w:t>
                  </w:r>
                </w:p>
              </w:tc>
            </w:tr>
            <w:tr w14:paraId="285E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749" w:type="dxa"/>
                  <w:vMerge w:val="restart"/>
                  <w:vAlign w:val="center"/>
                </w:tcPr>
                <w:p w14:paraId="756CFB8C">
                  <w:pPr>
                    <w:jc w:val="center"/>
                    <w:rPr>
                      <w:szCs w:val="21"/>
                    </w:rPr>
                  </w:pPr>
                  <w:r>
                    <w:rPr>
                      <w:szCs w:val="21"/>
                    </w:rPr>
                    <w:t>德宏州一般管控单元生态环境准入清单</w:t>
                  </w:r>
                </w:p>
              </w:tc>
              <w:tc>
                <w:tcPr>
                  <w:tcW w:w="735" w:type="dxa"/>
                  <w:vAlign w:val="center"/>
                </w:tcPr>
                <w:p w14:paraId="2CCE3EFB">
                  <w:pPr>
                    <w:jc w:val="center"/>
                    <w:rPr>
                      <w:szCs w:val="21"/>
                    </w:rPr>
                  </w:pPr>
                  <w:r>
                    <w:rPr>
                      <w:szCs w:val="21"/>
                    </w:rPr>
                    <w:t>空间布局约束</w:t>
                  </w:r>
                </w:p>
              </w:tc>
              <w:tc>
                <w:tcPr>
                  <w:tcW w:w="3172" w:type="dxa"/>
                  <w:vAlign w:val="center"/>
                </w:tcPr>
                <w:p w14:paraId="25CAA122">
                  <w:pPr>
                    <w:rPr>
                      <w:szCs w:val="21"/>
                    </w:rPr>
                  </w:pPr>
                  <w:r>
                    <w:rPr>
                      <w:szCs w:val="21"/>
                    </w:rPr>
                    <w:t>1.新建企业应入工业园区，未建立工业园区的县（市），新建企业的布局应符合当地相关产业布局的要求。</w:t>
                  </w:r>
                </w:p>
                <w:p w14:paraId="1F3BF852">
                  <w:pPr>
                    <w:rPr>
                      <w:szCs w:val="21"/>
                    </w:rPr>
                  </w:pPr>
                  <w:r>
                    <w:rPr>
                      <w:szCs w:val="21"/>
                    </w:rPr>
                    <w:t>2.禁止在基本农田内从事非农业生产的活动。任何单位和个人不得改变或者占用基本农田保护区。</w:t>
                  </w:r>
                </w:p>
                <w:p w14:paraId="1383ADFC">
                  <w:pPr>
                    <w:rPr>
                      <w:szCs w:val="21"/>
                    </w:rPr>
                  </w:pPr>
                  <w:r>
                    <w:rPr>
                      <w:szCs w:val="21"/>
                    </w:rPr>
                    <w:t>3.禁止新建、改扩建中小水电（25万千瓦以下）项目，原有中小水电站应按照环评批复（环评批复未明确生态流量的根据来水量科学确定生态流量），确保连续稳定下泄生态流量。</w:t>
                  </w:r>
                </w:p>
              </w:tc>
              <w:tc>
                <w:tcPr>
                  <w:tcW w:w="3643" w:type="dxa"/>
                  <w:vAlign w:val="center"/>
                </w:tcPr>
                <w:p w14:paraId="05834C11">
                  <w:pPr>
                    <w:rPr>
                      <w:szCs w:val="21"/>
                    </w:rPr>
                  </w:pPr>
                  <w:r>
                    <w:rPr>
                      <w:szCs w:val="21"/>
                    </w:rPr>
                    <w:t>项目为改扩建项目，不新增用地，占地不涉及基本农田，符合《芒市土地利用总体规划》。</w:t>
                  </w:r>
                </w:p>
              </w:tc>
              <w:tc>
                <w:tcPr>
                  <w:tcW w:w="687" w:type="dxa"/>
                  <w:vAlign w:val="center"/>
                </w:tcPr>
                <w:p w14:paraId="73961796">
                  <w:pPr>
                    <w:jc w:val="center"/>
                    <w:rPr>
                      <w:szCs w:val="21"/>
                    </w:rPr>
                  </w:pPr>
                  <w:r>
                    <w:rPr>
                      <w:szCs w:val="21"/>
                    </w:rPr>
                    <w:t>符合</w:t>
                  </w:r>
                </w:p>
              </w:tc>
            </w:tr>
            <w:tr w14:paraId="59B4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749" w:type="dxa"/>
                  <w:vMerge w:val="continue"/>
                  <w:vAlign w:val="center"/>
                </w:tcPr>
                <w:p w14:paraId="312D4309">
                  <w:pPr>
                    <w:jc w:val="center"/>
                    <w:rPr>
                      <w:szCs w:val="21"/>
                    </w:rPr>
                  </w:pPr>
                </w:p>
              </w:tc>
              <w:tc>
                <w:tcPr>
                  <w:tcW w:w="735" w:type="dxa"/>
                  <w:vAlign w:val="center"/>
                </w:tcPr>
                <w:p w14:paraId="27FE0344">
                  <w:pPr>
                    <w:jc w:val="center"/>
                    <w:rPr>
                      <w:szCs w:val="21"/>
                    </w:rPr>
                  </w:pPr>
                  <w:r>
                    <w:rPr>
                      <w:szCs w:val="21"/>
                    </w:rPr>
                    <w:t>污染物排放管控</w:t>
                  </w:r>
                </w:p>
              </w:tc>
              <w:tc>
                <w:tcPr>
                  <w:tcW w:w="3172" w:type="dxa"/>
                  <w:vAlign w:val="center"/>
                </w:tcPr>
                <w:p w14:paraId="6E050289">
                  <w:pPr>
                    <w:rPr>
                      <w:szCs w:val="21"/>
                    </w:rPr>
                  </w:pPr>
                  <w:r>
                    <w:rPr>
                      <w:szCs w:val="21"/>
                    </w:rPr>
                    <w:t>1.落实生态环境保护基本要求，项目建设和运行应满足产业准入、总量控制、排放标准等管理规定。</w:t>
                  </w:r>
                </w:p>
                <w:p w14:paraId="236F8C76">
                  <w:pPr>
                    <w:rPr>
                      <w:szCs w:val="21"/>
                    </w:rPr>
                  </w:pPr>
                  <w:r>
                    <w:rPr>
                      <w:szCs w:val="21"/>
                    </w:rPr>
                    <w:t>2.原有工业企业应达标排放，逐步提升清洁生产水平，减少污染物排放量。</w:t>
                  </w:r>
                </w:p>
                <w:p w14:paraId="79100865">
                  <w:pPr>
                    <w:rPr>
                      <w:szCs w:val="21"/>
                    </w:rPr>
                  </w:pPr>
                  <w:r>
                    <w:rPr>
                      <w:szCs w:val="21"/>
                    </w:rPr>
                    <w:t>3.加强农业面源污染治理，严格控制化肥农药施用量，合理水产养殖布局，控制水产养殖污染，逐步削减农业面源污染物排放量。</w:t>
                  </w:r>
                </w:p>
              </w:tc>
              <w:tc>
                <w:tcPr>
                  <w:tcW w:w="3643" w:type="dxa"/>
                  <w:vAlign w:val="center"/>
                </w:tcPr>
                <w:p w14:paraId="36DC6CA3">
                  <w:pPr>
                    <w:rPr>
                      <w:szCs w:val="21"/>
                    </w:rPr>
                  </w:pPr>
                  <w:r>
                    <w:rPr>
                      <w:szCs w:val="21"/>
                    </w:rPr>
                    <w:t>本项目符合产业政策的要求，满足总量控制，项目生产过程均在半封闭厂房内完成，生产脱硫废水经循环水池沉淀处理后循环使用，</w:t>
                  </w:r>
                  <w:r>
                    <w:rPr>
                      <w:kern w:val="0"/>
                      <w:szCs w:val="21"/>
                    </w:rPr>
                    <w:t>无废水外排；</w:t>
                  </w:r>
                  <w:r>
                    <w:rPr>
                      <w:szCs w:val="21"/>
                    </w:rPr>
                    <w:t>生活废水经自建隔油池、化粪池处理后用于周边农作物施肥；；噪声，废气污染物可达标排放。</w:t>
                  </w:r>
                </w:p>
              </w:tc>
              <w:tc>
                <w:tcPr>
                  <w:tcW w:w="687" w:type="dxa"/>
                  <w:vAlign w:val="center"/>
                </w:tcPr>
                <w:p w14:paraId="0F78D5CC">
                  <w:pPr>
                    <w:jc w:val="center"/>
                    <w:rPr>
                      <w:szCs w:val="21"/>
                    </w:rPr>
                  </w:pPr>
                  <w:r>
                    <w:rPr>
                      <w:szCs w:val="21"/>
                    </w:rPr>
                    <w:t>符合</w:t>
                  </w:r>
                </w:p>
              </w:tc>
            </w:tr>
            <w:tr w14:paraId="3513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749" w:type="dxa"/>
                  <w:vMerge w:val="continue"/>
                  <w:vAlign w:val="center"/>
                </w:tcPr>
                <w:p w14:paraId="5B681480">
                  <w:pPr>
                    <w:jc w:val="center"/>
                    <w:rPr>
                      <w:szCs w:val="21"/>
                    </w:rPr>
                  </w:pPr>
                </w:p>
              </w:tc>
              <w:tc>
                <w:tcPr>
                  <w:tcW w:w="735" w:type="dxa"/>
                  <w:vAlign w:val="center"/>
                </w:tcPr>
                <w:p w14:paraId="55F894C4">
                  <w:pPr>
                    <w:jc w:val="center"/>
                    <w:rPr>
                      <w:szCs w:val="21"/>
                    </w:rPr>
                  </w:pPr>
                  <w:r>
                    <w:rPr>
                      <w:szCs w:val="21"/>
                    </w:rPr>
                    <w:t>环境风险防控</w:t>
                  </w:r>
                </w:p>
              </w:tc>
              <w:tc>
                <w:tcPr>
                  <w:tcW w:w="3172" w:type="dxa"/>
                  <w:vAlign w:val="center"/>
                </w:tcPr>
                <w:p w14:paraId="7E017CF0">
                  <w:pPr>
                    <w:rPr>
                      <w:szCs w:val="21"/>
                    </w:rPr>
                  </w:pPr>
                  <w:r>
                    <w:rPr>
                      <w:szCs w:val="21"/>
                    </w:rPr>
                    <w:t>1.加强环境风险防范应急体系建设，加强环境应急预案管理，定期开展应急演练，持续开展环境安全隐患排查整治，提升应急监测能力，加强应急物资管理。</w:t>
                  </w:r>
                </w:p>
                <w:p w14:paraId="73704D7C">
                  <w:pPr>
                    <w:rPr>
                      <w:szCs w:val="21"/>
                    </w:rPr>
                  </w:pPr>
                  <w:r>
                    <w:rPr>
                      <w:szCs w:val="21"/>
                    </w:rPr>
                    <w:t>2.严格管控类农用地，不得在特定农产品禁止生产区域种植食用农产品。安全利用类农用地，应制定受污染耕地等安全利用方案，降低农产品超标风险。</w:t>
                  </w:r>
                </w:p>
              </w:tc>
              <w:tc>
                <w:tcPr>
                  <w:tcW w:w="3643" w:type="dxa"/>
                  <w:vAlign w:val="center"/>
                </w:tcPr>
                <w:p w14:paraId="72DE948D">
                  <w:pPr>
                    <w:rPr>
                      <w:szCs w:val="21"/>
                    </w:rPr>
                  </w:pPr>
                  <w:r>
                    <w:rPr>
                      <w:szCs w:val="21"/>
                    </w:rPr>
                    <w:t>项目建成后</w:t>
                  </w:r>
                  <w:r>
                    <w:rPr>
                      <w:kern w:val="0"/>
                      <w:szCs w:val="21"/>
                    </w:rPr>
                    <w:t>将制定风险应急预案，并对员工进行培训，</w:t>
                  </w:r>
                  <w:r>
                    <w:rPr>
                      <w:szCs w:val="21"/>
                    </w:rPr>
                    <w:t>开展应急演练，环境安全隐患排查整治。</w:t>
                  </w:r>
                </w:p>
              </w:tc>
              <w:tc>
                <w:tcPr>
                  <w:tcW w:w="687" w:type="dxa"/>
                  <w:vAlign w:val="center"/>
                </w:tcPr>
                <w:p w14:paraId="7E8508AE">
                  <w:pPr>
                    <w:jc w:val="center"/>
                    <w:rPr>
                      <w:szCs w:val="21"/>
                    </w:rPr>
                  </w:pPr>
                  <w:r>
                    <w:rPr>
                      <w:szCs w:val="21"/>
                    </w:rPr>
                    <w:t>符合</w:t>
                  </w:r>
                </w:p>
              </w:tc>
            </w:tr>
            <w:tr w14:paraId="2B6A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49" w:type="dxa"/>
                  <w:vMerge w:val="continue"/>
                  <w:vAlign w:val="center"/>
                </w:tcPr>
                <w:p w14:paraId="0FAE58F1">
                  <w:pPr>
                    <w:jc w:val="center"/>
                    <w:rPr>
                      <w:szCs w:val="21"/>
                    </w:rPr>
                  </w:pPr>
                </w:p>
              </w:tc>
              <w:tc>
                <w:tcPr>
                  <w:tcW w:w="735" w:type="dxa"/>
                  <w:vAlign w:val="center"/>
                </w:tcPr>
                <w:p w14:paraId="1226A45E">
                  <w:pPr>
                    <w:jc w:val="center"/>
                    <w:rPr>
                      <w:szCs w:val="21"/>
                    </w:rPr>
                  </w:pPr>
                  <w:r>
                    <w:rPr>
                      <w:szCs w:val="21"/>
                    </w:rPr>
                    <w:t>资源开发利用</w:t>
                  </w:r>
                </w:p>
              </w:tc>
              <w:tc>
                <w:tcPr>
                  <w:tcW w:w="3172" w:type="dxa"/>
                  <w:vAlign w:val="center"/>
                </w:tcPr>
                <w:p w14:paraId="35007BF5">
                  <w:pPr>
                    <w:rPr>
                      <w:szCs w:val="21"/>
                    </w:rPr>
                  </w:pPr>
                  <w:r>
                    <w:rPr>
                      <w:szCs w:val="21"/>
                    </w:rPr>
                    <w:t>1.优化能源结构，加强能源清洁利用。</w:t>
                  </w:r>
                </w:p>
                <w:p w14:paraId="03F4DC4F">
                  <w:pPr>
                    <w:rPr>
                      <w:szCs w:val="21"/>
                    </w:rPr>
                  </w:pPr>
                  <w:r>
                    <w:rPr>
                      <w:szCs w:val="21"/>
                    </w:rPr>
                    <w:t>2.提高土地利用效率，节约集约利用土地资源。</w:t>
                  </w:r>
                </w:p>
              </w:tc>
              <w:tc>
                <w:tcPr>
                  <w:tcW w:w="3643" w:type="dxa"/>
                  <w:vAlign w:val="center"/>
                </w:tcPr>
                <w:p w14:paraId="718B5407">
                  <w:pPr>
                    <w:rPr>
                      <w:szCs w:val="21"/>
                    </w:rPr>
                  </w:pPr>
                  <w:r>
                    <w:rPr>
                      <w:szCs w:val="21"/>
                    </w:rPr>
                    <w:t>项目采用先进的制砖工艺，能够节约能源。各建筑物在场地合理布置，做到土地利用最大化。</w:t>
                  </w:r>
                </w:p>
              </w:tc>
              <w:tc>
                <w:tcPr>
                  <w:tcW w:w="687" w:type="dxa"/>
                  <w:vAlign w:val="center"/>
                </w:tcPr>
                <w:p w14:paraId="5FECCBDD">
                  <w:pPr>
                    <w:jc w:val="center"/>
                    <w:rPr>
                      <w:szCs w:val="21"/>
                    </w:rPr>
                  </w:pPr>
                  <w:r>
                    <w:rPr>
                      <w:szCs w:val="21"/>
                    </w:rPr>
                    <w:t>符合</w:t>
                  </w:r>
                </w:p>
              </w:tc>
            </w:tr>
          </w:tbl>
          <w:p w14:paraId="7BBE380E">
            <w:pPr>
              <w:adjustRightInd w:val="0"/>
              <w:snapToGrid w:val="0"/>
              <w:spacing w:line="360" w:lineRule="auto"/>
              <w:ind w:firstLine="480" w:firstLineChars="200"/>
              <w:rPr>
                <w:sz w:val="24"/>
              </w:rPr>
            </w:pPr>
            <w:r>
              <w:rPr>
                <w:bCs/>
                <w:sz w:val="24"/>
              </w:rPr>
              <w:t>综上，项目符合</w:t>
            </w:r>
            <w:r>
              <w:rPr>
                <w:sz w:val="24"/>
              </w:rPr>
              <w:t>《关于印发德宏州“三线一单”生态环境分区管控实施方案的通知》（德政发[2021]15号）</w:t>
            </w:r>
            <w:r>
              <w:rPr>
                <w:bCs/>
                <w:sz w:val="24"/>
              </w:rPr>
              <w:t>三线一单的管理要求。</w:t>
            </w:r>
          </w:p>
          <w:p w14:paraId="3FACB048">
            <w:pPr>
              <w:spacing w:line="360" w:lineRule="auto"/>
              <w:ind w:firstLine="482" w:firstLineChars="200"/>
              <w:jc w:val="left"/>
              <w:rPr>
                <w:b/>
                <w:bCs/>
                <w:kern w:val="0"/>
                <w:sz w:val="24"/>
                <w:szCs w:val="28"/>
              </w:rPr>
            </w:pPr>
          </w:p>
          <w:p w14:paraId="7BED9D0B">
            <w:pPr>
              <w:spacing w:line="360" w:lineRule="auto"/>
              <w:ind w:firstLine="482" w:firstLineChars="200"/>
              <w:jc w:val="left"/>
              <w:rPr>
                <w:b/>
                <w:bCs/>
                <w:kern w:val="0"/>
                <w:sz w:val="24"/>
                <w:szCs w:val="28"/>
                <w:lang w:val="zh-CN"/>
              </w:rPr>
            </w:pPr>
            <w:r>
              <w:rPr>
                <w:b/>
                <w:bCs/>
                <w:kern w:val="0"/>
                <w:sz w:val="24"/>
                <w:szCs w:val="28"/>
                <w:lang w:val="zh-CN"/>
              </w:rPr>
              <w:t>2、中华人民共和国大气污染防治法</w:t>
            </w:r>
          </w:p>
          <w:p w14:paraId="50333DDA">
            <w:pPr>
              <w:jc w:val="center"/>
              <w:rPr>
                <w:b/>
                <w:sz w:val="24"/>
              </w:rPr>
            </w:pPr>
            <w:r>
              <w:rPr>
                <w:b/>
                <w:sz w:val="24"/>
              </w:rPr>
              <w:t>表1-2  本项目与《</w:t>
            </w:r>
            <w:r>
              <w:rPr>
                <w:b/>
                <w:bCs/>
                <w:kern w:val="0"/>
                <w:sz w:val="24"/>
                <w:szCs w:val="28"/>
                <w:lang w:val="zh-CN"/>
              </w:rPr>
              <w:t>中华人民共和国大气污染防治法</w:t>
            </w:r>
            <w:r>
              <w:rPr>
                <w:b/>
                <w:sz w:val="24"/>
              </w:rPr>
              <w:t>》的协调性分析</w:t>
            </w:r>
          </w:p>
          <w:tbl>
            <w:tblPr>
              <w:tblStyle w:val="25"/>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15"/>
              <w:gridCol w:w="3185"/>
              <w:gridCol w:w="586"/>
            </w:tblGrid>
            <w:tr w14:paraId="0BBD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215" w:type="dxa"/>
                  <w:vAlign w:val="center"/>
                </w:tcPr>
                <w:p w14:paraId="44D7F653">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《中华人民共和国大气污染防治法》相关规定</w:t>
                  </w:r>
                </w:p>
              </w:tc>
              <w:tc>
                <w:tcPr>
                  <w:tcW w:w="3185" w:type="dxa"/>
                  <w:vAlign w:val="center"/>
                </w:tcPr>
                <w:p w14:paraId="6EA9CB34">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改扩建情况</w:t>
                  </w:r>
                </w:p>
              </w:tc>
              <w:tc>
                <w:tcPr>
                  <w:tcW w:w="586" w:type="dxa"/>
                  <w:vAlign w:val="center"/>
                </w:tcPr>
                <w:p w14:paraId="2AECDEF8">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相符性</w:t>
                  </w:r>
                </w:p>
              </w:tc>
            </w:tr>
            <w:tr w14:paraId="6A0A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215" w:type="dxa"/>
                  <w:vAlign w:val="center"/>
                </w:tcPr>
                <w:p w14:paraId="2B54F780">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第十八条、企业事业单位和其他生产经营者建设对大气环境有影响的项目，应当依法进行环境影响评价、公开环境影响评价文件；向大气排放污染物的，应当符合大气污染物排放标准，遵守重点大气污染物排放总量控制要求。</w:t>
                  </w:r>
                  <w:r>
                    <w:rPr>
                      <w:rFonts w:ascii="Times New Roman" w:hAnsi="Times New Roman" w:cs="Times New Roman"/>
                      <w:bCs/>
                      <w:sz w:val="21"/>
                      <w:szCs w:val="21"/>
                      <w:lang w:val="zh-CN" w:eastAsia="zh-CN"/>
                    </w:rPr>
                    <w:t>加大综合治理力度，减少污染物排放。加强工业企业大气污染综合治理；深化面源污染治理；强化移动源污染防治。</w:t>
                  </w:r>
                </w:p>
              </w:tc>
              <w:tc>
                <w:tcPr>
                  <w:tcW w:w="3185" w:type="dxa"/>
                  <w:vAlign w:val="center"/>
                </w:tcPr>
                <w:p w14:paraId="2F4EA544">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项目排放的污染物主要为烟尘、SO</w:t>
                  </w:r>
                  <w:r>
                    <w:rPr>
                      <w:rFonts w:ascii="Times New Roman" w:hAnsi="Times New Roman" w:eastAsia="新宋体" w:cs="Times New Roman"/>
                      <w:bCs/>
                      <w:sz w:val="21"/>
                      <w:szCs w:val="21"/>
                      <w:vertAlign w:val="subscript"/>
                      <w:lang w:val="zh-CN" w:eastAsia="zh-CN"/>
                    </w:rPr>
                    <w:t>2</w:t>
                  </w:r>
                  <w:r>
                    <w:rPr>
                      <w:rFonts w:ascii="Times New Roman" w:hAnsi="Times New Roman" w:eastAsia="新宋体" w:cs="Times New Roman"/>
                      <w:bCs/>
                      <w:sz w:val="21"/>
                      <w:szCs w:val="21"/>
                      <w:lang w:val="zh-CN" w:eastAsia="zh-CN"/>
                    </w:rPr>
                    <w:t>、NOx、氟化物，项目隧道窑产生的废气经脱硫塔处理后通过1 根25m 高的排气筒达</w:t>
                  </w:r>
                  <w:r>
                    <w:rPr>
                      <w:rFonts w:ascii="Times New Roman" w:hAnsi="Times New Roman" w:eastAsia="新宋体" w:cs="Times New Roman"/>
                      <w:bCs/>
                      <w:iCs/>
                      <w:sz w:val="21"/>
                      <w:szCs w:val="21"/>
                      <w:lang w:eastAsia="zh-CN"/>
                    </w:rPr>
                    <w:t>《砖瓦工业大气污染物排放标准》（GB29620-2013）表2新建企业大气污染物排放限值</w:t>
                  </w:r>
                  <w:r>
                    <w:rPr>
                      <w:rFonts w:ascii="Times New Roman" w:hAnsi="Times New Roman" w:eastAsia="新宋体" w:cs="Times New Roman"/>
                      <w:bCs/>
                      <w:sz w:val="21"/>
                      <w:szCs w:val="21"/>
                      <w:lang w:val="zh-CN" w:eastAsia="zh-CN"/>
                    </w:rPr>
                    <w:t>排放。</w:t>
                  </w:r>
                </w:p>
              </w:tc>
              <w:tc>
                <w:tcPr>
                  <w:tcW w:w="586" w:type="dxa"/>
                  <w:vAlign w:val="center"/>
                </w:tcPr>
                <w:p w14:paraId="165F332C">
                  <w:pPr>
                    <w:pStyle w:val="66"/>
                    <w:kinsoku w:val="0"/>
                    <w:overflowPunct w:val="0"/>
                    <w:adjustRightInd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相符</w:t>
                  </w:r>
                </w:p>
              </w:tc>
            </w:tr>
            <w:tr w14:paraId="208A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215" w:type="dxa"/>
                  <w:vAlign w:val="center"/>
                </w:tcPr>
                <w:p w14:paraId="2DB116A9">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第十九条、排放工业废气或者本法第</w:t>
                  </w:r>
                </w:p>
                <w:p w14:paraId="7A2B579D">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七十八条规定名录中所列有毒有害大气污染物的企业事业单位、集中供热设施的燃煤热源生产运营单位以及其他依法实行排污许可管理的单位，应当取得排污许可证。排污许可的具体区，省级以上人民政府生态环境主管部门应当会同有关部门约谈该地区人民政府的主要负责人，并暂停审批该地区新增重点大气污染物排放总量的建设项目环境影响评价文件。约谈情况应当向社会公开。</w:t>
                  </w:r>
                </w:p>
              </w:tc>
              <w:tc>
                <w:tcPr>
                  <w:tcW w:w="3185" w:type="dxa"/>
                  <w:vAlign w:val="center"/>
                </w:tcPr>
                <w:p w14:paraId="308E13B5">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项目排放废气为烟尘、SO</w:t>
                  </w:r>
                  <w:r>
                    <w:rPr>
                      <w:rFonts w:ascii="Times New Roman" w:hAnsi="Times New Roman" w:eastAsia="新宋体" w:cs="Times New Roman"/>
                      <w:bCs/>
                      <w:sz w:val="21"/>
                      <w:szCs w:val="21"/>
                      <w:vertAlign w:val="subscript"/>
                      <w:lang w:val="zh-CN" w:eastAsia="zh-CN"/>
                    </w:rPr>
                    <w:t>2</w:t>
                  </w:r>
                  <w:r>
                    <w:rPr>
                      <w:rFonts w:ascii="Times New Roman" w:hAnsi="Times New Roman" w:eastAsia="新宋体" w:cs="Times New Roman"/>
                      <w:bCs/>
                      <w:sz w:val="21"/>
                      <w:szCs w:val="21"/>
                      <w:lang w:val="zh-CN" w:eastAsia="zh-CN"/>
                    </w:rPr>
                    <w:t>、NO</w:t>
                  </w:r>
                  <w:r>
                    <w:rPr>
                      <w:rFonts w:ascii="Times New Roman" w:hAnsi="Times New Roman" w:eastAsia="新宋体" w:cs="Times New Roman"/>
                      <w:bCs/>
                      <w:sz w:val="21"/>
                      <w:szCs w:val="21"/>
                      <w:vertAlign w:val="subscript"/>
                      <w:lang w:val="zh-CN" w:eastAsia="zh-CN"/>
                    </w:rPr>
                    <w:t>x</w:t>
                  </w:r>
                  <w:r>
                    <w:rPr>
                      <w:rFonts w:ascii="Times New Roman" w:hAnsi="Times New Roman" w:eastAsia="新宋体" w:cs="Times New Roman"/>
                      <w:bCs/>
                      <w:sz w:val="21"/>
                      <w:szCs w:val="21"/>
                      <w:lang w:val="zh-CN" w:eastAsia="zh-CN"/>
                    </w:rPr>
                    <w:t>、氟化物，项目按规定进行排污许可证申报。环境质量改善目标的地区，可正常审批环评文件。</w:t>
                  </w:r>
                </w:p>
              </w:tc>
              <w:tc>
                <w:tcPr>
                  <w:tcW w:w="586" w:type="dxa"/>
                  <w:vAlign w:val="center"/>
                </w:tcPr>
                <w:p w14:paraId="20694160">
                  <w:pPr>
                    <w:pStyle w:val="66"/>
                    <w:kinsoku w:val="0"/>
                    <w:overflowPunct w:val="0"/>
                    <w:adjustRightInd w:val="0"/>
                    <w:jc w:val="center"/>
                    <w:rPr>
                      <w:rFonts w:ascii="Times New Roman" w:hAnsi="Times New Roman" w:cs="Times New Roman" w:eastAsiaTheme="minorEastAsia"/>
                      <w:sz w:val="21"/>
                      <w:szCs w:val="21"/>
                    </w:rPr>
                  </w:pPr>
                  <w:r>
                    <w:rPr>
                      <w:rFonts w:ascii="Times New Roman" w:hAnsi="Times New Roman" w:eastAsia="新宋体" w:cs="Times New Roman"/>
                      <w:bCs/>
                      <w:sz w:val="21"/>
                      <w:szCs w:val="21"/>
                      <w:lang w:val="zh-CN" w:eastAsia="zh-CN"/>
                    </w:rPr>
                    <w:t>相符</w:t>
                  </w:r>
                </w:p>
              </w:tc>
            </w:tr>
            <w:tr w14:paraId="6064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215" w:type="dxa"/>
                  <w:vAlign w:val="center"/>
                </w:tcPr>
                <w:p w14:paraId="41890975">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第二十四条、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生态环境主管部门的监控设备联网，保证监测设备正常运行并依法公开排放信息。监测的具体办法和重点排污单位的条件由国务院生态环境主管部门规定。</w:t>
                  </w:r>
                </w:p>
              </w:tc>
              <w:tc>
                <w:tcPr>
                  <w:tcW w:w="3185" w:type="dxa"/>
                  <w:vAlign w:val="center"/>
                </w:tcPr>
                <w:p w14:paraId="505177EB">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项目按《排污单位自行监测技术指南 总则》（HJ819-2017）、</w:t>
                  </w:r>
                </w:p>
                <w:p w14:paraId="79ACCB88">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《排污许可证申请与核发技术规范 陶瓷砖瓦工业》(HJ954-2018)要求制定监测计划，运营期按相关规范进行污染物监测。</w:t>
                  </w:r>
                </w:p>
              </w:tc>
              <w:tc>
                <w:tcPr>
                  <w:tcW w:w="586" w:type="dxa"/>
                  <w:vAlign w:val="center"/>
                </w:tcPr>
                <w:p w14:paraId="79A5FEE9">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相符</w:t>
                  </w:r>
                </w:p>
              </w:tc>
            </w:tr>
            <w:tr w14:paraId="167C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215" w:type="dxa"/>
                  <w:vAlign w:val="center"/>
                </w:tcPr>
                <w:p w14:paraId="5FC5C952">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第二十七条、国家对严重污染大气环 境的工艺、设备和产品实行淘汰制度生产者、进口者、销售者或者使用者应当在规定期限内停止生产、进口、销售或者使用列入前款规定目录中的设备和产品。工艺的采用者应当在规定期限内停止采用列入前款规定目录中的工艺。被淘汰的设备和产品，不得转让给他人使用。</w:t>
                  </w:r>
                </w:p>
              </w:tc>
              <w:tc>
                <w:tcPr>
                  <w:tcW w:w="3185" w:type="dxa"/>
                  <w:vAlign w:val="center"/>
                </w:tcPr>
                <w:p w14:paraId="692AFB02">
                  <w:pPr>
                    <w:pStyle w:val="66"/>
                    <w:kinsoku w:val="0"/>
                    <w:overflowPunct w:val="0"/>
                    <w:rPr>
                      <w:rFonts w:ascii="Times New Roman" w:hAnsi="Times New Roman" w:eastAsia="新宋体" w:cs="Times New Roman"/>
                      <w:bCs/>
                      <w:sz w:val="21"/>
                      <w:szCs w:val="21"/>
                      <w:lang w:val="zh-CN" w:eastAsia="zh-CN"/>
                    </w:rPr>
                  </w:pPr>
                  <w:r>
                    <w:rPr>
                      <w:rFonts w:ascii="Times New Roman" w:hAnsi="Times New Roman" w:cs="Times New Roman"/>
                      <w:bCs/>
                      <w:sz w:val="21"/>
                      <w:szCs w:val="21"/>
                      <w:lang w:val="zh-CN" w:eastAsia="zh-CN"/>
                    </w:rPr>
                    <w:t>根据《部分工业行业淘汰落后生产工艺装备和产品指导目录》（2016 年本），</w:t>
                  </w:r>
                  <w:r>
                    <w:rPr>
                      <w:rFonts w:ascii="Times New Roman" w:hAnsi="Times New Roman" w:eastAsia="新宋体" w:cs="Times New Roman"/>
                      <w:bCs/>
                      <w:sz w:val="21"/>
                      <w:szCs w:val="21"/>
                      <w:lang w:val="zh-CN" w:eastAsia="zh-CN"/>
                    </w:rPr>
                    <w:t>项目无落后工艺、设备和产品。</w:t>
                  </w:r>
                </w:p>
              </w:tc>
              <w:tc>
                <w:tcPr>
                  <w:tcW w:w="586" w:type="dxa"/>
                  <w:vAlign w:val="center"/>
                </w:tcPr>
                <w:p w14:paraId="4F5D881A">
                  <w:pPr>
                    <w:pStyle w:val="66"/>
                    <w:kinsoku w:val="0"/>
                    <w:overflowPunct w:val="0"/>
                    <w:jc w:val="center"/>
                    <w:rPr>
                      <w:rFonts w:ascii="Times New Roman" w:hAnsi="Times New Roman" w:eastAsia="新宋体" w:cs="Times New Roman"/>
                      <w:bCs/>
                      <w:sz w:val="21"/>
                      <w:szCs w:val="21"/>
                      <w:lang w:val="zh-CN" w:eastAsia="zh-CN"/>
                    </w:rPr>
                  </w:pPr>
                  <w:r>
                    <w:rPr>
                      <w:rFonts w:ascii="Times New Roman" w:hAnsi="Times New Roman" w:eastAsia="新宋体" w:cs="Times New Roman"/>
                      <w:bCs/>
                      <w:sz w:val="21"/>
                      <w:szCs w:val="21"/>
                      <w:lang w:val="zh-CN" w:eastAsia="zh-CN"/>
                    </w:rPr>
                    <w:t>相符</w:t>
                  </w:r>
                </w:p>
              </w:tc>
            </w:tr>
          </w:tbl>
          <w:p w14:paraId="7E07DB7C">
            <w:pPr>
              <w:pStyle w:val="2"/>
              <w:rPr>
                <w:rFonts w:ascii="Times New Roman" w:hAnsi="Times New Roman"/>
                <w:lang w:val="zh-CN"/>
              </w:rPr>
            </w:pPr>
          </w:p>
          <w:p w14:paraId="2C16C666">
            <w:pPr>
              <w:spacing w:line="360" w:lineRule="auto"/>
              <w:ind w:firstLine="482" w:firstLineChars="200"/>
              <w:jc w:val="left"/>
              <w:rPr>
                <w:b/>
                <w:bCs/>
                <w:kern w:val="0"/>
                <w:sz w:val="24"/>
                <w:szCs w:val="28"/>
                <w:lang w:val="zh-CN" w:eastAsia="zh-CN"/>
              </w:rPr>
            </w:pPr>
            <w:r>
              <w:rPr>
                <w:b/>
                <w:bCs/>
                <w:kern w:val="0"/>
                <w:sz w:val="24"/>
                <w:szCs w:val="28"/>
                <w:lang w:val="zh-CN"/>
              </w:rPr>
              <w:t>3、</w:t>
            </w:r>
            <w:r>
              <w:rPr>
                <w:b/>
                <w:bCs/>
                <w:kern w:val="0"/>
                <w:sz w:val="24"/>
                <w:szCs w:val="28"/>
                <w:lang w:val="zh-CN" w:eastAsia="zh-CN"/>
              </w:rPr>
              <w:t>《大气污染防治行动计划》</w:t>
            </w:r>
          </w:p>
          <w:p w14:paraId="50E0EC8E">
            <w:pPr>
              <w:spacing w:line="360" w:lineRule="auto"/>
              <w:ind w:firstLine="480" w:firstLineChars="200"/>
              <w:jc w:val="left"/>
              <w:rPr>
                <w:sz w:val="24"/>
              </w:rPr>
            </w:pPr>
            <w:r>
              <w:rPr>
                <w:sz w:val="24"/>
              </w:rPr>
              <w:t>《大气污染防治行动计划》简称“大气十条”， 其奋斗目标：经过五年努力，全国空气质量总体改善，重污染天气较大幅度减少。力争再用五年或更长时间，逐步消除重污染天气，全国空气质量明显改善。</w:t>
            </w:r>
          </w:p>
          <w:p w14:paraId="6E44B83A">
            <w:pPr>
              <w:jc w:val="center"/>
              <w:rPr>
                <w:b/>
                <w:sz w:val="24"/>
              </w:rPr>
            </w:pPr>
            <w:r>
              <w:rPr>
                <w:b/>
                <w:sz w:val="24"/>
              </w:rPr>
              <w:t>表1-3  本项目与《大气污染防治行动计划》的协调性分析</w:t>
            </w:r>
          </w:p>
          <w:tbl>
            <w:tblPr>
              <w:tblStyle w:val="25"/>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1"/>
              <w:gridCol w:w="4705"/>
            </w:tblGrid>
            <w:tr w14:paraId="2D4F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281" w:type="dxa"/>
                  <w:shd w:val="clear" w:color="auto" w:fill="auto"/>
                  <w:vAlign w:val="center"/>
                </w:tcPr>
                <w:p w14:paraId="46857291">
                  <w:pPr>
                    <w:jc w:val="center"/>
                    <w:rPr>
                      <w:bCs/>
                      <w:szCs w:val="32"/>
                      <w:lang w:val="zh-CN" w:eastAsia="zh-CN"/>
                    </w:rPr>
                  </w:pPr>
                  <w:r>
                    <w:rPr>
                      <w:bCs/>
                      <w:szCs w:val="32"/>
                      <w:lang w:val="zh-CN" w:eastAsia="zh-CN"/>
                    </w:rPr>
                    <w:t>《大气污染防治行动</w:t>
                  </w:r>
                  <w:r>
                    <w:rPr>
                      <w:bCs/>
                      <w:szCs w:val="32"/>
                      <w:lang w:val="zh-CN"/>
                    </w:rPr>
                    <w:t>计划</w:t>
                  </w:r>
                  <w:r>
                    <w:rPr>
                      <w:bCs/>
                      <w:szCs w:val="32"/>
                      <w:lang w:val="zh-CN" w:eastAsia="zh-CN"/>
                    </w:rPr>
                    <w:t>》</w:t>
                  </w:r>
                </w:p>
              </w:tc>
              <w:tc>
                <w:tcPr>
                  <w:tcW w:w="4705" w:type="dxa"/>
                  <w:shd w:val="clear" w:color="auto" w:fill="auto"/>
                  <w:vAlign w:val="center"/>
                </w:tcPr>
                <w:p w14:paraId="70ACB6B9">
                  <w:pPr>
                    <w:jc w:val="center"/>
                    <w:rPr>
                      <w:bCs/>
                      <w:szCs w:val="32"/>
                      <w:lang w:val="zh-CN"/>
                    </w:rPr>
                  </w:pPr>
                  <w:r>
                    <w:rPr>
                      <w:bCs/>
                      <w:szCs w:val="32"/>
                      <w:lang w:val="zh-CN"/>
                    </w:rPr>
                    <w:t>协调性分析</w:t>
                  </w:r>
                </w:p>
              </w:tc>
            </w:tr>
            <w:tr w14:paraId="39A6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shd w:val="clear" w:color="auto" w:fill="auto"/>
                  <w:vAlign w:val="center"/>
                </w:tcPr>
                <w:p w14:paraId="7246EA7E">
                  <w:pPr>
                    <w:jc w:val="left"/>
                    <w:rPr>
                      <w:bCs/>
                      <w:szCs w:val="32"/>
                      <w:lang w:val="zh-CN"/>
                    </w:rPr>
                  </w:pPr>
                  <w:r>
                    <w:rPr>
                      <w:bCs/>
                      <w:szCs w:val="32"/>
                      <w:lang w:val="zh-CN" w:eastAsia="zh-CN"/>
                    </w:rPr>
                    <w:t>加大综合治理力度，减少污染物排放</w:t>
                  </w:r>
                  <w:r>
                    <w:rPr>
                      <w:bCs/>
                      <w:szCs w:val="32"/>
                      <w:lang w:val="zh-CN"/>
                    </w:rPr>
                    <w:t>。</w:t>
                  </w:r>
                  <w:r>
                    <w:rPr>
                      <w:bCs/>
                      <w:szCs w:val="32"/>
                      <w:lang w:val="zh-CN" w:eastAsia="zh-CN"/>
                    </w:rPr>
                    <w:t>加强工业企业大气污染综合治理</w:t>
                  </w:r>
                  <w:r>
                    <w:rPr>
                      <w:bCs/>
                      <w:szCs w:val="32"/>
                      <w:lang w:val="zh-CN"/>
                    </w:rPr>
                    <w:t>；</w:t>
                  </w:r>
                  <w:r>
                    <w:rPr>
                      <w:bCs/>
                      <w:szCs w:val="32"/>
                      <w:lang w:val="zh-CN" w:eastAsia="zh-CN"/>
                    </w:rPr>
                    <w:t>深化面源污染治理</w:t>
                  </w:r>
                  <w:r>
                    <w:rPr>
                      <w:bCs/>
                      <w:szCs w:val="32"/>
                      <w:lang w:val="zh-CN"/>
                    </w:rPr>
                    <w:t>；</w:t>
                  </w:r>
                  <w:r>
                    <w:rPr>
                      <w:bCs/>
                      <w:szCs w:val="32"/>
                      <w:lang w:val="zh-CN" w:eastAsia="zh-CN"/>
                    </w:rPr>
                    <w:t>强化移动源污染防治</w:t>
                  </w:r>
                  <w:r>
                    <w:rPr>
                      <w:bCs/>
                      <w:szCs w:val="32"/>
                      <w:lang w:val="zh-CN"/>
                    </w:rPr>
                    <w:t>。</w:t>
                  </w:r>
                </w:p>
              </w:tc>
              <w:tc>
                <w:tcPr>
                  <w:tcW w:w="4705" w:type="dxa"/>
                  <w:shd w:val="clear" w:color="auto" w:fill="auto"/>
                  <w:vAlign w:val="center"/>
                </w:tcPr>
                <w:p w14:paraId="096751A9">
                  <w:pPr>
                    <w:jc w:val="left"/>
                    <w:rPr>
                      <w:bCs/>
                      <w:szCs w:val="32"/>
                      <w:lang w:val="zh-CN"/>
                    </w:rPr>
                  </w:pPr>
                  <w:r>
                    <w:rPr>
                      <w:bCs/>
                      <w:szCs w:val="32"/>
                      <w:lang w:val="zh-CN"/>
                    </w:rPr>
                    <w:t>废气排放满足GB 29620-2013《砖瓦工业污染排放标准》及修改单。</w:t>
                  </w:r>
                </w:p>
              </w:tc>
            </w:tr>
            <w:tr w14:paraId="1DBE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shd w:val="clear" w:color="auto" w:fill="auto"/>
                  <w:vAlign w:val="center"/>
                </w:tcPr>
                <w:p w14:paraId="0AC341E1">
                  <w:pPr>
                    <w:jc w:val="left"/>
                    <w:rPr>
                      <w:bCs/>
                      <w:szCs w:val="32"/>
                      <w:lang w:val="zh-CN"/>
                    </w:rPr>
                  </w:pPr>
                  <w:r>
                    <w:rPr>
                      <w:bCs/>
                      <w:szCs w:val="32"/>
                      <w:lang w:val="zh-CN" w:eastAsia="zh-CN"/>
                    </w:rPr>
                    <w:t>调整优化产业结构，推动产业转型升级</w:t>
                  </w:r>
                  <w:r>
                    <w:rPr>
                      <w:bCs/>
                      <w:szCs w:val="32"/>
                      <w:lang w:val="zh-CN"/>
                    </w:rPr>
                    <w:t>。</w:t>
                  </w:r>
                  <w:r>
                    <w:rPr>
                      <w:bCs/>
                      <w:szCs w:val="32"/>
                    </w:rPr>
                    <w:t>严控"两高"行业新增产能；</w:t>
                  </w:r>
                  <w:r>
                    <w:rPr>
                      <w:bCs/>
                      <w:szCs w:val="32"/>
                      <w:lang w:val="zh-CN" w:eastAsia="zh-CN"/>
                    </w:rPr>
                    <w:t>加快淘汰落后产能</w:t>
                  </w:r>
                  <w:r>
                    <w:rPr>
                      <w:bCs/>
                      <w:szCs w:val="32"/>
                      <w:lang w:val="zh-CN"/>
                    </w:rPr>
                    <w:t>；</w:t>
                  </w:r>
                  <w:r>
                    <w:rPr>
                      <w:bCs/>
                      <w:szCs w:val="32"/>
                      <w:lang w:val="zh-CN" w:eastAsia="zh-CN"/>
                    </w:rPr>
                    <w:t>压缩过剩产能</w:t>
                  </w:r>
                  <w:r>
                    <w:rPr>
                      <w:bCs/>
                      <w:szCs w:val="32"/>
                      <w:lang w:val="zh-CN"/>
                    </w:rPr>
                    <w:t>；</w:t>
                  </w:r>
                  <w:r>
                    <w:rPr>
                      <w:bCs/>
                      <w:szCs w:val="32"/>
                      <w:lang w:val="zh-CN" w:eastAsia="zh-CN"/>
                    </w:rPr>
                    <w:t>坚决停建产能严重过剩行业违规在建项目</w:t>
                  </w:r>
                  <w:r>
                    <w:rPr>
                      <w:bCs/>
                      <w:szCs w:val="32"/>
                      <w:lang w:val="zh-CN"/>
                    </w:rPr>
                    <w:t>。</w:t>
                  </w:r>
                </w:p>
              </w:tc>
              <w:tc>
                <w:tcPr>
                  <w:tcW w:w="4705" w:type="dxa"/>
                  <w:shd w:val="clear" w:color="auto" w:fill="auto"/>
                  <w:vAlign w:val="center"/>
                </w:tcPr>
                <w:p w14:paraId="31B91BC7">
                  <w:pPr>
                    <w:jc w:val="left"/>
                    <w:rPr>
                      <w:bCs/>
                      <w:szCs w:val="32"/>
                      <w:lang w:val="zh-CN"/>
                    </w:rPr>
                  </w:pPr>
                  <w:r>
                    <w:rPr>
                      <w:bCs/>
                      <w:szCs w:val="32"/>
                      <w:lang w:val="zh-CN"/>
                    </w:rPr>
                    <w:t>根据环办环评【2020】36号文《关于加强重点行业建设项目区域削减措施监督管理的通知》、环环评【2021】45号文《关于加强高耗能、高排放建设项目生态环境源头防控的指导意见》。</w:t>
                  </w:r>
                </w:p>
                <w:p w14:paraId="2797A6FB">
                  <w:pPr>
                    <w:jc w:val="left"/>
                    <w:rPr>
                      <w:bCs/>
                      <w:szCs w:val="32"/>
                      <w:lang w:val="zh-CN"/>
                    </w:rPr>
                  </w:pPr>
                  <w:r>
                    <w:rPr>
                      <w:bCs/>
                      <w:szCs w:val="32"/>
                      <w:lang w:val="zh-CN"/>
                    </w:rPr>
                    <w:t>本项目属于C3031 粘土砖瓦及建筑砌块制造，不属于石化、化工、焦化、有色金属冶炼、平板玻璃项目，不属于上述重点行业、高耗能、高排放中规定行业。</w:t>
                  </w:r>
                </w:p>
              </w:tc>
            </w:tr>
            <w:tr w14:paraId="1778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281" w:type="dxa"/>
                  <w:shd w:val="clear" w:color="auto" w:fill="auto"/>
                  <w:vAlign w:val="center"/>
                </w:tcPr>
                <w:p w14:paraId="455250EF">
                  <w:pPr>
                    <w:jc w:val="left"/>
                    <w:rPr>
                      <w:bCs/>
                      <w:szCs w:val="32"/>
                      <w:lang w:val="zh-CN"/>
                    </w:rPr>
                  </w:pPr>
                  <w:r>
                    <w:rPr>
                      <w:bCs/>
                      <w:szCs w:val="32"/>
                      <w:lang w:val="zh-CN" w:eastAsia="zh-CN"/>
                    </w:rPr>
                    <w:t>加快企业技术改造，提高科技创新能力</w:t>
                  </w:r>
                  <w:r>
                    <w:rPr>
                      <w:bCs/>
                      <w:szCs w:val="32"/>
                      <w:lang w:val="zh-CN"/>
                    </w:rPr>
                    <w:t>。</w:t>
                  </w:r>
                  <w:r>
                    <w:rPr>
                      <w:bCs/>
                      <w:szCs w:val="32"/>
                      <w:lang w:val="zh-CN" w:eastAsia="zh-CN"/>
                    </w:rPr>
                    <w:t>强化科技研发和推广</w:t>
                  </w:r>
                  <w:r>
                    <w:rPr>
                      <w:bCs/>
                      <w:szCs w:val="32"/>
                      <w:lang w:val="zh-CN"/>
                    </w:rPr>
                    <w:t>；</w:t>
                  </w:r>
                  <w:r>
                    <w:rPr>
                      <w:bCs/>
                      <w:szCs w:val="32"/>
                      <w:lang w:val="zh-CN" w:eastAsia="zh-CN"/>
                    </w:rPr>
                    <w:t>全面推行清洁生产</w:t>
                  </w:r>
                  <w:r>
                    <w:rPr>
                      <w:bCs/>
                      <w:szCs w:val="32"/>
                      <w:lang w:val="zh-CN"/>
                    </w:rPr>
                    <w:t>；</w:t>
                  </w:r>
                  <w:r>
                    <w:rPr>
                      <w:bCs/>
                      <w:szCs w:val="32"/>
                      <w:lang w:val="zh-CN" w:eastAsia="zh-CN"/>
                    </w:rPr>
                    <w:t>大力发展循环经济</w:t>
                  </w:r>
                  <w:r>
                    <w:rPr>
                      <w:bCs/>
                      <w:szCs w:val="32"/>
                      <w:lang w:val="zh-CN"/>
                    </w:rPr>
                    <w:t>；</w:t>
                  </w:r>
                  <w:r>
                    <w:rPr>
                      <w:bCs/>
                      <w:szCs w:val="32"/>
                      <w:lang w:val="zh-CN" w:eastAsia="zh-CN"/>
                    </w:rPr>
                    <w:t>大力培育节能环保产业</w:t>
                  </w:r>
                  <w:r>
                    <w:rPr>
                      <w:bCs/>
                      <w:szCs w:val="32"/>
                      <w:lang w:val="zh-CN"/>
                    </w:rPr>
                    <w:t>。</w:t>
                  </w:r>
                </w:p>
              </w:tc>
              <w:tc>
                <w:tcPr>
                  <w:tcW w:w="4705" w:type="dxa"/>
                  <w:shd w:val="clear" w:color="auto" w:fill="auto"/>
                  <w:vAlign w:val="center"/>
                </w:tcPr>
                <w:p w14:paraId="2490AA8B">
                  <w:pPr>
                    <w:rPr>
                      <w:szCs w:val="21"/>
                    </w:rPr>
                  </w:pPr>
                  <w:r>
                    <w:rPr>
                      <w:szCs w:val="21"/>
                    </w:rPr>
                    <w:t>本项目使用电、煤能源，对原有隧道窑进行环保改造升级，符合清洁生产的要求；</w:t>
                  </w:r>
                </w:p>
                <w:p w14:paraId="2CA6BDF5">
                  <w:pPr>
                    <w:jc w:val="center"/>
                    <w:rPr>
                      <w:bCs/>
                      <w:szCs w:val="32"/>
                      <w:lang w:val="zh-CN"/>
                    </w:rPr>
                  </w:pPr>
                </w:p>
              </w:tc>
            </w:tr>
            <w:tr w14:paraId="1BC6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shd w:val="clear" w:color="auto" w:fill="auto"/>
                  <w:vAlign w:val="center"/>
                </w:tcPr>
                <w:p w14:paraId="6D6C6A44">
                  <w:pPr>
                    <w:jc w:val="left"/>
                    <w:rPr>
                      <w:bCs/>
                      <w:szCs w:val="32"/>
                      <w:lang w:val="zh-CN"/>
                    </w:rPr>
                  </w:pPr>
                  <w:r>
                    <w:rPr>
                      <w:bCs/>
                      <w:szCs w:val="32"/>
                      <w:lang w:val="zh-CN" w:eastAsia="zh-CN"/>
                    </w:rPr>
                    <w:t>严格节能环保准入，优化产业空间布局</w:t>
                  </w:r>
                  <w:r>
                    <w:rPr>
                      <w:bCs/>
                      <w:szCs w:val="32"/>
                      <w:lang w:val="zh-CN"/>
                    </w:rPr>
                    <w:t>。</w:t>
                  </w:r>
                  <w:r>
                    <w:rPr>
                      <w:bCs/>
                      <w:szCs w:val="32"/>
                      <w:lang w:val="zh-CN" w:eastAsia="zh-CN"/>
                    </w:rPr>
                    <w:t>调整产业布局</w:t>
                  </w:r>
                  <w:r>
                    <w:rPr>
                      <w:bCs/>
                      <w:szCs w:val="32"/>
                      <w:lang w:val="zh-CN"/>
                    </w:rPr>
                    <w:t>；</w:t>
                  </w:r>
                  <w:r>
                    <w:rPr>
                      <w:bCs/>
                      <w:szCs w:val="32"/>
                      <w:lang w:val="zh-CN" w:eastAsia="zh-CN"/>
                    </w:rPr>
                    <w:t>强化节能环保指标约束</w:t>
                  </w:r>
                  <w:r>
                    <w:rPr>
                      <w:bCs/>
                      <w:szCs w:val="32"/>
                      <w:lang w:val="zh-CN"/>
                    </w:rPr>
                    <w:t>；</w:t>
                  </w:r>
                  <w:r>
                    <w:rPr>
                      <w:bCs/>
                      <w:szCs w:val="32"/>
                      <w:lang w:val="zh-CN" w:eastAsia="zh-CN"/>
                    </w:rPr>
                    <w:t>优化空间格局</w:t>
                  </w:r>
                  <w:r>
                    <w:rPr>
                      <w:bCs/>
                      <w:szCs w:val="32"/>
                      <w:lang w:val="zh-CN"/>
                    </w:rPr>
                    <w:t>。</w:t>
                  </w:r>
                </w:p>
              </w:tc>
              <w:tc>
                <w:tcPr>
                  <w:tcW w:w="4705" w:type="dxa"/>
                  <w:shd w:val="clear" w:color="auto" w:fill="auto"/>
                  <w:vAlign w:val="center"/>
                </w:tcPr>
                <w:p w14:paraId="220F61CC">
                  <w:pPr>
                    <w:jc w:val="left"/>
                    <w:rPr>
                      <w:bCs/>
                      <w:szCs w:val="32"/>
                      <w:lang w:val="zh-CN"/>
                    </w:rPr>
                  </w:pPr>
                  <w:r>
                    <w:rPr>
                      <w:bCs/>
                      <w:szCs w:val="32"/>
                    </w:rPr>
                    <w:t>本项目属于C3031 粘土砖瓦及建筑砌块制造，根据《产业结构调整指导目录（2021修订）》，本项目属于鼓励类中“十二、建材 1、利用不低于2000吨/日（含）新型干法水泥窑或不低于6000万块/年（含）新型烧结砖瓦生产线协同处置废弃物”，属于鼓励类。</w:t>
                  </w:r>
                </w:p>
              </w:tc>
            </w:tr>
          </w:tbl>
          <w:p w14:paraId="335A595B">
            <w:pPr>
              <w:pStyle w:val="2"/>
              <w:rPr>
                <w:rFonts w:ascii="Times New Roman" w:hAnsi="Times New Roman"/>
              </w:rPr>
            </w:pPr>
          </w:p>
          <w:p w14:paraId="77BA5C0D">
            <w:pPr>
              <w:spacing w:line="360" w:lineRule="auto"/>
              <w:ind w:firstLine="482" w:firstLineChars="200"/>
              <w:jc w:val="left"/>
              <w:rPr>
                <w:b/>
                <w:bCs/>
                <w:kern w:val="0"/>
                <w:sz w:val="24"/>
                <w:szCs w:val="28"/>
                <w:lang w:val="zh-CN" w:eastAsia="zh-CN"/>
              </w:rPr>
            </w:pPr>
            <w:r>
              <w:rPr>
                <w:b/>
                <w:bCs/>
                <w:kern w:val="0"/>
                <w:sz w:val="24"/>
                <w:szCs w:val="28"/>
                <w:lang w:val="zh-CN"/>
              </w:rPr>
              <w:t>3、</w:t>
            </w:r>
            <w:r>
              <w:rPr>
                <w:b/>
                <w:bCs/>
                <w:kern w:val="0"/>
                <w:sz w:val="24"/>
                <w:szCs w:val="28"/>
                <w:lang w:val="zh-CN" w:eastAsia="zh-CN"/>
              </w:rPr>
              <w:t>水污染防治行动计划</w:t>
            </w:r>
          </w:p>
          <w:p w14:paraId="60CDB3E5">
            <w:pPr>
              <w:spacing w:line="360" w:lineRule="auto"/>
              <w:ind w:firstLine="480" w:firstLineChars="200"/>
              <w:jc w:val="left"/>
              <w:rPr>
                <w:sz w:val="24"/>
              </w:rPr>
            </w:pPr>
            <w:r>
              <w:rPr>
                <w:sz w:val="24"/>
              </w:rPr>
              <w:t>《水污染防治行动计划》简称“水十条”，其工作目标：到2020年，全国水环境质量得到阶段性改善，污染严重水体较大幅度减少，饮用水安全保障水平持续提升，地下水超采得到严格控制，地下水污染加剧趋势得到初步遏制。到2030年，力争全国水环境质量总体改善，水生态系统功能初步恢复。到本世纪中叶，生态环境质量全面改善，生态系统实现良性循环。</w:t>
            </w:r>
          </w:p>
          <w:p w14:paraId="1BD55E3D">
            <w:pPr>
              <w:jc w:val="center"/>
              <w:rPr>
                <w:b/>
                <w:sz w:val="24"/>
              </w:rPr>
            </w:pPr>
            <w:r>
              <w:rPr>
                <w:b/>
                <w:sz w:val="24"/>
              </w:rPr>
              <w:t>表1-4  本项目与《水污染防治行动计划》的协调性分析</w:t>
            </w:r>
          </w:p>
          <w:tbl>
            <w:tblPr>
              <w:tblStyle w:val="25"/>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9"/>
              <w:gridCol w:w="4827"/>
            </w:tblGrid>
            <w:tr w14:paraId="53D1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auto"/>
                  <w:vAlign w:val="center"/>
                </w:tcPr>
                <w:p w14:paraId="21C4E0E6">
                  <w:pPr>
                    <w:jc w:val="center"/>
                    <w:rPr>
                      <w:bCs/>
                      <w:szCs w:val="32"/>
                      <w:lang w:val="zh-CN" w:eastAsia="zh-CN"/>
                    </w:rPr>
                  </w:pPr>
                  <w:r>
                    <w:rPr>
                      <w:bCs/>
                      <w:szCs w:val="32"/>
                      <w:lang w:val="zh-CN" w:eastAsia="zh-CN"/>
                    </w:rPr>
                    <w:t>《</w:t>
                  </w:r>
                  <w:r>
                    <w:rPr>
                      <w:bCs/>
                      <w:szCs w:val="32"/>
                      <w:lang w:val="zh-CN"/>
                    </w:rPr>
                    <w:t>水</w:t>
                  </w:r>
                  <w:r>
                    <w:rPr>
                      <w:bCs/>
                      <w:szCs w:val="32"/>
                      <w:lang w:val="zh-CN" w:eastAsia="zh-CN"/>
                    </w:rPr>
                    <w:t>污染防治行动</w:t>
                  </w:r>
                  <w:r>
                    <w:rPr>
                      <w:bCs/>
                      <w:szCs w:val="32"/>
                      <w:lang w:val="zh-CN"/>
                    </w:rPr>
                    <w:t>计</w:t>
                  </w:r>
                  <w:r>
                    <w:rPr>
                      <w:bCs/>
                      <w:szCs w:val="32"/>
                      <w:lang w:val="zh-CN" w:eastAsia="zh-CN"/>
                    </w:rPr>
                    <w:t>划》</w:t>
                  </w:r>
                </w:p>
              </w:tc>
              <w:tc>
                <w:tcPr>
                  <w:tcW w:w="4827" w:type="dxa"/>
                  <w:shd w:val="clear" w:color="auto" w:fill="auto"/>
                  <w:vAlign w:val="center"/>
                </w:tcPr>
                <w:p w14:paraId="68CC89EA">
                  <w:pPr>
                    <w:jc w:val="center"/>
                    <w:rPr>
                      <w:bCs/>
                      <w:szCs w:val="32"/>
                      <w:lang w:val="zh-CN"/>
                    </w:rPr>
                  </w:pPr>
                  <w:r>
                    <w:rPr>
                      <w:bCs/>
                      <w:szCs w:val="32"/>
                      <w:lang w:val="zh-CN"/>
                    </w:rPr>
                    <w:t>协调性分析</w:t>
                  </w:r>
                </w:p>
              </w:tc>
            </w:tr>
            <w:tr w14:paraId="18D2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auto"/>
                  <w:vAlign w:val="center"/>
                </w:tcPr>
                <w:p w14:paraId="0350C07A">
                  <w:pPr>
                    <w:ind w:firstLine="420" w:firstLineChars="200"/>
                    <w:jc w:val="left"/>
                    <w:rPr>
                      <w:bCs/>
                      <w:szCs w:val="32"/>
                      <w:lang w:val="zh-CN"/>
                    </w:rPr>
                  </w:pPr>
                  <w:r>
                    <w:rPr>
                      <w:bCs/>
                      <w:szCs w:val="32"/>
                      <w:lang w:val="zh-CN"/>
                    </w:rPr>
                    <w:t>第一条：</w:t>
                  </w:r>
                  <w:r>
                    <w:rPr>
                      <w:bCs/>
                      <w:szCs w:val="32"/>
                      <w:lang w:val="zh-CN" w:eastAsia="zh-CN"/>
                    </w:rPr>
                    <w:t>全面控制污染物排放</w:t>
                  </w:r>
                  <w:r>
                    <w:rPr>
                      <w:bCs/>
                      <w:szCs w:val="32"/>
                      <w:lang w:val="zh-CN"/>
                    </w:rPr>
                    <w:t>。</w:t>
                  </w:r>
                  <w:r>
                    <w:rPr>
                      <w:bCs/>
                      <w:szCs w:val="32"/>
                      <w:lang w:val="zh-CN" w:eastAsia="zh-CN"/>
                    </w:rPr>
                    <w:t>狠抓工业污染防治</w:t>
                  </w:r>
                  <w:r>
                    <w:rPr>
                      <w:bCs/>
                      <w:szCs w:val="32"/>
                      <w:lang w:val="zh-CN"/>
                    </w:rPr>
                    <w:t>；集中治理工业集聚区水污染。</w:t>
                  </w:r>
                </w:p>
              </w:tc>
              <w:tc>
                <w:tcPr>
                  <w:tcW w:w="4827" w:type="dxa"/>
                  <w:shd w:val="clear" w:color="auto" w:fill="auto"/>
                  <w:vAlign w:val="center"/>
                </w:tcPr>
                <w:p w14:paraId="2BECF7C8">
                  <w:pPr>
                    <w:ind w:firstLine="420" w:firstLineChars="200"/>
                    <w:jc w:val="left"/>
                    <w:rPr>
                      <w:bCs/>
                      <w:szCs w:val="32"/>
                    </w:rPr>
                  </w:pPr>
                  <w:r>
                    <w:rPr>
                      <w:bCs/>
                      <w:szCs w:val="32"/>
                    </w:rPr>
                    <w:t>本项目所在片区尚未配套完善的市政污水管网；</w:t>
                  </w:r>
                </w:p>
                <w:p w14:paraId="2900B687">
                  <w:pPr>
                    <w:ind w:firstLine="422" w:firstLineChars="200"/>
                    <w:jc w:val="left"/>
                    <w:rPr>
                      <w:b/>
                      <w:bCs/>
                      <w:szCs w:val="32"/>
                    </w:rPr>
                  </w:pPr>
                  <w:r>
                    <w:rPr>
                      <w:b/>
                      <w:bCs/>
                      <w:szCs w:val="32"/>
                    </w:rPr>
                    <w:t>（1）雨污分流</w:t>
                  </w:r>
                </w:p>
                <w:p w14:paraId="23EC784C">
                  <w:pPr>
                    <w:ind w:firstLine="420" w:firstLineChars="200"/>
                    <w:jc w:val="left"/>
                    <w:rPr>
                      <w:bCs/>
                      <w:szCs w:val="32"/>
                    </w:rPr>
                  </w:pPr>
                  <w:r>
                    <w:rPr>
                      <w:bCs/>
                      <w:szCs w:val="32"/>
                    </w:rPr>
                    <w:t>项目采用雨污分流的排水方式，厂区雨水经雨水管收集，经初期雨水收集池处理，其余雨水顺地势流入道路雨水沟。</w:t>
                  </w:r>
                </w:p>
                <w:p w14:paraId="73EA3851">
                  <w:pPr>
                    <w:ind w:firstLine="422" w:firstLineChars="200"/>
                    <w:jc w:val="left"/>
                    <w:rPr>
                      <w:b/>
                      <w:bCs/>
                      <w:szCs w:val="32"/>
                    </w:rPr>
                  </w:pPr>
                  <w:r>
                    <w:rPr>
                      <w:b/>
                      <w:bCs/>
                      <w:szCs w:val="32"/>
                    </w:rPr>
                    <w:t>（2）废水</w:t>
                  </w:r>
                </w:p>
                <w:p w14:paraId="7FCCCFFB">
                  <w:pPr>
                    <w:ind w:firstLine="422" w:firstLineChars="200"/>
                    <w:jc w:val="left"/>
                    <w:rPr>
                      <w:szCs w:val="21"/>
                    </w:rPr>
                  </w:pPr>
                  <w:r>
                    <w:rPr>
                      <w:b/>
                      <w:bCs/>
                      <w:szCs w:val="21"/>
                    </w:rPr>
                    <w:t>雨水：</w:t>
                  </w:r>
                  <w:r>
                    <w:rPr>
                      <w:bCs/>
                      <w:szCs w:val="21"/>
                    </w:rPr>
                    <w:t>雨污分流，</w:t>
                  </w:r>
                  <w:r>
                    <w:rPr>
                      <w:szCs w:val="21"/>
                    </w:rPr>
                    <w:t>项</w:t>
                  </w:r>
                  <w:r>
                    <w:rPr>
                      <w:bCs/>
                      <w:szCs w:val="21"/>
                    </w:rPr>
                    <w:t>目区</w:t>
                  </w:r>
                  <w:r>
                    <w:rPr>
                      <w:szCs w:val="21"/>
                    </w:rPr>
                    <w:t>设置雨水沟，经初期雨水收集池处理后，雨水汇集至雨水沟外排至周边道路雨水管网；</w:t>
                  </w:r>
                </w:p>
                <w:p w14:paraId="2951C844">
                  <w:pPr>
                    <w:ind w:firstLine="422" w:firstLineChars="200"/>
                    <w:jc w:val="left"/>
                    <w:rPr>
                      <w:bCs/>
                      <w:szCs w:val="32"/>
                      <w:lang w:val="zh-CN"/>
                    </w:rPr>
                  </w:pPr>
                  <w:r>
                    <w:rPr>
                      <w:b/>
                      <w:szCs w:val="21"/>
                    </w:rPr>
                    <w:t>生活废水：</w:t>
                  </w:r>
                  <w:r>
                    <w:rPr>
                      <w:bCs/>
                      <w:szCs w:val="21"/>
                    </w:rPr>
                    <w:t>1个隔油池</w:t>
                  </w:r>
                  <w:r>
                    <w:rPr>
                      <w:szCs w:val="21"/>
                    </w:rPr>
                    <w:t>（0.1m</w:t>
                  </w:r>
                  <w:r>
                    <w:rPr>
                      <w:szCs w:val="21"/>
                      <w:vertAlign w:val="superscript"/>
                    </w:rPr>
                    <w:t>3</w:t>
                  </w:r>
                  <w:r>
                    <w:rPr>
                      <w:szCs w:val="21"/>
                    </w:rPr>
                    <w:t>）</w:t>
                  </w:r>
                  <w:r>
                    <w:rPr>
                      <w:bCs/>
                      <w:szCs w:val="21"/>
                    </w:rPr>
                    <w:t>、化粪池，委托周边村民清掏</w:t>
                  </w:r>
                  <w:r>
                    <w:rPr>
                      <w:szCs w:val="21"/>
                    </w:rPr>
                    <w:t>，</w:t>
                  </w:r>
                  <w:r>
                    <w:rPr>
                      <w:bCs/>
                      <w:szCs w:val="32"/>
                      <w:lang w:val="zh-CN"/>
                    </w:rPr>
                    <w:t>不外排。</w:t>
                  </w:r>
                </w:p>
              </w:tc>
            </w:tr>
            <w:tr w14:paraId="3665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trPr>
              <w:tc>
                <w:tcPr>
                  <w:tcW w:w="4159" w:type="dxa"/>
                  <w:shd w:val="clear" w:color="auto" w:fill="auto"/>
                  <w:vAlign w:val="center"/>
                </w:tcPr>
                <w:p w14:paraId="483E1EEF">
                  <w:pPr>
                    <w:ind w:firstLine="420" w:firstLineChars="200"/>
                    <w:jc w:val="left"/>
                    <w:rPr>
                      <w:bCs/>
                      <w:szCs w:val="32"/>
                      <w:lang w:val="zh-CN"/>
                    </w:rPr>
                  </w:pPr>
                  <w:r>
                    <w:rPr>
                      <w:bCs/>
                      <w:szCs w:val="32"/>
                      <w:lang w:val="zh-CN"/>
                    </w:rPr>
                    <w:t>第二条：</w:t>
                  </w:r>
                  <w:r>
                    <w:rPr>
                      <w:bCs/>
                      <w:szCs w:val="32"/>
                      <w:lang w:val="zh-CN" w:eastAsia="zh-CN"/>
                    </w:rPr>
                    <w:t>推动经济结构转型升级</w:t>
                  </w:r>
                  <w:r>
                    <w:rPr>
                      <w:bCs/>
                      <w:szCs w:val="32"/>
                      <w:lang w:val="zh-CN"/>
                    </w:rPr>
                    <w:t>。</w:t>
                  </w:r>
                  <w:r>
                    <w:rPr>
                      <w:bCs/>
                      <w:szCs w:val="32"/>
                      <w:lang w:val="zh-CN" w:eastAsia="zh-CN"/>
                    </w:rPr>
                    <w:t>调整产业结构</w:t>
                  </w:r>
                  <w:r>
                    <w:rPr>
                      <w:bCs/>
                      <w:szCs w:val="32"/>
                      <w:lang w:val="zh-CN"/>
                    </w:rPr>
                    <w:t>，</w:t>
                  </w:r>
                  <w:r>
                    <w:rPr>
                      <w:bCs/>
                      <w:szCs w:val="32"/>
                      <w:lang w:val="zh-CN" w:eastAsia="zh-CN"/>
                    </w:rPr>
                    <w:t>依法淘汰落后产能</w:t>
                  </w:r>
                  <w:r>
                    <w:rPr>
                      <w:bCs/>
                      <w:szCs w:val="32"/>
                      <w:lang w:val="zh-CN"/>
                    </w:rPr>
                    <w:t>；</w:t>
                  </w:r>
                  <w:r>
                    <w:rPr>
                      <w:bCs/>
                      <w:szCs w:val="32"/>
                      <w:lang w:val="zh-CN" w:eastAsia="zh-CN"/>
                    </w:rPr>
                    <w:t>优化空间布局</w:t>
                  </w:r>
                  <w:r>
                    <w:rPr>
                      <w:bCs/>
                      <w:szCs w:val="32"/>
                      <w:lang w:val="zh-CN"/>
                    </w:rPr>
                    <w:t>；</w:t>
                  </w:r>
                  <w:r>
                    <w:rPr>
                      <w:bCs/>
                      <w:szCs w:val="32"/>
                      <w:lang w:val="zh-CN" w:eastAsia="zh-CN"/>
                    </w:rPr>
                    <w:t>推进循环发展</w:t>
                  </w:r>
                  <w:r>
                    <w:rPr>
                      <w:bCs/>
                      <w:szCs w:val="32"/>
                      <w:lang w:val="zh-CN"/>
                    </w:rPr>
                    <w:t>，促进再生水利用；</w:t>
                  </w:r>
                </w:p>
              </w:tc>
              <w:tc>
                <w:tcPr>
                  <w:tcW w:w="4827" w:type="dxa"/>
                  <w:shd w:val="clear" w:color="auto" w:fill="auto"/>
                  <w:vAlign w:val="center"/>
                </w:tcPr>
                <w:p w14:paraId="37D618E5">
                  <w:pPr>
                    <w:ind w:firstLine="420" w:firstLineChars="200"/>
                    <w:jc w:val="left"/>
                    <w:rPr>
                      <w:bCs/>
                      <w:szCs w:val="32"/>
                    </w:rPr>
                  </w:pPr>
                  <w:r>
                    <w:rPr>
                      <w:bCs/>
                      <w:kern w:val="0"/>
                      <w:szCs w:val="32"/>
                      <w:lang w:val="zh-CN"/>
                    </w:rPr>
                    <w:t>1、</w:t>
                  </w:r>
                  <w:r>
                    <w:rPr>
                      <w:bCs/>
                      <w:szCs w:val="32"/>
                    </w:rPr>
                    <w:t>本项目属于C3031 粘土砖瓦及建筑砌块制造，根据《产业结构调整指导目录（2021修订）》，本项目属于鼓励类中“十二、建材 1、利用不低于2000吨/日（含）新型干法水泥窑或不低于6000万块/年（含）新型烧结砖瓦生产线协同处置废弃物”，属于鼓励类。</w:t>
                  </w:r>
                </w:p>
                <w:p w14:paraId="6BC1985B">
                  <w:pPr>
                    <w:ind w:firstLine="420" w:firstLineChars="200"/>
                    <w:jc w:val="left"/>
                    <w:rPr>
                      <w:bCs/>
                      <w:kern w:val="0"/>
                      <w:szCs w:val="32"/>
                      <w:lang w:val="zh-CN"/>
                    </w:rPr>
                  </w:pPr>
                  <w:r>
                    <w:rPr>
                      <w:bCs/>
                      <w:kern w:val="0"/>
                      <w:szCs w:val="32"/>
                      <w:lang w:val="zh-CN"/>
                    </w:rPr>
                    <w:t>2、</w:t>
                  </w:r>
                  <w:r>
                    <w:rPr>
                      <w:bCs/>
                      <w:kern w:val="0"/>
                      <w:szCs w:val="32"/>
                    </w:rPr>
                    <w:t>本项目属于</w:t>
                  </w:r>
                  <w:r>
                    <w:rPr>
                      <w:bCs/>
                      <w:szCs w:val="32"/>
                    </w:rPr>
                    <w:t>C3031 粘土砖瓦及建筑砌块制造</w:t>
                  </w:r>
                  <w:r>
                    <w:rPr>
                      <w:bCs/>
                      <w:kern w:val="0"/>
                      <w:szCs w:val="32"/>
                    </w:rPr>
                    <w:t>，不属于石化、化工、焦化、有色金属冶炼、平板玻璃项目，不属于上述重点行业、高耗能、高排放中规定行业。</w:t>
                  </w:r>
                </w:p>
              </w:tc>
            </w:tr>
            <w:tr w14:paraId="0239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auto"/>
                  <w:vAlign w:val="center"/>
                </w:tcPr>
                <w:p w14:paraId="11F8E331">
                  <w:pPr>
                    <w:ind w:firstLine="420" w:firstLineChars="200"/>
                    <w:jc w:val="left"/>
                    <w:rPr>
                      <w:bCs/>
                      <w:szCs w:val="32"/>
                      <w:lang w:val="zh-CN"/>
                    </w:rPr>
                  </w:pPr>
                  <w:r>
                    <w:rPr>
                      <w:bCs/>
                      <w:szCs w:val="32"/>
                      <w:lang w:val="zh-CN"/>
                    </w:rPr>
                    <w:t>第三条：</w:t>
                  </w:r>
                  <w:r>
                    <w:rPr>
                      <w:bCs/>
                      <w:szCs w:val="32"/>
                      <w:lang w:val="zh-CN" w:eastAsia="zh-CN"/>
                    </w:rPr>
                    <w:t>着力节约保护水资源</w:t>
                  </w:r>
                  <w:r>
                    <w:rPr>
                      <w:bCs/>
                      <w:szCs w:val="32"/>
                      <w:lang w:val="zh-CN"/>
                    </w:rPr>
                    <w:t>。</w:t>
                  </w:r>
                  <w:r>
                    <w:rPr>
                      <w:bCs/>
                      <w:szCs w:val="32"/>
                      <w:lang w:val="zh-CN" w:eastAsia="zh-CN"/>
                    </w:rPr>
                    <w:t>控制用水总量</w:t>
                  </w:r>
                  <w:r>
                    <w:rPr>
                      <w:bCs/>
                      <w:szCs w:val="32"/>
                      <w:lang w:val="zh-CN"/>
                    </w:rPr>
                    <w:t>，严控地下水超采；提高用水效率，抓好工业节水；</w:t>
                  </w:r>
                </w:p>
              </w:tc>
              <w:tc>
                <w:tcPr>
                  <w:tcW w:w="4827" w:type="dxa"/>
                  <w:shd w:val="clear" w:color="auto" w:fill="auto"/>
                  <w:vAlign w:val="center"/>
                </w:tcPr>
                <w:p w14:paraId="60E63F0D">
                  <w:pPr>
                    <w:ind w:firstLine="420" w:firstLineChars="200"/>
                    <w:jc w:val="left"/>
                    <w:rPr>
                      <w:bCs/>
                      <w:kern w:val="0"/>
                      <w:szCs w:val="32"/>
                      <w:lang w:eastAsia="zh-CN"/>
                    </w:rPr>
                  </w:pPr>
                  <w:r>
                    <w:rPr>
                      <w:bCs/>
                      <w:kern w:val="0"/>
                      <w:szCs w:val="32"/>
                      <w:lang w:eastAsia="zh-CN"/>
                    </w:rPr>
                    <w:t>1、本项目生产用水主要为：</w:t>
                  </w:r>
                  <w:r>
                    <w:rPr>
                      <w:bCs/>
                      <w:kern w:val="0"/>
                      <w:szCs w:val="32"/>
                    </w:rPr>
                    <w:t>制砖用水、脱硫</w:t>
                  </w:r>
                  <w:r>
                    <w:rPr>
                      <w:bCs/>
                      <w:kern w:val="0"/>
                      <w:szCs w:val="32"/>
                      <w:lang w:eastAsia="zh-CN"/>
                    </w:rPr>
                    <w:t>装置循环用水补水。</w:t>
                  </w:r>
                </w:p>
                <w:p w14:paraId="7D7D3B70">
                  <w:pPr>
                    <w:pStyle w:val="2"/>
                    <w:ind w:firstLine="422"/>
                    <w:rPr>
                      <w:rFonts w:ascii="Times New Roman" w:hAnsi="Times New Roman"/>
                      <w:bCs/>
                      <w:kern w:val="0"/>
                      <w:szCs w:val="32"/>
                      <w:lang w:eastAsia="zh-CN"/>
                    </w:rPr>
                  </w:pPr>
                  <w:r>
                    <w:rPr>
                      <w:rFonts w:ascii="Times New Roman" w:hAnsi="Times New Roman"/>
                      <w:bCs/>
                      <w:kern w:val="0"/>
                      <w:sz w:val="21"/>
                      <w:szCs w:val="32"/>
                      <w:lang w:eastAsia="zh-CN"/>
                    </w:rPr>
                    <w:t>2、本项目不开采地下水，作为生产用水。</w:t>
                  </w:r>
                </w:p>
              </w:tc>
            </w:tr>
          </w:tbl>
          <w:p w14:paraId="10A8A90C">
            <w:pPr>
              <w:pStyle w:val="2"/>
              <w:rPr>
                <w:rFonts w:ascii="Times New Roman" w:hAnsi="Times New Roman"/>
              </w:rPr>
            </w:pPr>
          </w:p>
          <w:p w14:paraId="161170B3">
            <w:pPr>
              <w:spacing w:line="360" w:lineRule="auto"/>
              <w:ind w:left="105" w:leftChars="50" w:right="105" w:rightChars="50" w:firstLine="482" w:firstLineChars="200"/>
              <w:rPr>
                <w:b/>
                <w:sz w:val="24"/>
              </w:rPr>
            </w:pPr>
            <w:r>
              <w:rPr>
                <w:b/>
                <w:sz w:val="24"/>
              </w:rPr>
              <w:t>4、与砖瓦行业相关法律法规符合性分析</w:t>
            </w:r>
          </w:p>
          <w:p w14:paraId="162DEFFC">
            <w:pPr>
              <w:autoSpaceDE w:val="0"/>
              <w:autoSpaceDN w:val="0"/>
              <w:adjustRightInd w:val="0"/>
              <w:spacing w:line="360" w:lineRule="auto"/>
              <w:ind w:left="105" w:leftChars="50" w:right="105" w:rightChars="50" w:firstLine="482" w:firstLineChars="200"/>
              <w:jc w:val="left"/>
              <w:rPr>
                <w:rFonts w:eastAsia="新宋体"/>
                <w:b/>
                <w:kern w:val="0"/>
                <w:sz w:val="24"/>
              </w:rPr>
            </w:pPr>
            <w:r>
              <w:rPr>
                <w:rFonts w:eastAsia="新宋体"/>
                <w:b/>
                <w:kern w:val="0"/>
                <w:sz w:val="24"/>
              </w:rPr>
              <w:t>4.1、砖瓦行业准入符合性分析</w:t>
            </w:r>
          </w:p>
          <w:p w14:paraId="65B6F0BB">
            <w:pPr>
              <w:autoSpaceDE w:val="0"/>
              <w:autoSpaceDN w:val="0"/>
              <w:adjustRightInd w:val="0"/>
              <w:spacing w:before="127" w:line="326" w:lineRule="auto"/>
              <w:ind w:left="103" w:right="100" w:firstLine="480"/>
              <w:jc w:val="left"/>
              <w:rPr>
                <w:rFonts w:eastAsia="新宋体"/>
                <w:kern w:val="0"/>
                <w:sz w:val="24"/>
              </w:rPr>
            </w:pPr>
            <w:r>
              <w:rPr>
                <w:rFonts w:eastAsia="新宋体"/>
                <w:kern w:val="0"/>
                <w:sz w:val="24"/>
              </w:rPr>
              <w:t>根据</w:t>
            </w:r>
            <w:r>
              <w:rPr>
                <w:rFonts w:eastAsia="新宋体"/>
                <w:bCs/>
                <w:kern w:val="0"/>
                <w:sz w:val="24"/>
              </w:rPr>
              <w:t>烧结砖瓦行业准入条件</w:t>
            </w:r>
            <w:r>
              <w:rPr>
                <w:rFonts w:eastAsia="新宋体"/>
                <w:kern w:val="0"/>
                <w:sz w:val="24"/>
              </w:rPr>
              <w:t>，本项目与行业准入条件符合性分析如下表 1-2 所示</w:t>
            </w:r>
          </w:p>
          <w:p w14:paraId="3442E21A">
            <w:pPr>
              <w:jc w:val="center"/>
              <w:rPr>
                <w:b/>
                <w:sz w:val="24"/>
              </w:rPr>
            </w:pPr>
            <w:r>
              <w:rPr>
                <w:b/>
                <w:sz w:val="24"/>
              </w:rPr>
              <w:t>表 1-5 行业准入条件一览表</w:t>
            </w:r>
          </w:p>
          <w:tbl>
            <w:tblPr>
              <w:tblStyle w:val="25"/>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4534"/>
              <w:gridCol w:w="2825"/>
              <w:gridCol w:w="909"/>
            </w:tblGrid>
            <w:tr w14:paraId="1067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8" w:type="dxa"/>
                  <w:vAlign w:val="center"/>
                </w:tcPr>
                <w:p w14:paraId="021E3B64">
                  <w:pPr>
                    <w:jc w:val="center"/>
                    <w:rPr>
                      <w:bCs/>
                      <w:szCs w:val="32"/>
                      <w:lang w:val="zh-CN" w:eastAsia="zh-CN"/>
                    </w:rPr>
                  </w:pPr>
                  <w:r>
                    <w:rPr>
                      <w:bCs/>
                      <w:szCs w:val="32"/>
                      <w:lang w:val="zh-CN" w:eastAsia="zh-CN"/>
                    </w:rPr>
                    <w:t>主要</w:t>
                  </w:r>
                </w:p>
                <w:p w14:paraId="3CF0DF3D">
                  <w:pPr>
                    <w:jc w:val="center"/>
                    <w:rPr>
                      <w:bCs/>
                      <w:szCs w:val="32"/>
                      <w:lang w:val="zh-CN" w:eastAsia="zh-CN"/>
                    </w:rPr>
                  </w:pPr>
                  <w:r>
                    <w:rPr>
                      <w:bCs/>
                      <w:szCs w:val="32"/>
                      <w:lang w:val="zh-CN" w:eastAsia="zh-CN"/>
                    </w:rPr>
                    <w:t>生产</w:t>
                  </w:r>
                </w:p>
              </w:tc>
              <w:tc>
                <w:tcPr>
                  <w:tcW w:w="4534" w:type="dxa"/>
                  <w:vAlign w:val="center"/>
                </w:tcPr>
                <w:p w14:paraId="6BB5135B">
                  <w:pPr>
                    <w:jc w:val="center"/>
                    <w:rPr>
                      <w:bCs/>
                      <w:szCs w:val="32"/>
                      <w:lang w:val="zh-CN" w:eastAsia="zh-CN"/>
                    </w:rPr>
                  </w:pPr>
                  <w:r>
                    <w:rPr>
                      <w:szCs w:val="21"/>
                    </w:rPr>
                    <w:t>无组织排放控制要求</w:t>
                  </w:r>
                </w:p>
              </w:tc>
              <w:tc>
                <w:tcPr>
                  <w:tcW w:w="2825" w:type="dxa"/>
                  <w:vAlign w:val="center"/>
                </w:tcPr>
                <w:p w14:paraId="51611ACF">
                  <w:pPr>
                    <w:jc w:val="center"/>
                    <w:rPr>
                      <w:bCs/>
                      <w:szCs w:val="32"/>
                      <w:lang w:val="zh-CN" w:eastAsia="zh-CN"/>
                    </w:rPr>
                  </w:pPr>
                  <w:r>
                    <w:rPr>
                      <w:bCs/>
                      <w:szCs w:val="32"/>
                      <w:lang w:val="zh-CN" w:eastAsia="zh-CN"/>
                    </w:rPr>
                    <w:t>本项目情况</w:t>
                  </w:r>
                </w:p>
              </w:tc>
              <w:tc>
                <w:tcPr>
                  <w:tcW w:w="909" w:type="dxa"/>
                  <w:vAlign w:val="center"/>
                </w:tcPr>
                <w:p w14:paraId="665D0FED">
                  <w:pPr>
                    <w:jc w:val="center"/>
                    <w:rPr>
                      <w:bCs/>
                      <w:szCs w:val="32"/>
                      <w:lang w:val="zh-CN" w:eastAsia="zh-CN"/>
                    </w:rPr>
                  </w:pPr>
                  <w:r>
                    <w:rPr>
                      <w:bCs/>
                      <w:szCs w:val="32"/>
                      <w:lang w:val="zh-CN" w:eastAsia="zh-CN"/>
                    </w:rPr>
                    <w:t>符合性</w:t>
                  </w:r>
                </w:p>
              </w:tc>
            </w:tr>
            <w:tr w14:paraId="7B3A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8" w:type="dxa"/>
                  <w:vAlign w:val="center"/>
                </w:tcPr>
                <w:p w14:paraId="552E3BD3">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生产企业</w:t>
                  </w:r>
                </w:p>
              </w:tc>
              <w:tc>
                <w:tcPr>
                  <w:tcW w:w="4534" w:type="dxa"/>
                  <w:vAlign w:val="center"/>
                </w:tcPr>
                <w:p w14:paraId="4BD2539F">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1、新建或改扩建砖瓦生产企业用地，必须符合城乡规划</w:t>
                  </w:r>
                  <w:r>
                    <w:rPr>
                      <w:rFonts w:eastAsia="新宋体"/>
                      <w:bCs/>
                      <w:kern w:val="0"/>
                      <w:szCs w:val="21"/>
                      <w:lang w:val="zh-CN"/>
                    </w:rPr>
                    <w:t>；</w:t>
                  </w:r>
                  <w:r>
                    <w:rPr>
                      <w:rFonts w:eastAsia="新宋体"/>
                      <w:bCs/>
                      <w:kern w:val="0"/>
                      <w:szCs w:val="21"/>
                      <w:lang w:val="zh-CN" w:eastAsia="zh-CN"/>
                    </w:rPr>
                    <w:t>2、在国家法律法规、行政规章及规划确定或县级以上人民政府批准的风景名胜区、生态保护自然文化遗产及饮用水源保护区，不得建设烧结砖瓦生产企业</w:t>
                  </w:r>
                  <w:r>
                    <w:rPr>
                      <w:rFonts w:eastAsia="新宋体"/>
                      <w:bCs/>
                      <w:kern w:val="0"/>
                      <w:szCs w:val="21"/>
                      <w:lang w:val="zh-CN"/>
                    </w:rPr>
                    <w:t>。</w:t>
                  </w:r>
                </w:p>
              </w:tc>
              <w:tc>
                <w:tcPr>
                  <w:tcW w:w="2825" w:type="dxa"/>
                  <w:vAlign w:val="center"/>
                </w:tcPr>
                <w:p w14:paraId="15E7A325">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rPr>
                    <w:t>本次扩建不新增用地，</w:t>
                  </w:r>
                  <w:r>
                    <w:rPr>
                      <w:rFonts w:eastAsia="新宋体"/>
                      <w:bCs/>
                      <w:kern w:val="0"/>
                      <w:szCs w:val="21"/>
                      <w:lang w:val="zh-CN" w:eastAsia="zh-CN"/>
                    </w:rPr>
                    <w:t>符合城乡规划，与当地土地规划相符，未在风景名胜， 生态保护，自然和文化遗产及饮用水源保护区内</w:t>
                  </w:r>
                </w:p>
              </w:tc>
              <w:tc>
                <w:tcPr>
                  <w:tcW w:w="909" w:type="dxa"/>
                  <w:vAlign w:val="center"/>
                </w:tcPr>
                <w:p w14:paraId="0028DAB1">
                  <w:pPr>
                    <w:kinsoku w:val="0"/>
                    <w:overflowPunct w:val="0"/>
                    <w:autoSpaceDE w:val="0"/>
                    <w:autoSpaceDN w:val="0"/>
                    <w:adjustRightInd w:val="0"/>
                    <w:jc w:val="center"/>
                    <w:rPr>
                      <w:rFonts w:eastAsia="新宋体"/>
                      <w:bCs/>
                      <w:kern w:val="0"/>
                      <w:szCs w:val="21"/>
                      <w:lang w:val="zh-CN" w:eastAsia="zh-CN"/>
                    </w:rPr>
                  </w:pPr>
                </w:p>
                <w:p w14:paraId="2378D1B7">
                  <w:pPr>
                    <w:kinsoku w:val="0"/>
                    <w:overflowPunct w:val="0"/>
                    <w:autoSpaceDE w:val="0"/>
                    <w:autoSpaceDN w:val="0"/>
                    <w:adjustRightInd w:val="0"/>
                    <w:jc w:val="center"/>
                    <w:rPr>
                      <w:rFonts w:eastAsia="新宋体"/>
                      <w:bCs/>
                      <w:kern w:val="0"/>
                      <w:szCs w:val="21"/>
                      <w:lang w:val="zh-CN" w:eastAsia="zh-CN"/>
                    </w:rPr>
                  </w:pPr>
                </w:p>
                <w:p w14:paraId="17EF89F1">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符合</w:t>
                  </w:r>
                </w:p>
              </w:tc>
            </w:tr>
            <w:tr w14:paraId="7B59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8" w:type="dxa"/>
                  <w:vAlign w:val="center"/>
                </w:tcPr>
                <w:p w14:paraId="2C566A63">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工艺与装备</w:t>
                  </w:r>
                </w:p>
              </w:tc>
              <w:tc>
                <w:tcPr>
                  <w:tcW w:w="4534" w:type="dxa"/>
                  <w:vAlign w:val="center"/>
                </w:tcPr>
                <w:p w14:paraId="47E33D52">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1、严禁建设黏土实心砖项目</w:t>
                  </w:r>
                  <w:r>
                    <w:rPr>
                      <w:rFonts w:eastAsia="新宋体"/>
                      <w:bCs/>
                      <w:kern w:val="0"/>
                      <w:szCs w:val="21"/>
                      <w:lang w:val="zh-CN"/>
                    </w:rPr>
                    <w:t>；</w:t>
                  </w:r>
                </w:p>
                <w:p w14:paraId="2741FB8E">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2、单线生产规模不小于 3000 万块/年</w:t>
                  </w:r>
                  <w:r>
                    <w:rPr>
                      <w:rFonts w:eastAsia="新宋体"/>
                      <w:bCs/>
                      <w:kern w:val="0"/>
                      <w:szCs w:val="21"/>
                      <w:lang w:val="zh-CN"/>
                    </w:rPr>
                    <w:t>；</w:t>
                  </w:r>
                </w:p>
                <w:p w14:paraId="07FA9838">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3、新建和改建烧结砖瓦企业必须采用人工干燥和隧道窑的生产工艺</w:t>
                  </w:r>
                  <w:r>
                    <w:rPr>
                      <w:rFonts w:eastAsia="新宋体"/>
                      <w:bCs/>
                      <w:kern w:val="0"/>
                      <w:szCs w:val="21"/>
                      <w:lang w:val="zh-CN"/>
                    </w:rPr>
                    <w:t>。</w:t>
                  </w:r>
                </w:p>
              </w:tc>
              <w:tc>
                <w:tcPr>
                  <w:tcW w:w="2825" w:type="dxa"/>
                  <w:vAlign w:val="center"/>
                </w:tcPr>
                <w:p w14:paraId="7883FB14">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项目生产页岩标砖，单线生产规模达到9000万块，采用</w:t>
                  </w:r>
                  <w:r>
                    <w:rPr>
                      <w:rFonts w:eastAsia="新宋体"/>
                      <w:bCs/>
                      <w:kern w:val="0"/>
                      <w:szCs w:val="21"/>
                      <w:lang w:val="zh-CN"/>
                    </w:rPr>
                    <w:t>新型环保</w:t>
                  </w:r>
                  <w:r>
                    <w:rPr>
                      <w:rFonts w:eastAsia="新宋体"/>
                      <w:bCs/>
                      <w:kern w:val="0"/>
                      <w:szCs w:val="21"/>
                      <w:lang w:val="zh-CN" w:eastAsia="zh-CN"/>
                    </w:rPr>
                    <w:t>隧道窑烧制工艺</w:t>
                  </w:r>
                  <w:r>
                    <w:rPr>
                      <w:rFonts w:eastAsia="新宋体"/>
                      <w:bCs/>
                      <w:kern w:val="0"/>
                      <w:szCs w:val="21"/>
                      <w:lang w:val="zh-CN"/>
                    </w:rPr>
                    <w:t>。</w:t>
                  </w:r>
                </w:p>
              </w:tc>
              <w:tc>
                <w:tcPr>
                  <w:tcW w:w="909" w:type="dxa"/>
                  <w:vAlign w:val="center"/>
                </w:tcPr>
                <w:p w14:paraId="19E618E6">
                  <w:pPr>
                    <w:kinsoku w:val="0"/>
                    <w:overflowPunct w:val="0"/>
                    <w:autoSpaceDE w:val="0"/>
                    <w:autoSpaceDN w:val="0"/>
                    <w:adjustRightInd w:val="0"/>
                    <w:jc w:val="center"/>
                    <w:rPr>
                      <w:rFonts w:eastAsia="新宋体"/>
                      <w:bCs/>
                      <w:kern w:val="0"/>
                      <w:szCs w:val="21"/>
                      <w:lang w:val="zh-CN" w:eastAsia="zh-CN"/>
                    </w:rPr>
                  </w:pPr>
                </w:p>
                <w:p w14:paraId="6A8BE47A">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符合</w:t>
                  </w:r>
                </w:p>
              </w:tc>
            </w:tr>
            <w:tr w14:paraId="18BE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8" w:type="dxa"/>
                  <w:vAlign w:val="center"/>
                </w:tcPr>
                <w:p w14:paraId="4D9823DB">
                  <w:pPr>
                    <w:kinsoku w:val="0"/>
                    <w:overflowPunct w:val="0"/>
                    <w:autoSpaceDE w:val="0"/>
                    <w:autoSpaceDN w:val="0"/>
                    <w:adjustRightInd w:val="0"/>
                    <w:jc w:val="center"/>
                    <w:rPr>
                      <w:rFonts w:eastAsia="新宋体"/>
                      <w:bCs/>
                      <w:kern w:val="0"/>
                      <w:szCs w:val="21"/>
                      <w:lang w:val="zh-CN" w:eastAsia="zh-CN"/>
                    </w:rPr>
                  </w:pPr>
                </w:p>
                <w:p w14:paraId="330B942E">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品种质量</w:t>
                  </w:r>
                </w:p>
              </w:tc>
              <w:tc>
                <w:tcPr>
                  <w:tcW w:w="4534" w:type="dxa"/>
                  <w:vAlign w:val="center"/>
                </w:tcPr>
                <w:p w14:paraId="4F74F861">
                  <w:pPr>
                    <w:kinsoku w:val="0"/>
                    <w:overflowPunct w:val="0"/>
                    <w:autoSpaceDE w:val="0"/>
                    <w:autoSpaceDN w:val="0"/>
                    <w:adjustRightInd w:val="0"/>
                    <w:jc w:val="center"/>
                    <w:rPr>
                      <w:rFonts w:eastAsia="新宋体"/>
                      <w:bCs/>
                      <w:kern w:val="0"/>
                      <w:szCs w:val="21"/>
                      <w:lang w:val="zh-CN"/>
                    </w:rPr>
                  </w:pPr>
                  <w:r>
                    <w:rPr>
                      <w:rFonts w:eastAsia="新宋体"/>
                      <w:bCs/>
                      <w:kern w:val="0"/>
                      <w:szCs w:val="21"/>
                      <w:lang w:val="zh-CN" w:eastAsia="zh-CN"/>
                    </w:rPr>
                    <w:t>1、烧结普通砖应符合 GB1501（烧结普通砖）标准的规定</w:t>
                  </w:r>
                  <w:r>
                    <w:rPr>
                      <w:rFonts w:eastAsia="新宋体"/>
                      <w:bCs/>
                      <w:kern w:val="0"/>
                      <w:szCs w:val="21"/>
                      <w:lang w:val="zh-CN"/>
                    </w:rPr>
                    <w:t>；</w:t>
                  </w:r>
                </w:p>
                <w:p w14:paraId="6A561F4E">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2、烧结空心砖和空心砌块应该符合 GB13545（烧结空心砖和空心砌块）标准的规定</w:t>
                  </w:r>
                </w:p>
              </w:tc>
              <w:tc>
                <w:tcPr>
                  <w:tcW w:w="2825" w:type="dxa"/>
                  <w:vAlign w:val="center"/>
                </w:tcPr>
                <w:p w14:paraId="10070866">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项目所生产页岩标砖均符合相应标准规定</w:t>
                  </w:r>
                  <w:r>
                    <w:rPr>
                      <w:rFonts w:eastAsia="新宋体"/>
                      <w:bCs/>
                      <w:kern w:val="0"/>
                      <w:szCs w:val="21"/>
                      <w:lang w:val="zh-CN"/>
                    </w:rPr>
                    <w:t>。</w:t>
                  </w:r>
                </w:p>
              </w:tc>
              <w:tc>
                <w:tcPr>
                  <w:tcW w:w="909" w:type="dxa"/>
                  <w:vAlign w:val="center"/>
                </w:tcPr>
                <w:p w14:paraId="04B89615">
                  <w:pPr>
                    <w:kinsoku w:val="0"/>
                    <w:overflowPunct w:val="0"/>
                    <w:autoSpaceDE w:val="0"/>
                    <w:autoSpaceDN w:val="0"/>
                    <w:adjustRightInd w:val="0"/>
                    <w:jc w:val="center"/>
                    <w:rPr>
                      <w:rFonts w:eastAsia="新宋体"/>
                      <w:bCs/>
                      <w:kern w:val="0"/>
                      <w:szCs w:val="21"/>
                      <w:lang w:val="zh-CN" w:eastAsia="zh-CN"/>
                    </w:rPr>
                  </w:pPr>
                </w:p>
                <w:p w14:paraId="239E8477">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符合</w:t>
                  </w:r>
                </w:p>
              </w:tc>
            </w:tr>
            <w:tr w14:paraId="0941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8" w:type="dxa"/>
                  <w:vAlign w:val="center"/>
                </w:tcPr>
                <w:p w14:paraId="35235265">
                  <w:pPr>
                    <w:kinsoku w:val="0"/>
                    <w:overflowPunct w:val="0"/>
                    <w:autoSpaceDE w:val="0"/>
                    <w:autoSpaceDN w:val="0"/>
                    <w:adjustRightInd w:val="0"/>
                    <w:jc w:val="center"/>
                    <w:rPr>
                      <w:rFonts w:eastAsia="新宋体"/>
                      <w:bCs/>
                      <w:kern w:val="0"/>
                      <w:szCs w:val="21"/>
                      <w:lang w:val="zh-CN" w:eastAsia="zh-CN"/>
                    </w:rPr>
                  </w:pPr>
                </w:p>
                <w:p w14:paraId="5552105D">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环境保护</w:t>
                  </w:r>
                </w:p>
              </w:tc>
              <w:tc>
                <w:tcPr>
                  <w:tcW w:w="4534" w:type="dxa"/>
                  <w:vAlign w:val="center"/>
                </w:tcPr>
                <w:p w14:paraId="3FF64AEB">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1、烧结砖瓦企业大气污染物排放执行《大气污染物综合排放标准》（GB1629-1996）和《工业窑炉 大气污染物排放标准》（GB9078-1996）</w:t>
                  </w:r>
                  <w:r>
                    <w:rPr>
                      <w:rFonts w:eastAsia="新宋体"/>
                      <w:bCs/>
                      <w:kern w:val="0"/>
                      <w:szCs w:val="21"/>
                      <w:lang w:val="zh-CN"/>
                    </w:rPr>
                    <w:t>；</w:t>
                  </w:r>
                </w:p>
                <w:p w14:paraId="698C76CB">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2、烧结砖瓦企业原材料矿点开采后必须对其进行复垦 或绿化，保护生态环境。</w:t>
                  </w:r>
                </w:p>
              </w:tc>
              <w:tc>
                <w:tcPr>
                  <w:tcW w:w="2825" w:type="dxa"/>
                  <w:vAlign w:val="center"/>
                </w:tcPr>
                <w:p w14:paraId="27C9DF81">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本项目执行</w:t>
                  </w:r>
                  <w:r>
                    <w:rPr>
                      <w:szCs w:val="21"/>
                      <w:shd w:val="clear" w:color="auto" w:fill="FFFFFF"/>
                    </w:rPr>
                    <w:t>GB 29620-2013</w:t>
                  </w:r>
                  <w:r>
                    <w:rPr>
                      <w:rFonts w:eastAsia="新宋体"/>
                      <w:bCs/>
                      <w:kern w:val="0"/>
                      <w:szCs w:val="21"/>
                      <w:lang w:val="zh-CN" w:eastAsia="zh-CN"/>
                    </w:rPr>
                    <w:t>《砖瓦工业污染排放标准》</w:t>
                  </w:r>
                  <w:r>
                    <w:rPr>
                      <w:szCs w:val="21"/>
                      <w:shd w:val="clear" w:color="auto" w:fill="FFFFFF"/>
                    </w:rPr>
                    <w:t>及修改单</w:t>
                  </w:r>
                  <w:r>
                    <w:rPr>
                      <w:rFonts w:eastAsia="新宋体"/>
                      <w:bCs/>
                      <w:kern w:val="0"/>
                      <w:szCs w:val="21"/>
                      <w:lang w:val="zh-CN" w:eastAsia="zh-CN"/>
                    </w:rPr>
                    <w:t>的规定；</w:t>
                  </w:r>
                </w:p>
                <w:p w14:paraId="22C031F7">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该厂已取得采矿许可证，本次环评只针对隧道窑制砖生产线技改项目，不含矿山开采内容。</w:t>
                  </w:r>
                </w:p>
              </w:tc>
              <w:tc>
                <w:tcPr>
                  <w:tcW w:w="909" w:type="dxa"/>
                  <w:vAlign w:val="center"/>
                </w:tcPr>
                <w:p w14:paraId="17C2CF0B">
                  <w:pPr>
                    <w:kinsoku w:val="0"/>
                    <w:overflowPunct w:val="0"/>
                    <w:autoSpaceDE w:val="0"/>
                    <w:autoSpaceDN w:val="0"/>
                    <w:adjustRightInd w:val="0"/>
                    <w:jc w:val="center"/>
                    <w:rPr>
                      <w:rFonts w:eastAsia="新宋体"/>
                      <w:bCs/>
                      <w:kern w:val="0"/>
                      <w:szCs w:val="21"/>
                      <w:lang w:val="zh-CN" w:eastAsia="zh-CN"/>
                    </w:rPr>
                  </w:pPr>
                </w:p>
                <w:p w14:paraId="665C0058">
                  <w:pPr>
                    <w:kinsoku w:val="0"/>
                    <w:overflowPunct w:val="0"/>
                    <w:autoSpaceDE w:val="0"/>
                    <w:autoSpaceDN w:val="0"/>
                    <w:adjustRightInd w:val="0"/>
                    <w:jc w:val="center"/>
                    <w:rPr>
                      <w:rFonts w:eastAsia="新宋体"/>
                      <w:bCs/>
                      <w:kern w:val="0"/>
                      <w:szCs w:val="21"/>
                      <w:lang w:val="zh-CN" w:eastAsia="zh-CN"/>
                    </w:rPr>
                  </w:pPr>
                </w:p>
                <w:p w14:paraId="3C0F833F">
                  <w:pPr>
                    <w:kinsoku w:val="0"/>
                    <w:overflowPunct w:val="0"/>
                    <w:autoSpaceDE w:val="0"/>
                    <w:autoSpaceDN w:val="0"/>
                    <w:adjustRightInd w:val="0"/>
                    <w:jc w:val="center"/>
                    <w:rPr>
                      <w:rFonts w:eastAsia="新宋体"/>
                      <w:bCs/>
                      <w:kern w:val="0"/>
                      <w:szCs w:val="21"/>
                      <w:lang w:val="zh-CN" w:eastAsia="zh-CN"/>
                    </w:rPr>
                  </w:pPr>
                </w:p>
                <w:p w14:paraId="59DD970D">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符合</w:t>
                  </w:r>
                </w:p>
              </w:tc>
            </w:tr>
          </w:tbl>
          <w:p w14:paraId="53D9B313">
            <w:pPr>
              <w:autoSpaceDE w:val="0"/>
              <w:autoSpaceDN w:val="0"/>
              <w:adjustRightInd w:val="0"/>
              <w:spacing w:line="360" w:lineRule="auto"/>
              <w:ind w:left="105" w:leftChars="50" w:right="105" w:rightChars="50" w:firstLine="482" w:firstLineChars="200"/>
              <w:jc w:val="left"/>
              <w:rPr>
                <w:rFonts w:eastAsia="新宋体"/>
                <w:b/>
                <w:kern w:val="0"/>
                <w:sz w:val="24"/>
              </w:rPr>
            </w:pPr>
            <w:r>
              <w:rPr>
                <w:rFonts w:eastAsia="新宋体"/>
                <w:b/>
                <w:kern w:val="0"/>
                <w:sz w:val="24"/>
              </w:rPr>
              <w:t>4.2、本项目与《排污许可证申请与核发技术规范 陶瓷砖瓦工业》(HJ954-2018)符合性分析</w:t>
            </w:r>
          </w:p>
          <w:p w14:paraId="0F2940A5">
            <w:pPr>
              <w:jc w:val="center"/>
              <w:rPr>
                <w:b/>
                <w:sz w:val="24"/>
              </w:rPr>
            </w:pPr>
            <w:r>
              <w:rPr>
                <w:b/>
                <w:sz w:val="24"/>
              </w:rPr>
              <w:t>表 1-6 无组织废气控制要求一览表</w:t>
            </w:r>
          </w:p>
          <w:tbl>
            <w:tblPr>
              <w:tblStyle w:val="25"/>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4534"/>
              <w:gridCol w:w="2825"/>
              <w:gridCol w:w="908"/>
            </w:tblGrid>
            <w:tr w14:paraId="785C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9" w:type="dxa"/>
                  <w:vAlign w:val="center"/>
                </w:tcPr>
                <w:p w14:paraId="015544A9">
                  <w:pPr>
                    <w:jc w:val="center"/>
                    <w:rPr>
                      <w:bCs/>
                      <w:szCs w:val="32"/>
                      <w:lang w:val="zh-CN" w:eastAsia="zh-CN"/>
                    </w:rPr>
                  </w:pPr>
                  <w:r>
                    <w:rPr>
                      <w:bCs/>
                      <w:szCs w:val="32"/>
                      <w:lang w:val="zh-CN" w:eastAsia="zh-CN"/>
                    </w:rPr>
                    <w:t>主要</w:t>
                  </w:r>
                </w:p>
                <w:p w14:paraId="46FF8E84">
                  <w:pPr>
                    <w:jc w:val="center"/>
                    <w:rPr>
                      <w:bCs/>
                      <w:szCs w:val="32"/>
                      <w:lang w:val="zh-CN" w:eastAsia="zh-CN"/>
                    </w:rPr>
                  </w:pPr>
                  <w:r>
                    <w:rPr>
                      <w:bCs/>
                      <w:szCs w:val="32"/>
                      <w:lang w:val="zh-CN" w:eastAsia="zh-CN"/>
                    </w:rPr>
                    <w:t>生产</w:t>
                  </w:r>
                </w:p>
              </w:tc>
              <w:tc>
                <w:tcPr>
                  <w:tcW w:w="4534" w:type="dxa"/>
                  <w:vAlign w:val="center"/>
                </w:tcPr>
                <w:p w14:paraId="177F3009">
                  <w:pPr>
                    <w:jc w:val="center"/>
                    <w:rPr>
                      <w:bCs/>
                      <w:szCs w:val="32"/>
                      <w:lang w:val="zh-CN" w:eastAsia="zh-CN"/>
                    </w:rPr>
                  </w:pPr>
                  <w:r>
                    <w:rPr>
                      <w:szCs w:val="21"/>
                    </w:rPr>
                    <w:t>无组织排放控制要求</w:t>
                  </w:r>
                </w:p>
              </w:tc>
              <w:tc>
                <w:tcPr>
                  <w:tcW w:w="2825" w:type="dxa"/>
                  <w:vAlign w:val="center"/>
                </w:tcPr>
                <w:p w14:paraId="70469E1A">
                  <w:pPr>
                    <w:jc w:val="center"/>
                    <w:rPr>
                      <w:bCs/>
                      <w:szCs w:val="32"/>
                      <w:lang w:val="zh-CN" w:eastAsia="zh-CN"/>
                    </w:rPr>
                  </w:pPr>
                  <w:r>
                    <w:rPr>
                      <w:bCs/>
                      <w:szCs w:val="32"/>
                      <w:lang w:val="zh-CN" w:eastAsia="zh-CN"/>
                    </w:rPr>
                    <w:t>本项目情况</w:t>
                  </w:r>
                </w:p>
              </w:tc>
              <w:tc>
                <w:tcPr>
                  <w:tcW w:w="908" w:type="dxa"/>
                  <w:vAlign w:val="center"/>
                </w:tcPr>
                <w:p w14:paraId="08C1FC22">
                  <w:pPr>
                    <w:jc w:val="center"/>
                    <w:rPr>
                      <w:bCs/>
                      <w:szCs w:val="32"/>
                      <w:lang w:val="zh-CN" w:eastAsia="zh-CN"/>
                    </w:rPr>
                  </w:pPr>
                  <w:r>
                    <w:rPr>
                      <w:bCs/>
                      <w:szCs w:val="32"/>
                      <w:lang w:val="zh-CN" w:eastAsia="zh-CN"/>
                    </w:rPr>
                    <w:t>符合性</w:t>
                  </w:r>
                </w:p>
              </w:tc>
            </w:tr>
            <w:tr w14:paraId="4F25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9" w:type="dxa"/>
                  <w:vMerge w:val="restart"/>
                  <w:vAlign w:val="center"/>
                </w:tcPr>
                <w:p w14:paraId="0787E032">
                  <w:pPr>
                    <w:kinsoku w:val="0"/>
                    <w:overflowPunct w:val="0"/>
                    <w:autoSpaceDE w:val="0"/>
                    <w:autoSpaceDN w:val="0"/>
                    <w:adjustRightInd w:val="0"/>
                    <w:jc w:val="center"/>
                    <w:rPr>
                      <w:rFonts w:eastAsia="新宋体"/>
                      <w:bCs/>
                      <w:kern w:val="0"/>
                      <w:szCs w:val="21"/>
                      <w:lang w:eastAsia="zh-CN"/>
                    </w:rPr>
                  </w:pPr>
                  <w:r>
                    <w:rPr>
                      <w:rFonts w:eastAsia="新宋体"/>
                      <w:bCs/>
                      <w:kern w:val="0"/>
                      <w:szCs w:val="21"/>
                      <w:lang w:eastAsia="zh-CN"/>
                    </w:rPr>
                    <w:t>原料</w:t>
                  </w:r>
                </w:p>
                <w:p w14:paraId="7E9D4A78">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eastAsia="zh-CN"/>
                    </w:rPr>
                    <w:t>制备</w:t>
                  </w:r>
                </w:p>
              </w:tc>
              <w:tc>
                <w:tcPr>
                  <w:tcW w:w="4534" w:type="dxa"/>
                  <w:vAlign w:val="center"/>
                </w:tcPr>
                <w:p w14:paraId="4A68313D">
                  <w:pPr>
                    <w:kinsoku w:val="0"/>
                    <w:overflowPunct w:val="0"/>
                    <w:autoSpaceDE w:val="0"/>
                    <w:autoSpaceDN w:val="0"/>
                    <w:adjustRightInd w:val="0"/>
                    <w:jc w:val="center"/>
                    <w:rPr>
                      <w:rFonts w:eastAsia="新宋体"/>
                      <w:bCs/>
                      <w:kern w:val="0"/>
                      <w:szCs w:val="21"/>
                      <w:lang w:eastAsia="zh-CN"/>
                    </w:rPr>
                  </w:pPr>
                  <w:r>
                    <w:rPr>
                      <w:rFonts w:eastAsia="新宋体"/>
                      <w:bCs/>
                      <w:kern w:val="0"/>
                      <w:szCs w:val="21"/>
                      <w:lang w:val="zh-CN" w:eastAsia="zh-CN"/>
                    </w:rPr>
                    <w:t>（1）粉状物料料场应采用封闭、半封闭料场（仓、库、棚)，并采取抑尘措施；原煤、块石、粘湿物料等料场应采用封闭、半封闭料场（仓、库、棚)，或四周设置防风抑尘网、挡风墙，或采取覆盖等抑尘措施，防风抑尘网、挡</w:t>
                  </w:r>
                  <w:r>
                    <w:rPr>
                      <w:rFonts w:eastAsia="新宋体"/>
                      <w:bCs/>
                      <w:kern w:val="0"/>
                      <w:szCs w:val="21"/>
                      <w:lang w:eastAsia="zh-CN"/>
                    </w:rPr>
                    <w:t>风墙高度不低于堆存物料高度的1.1 倍；有包装袋的物料采取覆盖措施。</w:t>
                  </w:r>
                </w:p>
              </w:tc>
              <w:tc>
                <w:tcPr>
                  <w:tcW w:w="2825" w:type="dxa"/>
                  <w:vAlign w:val="center"/>
                </w:tcPr>
                <w:p w14:paraId="67473836">
                  <w:pPr>
                    <w:kinsoku w:val="0"/>
                    <w:overflowPunct w:val="0"/>
                    <w:autoSpaceDE w:val="0"/>
                    <w:autoSpaceDN w:val="0"/>
                    <w:adjustRightInd w:val="0"/>
                    <w:jc w:val="center"/>
                    <w:rPr>
                      <w:rFonts w:eastAsia="新宋体"/>
                      <w:bCs/>
                      <w:kern w:val="0"/>
                      <w:szCs w:val="21"/>
                      <w:lang w:val="zh-CN"/>
                    </w:rPr>
                  </w:pPr>
                  <w:r>
                    <w:rPr>
                      <w:rFonts w:eastAsia="新宋体"/>
                      <w:bCs/>
                      <w:kern w:val="0"/>
                      <w:szCs w:val="21"/>
                      <w:lang w:val="zh-CN"/>
                    </w:rPr>
                    <w:t>原料堆场四周设置防风抑尘网、挡风墙，且高度不低于堆存物料高度的1.1 倍，以</w:t>
                  </w:r>
                </w:p>
                <w:p w14:paraId="560B7CAF">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rPr>
                    <w:t>及采取覆盖、洒水等措施</w:t>
                  </w:r>
                </w:p>
              </w:tc>
              <w:tc>
                <w:tcPr>
                  <w:tcW w:w="908" w:type="dxa"/>
                  <w:vAlign w:val="center"/>
                </w:tcPr>
                <w:p w14:paraId="6D497DF1">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符合</w:t>
                  </w:r>
                </w:p>
              </w:tc>
            </w:tr>
            <w:tr w14:paraId="748E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9" w:type="dxa"/>
                  <w:vMerge w:val="continue"/>
                  <w:vAlign w:val="center"/>
                </w:tcPr>
                <w:p w14:paraId="6C9B93AD">
                  <w:pPr>
                    <w:kinsoku w:val="0"/>
                    <w:overflowPunct w:val="0"/>
                    <w:autoSpaceDE w:val="0"/>
                    <w:autoSpaceDN w:val="0"/>
                    <w:adjustRightInd w:val="0"/>
                    <w:jc w:val="center"/>
                    <w:rPr>
                      <w:rFonts w:eastAsia="新宋体"/>
                      <w:bCs/>
                      <w:kern w:val="0"/>
                      <w:szCs w:val="21"/>
                      <w:lang w:val="zh-CN" w:eastAsia="zh-CN"/>
                    </w:rPr>
                  </w:pPr>
                </w:p>
              </w:tc>
              <w:tc>
                <w:tcPr>
                  <w:tcW w:w="4534" w:type="dxa"/>
                  <w:vAlign w:val="center"/>
                </w:tcPr>
                <w:p w14:paraId="597442DD">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eastAsia="zh-CN"/>
                    </w:rPr>
                    <w:t>（2）原料均化应在封闭、半封闭料场（仓、库、棚)中进行。</w:t>
                  </w:r>
                </w:p>
              </w:tc>
              <w:tc>
                <w:tcPr>
                  <w:tcW w:w="2825" w:type="dxa"/>
                  <w:vAlign w:val="center"/>
                </w:tcPr>
                <w:p w14:paraId="133E8BBC">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eastAsia="zh-CN"/>
                    </w:rPr>
                    <w:t>原料堆场四周设置防风抑尘网，形成半封闭料场</w:t>
                  </w:r>
                </w:p>
              </w:tc>
              <w:tc>
                <w:tcPr>
                  <w:tcW w:w="908" w:type="dxa"/>
                  <w:vAlign w:val="center"/>
                </w:tcPr>
                <w:p w14:paraId="12971F94">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符合</w:t>
                  </w:r>
                </w:p>
              </w:tc>
            </w:tr>
            <w:tr w14:paraId="2474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9" w:type="dxa"/>
                  <w:vMerge w:val="continue"/>
                  <w:vAlign w:val="center"/>
                </w:tcPr>
                <w:p w14:paraId="2B5ED054">
                  <w:pPr>
                    <w:kinsoku w:val="0"/>
                    <w:overflowPunct w:val="0"/>
                    <w:autoSpaceDE w:val="0"/>
                    <w:autoSpaceDN w:val="0"/>
                    <w:adjustRightInd w:val="0"/>
                    <w:jc w:val="center"/>
                    <w:rPr>
                      <w:rFonts w:eastAsia="新宋体"/>
                      <w:bCs/>
                      <w:kern w:val="0"/>
                      <w:szCs w:val="21"/>
                      <w:lang w:val="zh-CN" w:eastAsia="zh-CN"/>
                    </w:rPr>
                  </w:pPr>
                </w:p>
              </w:tc>
              <w:tc>
                <w:tcPr>
                  <w:tcW w:w="4534" w:type="dxa"/>
                  <w:vAlign w:val="center"/>
                </w:tcPr>
                <w:p w14:paraId="188BE695">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（3）粉状物料应密闭输送；其他物料输送应在转运点设置集气罩，并配备除尘设施。</w:t>
                  </w:r>
                </w:p>
              </w:tc>
              <w:tc>
                <w:tcPr>
                  <w:tcW w:w="2825" w:type="dxa"/>
                  <w:vAlign w:val="center"/>
                </w:tcPr>
                <w:p w14:paraId="6BAA181B">
                  <w:pPr>
                    <w:autoSpaceDE w:val="0"/>
                    <w:autoSpaceDN w:val="0"/>
                    <w:adjustRightInd w:val="0"/>
                    <w:jc w:val="left"/>
                    <w:rPr>
                      <w:rFonts w:eastAsia="新宋体"/>
                      <w:bCs/>
                      <w:kern w:val="0"/>
                      <w:szCs w:val="21"/>
                      <w:lang w:val="zh-CN" w:eastAsia="zh-CN"/>
                    </w:rPr>
                  </w:pPr>
                  <w:r>
                    <w:rPr>
                      <w:kern w:val="0"/>
                      <w:szCs w:val="21"/>
                    </w:rPr>
                    <w:t>车间半封闭，输送机皮带设置密闭防尘设施。</w:t>
                  </w:r>
                </w:p>
              </w:tc>
              <w:tc>
                <w:tcPr>
                  <w:tcW w:w="908" w:type="dxa"/>
                  <w:vAlign w:val="center"/>
                </w:tcPr>
                <w:p w14:paraId="6D87AB0D">
                  <w:pPr>
                    <w:kinsoku w:val="0"/>
                    <w:overflowPunct w:val="0"/>
                    <w:autoSpaceDE w:val="0"/>
                    <w:autoSpaceDN w:val="0"/>
                    <w:adjustRightInd w:val="0"/>
                    <w:jc w:val="center"/>
                    <w:rPr>
                      <w:rFonts w:eastAsia="新宋体"/>
                      <w:bCs/>
                      <w:kern w:val="0"/>
                      <w:szCs w:val="21"/>
                      <w:lang w:val="zh-CN" w:eastAsia="zh-CN"/>
                    </w:rPr>
                  </w:pPr>
                </w:p>
                <w:p w14:paraId="5A7764AA">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符合</w:t>
                  </w:r>
                </w:p>
              </w:tc>
            </w:tr>
            <w:tr w14:paraId="0705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9" w:type="dxa"/>
                  <w:vMerge w:val="continue"/>
                  <w:vAlign w:val="center"/>
                </w:tcPr>
                <w:p w14:paraId="5B7EB3C2">
                  <w:pPr>
                    <w:kinsoku w:val="0"/>
                    <w:overflowPunct w:val="0"/>
                    <w:autoSpaceDE w:val="0"/>
                    <w:autoSpaceDN w:val="0"/>
                    <w:adjustRightInd w:val="0"/>
                    <w:jc w:val="center"/>
                    <w:rPr>
                      <w:rFonts w:eastAsia="新宋体"/>
                      <w:bCs/>
                      <w:kern w:val="0"/>
                      <w:szCs w:val="21"/>
                      <w:lang w:val="zh-CN" w:eastAsia="zh-CN"/>
                    </w:rPr>
                  </w:pPr>
                </w:p>
              </w:tc>
              <w:tc>
                <w:tcPr>
                  <w:tcW w:w="4534" w:type="dxa"/>
                  <w:vAlign w:val="center"/>
                </w:tcPr>
                <w:p w14:paraId="3F953FDC">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（4）原料的粉碎、筛分、配料、混合搅拌、制备等工序，均应采用封闭式作业，并配备除尘设施。</w:t>
                  </w:r>
                </w:p>
              </w:tc>
              <w:tc>
                <w:tcPr>
                  <w:tcW w:w="2825" w:type="dxa"/>
                  <w:vAlign w:val="center"/>
                </w:tcPr>
                <w:p w14:paraId="005876A4">
                  <w:pPr>
                    <w:autoSpaceDE w:val="0"/>
                    <w:autoSpaceDN w:val="0"/>
                    <w:adjustRightInd w:val="0"/>
                    <w:jc w:val="left"/>
                    <w:rPr>
                      <w:rFonts w:eastAsia="新宋体"/>
                      <w:bCs/>
                      <w:kern w:val="0"/>
                      <w:szCs w:val="21"/>
                      <w:lang w:val="zh-CN" w:eastAsia="zh-CN"/>
                    </w:rPr>
                  </w:pPr>
                  <w:r>
                    <w:rPr>
                      <w:kern w:val="0"/>
                      <w:szCs w:val="21"/>
                    </w:rPr>
                    <w:t>破碎车间采取封闭式，破、筛分过程全密闭，搅拌过程加水拌合。</w:t>
                  </w:r>
                </w:p>
              </w:tc>
              <w:tc>
                <w:tcPr>
                  <w:tcW w:w="908" w:type="dxa"/>
                  <w:vAlign w:val="center"/>
                </w:tcPr>
                <w:p w14:paraId="4516A443">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符合</w:t>
                  </w:r>
                </w:p>
              </w:tc>
            </w:tr>
          </w:tbl>
          <w:p w14:paraId="5E6DADF7">
            <w:pPr>
              <w:pStyle w:val="2"/>
              <w:rPr>
                <w:rFonts w:ascii="Times New Roman" w:hAnsi="Times New Roman"/>
              </w:rPr>
            </w:pPr>
          </w:p>
          <w:p w14:paraId="5B62E250">
            <w:pPr>
              <w:jc w:val="center"/>
              <w:rPr>
                <w:b/>
                <w:sz w:val="24"/>
              </w:rPr>
            </w:pPr>
            <w:r>
              <w:rPr>
                <w:b/>
                <w:sz w:val="24"/>
              </w:rPr>
              <w:t>表 1-7 有组织废气控制要求一览表</w:t>
            </w:r>
          </w:p>
          <w:tbl>
            <w:tblPr>
              <w:tblStyle w:val="25"/>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418"/>
              <w:gridCol w:w="850"/>
              <w:gridCol w:w="3409"/>
              <w:gridCol w:w="1734"/>
              <w:gridCol w:w="554"/>
            </w:tblGrid>
            <w:tr w14:paraId="322B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021" w:type="dxa"/>
                  <w:vAlign w:val="center"/>
                </w:tcPr>
                <w:p w14:paraId="1485258B">
                  <w:pPr>
                    <w:jc w:val="center"/>
                    <w:rPr>
                      <w:bCs/>
                      <w:szCs w:val="32"/>
                      <w:lang w:val="zh-CN" w:eastAsia="zh-CN"/>
                    </w:rPr>
                  </w:pPr>
                  <w:r>
                    <w:rPr>
                      <w:bCs/>
                      <w:szCs w:val="32"/>
                      <w:lang w:val="zh-CN"/>
                    </w:rPr>
                    <w:t>排放口</w:t>
                  </w:r>
                </w:p>
              </w:tc>
              <w:tc>
                <w:tcPr>
                  <w:tcW w:w="1418" w:type="dxa"/>
                  <w:vAlign w:val="center"/>
                </w:tcPr>
                <w:p w14:paraId="64F364DD">
                  <w:pPr>
                    <w:jc w:val="center"/>
                    <w:rPr>
                      <w:bCs/>
                      <w:szCs w:val="32"/>
                      <w:lang w:val="zh-CN" w:eastAsia="zh-CN"/>
                    </w:rPr>
                  </w:pPr>
                  <w:r>
                    <w:rPr>
                      <w:bCs/>
                      <w:szCs w:val="32"/>
                      <w:lang w:val="zh-CN"/>
                    </w:rPr>
                    <w:t>主要污染物</w:t>
                  </w:r>
                </w:p>
              </w:tc>
              <w:tc>
                <w:tcPr>
                  <w:tcW w:w="850" w:type="dxa"/>
                  <w:vAlign w:val="center"/>
                </w:tcPr>
                <w:p w14:paraId="686A1D92">
                  <w:pPr>
                    <w:jc w:val="center"/>
                    <w:rPr>
                      <w:bCs/>
                      <w:szCs w:val="32"/>
                      <w:lang w:val="zh-CN" w:eastAsia="zh-CN"/>
                    </w:rPr>
                  </w:pPr>
                  <w:r>
                    <w:rPr>
                      <w:bCs/>
                      <w:szCs w:val="32"/>
                      <w:lang w:val="zh-CN"/>
                    </w:rPr>
                    <w:t>燃料名称</w:t>
                  </w:r>
                </w:p>
              </w:tc>
              <w:tc>
                <w:tcPr>
                  <w:tcW w:w="3409" w:type="dxa"/>
                  <w:vAlign w:val="center"/>
                </w:tcPr>
                <w:p w14:paraId="5D5DE25E">
                  <w:pPr>
                    <w:jc w:val="center"/>
                    <w:rPr>
                      <w:bCs/>
                      <w:szCs w:val="32"/>
                      <w:lang w:val="zh-CN" w:eastAsia="zh-CN"/>
                    </w:rPr>
                  </w:pPr>
                  <w:r>
                    <w:rPr>
                      <w:kern w:val="0"/>
                      <w:szCs w:val="21"/>
                    </w:rPr>
                    <w:t>可行技术</w:t>
                  </w:r>
                </w:p>
              </w:tc>
              <w:tc>
                <w:tcPr>
                  <w:tcW w:w="1734" w:type="dxa"/>
                  <w:vAlign w:val="center"/>
                </w:tcPr>
                <w:p w14:paraId="196B216A">
                  <w:pPr>
                    <w:jc w:val="center"/>
                    <w:rPr>
                      <w:bCs/>
                      <w:szCs w:val="32"/>
                      <w:lang w:val="zh-CN" w:eastAsia="zh-CN"/>
                    </w:rPr>
                  </w:pPr>
                  <w:r>
                    <w:rPr>
                      <w:bCs/>
                      <w:szCs w:val="32"/>
                      <w:lang w:val="zh-CN" w:eastAsia="zh-CN"/>
                    </w:rPr>
                    <w:t>本项目情况</w:t>
                  </w:r>
                </w:p>
              </w:tc>
              <w:tc>
                <w:tcPr>
                  <w:tcW w:w="554" w:type="dxa"/>
                  <w:vAlign w:val="center"/>
                </w:tcPr>
                <w:p w14:paraId="23A9EC56">
                  <w:pPr>
                    <w:jc w:val="center"/>
                    <w:rPr>
                      <w:bCs/>
                      <w:szCs w:val="32"/>
                      <w:lang w:val="zh-CN" w:eastAsia="zh-CN"/>
                    </w:rPr>
                  </w:pPr>
                  <w:r>
                    <w:rPr>
                      <w:bCs/>
                      <w:szCs w:val="32"/>
                      <w:lang w:val="zh-CN" w:eastAsia="zh-CN"/>
                    </w:rPr>
                    <w:t>符合性</w:t>
                  </w:r>
                </w:p>
              </w:tc>
            </w:tr>
            <w:tr w14:paraId="53B3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1" w:type="dxa"/>
                  <w:vMerge w:val="restart"/>
                  <w:vAlign w:val="center"/>
                </w:tcPr>
                <w:p w14:paraId="70988101">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eastAsia="zh-CN"/>
                    </w:rPr>
                    <w:t>窑烟囱</w:t>
                  </w:r>
                </w:p>
              </w:tc>
              <w:tc>
                <w:tcPr>
                  <w:tcW w:w="1418" w:type="dxa"/>
                  <w:vAlign w:val="center"/>
                </w:tcPr>
                <w:p w14:paraId="38BC6672">
                  <w:pPr>
                    <w:kinsoku w:val="0"/>
                    <w:overflowPunct w:val="0"/>
                    <w:autoSpaceDE w:val="0"/>
                    <w:autoSpaceDN w:val="0"/>
                    <w:adjustRightInd w:val="0"/>
                    <w:jc w:val="center"/>
                    <w:rPr>
                      <w:rFonts w:eastAsia="新宋体"/>
                      <w:bCs/>
                      <w:kern w:val="0"/>
                      <w:szCs w:val="21"/>
                      <w:lang w:eastAsia="zh-CN"/>
                    </w:rPr>
                  </w:pPr>
                  <w:r>
                    <w:rPr>
                      <w:rFonts w:eastAsia="新宋体"/>
                      <w:bCs/>
                      <w:kern w:val="0"/>
                      <w:szCs w:val="21"/>
                    </w:rPr>
                    <w:t>颗粒物</w:t>
                  </w:r>
                </w:p>
              </w:tc>
              <w:tc>
                <w:tcPr>
                  <w:tcW w:w="850" w:type="dxa"/>
                  <w:vMerge w:val="restart"/>
                  <w:vAlign w:val="center"/>
                </w:tcPr>
                <w:p w14:paraId="4D7FDB2C">
                  <w:pPr>
                    <w:kinsoku w:val="0"/>
                    <w:overflowPunct w:val="0"/>
                    <w:autoSpaceDE w:val="0"/>
                    <w:autoSpaceDN w:val="0"/>
                    <w:adjustRightInd w:val="0"/>
                    <w:jc w:val="center"/>
                    <w:rPr>
                      <w:rFonts w:eastAsia="新宋体"/>
                      <w:bCs/>
                      <w:kern w:val="0"/>
                      <w:szCs w:val="21"/>
                      <w:lang w:val="zh-CN"/>
                    </w:rPr>
                  </w:pPr>
                  <w:r>
                    <w:rPr>
                      <w:rFonts w:eastAsia="新宋体"/>
                      <w:bCs/>
                      <w:kern w:val="0"/>
                      <w:szCs w:val="21"/>
                      <w:lang w:val="zh-CN"/>
                    </w:rPr>
                    <w:t>所有燃料</w:t>
                  </w:r>
                </w:p>
              </w:tc>
              <w:tc>
                <w:tcPr>
                  <w:tcW w:w="3409" w:type="dxa"/>
                  <w:vAlign w:val="center"/>
                </w:tcPr>
                <w:p w14:paraId="5032EC44">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袋式除尘、电除尘、电袋复合除尘、湿式电除尘等技术，可根据需要采用多级除尘。</w:t>
                  </w:r>
                </w:p>
              </w:tc>
              <w:tc>
                <w:tcPr>
                  <w:tcW w:w="1734" w:type="dxa"/>
                  <w:vMerge w:val="restart"/>
                  <w:vAlign w:val="center"/>
                </w:tcPr>
                <w:p w14:paraId="4565311C">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脱硫塔：双碱法脱硫工艺，，脱硫效率＞85%，除尘效率＞95%。</w:t>
                  </w:r>
                </w:p>
              </w:tc>
              <w:tc>
                <w:tcPr>
                  <w:tcW w:w="554" w:type="dxa"/>
                  <w:vAlign w:val="center"/>
                </w:tcPr>
                <w:p w14:paraId="2E5E112C">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符合</w:t>
                  </w:r>
                </w:p>
              </w:tc>
            </w:tr>
            <w:tr w14:paraId="2159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1" w:type="dxa"/>
                  <w:vMerge w:val="continue"/>
                  <w:vAlign w:val="center"/>
                </w:tcPr>
                <w:p w14:paraId="47D78776">
                  <w:pPr>
                    <w:kinsoku w:val="0"/>
                    <w:overflowPunct w:val="0"/>
                    <w:autoSpaceDE w:val="0"/>
                    <w:autoSpaceDN w:val="0"/>
                    <w:adjustRightInd w:val="0"/>
                    <w:jc w:val="center"/>
                    <w:rPr>
                      <w:rFonts w:eastAsia="新宋体"/>
                      <w:bCs/>
                      <w:kern w:val="0"/>
                      <w:szCs w:val="21"/>
                      <w:lang w:val="zh-CN" w:eastAsia="zh-CN"/>
                    </w:rPr>
                  </w:pPr>
                </w:p>
              </w:tc>
              <w:tc>
                <w:tcPr>
                  <w:tcW w:w="1418" w:type="dxa"/>
                  <w:vAlign w:val="center"/>
                </w:tcPr>
                <w:p w14:paraId="17601028">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rPr>
                    <w:t>二氧化硫</w:t>
                  </w:r>
                </w:p>
              </w:tc>
              <w:tc>
                <w:tcPr>
                  <w:tcW w:w="850" w:type="dxa"/>
                  <w:vMerge w:val="continue"/>
                  <w:vAlign w:val="center"/>
                </w:tcPr>
                <w:p w14:paraId="38DC00D1">
                  <w:pPr>
                    <w:kinsoku w:val="0"/>
                    <w:overflowPunct w:val="0"/>
                    <w:autoSpaceDE w:val="0"/>
                    <w:autoSpaceDN w:val="0"/>
                    <w:adjustRightInd w:val="0"/>
                    <w:jc w:val="center"/>
                    <w:rPr>
                      <w:rFonts w:eastAsia="新宋体"/>
                      <w:bCs/>
                      <w:kern w:val="0"/>
                      <w:szCs w:val="21"/>
                      <w:lang w:eastAsia="zh-CN"/>
                    </w:rPr>
                  </w:pPr>
                </w:p>
              </w:tc>
              <w:tc>
                <w:tcPr>
                  <w:tcW w:w="3409" w:type="dxa"/>
                  <w:vAlign w:val="center"/>
                </w:tcPr>
                <w:p w14:paraId="32A2A1F8">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湿法脱硫技术、干法/半干法脱硫技术等</w:t>
                  </w:r>
                </w:p>
              </w:tc>
              <w:tc>
                <w:tcPr>
                  <w:tcW w:w="1734" w:type="dxa"/>
                  <w:vMerge w:val="continue"/>
                  <w:vAlign w:val="center"/>
                </w:tcPr>
                <w:p w14:paraId="7DBAFDE3">
                  <w:pPr>
                    <w:kinsoku w:val="0"/>
                    <w:overflowPunct w:val="0"/>
                    <w:autoSpaceDE w:val="0"/>
                    <w:autoSpaceDN w:val="0"/>
                    <w:adjustRightInd w:val="0"/>
                    <w:jc w:val="center"/>
                    <w:rPr>
                      <w:rFonts w:eastAsia="新宋体"/>
                      <w:bCs/>
                      <w:kern w:val="0"/>
                      <w:szCs w:val="21"/>
                      <w:lang w:val="zh-CN" w:eastAsia="zh-CN"/>
                    </w:rPr>
                  </w:pPr>
                </w:p>
              </w:tc>
              <w:tc>
                <w:tcPr>
                  <w:tcW w:w="554" w:type="dxa"/>
                  <w:vAlign w:val="center"/>
                </w:tcPr>
                <w:p w14:paraId="67A38382">
                  <w:pPr>
                    <w:kinsoku w:val="0"/>
                    <w:overflowPunct w:val="0"/>
                    <w:autoSpaceDE w:val="0"/>
                    <w:autoSpaceDN w:val="0"/>
                    <w:adjustRightInd w:val="0"/>
                    <w:jc w:val="center"/>
                    <w:rPr>
                      <w:rFonts w:eastAsia="新宋体"/>
                      <w:bCs/>
                      <w:kern w:val="0"/>
                      <w:szCs w:val="21"/>
                      <w:lang w:val="zh-CN" w:eastAsia="zh-CN"/>
                    </w:rPr>
                  </w:pPr>
                  <w:r>
                    <w:rPr>
                      <w:rFonts w:eastAsia="新宋体"/>
                      <w:bCs/>
                      <w:kern w:val="0"/>
                      <w:szCs w:val="21"/>
                      <w:lang w:val="zh-CN" w:eastAsia="zh-CN"/>
                    </w:rPr>
                    <w:t>符合</w:t>
                  </w:r>
                </w:p>
              </w:tc>
            </w:tr>
          </w:tbl>
          <w:p w14:paraId="3525D5F2">
            <w:pPr>
              <w:pStyle w:val="21"/>
              <w:spacing w:line="360" w:lineRule="auto"/>
              <w:ind w:firstLine="480"/>
              <w:rPr>
                <w:sz w:val="24"/>
              </w:rPr>
            </w:pPr>
            <w:r>
              <w:rPr>
                <w:sz w:val="24"/>
              </w:rPr>
              <w:t>通过上表分析，项目与《排污许可证申请与核发技术规范  陶瓷砖瓦工业》(HJ954-2018)相关规定相符。</w:t>
            </w:r>
          </w:p>
          <w:p w14:paraId="0ACCB177">
            <w:pPr>
              <w:spacing w:line="360" w:lineRule="auto"/>
              <w:ind w:left="50" w:right="50" w:firstLine="482"/>
              <w:rPr>
                <w:b/>
                <w:sz w:val="24"/>
              </w:rPr>
            </w:pPr>
            <w:r>
              <w:rPr>
                <w:b/>
                <w:sz w:val="24"/>
              </w:rPr>
              <w:t>5、产业政策符合性分析</w:t>
            </w:r>
          </w:p>
          <w:p w14:paraId="67BFE07F">
            <w:pPr>
              <w:pStyle w:val="21"/>
              <w:spacing w:line="360" w:lineRule="auto"/>
              <w:ind w:firstLine="480"/>
              <w:rPr>
                <w:sz w:val="24"/>
                <w:szCs w:val="24"/>
              </w:rPr>
            </w:pPr>
            <w:r>
              <w:rPr>
                <w:sz w:val="24"/>
              </w:rPr>
              <w:t>本项目属于C3031 粘土砖瓦及建筑砌块制造，根据《产业结构调整指导目录（</w:t>
            </w:r>
            <w:r>
              <w:rPr>
                <w:rFonts w:eastAsia="Times New Roman"/>
                <w:sz w:val="24"/>
              </w:rPr>
              <w:t>2021</w:t>
            </w:r>
            <w:r>
              <w:rPr>
                <w:sz w:val="24"/>
              </w:rPr>
              <w:t>修订）》，本项目属于鼓励类中“十二、建材 1、利用不低于2000吨/日（含）新型干法水泥窑或不低于6000万块/年（含）新型烧结砖瓦生产线协同处置废弃物”，</w:t>
            </w:r>
            <w:r>
              <w:rPr>
                <w:sz w:val="24"/>
                <w:szCs w:val="24"/>
              </w:rPr>
              <w:t>因此，本项目建设符合国家产业政策。</w:t>
            </w:r>
          </w:p>
          <w:p w14:paraId="1F07D927">
            <w:pPr>
              <w:pStyle w:val="66"/>
              <w:spacing w:before="120" w:beforeLines="50" w:line="360" w:lineRule="auto"/>
              <w:ind w:firstLine="482" w:firstLineChars="200"/>
              <w:jc w:val="both"/>
              <w:rPr>
                <w:rFonts w:ascii="Times New Roman" w:hAnsi="Times New Roman" w:cs="Times New Roman"/>
                <w:b/>
                <w:bCs/>
                <w:kern w:val="2"/>
                <w:sz w:val="24"/>
                <w:szCs w:val="24"/>
                <w:lang w:eastAsia="zh-CN"/>
              </w:rPr>
            </w:pPr>
            <w:r>
              <w:rPr>
                <w:rFonts w:ascii="Times New Roman" w:hAnsi="Times New Roman" w:cs="Times New Roman"/>
                <w:b/>
                <w:bCs/>
                <w:kern w:val="2"/>
                <w:sz w:val="24"/>
                <w:szCs w:val="24"/>
                <w:lang w:eastAsia="zh-CN"/>
              </w:rPr>
              <w:t>6、环境相容性分析</w:t>
            </w:r>
          </w:p>
          <w:p w14:paraId="1E383D4C">
            <w:pPr>
              <w:spacing w:line="360" w:lineRule="auto"/>
              <w:ind w:firstLine="480" w:firstLineChars="200"/>
              <w:rPr>
                <w:sz w:val="24"/>
              </w:rPr>
            </w:pPr>
            <w:r>
              <w:rPr>
                <w:sz w:val="24"/>
              </w:rPr>
              <w:t>据现场调查，项目所在地不涉及自然保护区、风景名胜区、饮用水水源地保护区、世界文化和自然遗产地、森林公园、地质公园、天然林、珍稀濒危野生动植物天然集中分布区等生态环境敏感区分布。项目评价区域没有发现列入国家和省级重点保护的野生动植物及古树名木，也不是国家和云南省重点保护野生动物的栖息地、主要活动区及迁徙通道，本项目不占用林地、基本农田文物保护区范围等，符合环境功能区划要求。</w:t>
            </w:r>
          </w:p>
          <w:p w14:paraId="0F9D7895">
            <w:pPr>
              <w:spacing w:line="360" w:lineRule="auto"/>
              <w:ind w:firstLine="480" w:firstLineChars="200"/>
              <w:rPr>
                <w:bCs/>
                <w:sz w:val="24"/>
              </w:rPr>
            </w:pPr>
            <w:r>
              <w:rPr>
                <w:bCs/>
                <w:sz w:val="24"/>
              </w:rPr>
              <w:t>本项目用地为工矿用地，符合用地规划。</w:t>
            </w:r>
          </w:p>
          <w:p w14:paraId="0AAFAF4F">
            <w:pPr>
              <w:spacing w:line="360" w:lineRule="auto"/>
              <w:ind w:firstLine="480" w:firstLineChars="200"/>
              <w:rPr>
                <w:sz w:val="24"/>
              </w:rPr>
            </w:pPr>
            <w:r>
              <w:rPr>
                <w:sz w:val="24"/>
              </w:rPr>
              <w:t>本项目废水不外排，废气、噪声、固废采取相应的污染控制措施后， 均可实现达标排放，不会对区域环境产生明显影响，且项目所在地交通便利，项目外环境相对较简单，不存在明显的环境制约因素，且无重大外环境制约因素。</w:t>
            </w:r>
          </w:p>
          <w:p w14:paraId="181472E2">
            <w:pPr>
              <w:pStyle w:val="2"/>
              <w:jc w:val="center"/>
              <w:rPr>
                <w:rFonts w:ascii="Times New Roman" w:hAnsi="Times New Roman"/>
                <w:b/>
                <w:spacing w:val="-2"/>
                <w:sz w:val="24"/>
                <w:szCs w:val="24"/>
              </w:rPr>
            </w:pPr>
            <w:r>
              <w:rPr>
                <w:rFonts w:ascii="Times New Roman" w:hAnsi="Times New Roman"/>
                <w:b/>
                <w:spacing w:val="-5"/>
                <w:sz w:val="24"/>
                <w:szCs w:val="24"/>
              </w:rPr>
              <w:t xml:space="preserve">表 </w:t>
            </w:r>
            <w:r>
              <w:rPr>
                <w:rFonts w:ascii="Times New Roman" w:hAnsi="Times New Roman"/>
                <w:b/>
                <w:sz w:val="24"/>
                <w:szCs w:val="24"/>
              </w:rPr>
              <w:t xml:space="preserve">1-6  </w:t>
            </w:r>
            <w:r>
              <w:rPr>
                <w:rFonts w:ascii="Times New Roman" w:hAnsi="Times New Roman"/>
                <w:b/>
                <w:spacing w:val="-2"/>
                <w:sz w:val="24"/>
                <w:szCs w:val="24"/>
              </w:rPr>
              <w:t xml:space="preserve"> 周边关系</w:t>
            </w:r>
          </w:p>
          <w:tbl>
            <w:tblPr>
              <w:tblStyle w:val="25"/>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2769"/>
              <w:gridCol w:w="2532"/>
              <w:gridCol w:w="2207"/>
            </w:tblGrid>
            <w:tr w14:paraId="3AC3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478" w:type="dxa"/>
                  <w:vMerge w:val="restart"/>
                  <w:vAlign w:val="center"/>
                </w:tcPr>
                <w:p w14:paraId="62D7A4B6">
                  <w:pPr>
                    <w:autoSpaceDE w:val="0"/>
                    <w:autoSpaceDN w:val="0"/>
                    <w:adjustRightInd w:val="0"/>
                    <w:jc w:val="center"/>
                    <w:rPr>
                      <w:b/>
                      <w:szCs w:val="21"/>
                    </w:rPr>
                  </w:pPr>
                  <w:r>
                    <w:rPr>
                      <w:b/>
                      <w:szCs w:val="21"/>
                    </w:rPr>
                    <w:t>序号</w:t>
                  </w:r>
                </w:p>
              </w:tc>
              <w:tc>
                <w:tcPr>
                  <w:tcW w:w="2769" w:type="dxa"/>
                  <w:vMerge w:val="restart"/>
                  <w:vAlign w:val="center"/>
                </w:tcPr>
                <w:p w14:paraId="1BBEB1F4">
                  <w:pPr>
                    <w:autoSpaceDE w:val="0"/>
                    <w:autoSpaceDN w:val="0"/>
                    <w:adjustRightInd w:val="0"/>
                    <w:jc w:val="center"/>
                    <w:rPr>
                      <w:szCs w:val="21"/>
                    </w:rPr>
                  </w:pPr>
                  <w:r>
                    <w:rPr>
                      <w:b/>
                      <w:spacing w:val="-10"/>
                      <w:szCs w:val="21"/>
                    </w:rPr>
                    <w:t>保护目标</w:t>
                  </w:r>
                </w:p>
              </w:tc>
              <w:tc>
                <w:tcPr>
                  <w:tcW w:w="2532" w:type="dxa"/>
                  <w:vMerge w:val="restart"/>
                  <w:vAlign w:val="center"/>
                </w:tcPr>
                <w:p w14:paraId="6B8CC02C">
                  <w:pPr>
                    <w:jc w:val="center"/>
                    <w:rPr>
                      <w:b/>
                      <w:snapToGrid w:val="0"/>
                      <w:kern w:val="0"/>
                      <w:szCs w:val="21"/>
                    </w:rPr>
                  </w:pPr>
                  <w:r>
                    <w:rPr>
                      <w:b/>
                      <w:snapToGrid w:val="0"/>
                      <w:kern w:val="0"/>
                      <w:szCs w:val="21"/>
                    </w:rPr>
                    <w:t>与项目的相对方位</w:t>
                  </w:r>
                </w:p>
              </w:tc>
              <w:tc>
                <w:tcPr>
                  <w:tcW w:w="2207" w:type="dxa"/>
                  <w:vMerge w:val="restart"/>
                  <w:vAlign w:val="center"/>
                </w:tcPr>
                <w:p w14:paraId="1EBBCA0F">
                  <w:pPr>
                    <w:jc w:val="center"/>
                    <w:rPr>
                      <w:b/>
                      <w:snapToGrid w:val="0"/>
                      <w:kern w:val="0"/>
                      <w:szCs w:val="21"/>
                    </w:rPr>
                  </w:pPr>
                  <w:r>
                    <w:rPr>
                      <w:b/>
                      <w:snapToGrid w:val="0"/>
                      <w:kern w:val="0"/>
                      <w:szCs w:val="21"/>
                    </w:rPr>
                    <w:t>距离（m）</w:t>
                  </w:r>
                </w:p>
              </w:tc>
            </w:tr>
            <w:tr w14:paraId="650B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478" w:type="dxa"/>
                  <w:vMerge w:val="continue"/>
                  <w:vAlign w:val="center"/>
                </w:tcPr>
                <w:p w14:paraId="18365453">
                  <w:pPr>
                    <w:autoSpaceDE w:val="0"/>
                    <w:autoSpaceDN w:val="0"/>
                    <w:adjustRightInd w:val="0"/>
                    <w:jc w:val="center"/>
                    <w:rPr>
                      <w:b/>
                      <w:spacing w:val="-10"/>
                      <w:szCs w:val="21"/>
                    </w:rPr>
                  </w:pPr>
                </w:p>
              </w:tc>
              <w:tc>
                <w:tcPr>
                  <w:tcW w:w="2769" w:type="dxa"/>
                  <w:vMerge w:val="continue"/>
                  <w:vAlign w:val="center"/>
                </w:tcPr>
                <w:p w14:paraId="6BA451A9">
                  <w:pPr>
                    <w:autoSpaceDE w:val="0"/>
                    <w:autoSpaceDN w:val="0"/>
                    <w:adjustRightInd w:val="0"/>
                    <w:jc w:val="center"/>
                    <w:rPr>
                      <w:b/>
                      <w:spacing w:val="-10"/>
                      <w:szCs w:val="21"/>
                    </w:rPr>
                  </w:pPr>
                </w:p>
              </w:tc>
              <w:tc>
                <w:tcPr>
                  <w:tcW w:w="2532" w:type="dxa"/>
                  <w:vMerge w:val="continue"/>
                  <w:vAlign w:val="center"/>
                </w:tcPr>
                <w:p w14:paraId="7251EE7B">
                  <w:pPr>
                    <w:jc w:val="center"/>
                    <w:rPr>
                      <w:b/>
                      <w:snapToGrid w:val="0"/>
                      <w:kern w:val="0"/>
                      <w:szCs w:val="21"/>
                    </w:rPr>
                  </w:pPr>
                </w:p>
              </w:tc>
              <w:tc>
                <w:tcPr>
                  <w:tcW w:w="2207" w:type="dxa"/>
                  <w:vMerge w:val="continue"/>
                  <w:vAlign w:val="center"/>
                </w:tcPr>
                <w:p w14:paraId="34ABD907">
                  <w:pPr>
                    <w:jc w:val="center"/>
                    <w:rPr>
                      <w:b/>
                      <w:snapToGrid w:val="0"/>
                      <w:kern w:val="0"/>
                      <w:szCs w:val="21"/>
                    </w:rPr>
                  </w:pPr>
                </w:p>
              </w:tc>
            </w:tr>
            <w:tr w14:paraId="5932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8" w:type="dxa"/>
                  <w:vAlign w:val="center"/>
                </w:tcPr>
                <w:p w14:paraId="16C64D6E">
                  <w:pPr>
                    <w:autoSpaceDE w:val="0"/>
                    <w:autoSpaceDN w:val="0"/>
                    <w:adjustRightInd w:val="0"/>
                    <w:jc w:val="center"/>
                    <w:rPr>
                      <w:spacing w:val="-10"/>
                      <w:szCs w:val="21"/>
                    </w:rPr>
                  </w:pPr>
                  <w:r>
                    <w:rPr>
                      <w:spacing w:val="-10"/>
                      <w:szCs w:val="21"/>
                    </w:rPr>
                    <w:t>1</w:t>
                  </w:r>
                </w:p>
              </w:tc>
              <w:tc>
                <w:tcPr>
                  <w:tcW w:w="2769" w:type="dxa"/>
                  <w:vAlign w:val="center"/>
                </w:tcPr>
                <w:p w14:paraId="0946E2CD">
                  <w:pPr>
                    <w:jc w:val="center"/>
                    <w:rPr>
                      <w:snapToGrid w:val="0"/>
                      <w:kern w:val="0"/>
                      <w:szCs w:val="21"/>
                    </w:rPr>
                  </w:pPr>
                  <w:r>
                    <w:rPr>
                      <w:snapToGrid w:val="0"/>
                      <w:kern w:val="0"/>
                      <w:szCs w:val="21"/>
                    </w:rPr>
                    <w:t>南相章村</w:t>
                  </w:r>
                </w:p>
              </w:tc>
              <w:tc>
                <w:tcPr>
                  <w:tcW w:w="2532" w:type="dxa"/>
                  <w:vAlign w:val="center"/>
                </w:tcPr>
                <w:p w14:paraId="0F74FCD0">
                  <w:pPr>
                    <w:jc w:val="center"/>
                    <w:rPr>
                      <w:snapToGrid w:val="0"/>
                      <w:kern w:val="0"/>
                      <w:szCs w:val="21"/>
                    </w:rPr>
                  </w:pPr>
                  <w:r>
                    <w:rPr>
                      <w:snapToGrid w:val="0"/>
                      <w:kern w:val="0"/>
                      <w:szCs w:val="21"/>
                    </w:rPr>
                    <w:t>南侧</w:t>
                  </w:r>
                </w:p>
              </w:tc>
              <w:tc>
                <w:tcPr>
                  <w:tcW w:w="2207" w:type="dxa"/>
                  <w:vAlign w:val="center"/>
                </w:tcPr>
                <w:p w14:paraId="4FDE243E">
                  <w:pPr>
                    <w:jc w:val="center"/>
                    <w:rPr>
                      <w:snapToGrid w:val="0"/>
                      <w:kern w:val="0"/>
                      <w:szCs w:val="21"/>
                    </w:rPr>
                  </w:pPr>
                  <w:r>
                    <w:rPr>
                      <w:snapToGrid w:val="0"/>
                      <w:kern w:val="0"/>
                      <w:szCs w:val="21"/>
                    </w:rPr>
                    <w:t>218</w:t>
                  </w:r>
                </w:p>
              </w:tc>
            </w:tr>
            <w:tr w14:paraId="3641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8" w:type="dxa"/>
                  <w:vAlign w:val="center"/>
                </w:tcPr>
                <w:p w14:paraId="2BF77634">
                  <w:pPr>
                    <w:autoSpaceDE w:val="0"/>
                    <w:autoSpaceDN w:val="0"/>
                    <w:adjustRightInd w:val="0"/>
                    <w:jc w:val="center"/>
                    <w:rPr>
                      <w:spacing w:val="-10"/>
                      <w:szCs w:val="21"/>
                    </w:rPr>
                  </w:pPr>
                  <w:r>
                    <w:rPr>
                      <w:spacing w:val="-10"/>
                      <w:szCs w:val="21"/>
                    </w:rPr>
                    <w:t>2</w:t>
                  </w:r>
                </w:p>
              </w:tc>
              <w:tc>
                <w:tcPr>
                  <w:tcW w:w="2769" w:type="dxa"/>
                  <w:vAlign w:val="center"/>
                </w:tcPr>
                <w:p w14:paraId="155AAC62">
                  <w:pPr>
                    <w:jc w:val="center"/>
                    <w:rPr>
                      <w:snapToGrid w:val="0"/>
                      <w:kern w:val="0"/>
                      <w:szCs w:val="21"/>
                    </w:rPr>
                  </w:pPr>
                  <w:r>
                    <w:rPr>
                      <w:snapToGrid w:val="0"/>
                      <w:kern w:val="0"/>
                      <w:szCs w:val="21"/>
                    </w:rPr>
                    <w:t>芒市大河</w:t>
                  </w:r>
                </w:p>
              </w:tc>
              <w:tc>
                <w:tcPr>
                  <w:tcW w:w="2532" w:type="dxa"/>
                  <w:vAlign w:val="center"/>
                </w:tcPr>
                <w:p w14:paraId="2182F364">
                  <w:pPr>
                    <w:jc w:val="center"/>
                    <w:rPr>
                      <w:snapToGrid w:val="0"/>
                      <w:kern w:val="0"/>
                      <w:szCs w:val="21"/>
                    </w:rPr>
                  </w:pPr>
                  <w:r>
                    <w:rPr>
                      <w:snapToGrid w:val="0"/>
                      <w:kern w:val="0"/>
                      <w:szCs w:val="21"/>
                    </w:rPr>
                    <w:t>北侧</w:t>
                  </w:r>
                </w:p>
              </w:tc>
              <w:tc>
                <w:tcPr>
                  <w:tcW w:w="2207" w:type="dxa"/>
                  <w:vAlign w:val="center"/>
                </w:tcPr>
                <w:p w14:paraId="212EDC52">
                  <w:pPr>
                    <w:jc w:val="center"/>
                    <w:rPr>
                      <w:snapToGrid w:val="0"/>
                      <w:kern w:val="0"/>
                      <w:szCs w:val="21"/>
                    </w:rPr>
                  </w:pPr>
                  <w:r>
                    <w:rPr>
                      <w:snapToGrid w:val="0"/>
                      <w:kern w:val="0"/>
                      <w:szCs w:val="21"/>
                    </w:rPr>
                    <w:t>4700</w:t>
                  </w:r>
                </w:p>
              </w:tc>
            </w:tr>
          </w:tbl>
          <w:p w14:paraId="6D565F22">
            <w:pPr>
              <w:spacing w:line="360" w:lineRule="auto"/>
              <w:ind w:firstLine="480" w:firstLineChars="200"/>
              <w:rPr>
                <w:sz w:val="24"/>
              </w:rPr>
            </w:pPr>
            <w:r>
              <w:rPr>
                <w:sz w:val="24"/>
              </w:rPr>
              <w:t>因此，本项目与周边环境相容。</w:t>
            </w:r>
          </w:p>
          <w:p w14:paraId="014461BC">
            <w:pPr>
              <w:pStyle w:val="66"/>
              <w:spacing w:line="360" w:lineRule="auto"/>
              <w:ind w:firstLine="482" w:firstLineChars="200"/>
              <w:jc w:val="both"/>
              <w:rPr>
                <w:rFonts w:ascii="Times New Roman" w:hAnsi="Times New Roman" w:cs="Times New Roman"/>
                <w:b/>
                <w:bCs/>
                <w:kern w:val="2"/>
                <w:sz w:val="24"/>
                <w:szCs w:val="24"/>
                <w:lang w:eastAsia="zh-CN"/>
              </w:rPr>
            </w:pPr>
            <w:r>
              <w:rPr>
                <w:rFonts w:ascii="Times New Roman" w:hAnsi="Times New Roman" w:cs="Times New Roman"/>
                <w:b/>
                <w:bCs/>
                <w:kern w:val="2"/>
                <w:sz w:val="24"/>
                <w:szCs w:val="24"/>
                <w:lang w:eastAsia="zh-CN"/>
              </w:rPr>
              <w:t>6、平面布置合理性分析</w:t>
            </w:r>
          </w:p>
          <w:p w14:paraId="682490F9">
            <w:pPr>
              <w:autoSpaceDE w:val="0"/>
              <w:autoSpaceDN w:val="0"/>
              <w:adjustRightInd w:val="0"/>
              <w:spacing w:line="360" w:lineRule="auto"/>
              <w:ind w:firstLine="480" w:firstLineChars="200"/>
              <w:rPr>
                <w:sz w:val="24"/>
                <w:szCs w:val="32"/>
              </w:rPr>
            </w:pPr>
            <w:r>
              <w:rPr>
                <w:sz w:val="24"/>
                <w:szCs w:val="32"/>
              </w:rPr>
              <w:t>从项目总平布置图可以看出，项目根据厂区面积和生产流程合理布置了原料堆场、生产区、隧道窑及生活区，原料堆场位于厂区东北侧，紧邻项目破碎制砖</w:t>
            </w:r>
            <w:r>
              <w:rPr>
                <w:rFonts w:hint="eastAsia"/>
                <w:sz w:val="24"/>
                <w:szCs w:val="32"/>
                <w:lang w:val="en-US" w:eastAsia="zh-CN"/>
              </w:rPr>
              <w:t>车间</w:t>
            </w:r>
            <w:r>
              <w:rPr>
                <w:sz w:val="24"/>
                <w:szCs w:val="32"/>
              </w:rPr>
              <w:t>，破碎车间又紧邻隧道窑，位于整个厂区的西侧，方便原料输送，节省了劳动力；办公区在厂区，南侧，南侧与生产车间和隧道窑隔成品堆场，离生产车间和隧道窑均较远，可减少来自生产车间和隧道窑的废气、噪声影响；成品堆场位于西侧，西侧成品堆场紧邻隧道窑，方便成品堆放，在满足生产工艺的前提下，合理利用场地，力求减少运输距离， 节约用地。</w:t>
            </w:r>
          </w:p>
          <w:p w14:paraId="4AB025F2">
            <w:pPr>
              <w:autoSpaceDE w:val="0"/>
              <w:autoSpaceDN w:val="0"/>
              <w:adjustRightInd w:val="0"/>
              <w:spacing w:line="360" w:lineRule="auto"/>
              <w:ind w:firstLine="480" w:firstLineChars="200"/>
              <w:rPr>
                <w:sz w:val="24"/>
                <w:szCs w:val="32"/>
              </w:rPr>
            </w:pPr>
            <w:r>
              <w:rPr>
                <w:sz w:val="24"/>
                <w:szCs w:val="32"/>
              </w:rPr>
              <w:t>综上所述，本项目砖厂平面布置方案能够满足生产需要，平面布置较为合理。</w:t>
            </w:r>
          </w:p>
          <w:p w14:paraId="28F12355">
            <w:pPr>
              <w:pStyle w:val="66"/>
              <w:spacing w:line="360" w:lineRule="auto"/>
              <w:ind w:firstLine="482" w:firstLineChars="200"/>
              <w:jc w:val="both"/>
              <w:rPr>
                <w:rFonts w:ascii="Times New Roman" w:hAnsi="Times New Roman" w:cs="Times New Roman"/>
                <w:b/>
                <w:bCs/>
                <w:kern w:val="2"/>
                <w:sz w:val="24"/>
                <w:szCs w:val="24"/>
                <w:lang w:eastAsia="zh-CN"/>
              </w:rPr>
            </w:pPr>
            <w:r>
              <w:rPr>
                <w:rFonts w:ascii="Times New Roman" w:hAnsi="Times New Roman" w:cs="Times New Roman"/>
                <w:b/>
                <w:bCs/>
                <w:kern w:val="2"/>
                <w:sz w:val="24"/>
                <w:szCs w:val="24"/>
                <w:lang w:eastAsia="zh-CN"/>
              </w:rPr>
              <w:t>7、选址合理性分析</w:t>
            </w:r>
          </w:p>
          <w:p w14:paraId="48FAA87E">
            <w:pPr>
              <w:pStyle w:val="66"/>
              <w:spacing w:line="364" w:lineRule="auto"/>
              <w:ind w:right="83"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本项目位于云南省德宏州芒市风平镇帕底村委会南相章村民小组（原有厂区扩建）。</w:t>
            </w:r>
          </w:p>
          <w:p w14:paraId="3FF20F68">
            <w:pPr>
              <w:autoSpaceDE w:val="0"/>
              <w:autoSpaceDN w:val="0"/>
              <w:adjustRightInd w:val="0"/>
              <w:spacing w:line="360" w:lineRule="auto"/>
              <w:ind w:firstLine="480" w:firstLineChars="200"/>
              <w:rPr>
                <w:sz w:val="24"/>
                <w:szCs w:val="32"/>
              </w:rPr>
            </w:pPr>
            <w:r>
              <w:rPr>
                <w:rFonts w:hint="eastAsia" w:ascii="宋体" w:hAnsi="宋体" w:cs="宋体"/>
                <w:sz w:val="24"/>
                <w:szCs w:val="32"/>
              </w:rPr>
              <w:t>①</w:t>
            </w:r>
            <w:r>
              <w:rPr>
                <w:sz w:val="24"/>
                <w:szCs w:val="32"/>
              </w:rPr>
              <w:t>场址不涉及国务院、国家有关部门、省（自治区、直辖市）人民政府、县人民政府规定的饮用水水源保护区、自然保护区、风景名胜区、生态功能保护区、水土流失重点防治区、森林公园、地质公园、世界遗产地、国家重点文物保护单位、历史文化保护地，项目区域内无国家规定的保护动植物。</w:t>
            </w:r>
          </w:p>
          <w:p w14:paraId="18EDFD17">
            <w:pPr>
              <w:adjustRightInd w:val="0"/>
              <w:snapToGrid w:val="0"/>
              <w:spacing w:line="360" w:lineRule="auto"/>
              <w:ind w:firstLine="480" w:firstLineChars="200"/>
              <w:rPr>
                <w:sz w:val="24"/>
              </w:rPr>
            </w:pPr>
            <w:r>
              <w:rPr>
                <w:rFonts w:hint="eastAsia" w:ascii="宋体" w:hAnsi="宋体" w:cs="宋体"/>
                <w:sz w:val="24"/>
              </w:rPr>
              <w:t>②</w:t>
            </w:r>
            <w:r>
              <w:rPr>
                <w:sz w:val="24"/>
              </w:rPr>
              <w:t>根据环境质量现状调查及现状监测，本项目所在区域环境空气质量满足《环境空气质量标准》（GB3095-2012）中二级标准的要求，项目所在地生态环境一般。环境质量满足功能区划要求，且有一定的环境容量。</w:t>
            </w:r>
          </w:p>
          <w:p w14:paraId="0FEE061E">
            <w:pPr>
              <w:spacing w:line="360" w:lineRule="auto"/>
              <w:ind w:firstLine="480" w:firstLineChars="200"/>
              <w:jc w:val="left"/>
              <w:rPr>
                <w:sz w:val="24"/>
                <w:szCs w:val="32"/>
              </w:rPr>
            </w:pPr>
            <w:r>
              <w:rPr>
                <w:rFonts w:hint="eastAsia" w:ascii="宋体" w:hAnsi="宋体" w:cs="宋体"/>
                <w:sz w:val="24"/>
              </w:rPr>
              <w:t>③</w:t>
            </w:r>
            <w:r>
              <w:rPr>
                <w:sz w:val="24"/>
              </w:rPr>
              <w:t>本</w:t>
            </w:r>
            <w:r>
              <w:rPr>
                <w:sz w:val="24"/>
                <w:lang w:val="zh-CN"/>
              </w:rPr>
              <w:t>项目</w:t>
            </w:r>
            <w:r>
              <w:rPr>
                <w:snapToGrid w:val="0"/>
                <w:kern w:val="0"/>
                <w:sz w:val="24"/>
                <w:szCs w:val="28"/>
              </w:rPr>
              <w:t>正常排放情况下，污染物达标排放，</w:t>
            </w:r>
            <w:r>
              <w:rPr>
                <w:sz w:val="24"/>
                <w:szCs w:val="32"/>
              </w:rPr>
              <w:t>项目附近居民较少，500m范围内仅为南相章村村，距离较远，符合相关文件的选址要求。</w:t>
            </w:r>
          </w:p>
          <w:p w14:paraId="47422AF1">
            <w:pPr>
              <w:autoSpaceDE w:val="0"/>
              <w:autoSpaceDN w:val="0"/>
              <w:adjustRightInd w:val="0"/>
              <w:spacing w:line="360" w:lineRule="auto"/>
              <w:ind w:firstLine="480" w:firstLineChars="200"/>
              <w:rPr>
                <w:sz w:val="24"/>
                <w:szCs w:val="32"/>
              </w:rPr>
            </w:pPr>
            <w:r>
              <w:rPr>
                <w:sz w:val="24"/>
                <w:szCs w:val="32"/>
              </w:rPr>
              <w:t>项目产生的废气、噪声、废水对环境敏感目标影响不大。</w:t>
            </w:r>
          </w:p>
          <w:p w14:paraId="2A7F84A3">
            <w:pPr>
              <w:autoSpaceDE w:val="0"/>
              <w:autoSpaceDN w:val="0"/>
              <w:adjustRightInd w:val="0"/>
              <w:spacing w:line="360" w:lineRule="auto"/>
              <w:ind w:firstLine="480" w:firstLineChars="200"/>
              <w:rPr>
                <w:sz w:val="24"/>
              </w:rPr>
            </w:pPr>
            <w:r>
              <w:rPr>
                <w:sz w:val="24"/>
                <w:szCs w:val="32"/>
              </w:rPr>
              <w:t>综上，项目拟采用的环保措施可实现污染物达标排放和环境污染防控的目的，且项目选址符合“三线一单”的管理要求，此外项目的建设可提供工作岗位，能促进当地经济发展，属于鼓励类项目，从环境保护的角度而言</w:t>
            </w:r>
            <w:r>
              <w:rPr>
                <w:sz w:val="24"/>
              </w:rPr>
              <w:t>，</w:t>
            </w:r>
            <w:r>
              <w:rPr>
                <w:sz w:val="24"/>
                <w:szCs w:val="32"/>
              </w:rPr>
              <w:t>项目选址合理。</w:t>
            </w:r>
          </w:p>
          <w:p w14:paraId="170B1060">
            <w:pPr>
              <w:adjustRightInd w:val="0"/>
              <w:snapToGrid w:val="0"/>
              <w:spacing w:line="360" w:lineRule="auto"/>
              <w:ind w:firstLine="480" w:firstLineChars="200"/>
              <w:rPr>
                <w:sz w:val="24"/>
              </w:rPr>
            </w:pPr>
          </w:p>
        </w:tc>
      </w:tr>
    </w:tbl>
    <w:p w14:paraId="504B2356">
      <w:pPr>
        <w:spacing w:line="360" w:lineRule="auto"/>
        <w:rPr>
          <w:sz w:val="30"/>
        </w:rPr>
        <w:sectPr>
          <w:footerReference r:id="rId4" w:type="default"/>
          <w:pgSz w:w="11906" w:h="16838"/>
          <w:pgMar w:top="1134" w:right="1134" w:bottom="1134" w:left="1134" w:header="851" w:footer="1077" w:gutter="0"/>
          <w:pgNumType w:start="1"/>
          <w:cols w:space="720" w:num="1"/>
          <w:docGrid w:linePitch="312" w:charSpace="0"/>
        </w:sectPr>
      </w:pPr>
    </w:p>
    <w:p w14:paraId="67932282">
      <w:pPr>
        <w:pStyle w:val="20"/>
        <w:spacing w:before="0" w:beforeAutospacing="0" w:after="0" w:afterAutospacing="0"/>
        <w:jc w:val="center"/>
        <w:outlineLvl w:val="0"/>
        <w:rPr>
          <w:rFonts w:ascii="Times New Roman" w:hAnsi="Times New Roman"/>
          <w:b/>
          <w:bCs/>
          <w:snapToGrid w:val="0"/>
          <w:sz w:val="32"/>
          <w:szCs w:val="32"/>
        </w:rPr>
      </w:pPr>
      <w:bookmarkStart w:id="2" w:name="_Toc6077"/>
      <w:bookmarkStart w:id="3" w:name="_Toc101052671"/>
      <w:r>
        <w:rPr>
          <w:rFonts w:ascii="Times New Roman" w:hAnsi="Times New Roman"/>
          <w:b/>
          <w:bCs/>
          <w:snapToGrid w:val="0"/>
          <w:sz w:val="32"/>
          <w:szCs w:val="32"/>
        </w:rPr>
        <w:t>二、建设项目工程分析</w:t>
      </w:r>
      <w:bookmarkEnd w:id="2"/>
      <w:bookmarkEnd w:id="3"/>
    </w:p>
    <w:tbl>
      <w:tblPr>
        <w:tblStyle w:val="25"/>
        <w:tblW w:w="104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9968"/>
      </w:tblGrid>
      <w:tr w14:paraId="54C67C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457" w:type="dxa"/>
            <w:vAlign w:val="center"/>
          </w:tcPr>
          <w:p w14:paraId="4DD5A93E">
            <w:pPr>
              <w:pStyle w:val="20"/>
              <w:adjustRightInd w:val="0"/>
              <w:snapToGrid w:val="0"/>
              <w:spacing w:before="0" w:beforeAutospacing="0" w:after="0" w:afterAutospacing="0"/>
              <w:jc w:val="center"/>
              <w:rPr>
                <w:rFonts w:ascii="Times New Roman" w:hAnsi="Times New Roman"/>
                <w:b/>
                <w:bCs/>
                <w:szCs w:val="24"/>
              </w:rPr>
            </w:pPr>
            <w:r>
              <w:rPr>
                <w:rFonts w:ascii="Times New Roman" w:hAnsi="Times New Roman"/>
                <w:b/>
                <w:bCs/>
                <w:szCs w:val="24"/>
              </w:rPr>
              <w:t>建设内容</w:t>
            </w:r>
          </w:p>
        </w:tc>
        <w:tc>
          <w:tcPr>
            <w:tcW w:w="9968" w:type="dxa"/>
            <w:vAlign w:val="center"/>
          </w:tcPr>
          <w:p w14:paraId="2BF60A3A">
            <w:pPr>
              <w:pStyle w:val="53"/>
              <w:spacing w:line="360" w:lineRule="auto"/>
              <w:ind w:firstLine="482" w:firstLineChars="200"/>
              <w:rPr>
                <w:rFonts w:ascii="Times New Roman" w:hAnsi="Times New Roman"/>
                <w:b/>
                <w:sz w:val="24"/>
                <w:szCs w:val="24"/>
              </w:rPr>
            </w:pPr>
            <w:r>
              <w:rPr>
                <w:rFonts w:ascii="Times New Roman" w:hAnsi="Times New Roman"/>
                <w:b/>
                <w:sz w:val="24"/>
                <w:szCs w:val="24"/>
              </w:rPr>
              <w:t>1、项目由来</w:t>
            </w:r>
          </w:p>
          <w:p w14:paraId="52D192EE">
            <w:pPr>
              <w:spacing w:line="360" w:lineRule="auto"/>
              <w:ind w:firstLine="482" w:firstLineChars="200"/>
              <w:rPr>
                <w:b/>
                <w:sz w:val="24"/>
              </w:rPr>
            </w:pPr>
            <w:r>
              <w:rPr>
                <w:b/>
                <w:sz w:val="24"/>
              </w:rPr>
              <w:t>（1）项目概况</w:t>
            </w:r>
          </w:p>
          <w:p w14:paraId="6734B3B6">
            <w:pPr>
              <w:spacing w:line="360" w:lineRule="auto"/>
              <w:ind w:firstLine="480" w:firstLineChars="200"/>
              <w:jc w:val="left"/>
              <w:rPr>
                <w:sz w:val="24"/>
              </w:rPr>
            </w:pPr>
            <w:r>
              <w:rPr>
                <w:sz w:val="24"/>
              </w:rPr>
              <w:t>2008年7月取得潞西市环境保护局关于对《潞西市风平镇南相章页岩砖厂环境影响报告表的批复》（潞环许准〔2008〕08号）。</w:t>
            </w:r>
          </w:p>
          <w:p w14:paraId="6854899C">
            <w:pPr>
              <w:spacing w:line="360" w:lineRule="auto"/>
              <w:ind w:firstLine="480" w:firstLineChars="200"/>
              <w:jc w:val="left"/>
              <w:rPr>
                <w:bCs/>
                <w:sz w:val="24"/>
              </w:rPr>
            </w:pPr>
            <w:r>
              <w:rPr>
                <w:sz w:val="24"/>
              </w:rPr>
              <w:t>2013年3月取得芒市环境保护局关于对《芒市风平镇永发页岩砖厂项目竣工环境保护验收的批复》（芒环复〔2013〕23号）</w:t>
            </w:r>
            <w:r>
              <w:rPr>
                <w:bCs/>
                <w:sz w:val="24"/>
              </w:rPr>
              <w:t>。</w:t>
            </w:r>
          </w:p>
          <w:p w14:paraId="675D678A">
            <w:pPr>
              <w:spacing w:line="360" w:lineRule="auto"/>
              <w:ind w:firstLine="480" w:firstLineChars="200"/>
              <w:jc w:val="left"/>
              <w:rPr>
                <w:bCs/>
                <w:sz w:val="24"/>
              </w:rPr>
            </w:pPr>
            <w:r>
              <w:rPr>
                <w:bCs/>
                <w:sz w:val="24"/>
              </w:rPr>
              <w:t>2020年6月取得德宏傣族景颇族自治州生态环境局排污许可证，证书编号：91533103MA6NEY2Y9K001V；</w:t>
            </w:r>
          </w:p>
          <w:p w14:paraId="0A2D52DA">
            <w:pPr>
              <w:spacing w:line="360" w:lineRule="auto"/>
              <w:ind w:firstLine="480" w:firstLineChars="200"/>
              <w:jc w:val="left"/>
              <w:rPr>
                <w:bCs/>
                <w:sz w:val="24"/>
              </w:rPr>
            </w:pPr>
            <w:r>
              <w:rPr>
                <w:bCs/>
                <w:sz w:val="24"/>
              </w:rPr>
              <w:t>2022年5月，取得芒市发展和改革局关于《芒市吉盛建材中心节能环保改造项目》的项目代码，</w:t>
            </w:r>
            <w:r>
              <w:rPr>
                <w:sz w:val="24"/>
              </w:rPr>
              <w:t>2205-533103-04-02-298291</w:t>
            </w:r>
            <w:r>
              <w:rPr>
                <w:bCs/>
                <w:sz w:val="24"/>
              </w:rPr>
              <w:t>；</w:t>
            </w:r>
          </w:p>
          <w:p w14:paraId="29A4A0B3">
            <w:pPr>
              <w:pStyle w:val="97"/>
              <w:spacing w:line="360" w:lineRule="auto"/>
              <w:ind w:firstLine="482"/>
              <w:rPr>
                <w:rFonts w:ascii="Times New Roman"/>
                <w:sz w:val="24"/>
                <w:szCs w:val="24"/>
                <w:lang w:val="en-US"/>
              </w:rPr>
            </w:pPr>
            <w:r>
              <w:rPr>
                <w:rFonts w:ascii="Times New Roman"/>
                <w:b/>
                <w:sz w:val="24"/>
                <w:lang w:val="en-US"/>
              </w:rPr>
              <w:t>（2）</w:t>
            </w:r>
            <w:r>
              <w:rPr>
                <w:rFonts w:ascii="Times New Roman"/>
                <w:b/>
                <w:bCs/>
                <w:sz w:val="24"/>
                <w:szCs w:val="24"/>
                <w:lang w:val="en-US"/>
              </w:rPr>
              <w:t>本项目环评工作程序</w:t>
            </w:r>
          </w:p>
          <w:p w14:paraId="703421C2">
            <w:pPr>
              <w:pStyle w:val="97"/>
              <w:spacing w:line="360" w:lineRule="auto"/>
              <w:ind w:firstLine="480"/>
              <w:rPr>
                <w:rFonts w:ascii="Times New Roman"/>
                <w:sz w:val="24"/>
              </w:rPr>
            </w:pPr>
            <w:r>
              <w:rPr>
                <w:rFonts w:ascii="Times New Roman"/>
                <w:sz w:val="24"/>
                <w:szCs w:val="24"/>
              </w:rPr>
              <w:t>根据《中华人民共和国环境保护法》、《中华人民共和国环境影响评价法》、《建设项目环境保护管理条例》、《建设项目环境影响评价分类管理名录》（</w:t>
            </w:r>
            <w:r>
              <w:rPr>
                <w:rFonts w:ascii="Times New Roman"/>
                <w:sz w:val="24"/>
                <w:szCs w:val="24"/>
                <w:lang w:val="en-US"/>
              </w:rPr>
              <w:t>2021年版</w:t>
            </w:r>
            <w:r>
              <w:rPr>
                <w:rFonts w:ascii="Times New Roman"/>
                <w:sz w:val="24"/>
                <w:szCs w:val="24"/>
              </w:rPr>
              <w:t>），本项目属于分类管理名录中“</w:t>
            </w:r>
            <w:r>
              <w:rPr>
                <w:rFonts w:ascii="Times New Roman"/>
                <w:sz w:val="24"/>
                <w:szCs w:val="24"/>
                <w:lang w:val="en-US"/>
              </w:rPr>
              <w:t>56</w:t>
            </w:r>
            <w:r>
              <w:rPr>
                <w:rFonts w:ascii="Times New Roman"/>
                <w:sz w:val="24"/>
                <w:szCs w:val="24"/>
              </w:rPr>
              <w:t xml:space="preserve"> </w:t>
            </w:r>
            <w:r>
              <w:rPr>
                <w:rFonts w:ascii="Times New Roman"/>
                <w:sz w:val="24"/>
                <w:lang w:val="en-US"/>
              </w:rPr>
              <w:t>砖瓦、石材等建筑材</w:t>
            </w:r>
            <w:r>
              <w:rPr>
                <w:rFonts w:ascii="Times New Roman"/>
                <w:sz w:val="24"/>
                <w:szCs w:val="24"/>
                <w:lang w:val="en-US"/>
              </w:rPr>
              <w:t>料制造 303 中“粘土砖瓦及建筑砌块制造”，</w:t>
            </w:r>
            <w:r>
              <w:rPr>
                <w:rFonts w:ascii="Times New Roman"/>
                <w:sz w:val="24"/>
              </w:rPr>
              <w:t>本项目应编制环境影响报告表。</w:t>
            </w:r>
          </w:p>
          <w:p w14:paraId="1541C6AD">
            <w:pPr>
              <w:pStyle w:val="97"/>
              <w:ind w:firstLine="0" w:firstLineChars="0"/>
              <w:jc w:val="center"/>
              <w:rPr>
                <w:rFonts w:ascii="Times New Roman"/>
                <w:sz w:val="24"/>
                <w:lang w:val="en-US"/>
              </w:rPr>
            </w:pPr>
            <w:r>
              <w:rPr>
                <w:rFonts w:ascii="Times New Roman"/>
                <w:b/>
                <w:bCs/>
                <w:sz w:val="24"/>
                <w:lang w:val="en-US"/>
              </w:rPr>
              <w:t>表2-1  环评类别一览表</w:t>
            </w:r>
          </w:p>
          <w:tbl>
            <w:tblPr>
              <w:tblStyle w:val="25"/>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3572"/>
              <w:gridCol w:w="1157"/>
              <w:gridCol w:w="3128"/>
              <w:gridCol w:w="1044"/>
            </w:tblGrid>
            <w:tr w14:paraId="4517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409" w:type="dxa"/>
                  <w:gridSpan w:val="2"/>
                  <w:tcBorders>
                    <w:tl2br w:val="single" w:color="auto" w:sz="4" w:space="0"/>
                  </w:tcBorders>
                  <w:vAlign w:val="center"/>
                </w:tcPr>
                <w:p w14:paraId="563DF0D2">
                  <w:pPr>
                    <w:tabs>
                      <w:tab w:val="left" w:pos="2395"/>
                    </w:tabs>
                    <w:jc w:val="right"/>
                    <w:rPr>
                      <w:b/>
                      <w:bCs/>
                      <w:szCs w:val="21"/>
                    </w:rPr>
                  </w:pPr>
                  <w:r>
                    <w:rPr>
                      <w:b/>
                      <w:bCs/>
                      <w:szCs w:val="21"/>
                    </w:rPr>
                    <w:t xml:space="preserve">            环评类别</w:t>
                  </w:r>
                </w:p>
                <w:p w14:paraId="293AAAC7">
                  <w:pPr>
                    <w:tabs>
                      <w:tab w:val="left" w:pos="2395"/>
                    </w:tabs>
                    <w:jc w:val="left"/>
                    <w:rPr>
                      <w:b/>
                      <w:bCs/>
                      <w:szCs w:val="21"/>
                    </w:rPr>
                  </w:pPr>
                  <w:r>
                    <w:rPr>
                      <w:b/>
                      <w:bCs/>
                      <w:szCs w:val="21"/>
                    </w:rPr>
                    <w:t>项目类别</w:t>
                  </w:r>
                </w:p>
              </w:tc>
              <w:tc>
                <w:tcPr>
                  <w:tcW w:w="1157" w:type="dxa"/>
                  <w:vAlign w:val="center"/>
                </w:tcPr>
                <w:p w14:paraId="46BA3AFC">
                  <w:pPr>
                    <w:tabs>
                      <w:tab w:val="left" w:pos="2395"/>
                    </w:tabs>
                    <w:jc w:val="center"/>
                    <w:rPr>
                      <w:b/>
                      <w:bCs/>
                      <w:szCs w:val="21"/>
                    </w:rPr>
                  </w:pPr>
                  <w:r>
                    <w:rPr>
                      <w:b/>
                      <w:bCs/>
                      <w:szCs w:val="21"/>
                    </w:rPr>
                    <w:t>报告书</w:t>
                  </w:r>
                </w:p>
              </w:tc>
              <w:tc>
                <w:tcPr>
                  <w:tcW w:w="3128" w:type="dxa"/>
                  <w:vAlign w:val="center"/>
                </w:tcPr>
                <w:p w14:paraId="1C64B22D">
                  <w:pPr>
                    <w:tabs>
                      <w:tab w:val="left" w:pos="2395"/>
                    </w:tabs>
                    <w:jc w:val="center"/>
                    <w:rPr>
                      <w:b/>
                      <w:bCs/>
                      <w:szCs w:val="21"/>
                    </w:rPr>
                  </w:pPr>
                  <w:r>
                    <w:rPr>
                      <w:b/>
                      <w:bCs/>
                      <w:szCs w:val="21"/>
                    </w:rPr>
                    <w:t>报告表</w:t>
                  </w:r>
                </w:p>
              </w:tc>
              <w:tc>
                <w:tcPr>
                  <w:tcW w:w="1044" w:type="dxa"/>
                  <w:vAlign w:val="center"/>
                </w:tcPr>
                <w:p w14:paraId="3DA4CA68">
                  <w:pPr>
                    <w:tabs>
                      <w:tab w:val="left" w:pos="2395"/>
                    </w:tabs>
                    <w:jc w:val="center"/>
                    <w:rPr>
                      <w:b/>
                      <w:bCs/>
                      <w:szCs w:val="21"/>
                    </w:rPr>
                  </w:pPr>
                  <w:r>
                    <w:rPr>
                      <w:b/>
                      <w:bCs/>
                      <w:szCs w:val="21"/>
                    </w:rPr>
                    <w:t>登记表</w:t>
                  </w:r>
                </w:p>
              </w:tc>
            </w:tr>
            <w:tr w14:paraId="5B11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9738" w:type="dxa"/>
                  <w:gridSpan w:val="5"/>
                  <w:vAlign w:val="center"/>
                </w:tcPr>
                <w:p w14:paraId="7956020E">
                  <w:pPr>
                    <w:tabs>
                      <w:tab w:val="left" w:pos="2395"/>
                    </w:tabs>
                    <w:jc w:val="center"/>
                    <w:rPr>
                      <w:bCs/>
                      <w:szCs w:val="21"/>
                    </w:rPr>
                  </w:pPr>
                  <w:r>
                    <w:rPr>
                      <w:b/>
                      <w:szCs w:val="21"/>
                    </w:rPr>
                    <w:t>五十 社会事业与服务业</w:t>
                  </w:r>
                </w:p>
              </w:tc>
            </w:tr>
            <w:tr w14:paraId="594A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 w:type="dxa"/>
                  <w:vAlign w:val="center"/>
                </w:tcPr>
                <w:p w14:paraId="450F8B49">
                  <w:pPr>
                    <w:tabs>
                      <w:tab w:val="left" w:pos="2395"/>
                    </w:tabs>
                    <w:jc w:val="center"/>
                    <w:rPr>
                      <w:bCs/>
                      <w:szCs w:val="21"/>
                    </w:rPr>
                  </w:pPr>
                  <w:r>
                    <w:rPr>
                      <w:bCs/>
                      <w:szCs w:val="21"/>
                    </w:rPr>
                    <w:t>56</w:t>
                  </w:r>
                </w:p>
              </w:tc>
              <w:tc>
                <w:tcPr>
                  <w:tcW w:w="3572" w:type="dxa"/>
                  <w:vAlign w:val="center"/>
                </w:tcPr>
                <w:p w14:paraId="78B87F8F">
                  <w:pPr>
                    <w:widowControl/>
                    <w:jc w:val="center"/>
                    <w:rPr>
                      <w:szCs w:val="21"/>
                    </w:rPr>
                  </w:pPr>
                  <w:r>
                    <w:rPr>
                      <w:szCs w:val="21"/>
                    </w:rPr>
                    <w:t>砖瓦、石材等建筑材料制造</w:t>
                  </w:r>
                </w:p>
              </w:tc>
              <w:tc>
                <w:tcPr>
                  <w:tcW w:w="1157" w:type="dxa"/>
                  <w:vAlign w:val="center"/>
                </w:tcPr>
                <w:p w14:paraId="1487E241">
                  <w:pPr>
                    <w:tabs>
                      <w:tab w:val="left" w:pos="2395"/>
                    </w:tabs>
                    <w:jc w:val="center"/>
                    <w:rPr>
                      <w:bCs/>
                      <w:szCs w:val="21"/>
                    </w:rPr>
                  </w:pPr>
                  <w:r>
                    <w:rPr>
                      <w:bCs/>
                      <w:szCs w:val="21"/>
                    </w:rPr>
                    <w:t>/</w:t>
                  </w:r>
                </w:p>
              </w:tc>
              <w:tc>
                <w:tcPr>
                  <w:tcW w:w="3128" w:type="dxa"/>
                  <w:vAlign w:val="center"/>
                </w:tcPr>
                <w:p w14:paraId="145E77C2">
                  <w:pPr>
                    <w:tabs>
                      <w:tab w:val="left" w:pos="2395"/>
                    </w:tabs>
                    <w:jc w:val="center"/>
                    <w:rPr>
                      <w:bCs/>
                      <w:szCs w:val="21"/>
                    </w:rPr>
                  </w:pPr>
                  <w:r>
                    <w:rPr>
                      <w:b/>
                      <w:szCs w:val="21"/>
                    </w:rPr>
                    <w:t>粘土砖瓦及建筑砌块制造</w:t>
                  </w:r>
                </w:p>
              </w:tc>
              <w:tc>
                <w:tcPr>
                  <w:tcW w:w="1044" w:type="dxa"/>
                  <w:vAlign w:val="center"/>
                </w:tcPr>
                <w:p w14:paraId="01C705BD">
                  <w:pPr>
                    <w:tabs>
                      <w:tab w:val="left" w:pos="2395"/>
                    </w:tabs>
                    <w:jc w:val="center"/>
                    <w:rPr>
                      <w:bCs/>
                      <w:szCs w:val="21"/>
                    </w:rPr>
                  </w:pPr>
                  <w:r>
                    <w:rPr>
                      <w:bCs/>
                      <w:szCs w:val="21"/>
                    </w:rPr>
                    <w:t>/</w:t>
                  </w:r>
                </w:p>
              </w:tc>
            </w:tr>
          </w:tbl>
          <w:p w14:paraId="2D7EE2E2">
            <w:pPr>
              <w:pStyle w:val="53"/>
              <w:spacing w:line="360" w:lineRule="auto"/>
              <w:ind w:firstLine="482" w:firstLineChars="200"/>
              <w:rPr>
                <w:rFonts w:ascii="Times New Roman" w:hAnsi="Times New Roman"/>
                <w:b/>
                <w:sz w:val="24"/>
                <w:szCs w:val="24"/>
              </w:rPr>
            </w:pPr>
          </w:p>
          <w:p w14:paraId="06B4B279">
            <w:pPr>
              <w:pStyle w:val="97"/>
              <w:spacing w:line="360" w:lineRule="auto"/>
              <w:ind w:firstLine="480"/>
              <w:rPr>
                <w:rFonts w:ascii="Times New Roman"/>
                <w:sz w:val="24"/>
                <w:szCs w:val="24"/>
                <w:lang w:val="en-US"/>
              </w:rPr>
            </w:pPr>
            <w:r>
              <w:rPr>
                <w:rFonts w:ascii="Times New Roman"/>
                <w:sz w:val="24"/>
                <w:szCs w:val="24"/>
              </w:rPr>
              <w:t>综上，</w:t>
            </w:r>
            <w:r>
              <w:rPr>
                <w:rFonts w:ascii="Times New Roman"/>
                <w:bCs/>
                <w:sz w:val="24"/>
              </w:rPr>
              <w:t>建设方2022年5月委托</w:t>
            </w:r>
            <w:r>
              <w:rPr>
                <w:rFonts w:ascii="Times New Roman"/>
                <w:sz w:val="24"/>
                <w:szCs w:val="24"/>
              </w:rPr>
              <w:t>云南百源众环环保科技有限公司（以下简称“我公司”）</w:t>
            </w:r>
            <w:r>
              <w:rPr>
                <w:rFonts w:ascii="Times New Roman"/>
                <w:sz w:val="24"/>
                <w:szCs w:val="24"/>
                <w:lang w:val="en-US"/>
              </w:rPr>
              <w:t>对“</w:t>
            </w:r>
            <w:r>
              <w:rPr>
                <w:rFonts w:ascii="Times New Roman"/>
                <w:bCs/>
                <w:sz w:val="24"/>
              </w:rPr>
              <w:t>芒市吉盛建材中心节能环保改造项目</w:t>
            </w:r>
            <w:r>
              <w:rPr>
                <w:rFonts w:ascii="Times New Roman"/>
                <w:sz w:val="24"/>
                <w:szCs w:val="24"/>
                <w:lang w:val="en-US"/>
              </w:rPr>
              <w:t>”进行</w:t>
            </w:r>
            <w:r>
              <w:rPr>
                <w:rFonts w:ascii="Times New Roman"/>
                <w:sz w:val="24"/>
                <w:szCs w:val="24"/>
              </w:rPr>
              <w:t>环境影响评价工作</w:t>
            </w:r>
            <w:r>
              <w:rPr>
                <w:rFonts w:ascii="Times New Roman"/>
                <w:sz w:val="24"/>
              </w:rPr>
              <w:t>。</w:t>
            </w:r>
            <w:r>
              <w:rPr>
                <w:rFonts w:ascii="Times New Roman"/>
                <w:sz w:val="24"/>
                <w:szCs w:val="24"/>
              </w:rPr>
              <w:t>我公司接受委托后，组织专业技术人员于</w:t>
            </w:r>
            <w:r>
              <w:rPr>
                <w:rFonts w:ascii="Times New Roman"/>
                <w:sz w:val="24"/>
                <w:szCs w:val="24"/>
                <w:lang w:val="en-US"/>
              </w:rPr>
              <w:t>2022年5月~2022年6月多次</w:t>
            </w:r>
            <w:r>
              <w:rPr>
                <w:rFonts w:ascii="Times New Roman"/>
                <w:sz w:val="24"/>
                <w:szCs w:val="24"/>
              </w:rPr>
              <w:t>对项目区进行了详细的现场踏勘及资料收集工作</w:t>
            </w:r>
            <w:r>
              <w:rPr>
                <w:rFonts w:ascii="Times New Roman"/>
                <w:sz w:val="24"/>
                <w:szCs w:val="24"/>
                <w:lang w:val="en-US"/>
              </w:rPr>
              <w:t>。</w:t>
            </w:r>
          </w:p>
          <w:p w14:paraId="05FBB6B2">
            <w:pPr>
              <w:pStyle w:val="97"/>
              <w:spacing w:line="360" w:lineRule="auto"/>
              <w:ind w:firstLine="480"/>
              <w:rPr>
                <w:rFonts w:ascii="Times New Roman"/>
                <w:sz w:val="24"/>
                <w:szCs w:val="24"/>
              </w:rPr>
            </w:pPr>
            <w:r>
              <w:rPr>
                <w:rFonts w:ascii="Times New Roman"/>
                <w:sz w:val="24"/>
                <w:szCs w:val="24"/>
              </w:rPr>
              <w:t>在对本项目周边环境现状和工程可能造成的环境影响进行分析后，依照环境影响评价技术导则、《建设项目环境影响报告表编制技术指南（污染影响类）（试行）》的要求编写《</w:t>
            </w:r>
            <w:r>
              <w:rPr>
                <w:rFonts w:ascii="Times New Roman"/>
                <w:bCs/>
                <w:sz w:val="24"/>
              </w:rPr>
              <w:t>芒市吉盛建材中心节能环保改造项目</w:t>
            </w:r>
            <w:r>
              <w:rPr>
                <w:rFonts w:ascii="Times New Roman"/>
                <w:sz w:val="24"/>
                <w:szCs w:val="24"/>
              </w:rPr>
              <w:t>环境影响报告表》，供建设单位上报审</w:t>
            </w:r>
            <w:r>
              <w:rPr>
                <w:rFonts w:ascii="Times New Roman"/>
                <w:sz w:val="24"/>
                <w:szCs w:val="24"/>
                <w:lang w:val="en-US"/>
              </w:rPr>
              <w:t>批</w:t>
            </w:r>
            <w:r>
              <w:rPr>
                <w:rFonts w:ascii="Times New Roman"/>
                <w:sz w:val="24"/>
                <w:szCs w:val="24"/>
              </w:rPr>
              <w:t>。</w:t>
            </w:r>
          </w:p>
          <w:p w14:paraId="304C385D">
            <w:pPr>
              <w:pStyle w:val="53"/>
              <w:spacing w:line="360" w:lineRule="auto"/>
              <w:ind w:firstLine="482" w:firstLineChars="200"/>
              <w:rPr>
                <w:rFonts w:ascii="Times New Roman" w:hAnsi="Times New Roman"/>
                <w:b/>
                <w:sz w:val="24"/>
                <w:szCs w:val="24"/>
              </w:rPr>
            </w:pPr>
            <w:r>
              <w:rPr>
                <w:rFonts w:ascii="Times New Roman" w:hAnsi="Times New Roman"/>
                <w:b/>
                <w:sz w:val="24"/>
                <w:szCs w:val="24"/>
              </w:rPr>
              <w:t>2、建设规模及内容</w:t>
            </w:r>
          </w:p>
          <w:p w14:paraId="4590DDEE">
            <w:pPr>
              <w:tabs>
                <w:tab w:val="left" w:pos="2395"/>
              </w:tabs>
              <w:spacing w:line="360" w:lineRule="auto"/>
              <w:ind w:firstLine="482" w:firstLineChars="200"/>
              <w:rPr>
                <w:sz w:val="24"/>
              </w:rPr>
            </w:pPr>
            <w:r>
              <w:rPr>
                <w:b/>
                <w:sz w:val="24"/>
              </w:rPr>
              <w:t>项目名称：</w:t>
            </w:r>
            <w:r>
              <w:rPr>
                <w:bCs/>
                <w:sz w:val="24"/>
              </w:rPr>
              <w:t>芒市吉盛建材中心节能环保改造项目；</w:t>
            </w:r>
          </w:p>
          <w:p w14:paraId="5BB54F5A">
            <w:pPr>
              <w:tabs>
                <w:tab w:val="left" w:pos="2395"/>
              </w:tabs>
              <w:spacing w:line="360" w:lineRule="auto"/>
              <w:ind w:firstLine="482" w:firstLineChars="200"/>
              <w:rPr>
                <w:sz w:val="24"/>
              </w:rPr>
            </w:pPr>
            <w:r>
              <w:rPr>
                <w:b/>
                <w:sz w:val="24"/>
              </w:rPr>
              <w:t>建设单位：</w:t>
            </w:r>
            <w:r>
              <w:rPr>
                <w:bCs/>
                <w:sz w:val="24"/>
              </w:rPr>
              <w:t>芒市吉盛建材中心(普通合伙)；</w:t>
            </w:r>
          </w:p>
          <w:p w14:paraId="4B776119">
            <w:pPr>
              <w:tabs>
                <w:tab w:val="left" w:pos="2395"/>
              </w:tabs>
              <w:spacing w:line="360" w:lineRule="auto"/>
              <w:ind w:firstLine="482" w:firstLineChars="200"/>
              <w:rPr>
                <w:bCs/>
                <w:sz w:val="24"/>
              </w:rPr>
            </w:pPr>
            <w:r>
              <w:rPr>
                <w:b/>
                <w:sz w:val="24"/>
              </w:rPr>
              <w:t>建设地点：</w:t>
            </w:r>
            <w:r>
              <w:rPr>
                <w:bCs/>
                <w:sz w:val="24"/>
              </w:rPr>
              <w:t>云南省德宏州芒市风平镇帕底村委会南相章村民小组；</w:t>
            </w:r>
          </w:p>
          <w:p w14:paraId="7B28CED4">
            <w:pPr>
              <w:tabs>
                <w:tab w:val="left" w:pos="2395"/>
              </w:tabs>
              <w:spacing w:line="360" w:lineRule="auto"/>
              <w:ind w:firstLine="480" w:firstLineChars="200"/>
              <w:rPr>
                <w:bCs/>
                <w:sz w:val="24"/>
              </w:rPr>
            </w:pPr>
            <w:r>
              <w:rPr>
                <w:bCs/>
                <w:sz w:val="24"/>
              </w:rPr>
              <w:t>项目区中心地理坐标：东经 98 度 28分 41.310 秒，北纬 24 度 20 分 35.480 秒；</w:t>
            </w:r>
          </w:p>
          <w:p w14:paraId="4C8B554F">
            <w:pPr>
              <w:tabs>
                <w:tab w:val="left" w:pos="2395"/>
              </w:tabs>
              <w:spacing w:line="360" w:lineRule="auto"/>
              <w:ind w:firstLine="482" w:firstLineChars="200"/>
              <w:rPr>
                <w:sz w:val="24"/>
              </w:rPr>
            </w:pPr>
            <w:r>
              <w:rPr>
                <w:b/>
                <w:sz w:val="24"/>
              </w:rPr>
              <w:t>建设性质：</w:t>
            </w:r>
            <w:r>
              <w:rPr>
                <w:sz w:val="24"/>
              </w:rPr>
              <w:t>改扩建；</w:t>
            </w:r>
          </w:p>
          <w:p w14:paraId="590AB2C0">
            <w:pPr>
              <w:spacing w:line="360" w:lineRule="auto"/>
              <w:ind w:firstLine="482" w:firstLineChars="200"/>
              <w:rPr>
                <w:rStyle w:val="30"/>
                <w:sz w:val="24"/>
              </w:rPr>
            </w:pPr>
            <w:r>
              <w:rPr>
                <w:b/>
                <w:sz w:val="24"/>
              </w:rPr>
              <w:t>投资总额：</w:t>
            </w:r>
            <w:r>
              <w:rPr>
                <w:sz w:val="24"/>
              </w:rPr>
              <w:t>1200万元；</w:t>
            </w:r>
          </w:p>
          <w:p w14:paraId="2E398C5C">
            <w:pPr>
              <w:spacing w:line="360" w:lineRule="auto"/>
              <w:ind w:firstLine="482" w:firstLineChars="200"/>
              <w:rPr>
                <w:sz w:val="24"/>
              </w:rPr>
            </w:pPr>
            <w:r>
              <w:rPr>
                <w:b/>
                <w:bCs/>
                <w:sz w:val="24"/>
              </w:rPr>
              <w:t>建设内容：</w:t>
            </w:r>
            <w:r>
              <w:rPr>
                <w:sz w:val="24"/>
              </w:rPr>
              <w:t>拟更新隧道窑，</w:t>
            </w:r>
            <w:r>
              <w:rPr>
                <w:spacing w:val="-12"/>
                <w:sz w:val="24"/>
              </w:rPr>
              <w:t>技改完成后，达到年产标砖</w:t>
            </w:r>
            <w:r>
              <w:rPr>
                <w:rFonts w:eastAsia="Times New Roman"/>
                <w:sz w:val="24"/>
              </w:rPr>
              <w:t>9000</w:t>
            </w:r>
            <w:r>
              <w:rPr>
                <w:sz w:val="24"/>
              </w:rPr>
              <w:t>万块标砖。</w:t>
            </w:r>
          </w:p>
          <w:p w14:paraId="70163EE1">
            <w:pPr>
              <w:pStyle w:val="97"/>
              <w:spacing w:line="360" w:lineRule="auto"/>
              <w:ind w:firstLine="480"/>
              <w:rPr>
                <w:rFonts w:ascii="Times New Roman"/>
                <w:sz w:val="24"/>
                <w:szCs w:val="24"/>
              </w:rPr>
            </w:pPr>
            <w:r>
              <w:rPr>
                <w:rFonts w:ascii="Times New Roman"/>
                <w:sz w:val="24"/>
                <w:szCs w:val="24"/>
              </w:rPr>
              <w:t>本次改扩建内容如下：</w:t>
            </w:r>
          </w:p>
          <w:p w14:paraId="038B639A">
            <w:pPr>
              <w:pStyle w:val="97"/>
              <w:spacing w:line="360" w:lineRule="auto"/>
              <w:ind w:firstLine="480"/>
              <w:rPr>
                <w:rFonts w:ascii="Times New Roman"/>
                <w:sz w:val="24"/>
                <w:szCs w:val="24"/>
              </w:rPr>
            </w:pPr>
            <w:r>
              <w:rPr>
                <w:rFonts w:ascii="Times New Roman"/>
                <w:sz w:val="24"/>
                <w:szCs w:val="24"/>
              </w:rPr>
              <w:t>（1）增大脱硫塔尺寸。</w:t>
            </w:r>
          </w:p>
          <w:p w14:paraId="223EA66E">
            <w:pPr>
              <w:pStyle w:val="97"/>
              <w:spacing w:line="360" w:lineRule="auto"/>
              <w:ind w:firstLine="480"/>
              <w:rPr>
                <w:rFonts w:ascii="Times New Roman"/>
                <w:sz w:val="24"/>
                <w:szCs w:val="24"/>
              </w:rPr>
            </w:pPr>
            <w:r>
              <w:rPr>
                <w:rFonts w:ascii="Times New Roman"/>
                <w:sz w:val="24"/>
                <w:szCs w:val="24"/>
              </w:rPr>
              <w:t>（2）窑车砖坯码坯高度增加、砖坯间距缩短。</w:t>
            </w:r>
          </w:p>
          <w:p w14:paraId="39027761">
            <w:pPr>
              <w:pStyle w:val="97"/>
              <w:spacing w:line="360" w:lineRule="auto"/>
              <w:ind w:firstLine="480"/>
              <w:rPr>
                <w:rFonts w:ascii="Times New Roman"/>
                <w:sz w:val="24"/>
                <w:szCs w:val="24"/>
              </w:rPr>
            </w:pPr>
            <w:r>
              <w:rPr>
                <w:rFonts w:ascii="Times New Roman"/>
                <w:sz w:val="24"/>
                <w:szCs w:val="24"/>
              </w:rPr>
              <w:t>（3）现有隧道窑改造为环保节能型隧道窑，提高烧结效率，</w:t>
            </w:r>
            <w:r>
              <w:rPr>
                <w:rFonts w:ascii="Times New Roman"/>
                <w:spacing w:val="-12"/>
                <w:sz w:val="24"/>
              </w:rPr>
              <w:t>达到年产标砖</w:t>
            </w:r>
            <w:r>
              <w:rPr>
                <w:rFonts w:ascii="Times New Roman" w:eastAsia="Times New Roman"/>
                <w:sz w:val="24"/>
              </w:rPr>
              <w:t>9000</w:t>
            </w:r>
            <w:r>
              <w:rPr>
                <w:rFonts w:ascii="Times New Roman"/>
                <w:sz w:val="24"/>
              </w:rPr>
              <w:t>万块标砖</w:t>
            </w:r>
            <w:r>
              <w:rPr>
                <w:rFonts w:ascii="Times New Roman"/>
                <w:sz w:val="24"/>
                <w:szCs w:val="24"/>
              </w:rPr>
              <w:t>。</w:t>
            </w:r>
          </w:p>
          <w:p w14:paraId="4CC8290C">
            <w:pPr>
              <w:pStyle w:val="97"/>
              <w:spacing w:line="360" w:lineRule="auto"/>
              <w:ind w:firstLine="480"/>
              <w:rPr>
                <w:rFonts w:ascii="Times New Roman"/>
                <w:sz w:val="24"/>
                <w:szCs w:val="24"/>
              </w:rPr>
            </w:pPr>
            <w:r>
              <w:rPr>
                <w:rFonts w:ascii="Times New Roman"/>
                <w:sz w:val="24"/>
                <w:szCs w:val="24"/>
              </w:rPr>
              <w:t>（4）增加生产所需的原辅材料。</w:t>
            </w:r>
          </w:p>
          <w:p w14:paraId="6B105AA7">
            <w:pPr>
              <w:pStyle w:val="97"/>
              <w:spacing w:line="360" w:lineRule="auto"/>
              <w:ind w:firstLine="480"/>
              <w:rPr>
                <w:rFonts w:ascii="Times New Roman"/>
                <w:sz w:val="24"/>
                <w:szCs w:val="24"/>
              </w:rPr>
            </w:pPr>
            <w:r>
              <w:rPr>
                <w:rFonts w:ascii="Times New Roman"/>
                <w:sz w:val="24"/>
                <w:szCs w:val="24"/>
              </w:rPr>
              <w:t>（5）增加生产时间（单班变双班）。</w:t>
            </w:r>
          </w:p>
          <w:p w14:paraId="19F29124">
            <w:pPr>
              <w:spacing w:line="360" w:lineRule="auto"/>
              <w:ind w:firstLine="480" w:firstLineChars="200"/>
              <w:rPr>
                <w:sz w:val="24"/>
              </w:rPr>
            </w:pPr>
            <w:r>
              <w:rPr>
                <w:sz w:val="24"/>
              </w:rPr>
              <w:t>本项目所有建设内容均依托项目区原有厂区及建筑物进行改造，不新增用地，本次环境影响评价只含页岩砖厂，不涉及页岩矿采选。</w:t>
            </w:r>
          </w:p>
          <w:p w14:paraId="28613FDA">
            <w:pPr>
              <w:spacing w:line="360" w:lineRule="auto"/>
              <w:ind w:firstLine="480" w:firstLineChars="200"/>
              <w:rPr>
                <w:sz w:val="24"/>
              </w:rPr>
            </w:pPr>
            <w:r>
              <w:rPr>
                <w:sz w:val="24"/>
              </w:rPr>
              <w:t>本项目工程组成及主要建筑指标如下所示。</w:t>
            </w:r>
          </w:p>
          <w:p w14:paraId="4A23AD24">
            <w:pPr>
              <w:ind w:firstLine="482"/>
              <w:jc w:val="center"/>
              <w:rPr>
                <w:b/>
                <w:sz w:val="24"/>
              </w:rPr>
            </w:pPr>
            <w:r>
              <w:rPr>
                <w:b/>
                <w:sz w:val="24"/>
              </w:rPr>
              <w:t>表2-1  项目工程组成一览表</w:t>
            </w:r>
          </w:p>
          <w:tbl>
            <w:tblPr>
              <w:tblStyle w:val="25"/>
              <w:tblW w:w="9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524"/>
              <w:gridCol w:w="510"/>
              <w:gridCol w:w="807"/>
              <w:gridCol w:w="3616"/>
              <w:gridCol w:w="3260"/>
              <w:gridCol w:w="1025"/>
            </w:tblGrid>
            <w:tr w14:paraId="2CFE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1841" w:type="dxa"/>
                  <w:gridSpan w:val="3"/>
                  <w:vAlign w:val="center"/>
                </w:tcPr>
                <w:p w14:paraId="03A60B5D">
                  <w:pPr>
                    <w:pStyle w:val="48"/>
                    <w:spacing w:before="24" w:after="24"/>
                    <w:rPr>
                      <w:rFonts w:ascii="Times New Roman"/>
                      <w:b/>
                    </w:rPr>
                  </w:pPr>
                  <w:r>
                    <w:rPr>
                      <w:rFonts w:ascii="Times New Roman"/>
                      <w:b/>
                    </w:rPr>
                    <w:t>名称</w:t>
                  </w:r>
                </w:p>
              </w:tc>
              <w:tc>
                <w:tcPr>
                  <w:tcW w:w="3616" w:type="dxa"/>
                  <w:vAlign w:val="center"/>
                </w:tcPr>
                <w:p w14:paraId="1A6FF4E7">
                  <w:pPr>
                    <w:pStyle w:val="48"/>
                    <w:spacing w:before="24" w:after="24"/>
                    <w:rPr>
                      <w:rFonts w:ascii="Times New Roman"/>
                      <w:b/>
                    </w:rPr>
                  </w:pPr>
                  <w:r>
                    <w:rPr>
                      <w:rFonts w:ascii="Times New Roman"/>
                      <w:b/>
                    </w:rPr>
                    <w:t>原环评</w:t>
                  </w:r>
                </w:p>
              </w:tc>
              <w:tc>
                <w:tcPr>
                  <w:tcW w:w="3260" w:type="dxa"/>
                  <w:vAlign w:val="center"/>
                </w:tcPr>
                <w:p w14:paraId="5E05727F">
                  <w:pPr>
                    <w:pStyle w:val="48"/>
                    <w:spacing w:before="24" w:after="24"/>
                    <w:rPr>
                      <w:rFonts w:ascii="Times New Roman"/>
                      <w:b/>
                    </w:rPr>
                  </w:pPr>
                  <w:r>
                    <w:rPr>
                      <w:rFonts w:ascii="Times New Roman"/>
                      <w:b/>
                    </w:rPr>
                    <w:t>本项目改扩建建设内容</w:t>
                  </w:r>
                </w:p>
              </w:tc>
              <w:tc>
                <w:tcPr>
                  <w:tcW w:w="1025" w:type="dxa"/>
                  <w:vAlign w:val="center"/>
                </w:tcPr>
                <w:p w14:paraId="7998324A">
                  <w:pPr>
                    <w:pStyle w:val="48"/>
                    <w:spacing w:before="24" w:after="24"/>
                    <w:rPr>
                      <w:rFonts w:ascii="Times New Roman"/>
                      <w:b/>
                    </w:rPr>
                  </w:pPr>
                  <w:r>
                    <w:rPr>
                      <w:rFonts w:ascii="Times New Roman"/>
                      <w:b/>
                    </w:rPr>
                    <w:t>备注</w:t>
                  </w:r>
                </w:p>
              </w:tc>
            </w:tr>
            <w:tr w14:paraId="6FA8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restart"/>
                  <w:vAlign w:val="center"/>
                </w:tcPr>
                <w:p w14:paraId="08337174">
                  <w:pPr>
                    <w:pStyle w:val="48"/>
                    <w:spacing w:before="24" w:after="24"/>
                    <w:rPr>
                      <w:rFonts w:ascii="Times New Roman"/>
                      <w:szCs w:val="21"/>
                    </w:rPr>
                  </w:pPr>
                  <w:r>
                    <w:rPr>
                      <w:rFonts w:ascii="Times New Roman"/>
                      <w:szCs w:val="21"/>
                    </w:rPr>
                    <w:t>主体</w:t>
                  </w:r>
                </w:p>
                <w:p w14:paraId="2F3CEF0B">
                  <w:pPr>
                    <w:pStyle w:val="48"/>
                    <w:spacing w:before="24" w:after="24"/>
                    <w:rPr>
                      <w:rFonts w:ascii="Times New Roman"/>
                      <w:szCs w:val="21"/>
                    </w:rPr>
                  </w:pPr>
                  <w:r>
                    <w:rPr>
                      <w:rFonts w:ascii="Times New Roman"/>
                      <w:szCs w:val="21"/>
                    </w:rPr>
                    <w:t>工程</w:t>
                  </w:r>
                </w:p>
              </w:tc>
              <w:tc>
                <w:tcPr>
                  <w:tcW w:w="1317" w:type="dxa"/>
                  <w:gridSpan w:val="2"/>
                  <w:vAlign w:val="center"/>
                </w:tcPr>
                <w:p w14:paraId="0AF2732C">
                  <w:pPr>
                    <w:pStyle w:val="48"/>
                    <w:spacing w:before="24" w:after="24"/>
                    <w:rPr>
                      <w:rFonts w:ascii="Times New Roman"/>
                      <w:szCs w:val="21"/>
                    </w:rPr>
                  </w:pPr>
                  <w:r>
                    <w:rPr>
                      <w:rFonts w:ascii="Times New Roman"/>
                      <w:szCs w:val="21"/>
                    </w:rPr>
                    <w:t>制砖车间</w:t>
                  </w:r>
                </w:p>
              </w:tc>
              <w:tc>
                <w:tcPr>
                  <w:tcW w:w="3616" w:type="dxa"/>
                  <w:vAlign w:val="center"/>
                </w:tcPr>
                <w:p w14:paraId="6753985D">
                  <w:pPr>
                    <w:pStyle w:val="48"/>
                    <w:spacing w:before="24" w:after="24"/>
                    <w:rPr>
                      <w:rFonts w:ascii="Times New Roman"/>
                      <w:szCs w:val="21"/>
                    </w:rPr>
                  </w:pPr>
                  <w:r>
                    <w:rPr>
                      <w:rFonts w:ascii="Times New Roman"/>
                    </w:rPr>
                    <w:t>位于生产区西侧，建筑面积1804m</w:t>
                  </w:r>
                  <w:r>
                    <w:rPr>
                      <w:rFonts w:ascii="Times New Roman"/>
                      <w:vertAlign w:val="superscript"/>
                    </w:rPr>
                    <w:t>2</w:t>
                  </w:r>
                  <w:r>
                    <w:rPr>
                      <w:rFonts w:ascii="Times New Roman"/>
                    </w:rPr>
                    <w:t>，采用彩钢瓦结构房，设置有锤式破碎机、筛选机、预湿搅拌机、制砖机等设备， 主要进行砖坯制作</w:t>
                  </w:r>
                </w:p>
              </w:tc>
              <w:tc>
                <w:tcPr>
                  <w:tcW w:w="3260" w:type="dxa"/>
                  <w:vAlign w:val="center"/>
                </w:tcPr>
                <w:p w14:paraId="341B2516">
                  <w:pPr>
                    <w:pStyle w:val="48"/>
                    <w:spacing w:before="24" w:after="24"/>
                    <w:rPr>
                      <w:rFonts w:ascii="Times New Roman"/>
                    </w:rPr>
                  </w:pPr>
                  <w:r>
                    <w:rPr>
                      <w:rFonts w:ascii="Times New Roman"/>
                    </w:rPr>
                    <w:t>位置不变，更新制砖机，满足9000万块的产量。</w:t>
                  </w:r>
                </w:p>
              </w:tc>
              <w:tc>
                <w:tcPr>
                  <w:tcW w:w="1025" w:type="dxa"/>
                  <w:vAlign w:val="center"/>
                </w:tcPr>
                <w:p w14:paraId="624253E9">
                  <w:pPr>
                    <w:pStyle w:val="48"/>
                    <w:spacing w:before="24" w:after="24"/>
                    <w:rPr>
                      <w:rFonts w:ascii="Times New Roman"/>
                      <w:szCs w:val="21"/>
                    </w:rPr>
                  </w:pPr>
                  <w:r>
                    <w:rPr>
                      <w:rFonts w:ascii="Times New Roman"/>
                      <w:szCs w:val="21"/>
                    </w:rPr>
                    <w:t>依托原有</w:t>
                  </w:r>
                </w:p>
              </w:tc>
            </w:tr>
            <w:tr w14:paraId="3136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5CC38AC2">
                  <w:pPr>
                    <w:pStyle w:val="48"/>
                    <w:spacing w:before="24" w:after="24"/>
                    <w:rPr>
                      <w:rFonts w:ascii="Times New Roman"/>
                      <w:szCs w:val="21"/>
                    </w:rPr>
                  </w:pPr>
                </w:p>
              </w:tc>
              <w:tc>
                <w:tcPr>
                  <w:tcW w:w="1317" w:type="dxa"/>
                  <w:gridSpan w:val="2"/>
                  <w:vAlign w:val="center"/>
                </w:tcPr>
                <w:p w14:paraId="406784AF">
                  <w:pPr>
                    <w:pStyle w:val="48"/>
                    <w:spacing w:before="24" w:after="24"/>
                    <w:rPr>
                      <w:rFonts w:ascii="Times New Roman"/>
                      <w:szCs w:val="21"/>
                    </w:rPr>
                  </w:pPr>
                  <w:r>
                    <w:rPr>
                      <w:rFonts w:ascii="Times New Roman"/>
                      <w:szCs w:val="21"/>
                    </w:rPr>
                    <w:t>存坯车间</w:t>
                  </w:r>
                </w:p>
              </w:tc>
              <w:tc>
                <w:tcPr>
                  <w:tcW w:w="3616" w:type="dxa"/>
                  <w:vAlign w:val="center"/>
                </w:tcPr>
                <w:p w14:paraId="0E537096">
                  <w:pPr>
                    <w:pStyle w:val="48"/>
                    <w:spacing w:before="24" w:after="24"/>
                    <w:rPr>
                      <w:rFonts w:ascii="Times New Roman"/>
                    </w:rPr>
                  </w:pPr>
                  <w:r>
                    <w:rPr>
                      <w:rFonts w:ascii="Times New Roman"/>
                    </w:rPr>
                    <w:t>位于生产区中部，建筑面积530m</w:t>
                  </w:r>
                  <w:r>
                    <w:rPr>
                      <w:rFonts w:ascii="Times New Roman"/>
                      <w:vertAlign w:val="superscript"/>
                    </w:rPr>
                    <w:t>2</w:t>
                  </w:r>
                  <w:r>
                    <w:rPr>
                      <w:rFonts w:ascii="Times New Roman"/>
                    </w:rPr>
                    <w:t>，采用彩钢瓦结构房，主要</w:t>
                  </w:r>
                  <w:r>
                    <w:rPr>
                      <w:rFonts w:ascii="Times New Roman"/>
                      <w:szCs w:val="21"/>
                    </w:rPr>
                    <w:t>存坯脑功能。</w:t>
                  </w:r>
                </w:p>
              </w:tc>
              <w:tc>
                <w:tcPr>
                  <w:tcW w:w="3260" w:type="dxa"/>
                  <w:vAlign w:val="center"/>
                </w:tcPr>
                <w:p w14:paraId="3EC679DC">
                  <w:pPr>
                    <w:pStyle w:val="48"/>
                    <w:spacing w:before="24" w:after="24"/>
                    <w:rPr>
                      <w:rFonts w:ascii="Times New Roman"/>
                    </w:rPr>
                  </w:pPr>
                  <w:r>
                    <w:rPr>
                      <w:rFonts w:ascii="Times New Roman"/>
                    </w:rPr>
                    <w:t>位置不变，不新增。</w:t>
                  </w:r>
                </w:p>
              </w:tc>
              <w:tc>
                <w:tcPr>
                  <w:tcW w:w="1025" w:type="dxa"/>
                  <w:vAlign w:val="center"/>
                </w:tcPr>
                <w:p w14:paraId="2E56CCA7">
                  <w:pPr>
                    <w:pStyle w:val="48"/>
                    <w:spacing w:before="24" w:after="24"/>
                    <w:rPr>
                      <w:rFonts w:ascii="Times New Roman"/>
                      <w:szCs w:val="21"/>
                    </w:rPr>
                  </w:pPr>
                  <w:r>
                    <w:rPr>
                      <w:rFonts w:ascii="Times New Roman"/>
                      <w:szCs w:val="21"/>
                    </w:rPr>
                    <w:t>依托原有</w:t>
                  </w:r>
                </w:p>
              </w:tc>
            </w:tr>
            <w:tr w14:paraId="13AA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61FD9C97">
                  <w:pPr>
                    <w:pStyle w:val="48"/>
                    <w:spacing w:before="24" w:after="24"/>
                    <w:rPr>
                      <w:rFonts w:ascii="Times New Roman"/>
                      <w:szCs w:val="21"/>
                    </w:rPr>
                  </w:pPr>
                </w:p>
              </w:tc>
              <w:tc>
                <w:tcPr>
                  <w:tcW w:w="1317" w:type="dxa"/>
                  <w:gridSpan w:val="2"/>
                  <w:vAlign w:val="center"/>
                </w:tcPr>
                <w:p w14:paraId="23F382B3">
                  <w:pPr>
                    <w:pStyle w:val="48"/>
                    <w:spacing w:before="24" w:after="24"/>
                    <w:rPr>
                      <w:rFonts w:ascii="Times New Roman"/>
                      <w:szCs w:val="21"/>
                    </w:rPr>
                  </w:pPr>
                  <w:r>
                    <w:rPr>
                      <w:rFonts w:ascii="Times New Roman"/>
                      <w:szCs w:val="21"/>
                    </w:rPr>
                    <w:t>隧道窑车间</w:t>
                  </w:r>
                </w:p>
              </w:tc>
              <w:tc>
                <w:tcPr>
                  <w:tcW w:w="3616" w:type="dxa"/>
                  <w:vAlign w:val="center"/>
                </w:tcPr>
                <w:p w14:paraId="771BDB86">
                  <w:pPr>
                    <w:pStyle w:val="48"/>
                    <w:spacing w:before="24" w:after="24"/>
                    <w:rPr>
                      <w:rFonts w:ascii="Times New Roman"/>
                    </w:rPr>
                  </w:pPr>
                  <w:r>
                    <w:rPr>
                      <w:rFonts w:ascii="Times New Roman"/>
                    </w:rPr>
                    <w:t>位于生产区西侧，建筑面积1804m</w:t>
                  </w:r>
                  <w:r>
                    <w:rPr>
                      <w:rFonts w:ascii="Times New Roman"/>
                      <w:vertAlign w:val="superscript"/>
                    </w:rPr>
                    <w:t>2</w:t>
                  </w:r>
                  <w:r>
                    <w:rPr>
                      <w:rFonts w:ascii="Times New Roman"/>
                    </w:rPr>
                    <w:t>，采用彩钢瓦结构房，设置有32门轮窑1座，年产能力为3000万块。</w:t>
                  </w:r>
                </w:p>
              </w:tc>
              <w:tc>
                <w:tcPr>
                  <w:tcW w:w="3260" w:type="dxa"/>
                  <w:vAlign w:val="center"/>
                </w:tcPr>
                <w:p w14:paraId="14D1FE80">
                  <w:pPr>
                    <w:pStyle w:val="48"/>
                    <w:spacing w:before="24" w:after="24"/>
                    <w:rPr>
                      <w:rFonts w:ascii="Times New Roman"/>
                    </w:rPr>
                  </w:pPr>
                  <w:r>
                    <w:rPr>
                      <w:rFonts w:ascii="Times New Roman"/>
                    </w:rPr>
                    <w:t>位置不变，更换为节能环保型大断面隧道窑，年产能力为9000万块。</w:t>
                  </w:r>
                </w:p>
              </w:tc>
              <w:tc>
                <w:tcPr>
                  <w:tcW w:w="1025" w:type="dxa"/>
                  <w:vAlign w:val="center"/>
                </w:tcPr>
                <w:p w14:paraId="16892C42">
                  <w:pPr>
                    <w:pStyle w:val="48"/>
                    <w:spacing w:before="24" w:after="24"/>
                    <w:rPr>
                      <w:rFonts w:ascii="Times New Roman"/>
                      <w:szCs w:val="21"/>
                    </w:rPr>
                  </w:pPr>
                  <w:r>
                    <w:rPr>
                      <w:rFonts w:ascii="Times New Roman"/>
                      <w:szCs w:val="21"/>
                    </w:rPr>
                    <w:t>原有改造</w:t>
                  </w:r>
                </w:p>
              </w:tc>
            </w:tr>
            <w:tr w14:paraId="43CD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restart"/>
                  <w:vAlign w:val="center"/>
                </w:tcPr>
                <w:p w14:paraId="4CC4F839">
                  <w:pPr>
                    <w:pStyle w:val="48"/>
                    <w:spacing w:before="24" w:after="24"/>
                    <w:rPr>
                      <w:rFonts w:ascii="Times New Roman"/>
                      <w:szCs w:val="21"/>
                    </w:rPr>
                  </w:pPr>
                  <w:r>
                    <w:rPr>
                      <w:rFonts w:ascii="Times New Roman"/>
                      <w:szCs w:val="21"/>
                    </w:rPr>
                    <w:t>辅助工程</w:t>
                  </w:r>
                </w:p>
              </w:tc>
              <w:tc>
                <w:tcPr>
                  <w:tcW w:w="1317" w:type="dxa"/>
                  <w:gridSpan w:val="2"/>
                  <w:vAlign w:val="center"/>
                </w:tcPr>
                <w:p w14:paraId="0A5964C3">
                  <w:pPr>
                    <w:pStyle w:val="48"/>
                    <w:spacing w:before="24" w:after="24"/>
                    <w:rPr>
                      <w:rFonts w:ascii="Times New Roman"/>
                      <w:szCs w:val="21"/>
                    </w:rPr>
                  </w:pPr>
                  <w:r>
                    <w:rPr>
                      <w:rFonts w:ascii="Times New Roman"/>
                      <w:szCs w:val="21"/>
                    </w:rPr>
                    <w:t>原料库</w:t>
                  </w:r>
                </w:p>
              </w:tc>
              <w:tc>
                <w:tcPr>
                  <w:tcW w:w="3616" w:type="dxa"/>
                  <w:vAlign w:val="center"/>
                </w:tcPr>
                <w:p w14:paraId="2A4A628C">
                  <w:pPr>
                    <w:pStyle w:val="48"/>
                    <w:spacing w:before="24" w:after="24"/>
                    <w:rPr>
                      <w:rFonts w:ascii="Times New Roman"/>
                    </w:rPr>
                  </w:pPr>
                  <w:r>
                    <w:rPr>
                      <w:rFonts w:ascii="Times New Roman"/>
                      <w:szCs w:val="21"/>
                    </w:rPr>
                    <w:t>位于项目区西侧，建筑面积为2030</w:t>
                  </w:r>
                  <w:r>
                    <w:rPr>
                      <w:rFonts w:ascii="Times New Roman"/>
                    </w:rPr>
                    <w:t>m</w:t>
                  </w:r>
                  <w:r>
                    <w:rPr>
                      <w:rFonts w:ascii="Times New Roman"/>
                      <w:vertAlign w:val="superscript"/>
                    </w:rPr>
                    <w:t>2</w:t>
                  </w:r>
                  <w:r>
                    <w:rPr>
                      <w:rFonts w:ascii="Times New Roman"/>
                    </w:rPr>
                    <w:t>，用于原料堆存。</w:t>
                  </w:r>
                </w:p>
              </w:tc>
              <w:tc>
                <w:tcPr>
                  <w:tcW w:w="3260" w:type="dxa"/>
                  <w:vAlign w:val="center"/>
                </w:tcPr>
                <w:p w14:paraId="62E239E3">
                  <w:pPr>
                    <w:pStyle w:val="48"/>
                    <w:spacing w:before="24" w:after="24"/>
                    <w:rPr>
                      <w:rFonts w:ascii="Times New Roman"/>
                    </w:rPr>
                  </w:pPr>
                  <w:r>
                    <w:rPr>
                      <w:rFonts w:ascii="Times New Roman"/>
                    </w:rPr>
                    <w:t>位置不变，不新增。</w:t>
                  </w:r>
                </w:p>
              </w:tc>
              <w:tc>
                <w:tcPr>
                  <w:tcW w:w="1025" w:type="dxa"/>
                  <w:vAlign w:val="center"/>
                </w:tcPr>
                <w:p w14:paraId="16DD44E0">
                  <w:pPr>
                    <w:pStyle w:val="48"/>
                    <w:spacing w:before="24" w:after="24"/>
                    <w:rPr>
                      <w:rFonts w:ascii="Times New Roman"/>
                      <w:szCs w:val="21"/>
                    </w:rPr>
                  </w:pPr>
                  <w:r>
                    <w:rPr>
                      <w:rFonts w:ascii="Times New Roman"/>
                      <w:szCs w:val="21"/>
                    </w:rPr>
                    <w:t>依托原有</w:t>
                  </w:r>
                </w:p>
              </w:tc>
            </w:tr>
            <w:tr w14:paraId="4B8E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22" w:hRule="atLeast"/>
                <w:jc w:val="center"/>
              </w:trPr>
              <w:tc>
                <w:tcPr>
                  <w:tcW w:w="524" w:type="dxa"/>
                  <w:vMerge w:val="continue"/>
                  <w:vAlign w:val="center"/>
                </w:tcPr>
                <w:p w14:paraId="1B643B6C">
                  <w:pPr>
                    <w:pStyle w:val="48"/>
                    <w:spacing w:before="24" w:after="24"/>
                    <w:rPr>
                      <w:rFonts w:ascii="Times New Roman"/>
                      <w:szCs w:val="21"/>
                    </w:rPr>
                  </w:pPr>
                </w:p>
              </w:tc>
              <w:tc>
                <w:tcPr>
                  <w:tcW w:w="1317" w:type="dxa"/>
                  <w:gridSpan w:val="2"/>
                  <w:vAlign w:val="center"/>
                </w:tcPr>
                <w:p w14:paraId="5120D5E9">
                  <w:pPr>
                    <w:pStyle w:val="48"/>
                    <w:spacing w:before="24" w:after="24"/>
                    <w:rPr>
                      <w:rFonts w:ascii="Times New Roman"/>
                      <w:szCs w:val="21"/>
                    </w:rPr>
                  </w:pPr>
                  <w:r>
                    <w:rPr>
                      <w:rFonts w:ascii="Times New Roman"/>
                      <w:szCs w:val="21"/>
                    </w:rPr>
                    <w:t>成品堆场</w:t>
                  </w:r>
                </w:p>
              </w:tc>
              <w:tc>
                <w:tcPr>
                  <w:tcW w:w="3616" w:type="dxa"/>
                  <w:vAlign w:val="center"/>
                </w:tcPr>
                <w:p w14:paraId="5074E55D">
                  <w:pPr>
                    <w:pStyle w:val="48"/>
                    <w:spacing w:before="24" w:after="24"/>
                    <w:rPr>
                      <w:rFonts w:ascii="Times New Roman"/>
                      <w:szCs w:val="21"/>
                    </w:rPr>
                  </w:pPr>
                  <w:r>
                    <w:rPr>
                      <w:rFonts w:ascii="Times New Roman"/>
                      <w:szCs w:val="21"/>
                    </w:rPr>
                    <w:t>位于项目区东侧，用于成品堆放</w:t>
                  </w:r>
                  <w:r>
                    <w:rPr>
                      <w:rFonts w:ascii="Times New Roman"/>
                    </w:rPr>
                    <w:t>。</w:t>
                  </w:r>
                </w:p>
              </w:tc>
              <w:tc>
                <w:tcPr>
                  <w:tcW w:w="3260" w:type="dxa"/>
                  <w:vAlign w:val="center"/>
                </w:tcPr>
                <w:p w14:paraId="2B76F126">
                  <w:pPr>
                    <w:pStyle w:val="48"/>
                    <w:spacing w:before="24" w:after="24"/>
                    <w:rPr>
                      <w:rFonts w:ascii="Times New Roman"/>
                      <w:szCs w:val="21"/>
                    </w:rPr>
                  </w:pPr>
                  <w:r>
                    <w:rPr>
                      <w:rFonts w:ascii="Times New Roman"/>
                    </w:rPr>
                    <w:t>位置不变，不新增。</w:t>
                  </w:r>
                </w:p>
              </w:tc>
              <w:tc>
                <w:tcPr>
                  <w:tcW w:w="1025" w:type="dxa"/>
                </w:tcPr>
                <w:p w14:paraId="52E1ADBC">
                  <w:pPr>
                    <w:pStyle w:val="48"/>
                    <w:spacing w:before="24" w:after="24"/>
                    <w:rPr>
                      <w:rFonts w:ascii="Times New Roman"/>
                      <w:szCs w:val="21"/>
                    </w:rPr>
                  </w:pPr>
                  <w:r>
                    <w:rPr>
                      <w:rFonts w:ascii="Times New Roman"/>
                      <w:szCs w:val="21"/>
                    </w:rPr>
                    <w:t>依托原有</w:t>
                  </w:r>
                </w:p>
              </w:tc>
            </w:tr>
            <w:tr w14:paraId="633F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22A0ACEB">
                  <w:pPr>
                    <w:pStyle w:val="48"/>
                    <w:spacing w:before="24" w:after="24"/>
                    <w:rPr>
                      <w:rFonts w:ascii="Times New Roman"/>
                      <w:szCs w:val="21"/>
                    </w:rPr>
                  </w:pPr>
                </w:p>
              </w:tc>
              <w:tc>
                <w:tcPr>
                  <w:tcW w:w="1317" w:type="dxa"/>
                  <w:gridSpan w:val="2"/>
                  <w:vAlign w:val="center"/>
                </w:tcPr>
                <w:p w14:paraId="314C195E">
                  <w:pPr>
                    <w:pStyle w:val="48"/>
                    <w:spacing w:before="24" w:after="24"/>
                    <w:rPr>
                      <w:rFonts w:ascii="Times New Roman"/>
                      <w:szCs w:val="21"/>
                    </w:rPr>
                  </w:pPr>
                  <w:r>
                    <w:rPr>
                      <w:rFonts w:ascii="Times New Roman"/>
                      <w:szCs w:val="21"/>
                    </w:rPr>
                    <w:t>宿舍</w:t>
                  </w:r>
                </w:p>
              </w:tc>
              <w:tc>
                <w:tcPr>
                  <w:tcW w:w="3616" w:type="dxa"/>
                  <w:vAlign w:val="center"/>
                </w:tcPr>
                <w:p w14:paraId="559E96EC">
                  <w:pPr>
                    <w:pStyle w:val="48"/>
                    <w:spacing w:before="24" w:after="24"/>
                    <w:rPr>
                      <w:rFonts w:ascii="Times New Roman"/>
                      <w:szCs w:val="21"/>
                    </w:rPr>
                  </w:pPr>
                  <w:r>
                    <w:rPr>
                      <w:rFonts w:ascii="Times New Roman"/>
                      <w:szCs w:val="21"/>
                    </w:rPr>
                    <w:t>位于项目区北侧，用于员工住宿。</w:t>
                  </w:r>
                </w:p>
              </w:tc>
              <w:tc>
                <w:tcPr>
                  <w:tcW w:w="3260" w:type="dxa"/>
                  <w:vAlign w:val="center"/>
                </w:tcPr>
                <w:p w14:paraId="3274DB8F">
                  <w:pPr>
                    <w:pStyle w:val="48"/>
                    <w:spacing w:before="24" w:after="24"/>
                    <w:rPr>
                      <w:rFonts w:ascii="Times New Roman"/>
                      <w:szCs w:val="21"/>
                    </w:rPr>
                  </w:pPr>
                  <w:r>
                    <w:rPr>
                      <w:rFonts w:ascii="Times New Roman"/>
                    </w:rPr>
                    <w:t>位置不变，不新增。</w:t>
                  </w:r>
                </w:p>
              </w:tc>
              <w:tc>
                <w:tcPr>
                  <w:tcW w:w="1025" w:type="dxa"/>
                </w:tcPr>
                <w:p w14:paraId="3D744489">
                  <w:pPr>
                    <w:pStyle w:val="48"/>
                    <w:spacing w:before="24" w:after="24"/>
                    <w:rPr>
                      <w:rFonts w:ascii="Times New Roman"/>
                      <w:szCs w:val="21"/>
                    </w:rPr>
                  </w:pPr>
                  <w:r>
                    <w:rPr>
                      <w:rFonts w:ascii="Times New Roman"/>
                      <w:szCs w:val="21"/>
                    </w:rPr>
                    <w:t>依托原有</w:t>
                  </w:r>
                </w:p>
              </w:tc>
            </w:tr>
            <w:tr w14:paraId="3837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41E591F6">
                  <w:pPr>
                    <w:pStyle w:val="48"/>
                    <w:spacing w:before="24" w:after="24"/>
                    <w:rPr>
                      <w:rFonts w:ascii="Times New Roman"/>
                      <w:szCs w:val="21"/>
                    </w:rPr>
                  </w:pPr>
                </w:p>
              </w:tc>
              <w:tc>
                <w:tcPr>
                  <w:tcW w:w="1317" w:type="dxa"/>
                  <w:gridSpan w:val="2"/>
                  <w:vAlign w:val="center"/>
                </w:tcPr>
                <w:p w14:paraId="459B3F16">
                  <w:pPr>
                    <w:pStyle w:val="48"/>
                    <w:spacing w:before="24" w:after="24"/>
                    <w:rPr>
                      <w:rFonts w:ascii="Times New Roman"/>
                      <w:szCs w:val="21"/>
                    </w:rPr>
                  </w:pPr>
                  <w:r>
                    <w:rPr>
                      <w:rFonts w:ascii="Times New Roman"/>
                      <w:szCs w:val="21"/>
                    </w:rPr>
                    <w:t>办公室</w:t>
                  </w:r>
                </w:p>
              </w:tc>
              <w:tc>
                <w:tcPr>
                  <w:tcW w:w="3616" w:type="dxa"/>
                  <w:vAlign w:val="center"/>
                </w:tcPr>
                <w:p w14:paraId="3678FC09">
                  <w:pPr>
                    <w:pStyle w:val="48"/>
                    <w:spacing w:before="24" w:after="24"/>
                    <w:rPr>
                      <w:rFonts w:ascii="Times New Roman"/>
                      <w:szCs w:val="21"/>
                    </w:rPr>
                  </w:pPr>
                  <w:r>
                    <w:rPr>
                      <w:rFonts w:ascii="Times New Roman"/>
                      <w:szCs w:val="21"/>
                    </w:rPr>
                    <w:t>位于项目区南侧侧，用于员工住宿。</w:t>
                  </w:r>
                </w:p>
              </w:tc>
              <w:tc>
                <w:tcPr>
                  <w:tcW w:w="3260" w:type="dxa"/>
                  <w:vAlign w:val="center"/>
                </w:tcPr>
                <w:p w14:paraId="4C981CAF">
                  <w:pPr>
                    <w:pStyle w:val="48"/>
                    <w:spacing w:before="24" w:after="24"/>
                    <w:rPr>
                      <w:rFonts w:ascii="Times New Roman"/>
                      <w:szCs w:val="21"/>
                    </w:rPr>
                  </w:pPr>
                  <w:r>
                    <w:rPr>
                      <w:rFonts w:ascii="Times New Roman"/>
                    </w:rPr>
                    <w:t>位置不变，不新增。</w:t>
                  </w:r>
                </w:p>
              </w:tc>
              <w:tc>
                <w:tcPr>
                  <w:tcW w:w="1025" w:type="dxa"/>
                </w:tcPr>
                <w:p w14:paraId="2E6A9059">
                  <w:pPr>
                    <w:pStyle w:val="48"/>
                    <w:spacing w:before="24" w:after="24"/>
                    <w:rPr>
                      <w:rFonts w:ascii="Times New Roman"/>
                      <w:szCs w:val="21"/>
                    </w:rPr>
                  </w:pPr>
                  <w:r>
                    <w:rPr>
                      <w:rFonts w:ascii="Times New Roman"/>
                      <w:szCs w:val="21"/>
                    </w:rPr>
                    <w:t>依托原有</w:t>
                  </w:r>
                </w:p>
              </w:tc>
            </w:tr>
            <w:tr w14:paraId="6D89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restart"/>
                  <w:vAlign w:val="center"/>
                </w:tcPr>
                <w:p w14:paraId="0F184BB4">
                  <w:pPr>
                    <w:pStyle w:val="48"/>
                    <w:spacing w:before="24" w:after="24"/>
                    <w:rPr>
                      <w:rFonts w:ascii="Times New Roman"/>
                      <w:szCs w:val="21"/>
                    </w:rPr>
                  </w:pPr>
                  <w:r>
                    <w:rPr>
                      <w:rFonts w:ascii="Times New Roman"/>
                      <w:szCs w:val="21"/>
                    </w:rPr>
                    <w:t>公用</w:t>
                  </w:r>
                </w:p>
                <w:p w14:paraId="5ADB3D34">
                  <w:pPr>
                    <w:pStyle w:val="48"/>
                    <w:spacing w:before="24" w:after="24"/>
                    <w:rPr>
                      <w:rFonts w:ascii="Times New Roman"/>
                      <w:szCs w:val="21"/>
                    </w:rPr>
                  </w:pPr>
                  <w:r>
                    <w:rPr>
                      <w:rFonts w:ascii="Times New Roman"/>
                      <w:szCs w:val="21"/>
                    </w:rPr>
                    <w:t>工程</w:t>
                  </w:r>
                </w:p>
              </w:tc>
              <w:tc>
                <w:tcPr>
                  <w:tcW w:w="1317" w:type="dxa"/>
                  <w:gridSpan w:val="2"/>
                  <w:vAlign w:val="center"/>
                </w:tcPr>
                <w:p w14:paraId="0F3E498E">
                  <w:pPr>
                    <w:pStyle w:val="48"/>
                    <w:spacing w:before="24" w:after="24"/>
                    <w:rPr>
                      <w:rFonts w:ascii="Times New Roman"/>
                      <w:szCs w:val="21"/>
                    </w:rPr>
                  </w:pPr>
                  <w:r>
                    <w:rPr>
                      <w:rFonts w:ascii="Times New Roman"/>
                      <w:szCs w:val="21"/>
                    </w:rPr>
                    <w:t>给水</w:t>
                  </w:r>
                </w:p>
              </w:tc>
              <w:tc>
                <w:tcPr>
                  <w:tcW w:w="3616" w:type="dxa"/>
                  <w:vAlign w:val="center"/>
                </w:tcPr>
                <w:p w14:paraId="2BF6949E">
                  <w:pPr>
                    <w:pStyle w:val="48"/>
                    <w:spacing w:before="24" w:after="24"/>
                    <w:rPr>
                      <w:rFonts w:ascii="Times New Roman"/>
                      <w:szCs w:val="21"/>
                    </w:rPr>
                  </w:pPr>
                  <w:r>
                    <w:rPr>
                      <w:rFonts w:ascii="Times New Roman"/>
                      <w:szCs w:val="21"/>
                    </w:rPr>
                    <w:t>市政管网接入</w:t>
                  </w:r>
                </w:p>
              </w:tc>
              <w:tc>
                <w:tcPr>
                  <w:tcW w:w="3260" w:type="dxa"/>
                  <w:vAlign w:val="center"/>
                </w:tcPr>
                <w:p w14:paraId="7B854A66">
                  <w:pPr>
                    <w:pStyle w:val="48"/>
                    <w:spacing w:before="24" w:after="24"/>
                    <w:rPr>
                      <w:rFonts w:ascii="Times New Roman"/>
                      <w:szCs w:val="21"/>
                    </w:rPr>
                  </w:pPr>
                  <w:r>
                    <w:rPr>
                      <w:rFonts w:ascii="Times New Roman"/>
                    </w:rPr>
                    <w:t>/</w:t>
                  </w:r>
                </w:p>
              </w:tc>
              <w:tc>
                <w:tcPr>
                  <w:tcW w:w="1025" w:type="dxa"/>
                  <w:vAlign w:val="center"/>
                </w:tcPr>
                <w:p w14:paraId="472C7BC9">
                  <w:pPr>
                    <w:pStyle w:val="48"/>
                    <w:spacing w:before="24" w:after="24"/>
                    <w:rPr>
                      <w:rFonts w:ascii="Times New Roman"/>
                      <w:szCs w:val="21"/>
                    </w:rPr>
                  </w:pPr>
                  <w:r>
                    <w:rPr>
                      <w:rFonts w:ascii="Times New Roman"/>
                      <w:szCs w:val="21"/>
                    </w:rPr>
                    <w:t>原有已建</w:t>
                  </w:r>
                </w:p>
              </w:tc>
            </w:tr>
            <w:tr w14:paraId="27D3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10893244">
                  <w:pPr>
                    <w:pStyle w:val="48"/>
                    <w:spacing w:before="24" w:after="24"/>
                    <w:rPr>
                      <w:rFonts w:ascii="Times New Roman"/>
                      <w:szCs w:val="21"/>
                    </w:rPr>
                  </w:pPr>
                </w:p>
              </w:tc>
              <w:tc>
                <w:tcPr>
                  <w:tcW w:w="1317" w:type="dxa"/>
                  <w:gridSpan w:val="2"/>
                  <w:vAlign w:val="center"/>
                </w:tcPr>
                <w:p w14:paraId="6CD8EFFE">
                  <w:pPr>
                    <w:pStyle w:val="48"/>
                    <w:spacing w:before="24" w:after="24"/>
                    <w:rPr>
                      <w:rFonts w:ascii="Times New Roman"/>
                      <w:szCs w:val="21"/>
                    </w:rPr>
                  </w:pPr>
                  <w:r>
                    <w:rPr>
                      <w:rFonts w:ascii="Times New Roman"/>
                      <w:szCs w:val="21"/>
                    </w:rPr>
                    <w:t>排水</w:t>
                  </w:r>
                </w:p>
              </w:tc>
              <w:tc>
                <w:tcPr>
                  <w:tcW w:w="3616" w:type="dxa"/>
                  <w:vAlign w:val="center"/>
                </w:tcPr>
                <w:p w14:paraId="49947E7B">
                  <w:pPr>
                    <w:pStyle w:val="48"/>
                    <w:spacing w:before="24" w:after="24"/>
                    <w:rPr>
                      <w:rFonts w:ascii="Times New Roman"/>
                    </w:rPr>
                  </w:pPr>
                  <w:r>
                    <w:rPr>
                      <w:rFonts w:ascii="Times New Roman"/>
                    </w:rPr>
                    <w:t>实行雨污分流的排水体制。</w:t>
                  </w:r>
                </w:p>
                <w:p w14:paraId="67D222BF">
                  <w:pPr>
                    <w:pStyle w:val="48"/>
                    <w:spacing w:before="24" w:after="24"/>
                    <w:rPr>
                      <w:rFonts w:ascii="Times New Roman"/>
                    </w:rPr>
                  </w:pPr>
                  <w:r>
                    <w:rPr>
                      <w:rFonts w:ascii="Times New Roman"/>
                    </w:rPr>
                    <w:t>雨水经初期雨水收集池收集后，排入厂界外道路雨水沟；</w:t>
                  </w:r>
                </w:p>
                <w:p w14:paraId="1CD38033">
                  <w:pPr>
                    <w:pStyle w:val="48"/>
                    <w:spacing w:before="24" w:after="24"/>
                    <w:rPr>
                      <w:rFonts w:ascii="Times New Roman"/>
                      <w:szCs w:val="21"/>
                    </w:rPr>
                  </w:pPr>
                  <w:r>
                    <w:rPr>
                      <w:rFonts w:ascii="Times New Roman"/>
                    </w:rPr>
                    <w:t>生活污水经隔油池和化粪池处理，用于周边农作物施肥。</w:t>
                  </w:r>
                </w:p>
              </w:tc>
              <w:tc>
                <w:tcPr>
                  <w:tcW w:w="3260" w:type="dxa"/>
                  <w:vAlign w:val="center"/>
                </w:tcPr>
                <w:p w14:paraId="3B4813D9">
                  <w:pPr>
                    <w:pStyle w:val="48"/>
                    <w:spacing w:before="24" w:after="24"/>
                    <w:rPr>
                      <w:rFonts w:ascii="Times New Roman"/>
                    </w:rPr>
                  </w:pPr>
                  <w:r>
                    <w:rPr>
                      <w:rFonts w:ascii="Times New Roman"/>
                    </w:rPr>
                    <w:t>实行雨污分流的排水体制。</w:t>
                  </w:r>
                </w:p>
                <w:p w14:paraId="3DF74DAF">
                  <w:pPr>
                    <w:pStyle w:val="48"/>
                    <w:spacing w:before="24" w:after="24"/>
                    <w:rPr>
                      <w:rFonts w:ascii="Times New Roman"/>
                    </w:rPr>
                  </w:pPr>
                  <w:r>
                    <w:rPr>
                      <w:rFonts w:ascii="Times New Roman"/>
                    </w:rPr>
                    <w:t>雨水经初期雨水收集池收集后，排入厂界外道路雨水沟；</w:t>
                  </w:r>
                </w:p>
                <w:p w14:paraId="7BB1AA69">
                  <w:pPr>
                    <w:pStyle w:val="48"/>
                    <w:spacing w:before="24" w:after="24"/>
                    <w:rPr>
                      <w:rFonts w:ascii="Times New Roman"/>
                      <w:szCs w:val="21"/>
                    </w:rPr>
                  </w:pPr>
                  <w:r>
                    <w:rPr>
                      <w:rFonts w:ascii="Times New Roman"/>
                    </w:rPr>
                    <w:t>生活污水经隔油池和化粪池处理，用于周边农作物施肥。</w:t>
                  </w:r>
                </w:p>
              </w:tc>
              <w:tc>
                <w:tcPr>
                  <w:tcW w:w="1025" w:type="dxa"/>
                  <w:vAlign w:val="center"/>
                </w:tcPr>
                <w:p w14:paraId="68ED7ACB">
                  <w:pPr>
                    <w:pStyle w:val="48"/>
                    <w:spacing w:before="24" w:after="24"/>
                    <w:rPr>
                      <w:rFonts w:ascii="Times New Roman"/>
                      <w:szCs w:val="21"/>
                    </w:rPr>
                  </w:pPr>
                  <w:r>
                    <w:rPr>
                      <w:rFonts w:ascii="Times New Roman"/>
                      <w:szCs w:val="21"/>
                    </w:rPr>
                    <w:t>/</w:t>
                  </w:r>
                </w:p>
              </w:tc>
            </w:tr>
            <w:tr w14:paraId="65B3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72F1B099">
                  <w:pPr>
                    <w:pStyle w:val="48"/>
                    <w:spacing w:before="24" w:after="24"/>
                    <w:rPr>
                      <w:rFonts w:ascii="Times New Roman"/>
                      <w:szCs w:val="21"/>
                    </w:rPr>
                  </w:pPr>
                </w:p>
              </w:tc>
              <w:tc>
                <w:tcPr>
                  <w:tcW w:w="1317" w:type="dxa"/>
                  <w:gridSpan w:val="2"/>
                  <w:vAlign w:val="center"/>
                </w:tcPr>
                <w:p w14:paraId="49475DF7">
                  <w:pPr>
                    <w:pStyle w:val="48"/>
                    <w:spacing w:before="24" w:after="24"/>
                    <w:rPr>
                      <w:rFonts w:ascii="Times New Roman"/>
                      <w:szCs w:val="21"/>
                    </w:rPr>
                  </w:pPr>
                  <w:r>
                    <w:rPr>
                      <w:rFonts w:ascii="Times New Roman"/>
                      <w:szCs w:val="21"/>
                    </w:rPr>
                    <w:t>供电</w:t>
                  </w:r>
                </w:p>
              </w:tc>
              <w:tc>
                <w:tcPr>
                  <w:tcW w:w="3616" w:type="dxa"/>
                  <w:vAlign w:val="center"/>
                </w:tcPr>
                <w:p w14:paraId="273F049B">
                  <w:pPr>
                    <w:pStyle w:val="48"/>
                    <w:spacing w:before="24" w:after="24"/>
                    <w:rPr>
                      <w:rFonts w:ascii="Times New Roman"/>
                      <w:szCs w:val="21"/>
                    </w:rPr>
                  </w:pPr>
                  <w:r>
                    <w:rPr>
                      <w:rFonts w:ascii="Times New Roman"/>
                    </w:rPr>
                    <w:t>由市政电网统一供电</w:t>
                  </w:r>
                </w:p>
              </w:tc>
              <w:tc>
                <w:tcPr>
                  <w:tcW w:w="3260" w:type="dxa"/>
                  <w:vAlign w:val="center"/>
                </w:tcPr>
                <w:p w14:paraId="1E3D8C17">
                  <w:pPr>
                    <w:pStyle w:val="48"/>
                    <w:spacing w:before="24" w:after="24"/>
                    <w:rPr>
                      <w:rFonts w:ascii="Times New Roman"/>
                      <w:szCs w:val="21"/>
                    </w:rPr>
                  </w:pPr>
                  <w:r>
                    <w:rPr>
                      <w:rFonts w:ascii="Times New Roman"/>
                    </w:rPr>
                    <w:t>由市政电网统一供电</w:t>
                  </w:r>
                </w:p>
              </w:tc>
              <w:tc>
                <w:tcPr>
                  <w:tcW w:w="1025" w:type="dxa"/>
                  <w:vAlign w:val="center"/>
                </w:tcPr>
                <w:p w14:paraId="127FA333">
                  <w:pPr>
                    <w:pStyle w:val="48"/>
                    <w:spacing w:before="24" w:after="24"/>
                    <w:rPr>
                      <w:rFonts w:ascii="Times New Roman"/>
                      <w:szCs w:val="21"/>
                    </w:rPr>
                  </w:pPr>
                  <w:r>
                    <w:rPr>
                      <w:rFonts w:ascii="Times New Roman"/>
                      <w:szCs w:val="21"/>
                    </w:rPr>
                    <w:t>/</w:t>
                  </w:r>
                </w:p>
              </w:tc>
            </w:tr>
            <w:tr w14:paraId="6172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restart"/>
                  <w:vAlign w:val="center"/>
                </w:tcPr>
                <w:p w14:paraId="0C67A655">
                  <w:pPr>
                    <w:pStyle w:val="48"/>
                    <w:spacing w:before="24" w:after="24"/>
                    <w:rPr>
                      <w:rFonts w:ascii="Times New Roman"/>
                      <w:szCs w:val="21"/>
                    </w:rPr>
                  </w:pPr>
                  <w:r>
                    <w:rPr>
                      <w:rFonts w:ascii="Times New Roman"/>
                      <w:szCs w:val="21"/>
                    </w:rPr>
                    <w:t>环保</w:t>
                  </w:r>
                </w:p>
                <w:p w14:paraId="5ED00A95">
                  <w:pPr>
                    <w:pStyle w:val="48"/>
                    <w:spacing w:before="24" w:after="24"/>
                    <w:rPr>
                      <w:rFonts w:ascii="Times New Roman"/>
                      <w:szCs w:val="21"/>
                    </w:rPr>
                  </w:pPr>
                  <w:r>
                    <w:rPr>
                      <w:rFonts w:ascii="Times New Roman"/>
                      <w:szCs w:val="21"/>
                    </w:rPr>
                    <w:t>工程</w:t>
                  </w:r>
                </w:p>
              </w:tc>
              <w:tc>
                <w:tcPr>
                  <w:tcW w:w="510" w:type="dxa"/>
                  <w:vMerge w:val="restart"/>
                  <w:vAlign w:val="center"/>
                </w:tcPr>
                <w:p w14:paraId="78369490">
                  <w:pPr>
                    <w:pStyle w:val="48"/>
                    <w:spacing w:before="24" w:after="24"/>
                    <w:rPr>
                      <w:rFonts w:ascii="Times New Roman"/>
                      <w:szCs w:val="21"/>
                    </w:rPr>
                  </w:pPr>
                  <w:r>
                    <w:rPr>
                      <w:rFonts w:ascii="Times New Roman"/>
                      <w:szCs w:val="21"/>
                    </w:rPr>
                    <w:t>废气处理</w:t>
                  </w:r>
                </w:p>
              </w:tc>
              <w:tc>
                <w:tcPr>
                  <w:tcW w:w="807" w:type="dxa"/>
                  <w:vAlign w:val="center"/>
                </w:tcPr>
                <w:p w14:paraId="3C5D08FF">
                  <w:pPr>
                    <w:pStyle w:val="48"/>
                    <w:spacing w:before="24" w:after="24"/>
                    <w:rPr>
                      <w:rFonts w:ascii="Times New Roman"/>
                      <w:szCs w:val="21"/>
                    </w:rPr>
                  </w:pPr>
                  <w:r>
                    <w:rPr>
                      <w:rFonts w:ascii="Times New Roman"/>
                      <w:bCs/>
                      <w:szCs w:val="21"/>
                    </w:rPr>
                    <w:t>隧道窑烧结废气烟囱</w:t>
                  </w:r>
                  <w:r>
                    <w:rPr>
                      <w:rFonts w:ascii="Times New Roman"/>
                      <w:szCs w:val="21"/>
                    </w:rPr>
                    <w:t>DA001</w:t>
                  </w:r>
                </w:p>
              </w:tc>
              <w:tc>
                <w:tcPr>
                  <w:tcW w:w="3616" w:type="dxa"/>
                  <w:vAlign w:val="center"/>
                </w:tcPr>
                <w:p w14:paraId="073A54E1">
                  <w:pPr>
                    <w:pStyle w:val="48"/>
                    <w:spacing w:before="24" w:after="24"/>
                    <w:rPr>
                      <w:rFonts w:ascii="Times New Roman"/>
                      <w:szCs w:val="21"/>
                    </w:rPr>
                  </w:pPr>
                  <w:r>
                    <w:rPr>
                      <w:rFonts w:ascii="Times New Roman"/>
                      <w:szCs w:val="21"/>
                    </w:rPr>
                    <w:t>/</w:t>
                  </w:r>
                </w:p>
              </w:tc>
              <w:tc>
                <w:tcPr>
                  <w:tcW w:w="3260" w:type="dxa"/>
                  <w:vAlign w:val="center"/>
                </w:tcPr>
                <w:p w14:paraId="5F6E30CB">
                  <w:pPr>
                    <w:adjustRightInd w:val="0"/>
                    <w:snapToGrid w:val="0"/>
                    <w:ind w:firstLine="420" w:firstLineChars="200"/>
                    <w:rPr>
                      <w:bCs/>
                      <w:szCs w:val="21"/>
                    </w:rPr>
                  </w:pPr>
                  <w:r>
                    <w:rPr>
                      <w:bCs/>
                      <w:szCs w:val="21"/>
                    </w:rPr>
                    <w:t>隧道窑烧结废气经一套脱硫除尘尾气处理设施处理，通过25m烟囱排放（内径2m）；对烟尘、二氧化硫的处理效率分别为95%、85%。</w:t>
                  </w:r>
                </w:p>
              </w:tc>
              <w:tc>
                <w:tcPr>
                  <w:tcW w:w="1025" w:type="dxa"/>
                  <w:vAlign w:val="center"/>
                </w:tcPr>
                <w:p w14:paraId="760E8633">
                  <w:pPr>
                    <w:pStyle w:val="48"/>
                    <w:spacing w:before="24" w:after="24"/>
                    <w:rPr>
                      <w:rFonts w:ascii="Times New Roman"/>
                      <w:szCs w:val="21"/>
                    </w:rPr>
                  </w:pPr>
                  <w:r>
                    <w:rPr>
                      <w:rFonts w:ascii="Times New Roman"/>
                      <w:szCs w:val="21"/>
                    </w:rPr>
                    <w:t>现有脱硫系统改造</w:t>
                  </w:r>
                </w:p>
              </w:tc>
            </w:tr>
            <w:tr w14:paraId="4ECF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44F691C4">
                  <w:pPr>
                    <w:pStyle w:val="48"/>
                    <w:spacing w:before="24" w:after="24"/>
                    <w:rPr>
                      <w:rFonts w:ascii="Times New Roman"/>
                      <w:szCs w:val="21"/>
                    </w:rPr>
                  </w:pPr>
                </w:p>
              </w:tc>
              <w:tc>
                <w:tcPr>
                  <w:tcW w:w="510" w:type="dxa"/>
                  <w:vMerge w:val="continue"/>
                  <w:vAlign w:val="center"/>
                </w:tcPr>
                <w:p w14:paraId="15110836">
                  <w:pPr>
                    <w:pStyle w:val="48"/>
                    <w:spacing w:before="24" w:after="24"/>
                    <w:rPr>
                      <w:rFonts w:ascii="Times New Roman"/>
                      <w:szCs w:val="21"/>
                    </w:rPr>
                  </w:pPr>
                </w:p>
              </w:tc>
              <w:tc>
                <w:tcPr>
                  <w:tcW w:w="807" w:type="dxa"/>
                  <w:vAlign w:val="center"/>
                </w:tcPr>
                <w:p w14:paraId="0AA562BD">
                  <w:pPr>
                    <w:pStyle w:val="48"/>
                    <w:spacing w:before="24" w:after="24"/>
                    <w:rPr>
                      <w:rFonts w:ascii="Times New Roman"/>
                      <w:szCs w:val="21"/>
                    </w:rPr>
                  </w:pPr>
                  <w:r>
                    <w:rPr>
                      <w:rFonts w:ascii="Times New Roman"/>
                      <w:szCs w:val="21"/>
                    </w:rPr>
                    <w:t>破碎筛分G1、</w:t>
                  </w:r>
                  <w:r>
                    <w:rPr>
                      <w:rFonts w:ascii="Times New Roman"/>
                      <w:bCs/>
                      <w:szCs w:val="21"/>
                    </w:rPr>
                    <w:t>原料堆场</w:t>
                  </w:r>
                </w:p>
              </w:tc>
              <w:tc>
                <w:tcPr>
                  <w:tcW w:w="3616" w:type="dxa"/>
                  <w:vAlign w:val="center"/>
                </w:tcPr>
                <w:p w14:paraId="223A3DA8">
                  <w:pPr>
                    <w:pStyle w:val="48"/>
                    <w:spacing w:before="24" w:after="24"/>
                    <w:rPr>
                      <w:rFonts w:ascii="Times New Roman"/>
                    </w:rPr>
                  </w:pPr>
                  <w:r>
                    <w:rPr>
                      <w:rFonts w:ascii="Times New Roman"/>
                      <w:b/>
                    </w:rPr>
                    <w:t>1、破碎筛分：</w:t>
                  </w:r>
                  <w:r>
                    <w:rPr>
                      <w:rFonts w:ascii="Times New Roman"/>
                    </w:rPr>
                    <w:t>工序密闭处理；</w:t>
                  </w:r>
                </w:p>
                <w:p w14:paraId="462CDCA3">
                  <w:pPr>
                    <w:pStyle w:val="48"/>
                    <w:spacing w:before="24" w:after="24"/>
                    <w:rPr>
                      <w:rFonts w:ascii="Times New Roman"/>
                    </w:rPr>
                  </w:pPr>
                  <w:r>
                    <w:rPr>
                      <w:rFonts w:ascii="Times New Roman"/>
                      <w:b/>
                    </w:rPr>
                    <w:t>2、原料堆场：</w:t>
                  </w:r>
                  <w:r>
                    <w:rPr>
                      <w:rFonts w:ascii="Times New Roman"/>
                      <w:bCs/>
                    </w:rPr>
                    <w:t>洒水（1台雾炮机、1辆洒水车）措施</w:t>
                  </w:r>
                </w:p>
              </w:tc>
              <w:tc>
                <w:tcPr>
                  <w:tcW w:w="3260" w:type="dxa"/>
                  <w:vAlign w:val="center"/>
                </w:tcPr>
                <w:p w14:paraId="749556D3">
                  <w:pPr>
                    <w:pStyle w:val="48"/>
                    <w:spacing w:before="24" w:after="24"/>
                    <w:rPr>
                      <w:rFonts w:ascii="Times New Roman"/>
                    </w:rPr>
                  </w:pPr>
                  <w:r>
                    <w:rPr>
                      <w:rFonts w:ascii="Times New Roman"/>
                      <w:b/>
                    </w:rPr>
                    <w:t>1、破碎筛分：</w:t>
                  </w:r>
                  <w:r>
                    <w:rPr>
                      <w:rFonts w:ascii="Times New Roman"/>
                    </w:rPr>
                    <w:t>工序密闭处理，并配套2套集气罩+1套布袋除尘器，收集效率为80%，布袋除尘器处理效率为99%；</w:t>
                  </w:r>
                </w:p>
                <w:p w14:paraId="2D5E6C4F">
                  <w:pPr>
                    <w:pStyle w:val="48"/>
                    <w:spacing w:before="24" w:after="24"/>
                    <w:rPr>
                      <w:rFonts w:ascii="Times New Roman"/>
                    </w:rPr>
                  </w:pPr>
                  <w:r>
                    <w:rPr>
                      <w:rFonts w:ascii="Times New Roman"/>
                      <w:b/>
                    </w:rPr>
                    <w:t>2、原料堆场：</w:t>
                  </w:r>
                  <w:r>
                    <w:rPr>
                      <w:rFonts w:ascii="Times New Roman"/>
                      <w:bCs/>
                    </w:rPr>
                    <w:t>原料堆场堆棚四周设置防风抑尘网、挡风墙，且高度不低于堆存物料高度的1.1 倍，以及采取覆盖、洒水（1台雾炮机、1辆洒水车）等措施。</w:t>
                  </w:r>
                </w:p>
              </w:tc>
              <w:tc>
                <w:tcPr>
                  <w:tcW w:w="1025" w:type="dxa"/>
                  <w:vAlign w:val="center"/>
                </w:tcPr>
                <w:p w14:paraId="170FAF10">
                  <w:pPr>
                    <w:pStyle w:val="48"/>
                    <w:spacing w:before="24" w:after="24"/>
                    <w:rPr>
                      <w:rFonts w:ascii="Times New Roman"/>
                      <w:szCs w:val="21"/>
                    </w:rPr>
                  </w:pPr>
                  <w:r>
                    <w:rPr>
                      <w:rFonts w:ascii="Times New Roman"/>
                      <w:szCs w:val="21"/>
                    </w:rPr>
                    <w:t>现有改造</w:t>
                  </w:r>
                </w:p>
              </w:tc>
            </w:tr>
            <w:tr w14:paraId="123C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7464F788">
                  <w:pPr>
                    <w:pStyle w:val="48"/>
                    <w:spacing w:before="24" w:after="24"/>
                    <w:rPr>
                      <w:rFonts w:ascii="Times New Roman"/>
                      <w:szCs w:val="21"/>
                    </w:rPr>
                  </w:pPr>
                </w:p>
              </w:tc>
              <w:tc>
                <w:tcPr>
                  <w:tcW w:w="510" w:type="dxa"/>
                  <w:vMerge w:val="continue"/>
                  <w:vAlign w:val="center"/>
                </w:tcPr>
                <w:p w14:paraId="0B0C0775">
                  <w:pPr>
                    <w:pStyle w:val="48"/>
                    <w:spacing w:before="24" w:after="24"/>
                    <w:rPr>
                      <w:rFonts w:ascii="Times New Roman"/>
                      <w:szCs w:val="21"/>
                    </w:rPr>
                  </w:pPr>
                </w:p>
              </w:tc>
              <w:tc>
                <w:tcPr>
                  <w:tcW w:w="807" w:type="dxa"/>
                  <w:vAlign w:val="center"/>
                </w:tcPr>
                <w:p w14:paraId="3EB137BC">
                  <w:pPr>
                    <w:pStyle w:val="48"/>
                    <w:spacing w:before="24" w:after="24"/>
                    <w:rPr>
                      <w:rFonts w:ascii="Times New Roman"/>
                      <w:szCs w:val="21"/>
                    </w:rPr>
                  </w:pPr>
                  <w:r>
                    <w:rPr>
                      <w:rFonts w:ascii="Times New Roman"/>
                      <w:szCs w:val="21"/>
                    </w:rPr>
                    <w:t>食堂</w:t>
                  </w:r>
                </w:p>
                <w:p w14:paraId="22C88D94">
                  <w:pPr>
                    <w:pStyle w:val="48"/>
                    <w:spacing w:before="24" w:after="24"/>
                    <w:rPr>
                      <w:rFonts w:ascii="Times New Roman"/>
                      <w:szCs w:val="21"/>
                    </w:rPr>
                  </w:pPr>
                  <w:r>
                    <w:rPr>
                      <w:rFonts w:ascii="Times New Roman"/>
                      <w:szCs w:val="21"/>
                    </w:rPr>
                    <w:t>油烟</w:t>
                  </w:r>
                </w:p>
              </w:tc>
              <w:tc>
                <w:tcPr>
                  <w:tcW w:w="3616" w:type="dxa"/>
                  <w:vAlign w:val="center"/>
                </w:tcPr>
                <w:p w14:paraId="2A3C5BA5">
                  <w:pPr>
                    <w:pStyle w:val="48"/>
                    <w:spacing w:before="24" w:after="24"/>
                    <w:rPr>
                      <w:rFonts w:ascii="Times New Roman"/>
                    </w:rPr>
                  </w:pPr>
                  <w:r>
                    <w:rPr>
                      <w:rFonts w:ascii="Times New Roman"/>
                      <w:szCs w:val="21"/>
                    </w:rPr>
                    <w:t>食堂油烟安装油烟净化器</w:t>
                  </w:r>
                </w:p>
              </w:tc>
              <w:tc>
                <w:tcPr>
                  <w:tcW w:w="3260" w:type="dxa"/>
                  <w:vAlign w:val="center"/>
                </w:tcPr>
                <w:p w14:paraId="75564140">
                  <w:pPr>
                    <w:pStyle w:val="48"/>
                    <w:spacing w:before="24" w:after="24"/>
                    <w:rPr>
                      <w:rFonts w:ascii="Times New Roman"/>
                    </w:rPr>
                  </w:pPr>
                  <w:r>
                    <w:rPr>
                      <w:rFonts w:ascii="Times New Roman"/>
                      <w:szCs w:val="21"/>
                    </w:rPr>
                    <w:t>食堂油烟经小型油烟净化器净化后通过高于顶楼的烟道排出</w:t>
                  </w:r>
                </w:p>
              </w:tc>
              <w:tc>
                <w:tcPr>
                  <w:tcW w:w="1025" w:type="dxa"/>
                  <w:vAlign w:val="center"/>
                </w:tcPr>
                <w:p w14:paraId="77B140F1">
                  <w:pPr>
                    <w:pStyle w:val="48"/>
                    <w:spacing w:before="24" w:after="24"/>
                    <w:rPr>
                      <w:rFonts w:ascii="Times New Roman"/>
                      <w:szCs w:val="21"/>
                    </w:rPr>
                  </w:pPr>
                  <w:r>
                    <w:rPr>
                      <w:rFonts w:ascii="Times New Roman"/>
                      <w:szCs w:val="21"/>
                    </w:rPr>
                    <w:t>原有</w:t>
                  </w:r>
                </w:p>
              </w:tc>
            </w:tr>
            <w:tr w14:paraId="0384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44298BF5">
                  <w:pPr>
                    <w:pStyle w:val="48"/>
                    <w:spacing w:before="24" w:after="24"/>
                    <w:rPr>
                      <w:rFonts w:ascii="Times New Roman"/>
                      <w:szCs w:val="21"/>
                    </w:rPr>
                  </w:pPr>
                </w:p>
              </w:tc>
              <w:tc>
                <w:tcPr>
                  <w:tcW w:w="510" w:type="dxa"/>
                  <w:vMerge w:val="restart"/>
                  <w:vAlign w:val="center"/>
                </w:tcPr>
                <w:p w14:paraId="65EC059B">
                  <w:pPr>
                    <w:pStyle w:val="48"/>
                    <w:spacing w:before="24" w:after="24"/>
                    <w:rPr>
                      <w:rFonts w:ascii="Times New Roman"/>
                      <w:szCs w:val="21"/>
                    </w:rPr>
                  </w:pPr>
                  <w:r>
                    <w:rPr>
                      <w:rFonts w:ascii="Times New Roman"/>
                      <w:szCs w:val="21"/>
                    </w:rPr>
                    <w:t>废水处理</w:t>
                  </w:r>
                </w:p>
              </w:tc>
              <w:tc>
                <w:tcPr>
                  <w:tcW w:w="807" w:type="dxa"/>
                  <w:vAlign w:val="center"/>
                </w:tcPr>
                <w:p w14:paraId="5B143E55">
                  <w:pPr>
                    <w:pStyle w:val="48"/>
                    <w:spacing w:before="24" w:after="24"/>
                    <w:rPr>
                      <w:rFonts w:ascii="Times New Roman"/>
                      <w:szCs w:val="21"/>
                    </w:rPr>
                  </w:pPr>
                  <w:r>
                    <w:rPr>
                      <w:rFonts w:ascii="Times New Roman"/>
                      <w:szCs w:val="21"/>
                    </w:rPr>
                    <w:t>雨污分流工程</w:t>
                  </w:r>
                </w:p>
              </w:tc>
              <w:tc>
                <w:tcPr>
                  <w:tcW w:w="3616" w:type="dxa"/>
                  <w:vAlign w:val="center"/>
                </w:tcPr>
                <w:p w14:paraId="6F1EDAF6">
                  <w:pPr>
                    <w:pStyle w:val="48"/>
                    <w:spacing w:before="24" w:after="24"/>
                    <w:rPr>
                      <w:rFonts w:ascii="Times New Roman"/>
                      <w:szCs w:val="21"/>
                    </w:rPr>
                  </w:pPr>
                  <w:r>
                    <w:rPr>
                      <w:rFonts w:ascii="Times New Roman"/>
                    </w:rPr>
                    <w:t>实行雨污分流制，初期雨水收集池15m</w:t>
                  </w:r>
                  <w:r>
                    <w:rPr>
                      <w:rFonts w:ascii="Times New Roman"/>
                      <w:vertAlign w:val="superscript"/>
                    </w:rPr>
                    <w:t>3</w:t>
                  </w:r>
                  <w:r>
                    <w:rPr>
                      <w:rFonts w:ascii="Times New Roman"/>
                    </w:rPr>
                    <w:t>。</w:t>
                  </w:r>
                </w:p>
              </w:tc>
              <w:tc>
                <w:tcPr>
                  <w:tcW w:w="3260" w:type="dxa"/>
                  <w:vAlign w:val="center"/>
                </w:tcPr>
                <w:p w14:paraId="107F83C8">
                  <w:pPr>
                    <w:pStyle w:val="48"/>
                    <w:spacing w:before="24" w:after="24"/>
                    <w:rPr>
                      <w:rFonts w:ascii="Times New Roman"/>
                      <w:szCs w:val="21"/>
                    </w:rPr>
                  </w:pPr>
                  <w:r>
                    <w:rPr>
                      <w:rFonts w:ascii="Times New Roman"/>
                      <w:bCs/>
                      <w:szCs w:val="21"/>
                    </w:rPr>
                    <w:t>雨水：雨污分流，项目区设置雨水沟，项目区东南侧地势最低处建造15m</w:t>
                  </w:r>
                  <w:r>
                    <w:rPr>
                      <w:rFonts w:ascii="Times New Roman"/>
                      <w:bCs/>
                      <w:szCs w:val="21"/>
                      <w:vertAlign w:val="superscript"/>
                    </w:rPr>
                    <w:t>3</w:t>
                  </w:r>
                  <w:r>
                    <w:rPr>
                      <w:rFonts w:ascii="Times New Roman"/>
                      <w:bCs/>
                      <w:szCs w:val="21"/>
                    </w:rPr>
                    <w:t>的初期雨水收集池，初期雨水收集沉淀后回用于生产或道路降尘，项目区其余雨水经厂区雨水沟外排。</w:t>
                  </w:r>
                </w:p>
              </w:tc>
              <w:tc>
                <w:tcPr>
                  <w:tcW w:w="1025" w:type="dxa"/>
                  <w:vAlign w:val="center"/>
                </w:tcPr>
                <w:p w14:paraId="5DAF0330">
                  <w:pPr>
                    <w:pStyle w:val="48"/>
                    <w:spacing w:before="24" w:after="24"/>
                    <w:rPr>
                      <w:rFonts w:ascii="Times New Roman"/>
                      <w:szCs w:val="21"/>
                    </w:rPr>
                  </w:pPr>
                  <w:r>
                    <w:rPr>
                      <w:rFonts w:ascii="Times New Roman"/>
                      <w:szCs w:val="21"/>
                    </w:rPr>
                    <w:t>依托原有</w:t>
                  </w:r>
                </w:p>
              </w:tc>
            </w:tr>
            <w:tr w14:paraId="216C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vMerge w:val="continue"/>
                  <w:vAlign w:val="center"/>
                </w:tcPr>
                <w:p w14:paraId="3DAB5911">
                  <w:pPr>
                    <w:pStyle w:val="48"/>
                    <w:spacing w:before="24" w:after="24"/>
                    <w:rPr>
                      <w:rFonts w:ascii="Times New Roman"/>
                      <w:szCs w:val="21"/>
                    </w:rPr>
                  </w:pPr>
                </w:p>
              </w:tc>
              <w:tc>
                <w:tcPr>
                  <w:tcW w:w="510" w:type="dxa"/>
                  <w:vMerge w:val="continue"/>
                  <w:vAlign w:val="center"/>
                </w:tcPr>
                <w:p w14:paraId="24AC75C4">
                  <w:pPr>
                    <w:pStyle w:val="48"/>
                    <w:spacing w:before="24" w:after="24"/>
                    <w:rPr>
                      <w:rFonts w:ascii="Times New Roman"/>
                      <w:szCs w:val="21"/>
                    </w:rPr>
                  </w:pPr>
                </w:p>
              </w:tc>
              <w:tc>
                <w:tcPr>
                  <w:tcW w:w="807" w:type="dxa"/>
                  <w:vAlign w:val="center"/>
                </w:tcPr>
                <w:p w14:paraId="1AAB600E">
                  <w:pPr>
                    <w:pStyle w:val="48"/>
                    <w:spacing w:before="24" w:after="24"/>
                    <w:rPr>
                      <w:rFonts w:ascii="Times New Roman"/>
                      <w:szCs w:val="21"/>
                    </w:rPr>
                  </w:pPr>
                  <w:r>
                    <w:rPr>
                      <w:rFonts w:ascii="Times New Roman"/>
                      <w:szCs w:val="21"/>
                    </w:rPr>
                    <w:t>生活</w:t>
                  </w:r>
                </w:p>
                <w:p w14:paraId="5AA0C501">
                  <w:pPr>
                    <w:pStyle w:val="48"/>
                    <w:spacing w:before="24" w:after="24"/>
                    <w:rPr>
                      <w:rFonts w:ascii="Times New Roman"/>
                      <w:szCs w:val="21"/>
                    </w:rPr>
                  </w:pPr>
                  <w:r>
                    <w:rPr>
                      <w:rFonts w:ascii="Times New Roman"/>
                      <w:szCs w:val="21"/>
                    </w:rPr>
                    <w:t>污水</w:t>
                  </w:r>
                </w:p>
              </w:tc>
              <w:tc>
                <w:tcPr>
                  <w:tcW w:w="3616" w:type="dxa"/>
                  <w:vAlign w:val="center"/>
                </w:tcPr>
                <w:p w14:paraId="1EDDC2AB">
                  <w:pPr>
                    <w:pStyle w:val="48"/>
                    <w:spacing w:before="24" w:after="24"/>
                    <w:rPr>
                      <w:rFonts w:ascii="Times New Roman"/>
                    </w:rPr>
                  </w:pPr>
                  <w:r>
                    <w:rPr>
                      <w:rFonts w:ascii="Times New Roman"/>
                    </w:rPr>
                    <w:t>生活污水经化粪池处理后，</w:t>
                  </w:r>
                  <w:r>
                    <w:rPr>
                      <w:rFonts w:ascii="Times New Roman"/>
                      <w:bCs/>
                    </w:rPr>
                    <w:t>委托周边农户清掏，用于农作物施肥</w:t>
                  </w:r>
                  <w:r>
                    <w:rPr>
                      <w:rFonts w:ascii="Times New Roman"/>
                    </w:rPr>
                    <w:t>。</w:t>
                  </w:r>
                </w:p>
              </w:tc>
              <w:tc>
                <w:tcPr>
                  <w:tcW w:w="3260" w:type="dxa"/>
                  <w:vAlign w:val="center"/>
                </w:tcPr>
                <w:p w14:paraId="4CE352FB">
                  <w:pPr>
                    <w:pStyle w:val="7"/>
                  </w:pPr>
                  <w:r>
                    <w:rPr>
                      <w:bCs/>
                      <w:kern w:val="0"/>
                      <w:szCs w:val="21"/>
                    </w:rPr>
                    <w:t>生活废水：1个隔油池（0.1m</w:t>
                  </w:r>
                  <w:r>
                    <w:rPr>
                      <w:bCs/>
                      <w:kern w:val="0"/>
                      <w:szCs w:val="21"/>
                      <w:vertAlign w:val="superscript"/>
                    </w:rPr>
                    <w:t>3</w:t>
                  </w:r>
                  <w:r>
                    <w:rPr>
                      <w:bCs/>
                      <w:kern w:val="0"/>
                      <w:szCs w:val="21"/>
                    </w:rPr>
                    <w:t>）、化粪池（</w:t>
                  </w:r>
                  <w:r>
                    <w:rPr>
                      <w:bCs/>
                      <w:iCs/>
                      <w:kern w:val="0"/>
                      <w:szCs w:val="21"/>
                    </w:rPr>
                    <w:t>2个，每个10m</w:t>
                  </w:r>
                  <w:r>
                    <w:rPr>
                      <w:bCs/>
                      <w:iCs/>
                      <w:kern w:val="0"/>
                      <w:szCs w:val="21"/>
                      <w:vertAlign w:val="superscript"/>
                    </w:rPr>
                    <w:t>3</w:t>
                  </w:r>
                  <w:r>
                    <w:rPr>
                      <w:bCs/>
                      <w:iCs/>
                      <w:kern w:val="0"/>
                      <w:szCs w:val="21"/>
                    </w:rPr>
                    <w:t>的化粪池</w:t>
                  </w:r>
                  <w:r>
                    <w:rPr>
                      <w:bCs/>
                      <w:kern w:val="0"/>
                      <w:szCs w:val="21"/>
                    </w:rPr>
                    <w:t>），委托周边农户清掏，用于农作物施肥。</w:t>
                  </w:r>
                </w:p>
              </w:tc>
              <w:tc>
                <w:tcPr>
                  <w:tcW w:w="1025" w:type="dxa"/>
                  <w:vAlign w:val="center"/>
                </w:tcPr>
                <w:p w14:paraId="7E7EE6D9">
                  <w:pPr>
                    <w:pStyle w:val="48"/>
                    <w:spacing w:before="24" w:after="24"/>
                    <w:rPr>
                      <w:rFonts w:ascii="Times New Roman"/>
                      <w:szCs w:val="21"/>
                    </w:rPr>
                  </w:pPr>
                  <w:r>
                    <w:rPr>
                      <w:rFonts w:ascii="Times New Roman"/>
                      <w:szCs w:val="21"/>
                    </w:rPr>
                    <w:t>依托原有</w:t>
                  </w:r>
                </w:p>
              </w:tc>
            </w:tr>
            <w:tr w14:paraId="4579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776F55AB">
                  <w:pPr>
                    <w:pStyle w:val="48"/>
                    <w:spacing w:before="24" w:after="24"/>
                    <w:rPr>
                      <w:rFonts w:ascii="Times New Roman"/>
                      <w:szCs w:val="21"/>
                    </w:rPr>
                  </w:pPr>
                </w:p>
              </w:tc>
              <w:tc>
                <w:tcPr>
                  <w:tcW w:w="1317" w:type="dxa"/>
                  <w:gridSpan w:val="2"/>
                  <w:vAlign w:val="center"/>
                </w:tcPr>
                <w:p w14:paraId="1BA4BCF0">
                  <w:pPr>
                    <w:pStyle w:val="48"/>
                    <w:spacing w:before="24" w:after="24"/>
                    <w:rPr>
                      <w:rFonts w:ascii="Times New Roman"/>
                      <w:szCs w:val="21"/>
                    </w:rPr>
                  </w:pPr>
                  <w:r>
                    <w:rPr>
                      <w:rFonts w:ascii="Times New Roman"/>
                      <w:szCs w:val="21"/>
                    </w:rPr>
                    <w:t>噪声治理</w:t>
                  </w:r>
                </w:p>
              </w:tc>
              <w:tc>
                <w:tcPr>
                  <w:tcW w:w="3616" w:type="dxa"/>
                  <w:vAlign w:val="center"/>
                </w:tcPr>
                <w:p w14:paraId="4A9055FC">
                  <w:pPr>
                    <w:pStyle w:val="48"/>
                    <w:spacing w:before="24" w:after="24"/>
                    <w:rPr>
                      <w:rFonts w:ascii="Times New Roman"/>
                      <w:szCs w:val="21"/>
                    </w:rPr>
                  </w:pPr>
                  <w:r>
                    <w:rPr>
                      <w:rFonts w:ascii="Times New Roman"/>
                      <w:szCs w:val="21"/>
                    </w:rPr>
                    <w:t>设备基础减振、距离衰减、加强设备维护与管理。</w:t>
                  </w:r>
                </w:p>
              </w:tc>
              <w:tc>
                <w:tcPr>
                  <w:tcW w:w="3260" w:type="dxa"/>
                  <w:vAlign w:val="center"/>
                </w:tcPr>
                <w:p w14:paraId="5A0CDB84">
                  <w:pPr>
                    <w:pStyle w:val="48"/>
                    <w:spacing w:before="24" w:after="24"/>
                    <w:rPr>
                      <w:rFonts w:ascii="Times New Roman"/>
                      <w:bCs/>
                      <w:szCs w:val="21"/>
                    </w:rPr>
                  </w:pPr>
                  <w:r>
                    <w:rPr>
                      <w:rFonts w:ascii="Times New Roman"/>
                    </w:rPr>
                    <w:t>设备基础减振、距离衰减、加强设备维护与管理。</w:t>
                  </w:r>
                </w:p>
              </w:tc>
              <w:tc>
                <w:tcPr>
                  <w:tcW w:w="1025" w:type="dxa"/>
                  <w:vAlign w:val="center"/>
                </w:tcPr>
                <w:p w14:paraId="2DCFEF67">
                  <w:pPr>
                    <w:pStyle w:val="48"/>
                    <w:spacing w:before="24" w:after="24"/>
                    <w:rPr>
                      <w:rFonts w:ascii="Times New Roman"/>
                      <w:szCs w:val="21"/>
                    </w:rPr>
                  </w:pPr>
                  <w:r>
                    <w:rPr>
                      <w:rFonts w:ascii="Times New Roman"/>
                      <w:szCs w:val="21"/>
                    </w:rPr>
                    <w:t>依托原有</w:t>
                  </w:r>
                </w:p>
              </w:tc>
            </w:tr>
            <w:tr w14:paraId="2647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63330869">
                  <w:pPr>
                    <w:pStyle w:val="48"/>
                    <w:spacing w:before="24" w:after="24"/>
                    <w:rPr>
                      <w:rFonts w:ascii="Times New Roman"/>
                      <w:szCs w:val="21"/>
                    </w:rPr>
                  </w:pPr>
                </w:p>
              </w:tc>
              <w:tc>
                <w:tcPr>
                  <w:tcW w:w="510" w:type="dxa"/>
                  <w:vMerge w:val="restart"/>
                  <w:vAlign w:val="center"/>
                </w:tcPr>
                <w:p w14:paraId="04985934">
                  <w:pPr>
                    <w:pStyle w:val="48"/>
                    <w:spacing w:before="24" w:after="24"/>
                    <w:rPr>
                      <w:rFonts w:ascii="Times New Roman"/>
                      <w:szCs w:val="21"/>
                    </w:rPr>
                  </w:pPr>
                  <w:r>
                    <w:rPr>
                      <w:rFonts w:ascii="Times New Roman"/>
                      <w:szCs w:val="21"/>
                    </w:rPr>
                    <w:t>固体废物</w:t>
                  </w:r>
                </w:p>
              </w:tc>
              <w:tc>
                <w:tcPr>
                  <w:tcW w:w="807" w:type="dxa"/>
                  <w:vAlign w:val="center"/>
                </w:tcPr>
                <w:p w14:paraId="0217C923">
                  <w:pPr>
                    <w:pStyle w:val="48"/>
                    <w:spacing w:before="24" w:after="24"/>
                    <w:rPr>
                      <w:rFonts w:ascii="Times New Roman"/>
                      <w:szCs w:val="21"/>
                    </w:rPr>
                  </w:pPr>
                  <w:r>
                    <w:rPr>
                      <w:rFonts w:ascii="Times New Roman"/>
                      <w:szCs w:val="21"/>
                    </w:rPr>
                    <w:t>生活</w:t>
                  </w:r>
                </w:p>
                <w:p w14:paraId="16A4CA2C">
                  <w:pPr>
                    <w:pStyle w:val="48"/>
                    <w:spacing w:before="24" w:after="24"/>
                    <w:rPr>
                      <w:rFonts w:ascii="Times New Roman"/>
                      <w:szCs w:val="21"/>
                    </w:rPr>
                  </w:pPr>
                  <w:r>
                    <w:rPr>
                      <w:rFonts w:ascii="Times New Roman"/>
                      <w:szCs w:val="21"/>
                    </w:rPr>
                    <w:t>垃圾</w:t>
                  </w:r>
                </w:p>
              </w:tc>
              <w:tc>
                <w:tcPr>
                  <w:tcW w:w="3616" w:type="dxa"/>
                  <w:vAlign w:val="center"/>
                </w:tcPr>
                <w:p w14:paraId="31FECDAA">
                  <w:pPr>
                    <w:pStyle w:val="48"/>
                    <w:spacing w:before="24" w:after="24"/>
                    <w:rPr>
                      <w:rFonts w:ascii="Times New Roman"/>
                      <w:szCs w:val="21"/>
                    </w:rPr>
                  </w:pPr>
                  <w:r>
                    <w:rPr>
                      <w:rFonts w:ascii="Times New Roman"/>
                      <w:szCs w:val="21"/>
                    </w:rPr>
                    <w:t>生活垃圾统一收集后，委托环卫部门清运处置</w:t>
                  </w:r>
                </w:p>
              </w:tc>
              <w:tc>
                <w:tcPr>
                  <w:tcW w:w="3260" w:type="dxa"/>
                  <w:vAlign w:val="center"/>
                </w:tcPr>
                <w:p w14:paraId="3F92F9C3">
                  <w:pPr>
                    <w:pStyle w:val="48"/>
                    <w:spacing w:before="24" w:after="24"/>
                    <w:rPr>
                      <w:rFonts w:ascii="Times New Roman"/>
                      <w:bCs/>
                      <w:szCs w:val="21"/>
                    </w:rPr>
                  </w:pPr>
                  <w:r>
                    <w:rPr>
                      <w:rFonts w:ascii="Times New Roman"/>
                      <w:szCs w:val="21"/>
                    </w:rPr>
                    <w:t>若干垃圾桶，生活垃圾统一收集后，委托清运至最近垃圾收集点</w:t>
                  </w:r>
                </w:p>
              </w:tc>
              <w:tc>
                <w:tcPr>
                  <w:tcW w:w="1025" w:type="dxa"/>
                  <w:vAlign w:val="center"/>
                </w:tcPr>
                <w:p w14:paraId="58885AF2">
                  <w:pPr>
                    <w:pStyle w:val="48"/>
                    <w:spacing w:before="24" w:after="24"/>
                    <w:rPr>
                      <w:rFonts w:ascii="Times New Roman"/>
                      <w:szCs w:val="21"/>
                    </w:rPr>
                  </w:pPr>
                  <w:r>
                    <w:rPr>
                      <w:rFonts w:ascii="Times New Roman"/>
                      <w:szCs w:val="21"/>
                    </w:rPr>
                    <w:t>一致</w:t>
                  </w:r>
                </w:p>
              </w:tc>
            </w:tr>
            <w:tr w14:paraId="4737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24" w:type="dxa"/>
                  <w:vMerge w:val="continue"/>
                  <w:vAlign w:val="center"/>
                </w:tcPr>
                <w:p w14:paraId="7E85FB84">
                  <w:pPr>
                    <w:pStyle w:val="48"/>
                    <w:spacing w:before="24" w:after="24"/>
                    <w:rPr>
                      <w:rFonts w:ascii="Times New Roman"/>
                      <w:szCs w:val="21"/>
                    </w:rPr>
                  </w:pPr>
                </w:p>
              </w:tc>
              <w:tc>
                <w:tcPr>
                  <w:tcW w:w="510" w:type="dxa"/>
                  <w:vMerge w:val="continue"/>
                  <w:vAlign w:val="center"/>
                </w:tcPr>
                <w:p w14:paraId="6E55B247">
                  <w:pPr>
                    <w:pStyle w:val="48"/>
                    <w:spacing w:before="24" w:after="24"/>
                    <w:rPr>
                      <w:rFonts w:ascii="Times New Roman"/>
                      <w:szCs w:val="21"/>
                    </w:rPr>
                  </w:pPr>
                </w:p>
              </w:tc>
              <w:tc>
                <w:tcPr>
                  <w:tcW w:w="807" w:type="dxa"/>
                  <w:vAlign w:val="center"/>
                </w:tcPr>
                <w:p w14:paraId="6068BEAE">
                  <w:pPr>
                    <w:pStyle w:val="48"/>
                    <w:spacing w:before="24" w:after="24"/>
                    <w:rPr>
                      <w:rFonts w:ascii="Times New Roman"/>
                      <w:szCs w:val="21"/>
                    </w:rPr>
                  </w:pPr>
                  <w:r>
                    <w:rPr>
                      <w:rFonts w:ascii="Times New Roman"/>
                      <w:szCs w:val="21"/>
                    </w:rPr>
                    <w:t>危险废物</w:t>
                  </w:r>
                </w:p>
              </w:tc>
              <w:tc>
                <w:tcPr>
                  <w:tcW w:w="3616" w:type="dxa"/>
                  <w:vAlign w:val="center"/>
                </w:tcPr>
                <w:p w14:paraId="564949B6">
                  <w:pPr>
                    <w:pStyle w:val="48"/>
                    <w:spacing w:before="24" w:after="24"/>
                    <w:rPr>
                      <w:rFonts w:ascii="Times New Roman"/>
                      <w:szCs w:val="21"/>
                    </w:rPr>
                  </w:pPr>
                  <w:r>
                    <w:rPr>
                      <w:rFonts w:ascii="Times New Roman"/>
                      <w:szCs w:val="21"/>
                    </w:rPr>
                    <w:t>危废暂存间10m</w:t>
                  </w:r>
                  <w:r>
                    <w:rPr>
                      <w:rFonts w:ascii="Times New Roman"/>
                      <w:szCs w:val="21"/>
                      <w:vertAlign w:val="superscript"/>
                    </w:rPr>
                    <w:t>2</w:t>
                  </w:r>
                </w:p>
              </w:tc>
              <w:tc>
                <w:tcPr>
                  <w:tcW w:w="3260" w:type="dxa"/>
                  <w:vAlign w:val="center"/>
                </w:tcPr>
                <w:p w14:paraId="49B05D0C">
                  <w:pPr>
                    <w:pStyle w:val="48"/>
                    <w:spacing w:before="24" w:after="24"/>
                    <w:rPr>
                      <w:rFonts w:ascii="Times New Roman"/>
                      <w:szCs w:val="21"/>
                    </w:rPr>
                  </w:pPr>
                  <w:r>
                    <w:rPr>
                      <w:rFonts w:ascii="Times New Roman"/>
                      <w:szCs w:val="21"/>
                    </w:rPr>
                    <w:t>危废暂存间10m</w:t>
                  </w:r>
                  <w:r>
                    <w:rPr>
                      <w:rFonts w:ascii="Times New Roman"/>
                      <w:szCs w:val="21"/>
                      <w:vertAlign w:val="superscript"/>
                    </w:rPr>
                    <w:t>2</w:t>
                  </w:r>
                </w:p>
              </w:tc>
              <w:tc>
                <w:tcPr>
                  <w:tcW w:w="1025" w:type="dxa"/>
                  <w:vAlign w:val="center"/>
                </w:tcPr>
                <w:p w14:paraId="02481A14">
                  <w:pPr>
                    <w:pStyle w:val="48"/>
                    <w:spacing w:before="24" w:after="24"/>
                    <w:rPr>
                      <w:rFonts w:ascii="Times New Roman"/>
                      <w:szCs w:val="21"/>
                    </w:rPr>
                  </w:pPr>
                  <w:r>
                    <w:rPr>
                      <w:rFonts w:ascii="Times New Roman"/>
                      <w:szCs w:val="21"/>
                    </w:rPr>
                    <w:t>依托原有</w:t>
                  </w:r>
                </w:p>
              </w:tc>
            </w:tr>
            <w:tr w14:paraId="2BEB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58" w:hRule="atLeast"/>
                <w:jc w:val="center"/>
              </w:trPr>
              <w:tc>
                <w:tcPr>
                  <w:tcW w:w="524" w:type="dxa"/>
                  <w:vMerge w:val="continue"/>
                  <w:vAlign w:val="center"/>
                </w:tcPr>
                <w:p w14:paraId="40B722A7">
                  <w:pPr>
                    <w:pStyle w:val="48"/>
                    <w:spacing w:before="24" w:after="24"/>
                    <w:rPr>
                      <w:rFonts w:ascii="Times New Roman"/>
                      <w:szCs w:val="21"/>
                    </w:rPr>
                  </w:pPr>
                </w:p>
              </w:tc>
              <w:tc>
                <w:tcPr>
                  <w:tcW w:w="510" w:type="dxa"/>
                  <w:vMerge w:val="continue"/>
                  <w:vAlign w:val="center"/>
                </w:tcPr>
                <w:p w14:paraId="49F93266">
                  <w:pPr>
                    <w:pStyle w:val="48"/>
                    <w:spacing w:before="24" w:after="24"/>
                    <w:rPr>
                      <w:rFonts w:ascii="Times New Roman"/>
                      <w:szCs w:val="21"/>
                    </w:rPr>
                  </w:pPr>
                </w:p>
              </w:tc>
              <w:tc>
                <w:tcPr>
                  <w:tcW w:w="807" w:type="dxa"/>
                  <w:vAlign w:val="center"/>
                </w:tcPr>
                <w:p w14:paraId="65DA362C">
                  <w:pPr>
                    <w:pStyle w:val="48"/>
                    <w:spacing w:before="24" w:after="24"/>
                    <w:rPr>
                      <w:rFonts w:ascii="Times New Roman"/>
                      <w:szCs w:val="21"/>
                    </w:rPr>
                  </w:pPr>
                  <w:r>
                    <w:rPr>
                      <w:rFonts w:ascii="Times New Roman"/>
                      <w:szCs w:val="21"/>
                    </w:rPr>
                    <w:t>一般固废</w:t>
                  </w:r>
                </w:p>
              </w:tc>
              <w:tc>
                <w:tcPr>
                  <w:tcW w:w="3616" w:type="dxa"/>
                  <w:vAlign w:val="center"/>
                </w:tcPr>
                <w:p w14:paraId="6B37E2D5">
                  <w:pPr>
                    <w:pStyle w:val="48"/>
                    <w:spacing w:before="24" w:after="24"/>
                    <w:rPr>
                      <w:rFonts w:ascii="Times New Roman"/>
                    </w:rPr>
                  </w:pPr>
                  <w:r>
                    <w:rPr>
                      <w:rFonts w:ascii="Times New Roman"/>
                    </w:rPr>
                    <w:t>/</w:t>
                  </w:r>
                </w:p>
              </w:tc>
              <w:tc>
                <w:tcPr>
                  <w:tcW w:w="3260" w:type="dxa"/>
                  <w:vAlign w:val="center"/>
                </w:tcPr>
                <w:p w14:paraId="2437D684">
                  <w:pPr>
                    <w:pStyle w:val="48"/>
                    <w:spacing w:before="24" w:after="24"/>
                    <w:rPr>
                      <w:rFonts w:ascii="Times New Roman"/>
                    </w:rPr>
                  </w:pPr>
                  <w:r>
                    <w:rPr>
                      <w:rFonts w:ascii="Times New Roman"/>
                      <w:bCs/>
                    </w:rPr>
                    <w:t>建设方在生产区北侧车间内设置了一般固废堆存处，占地50m</w:t>
                  </w:r>
                  <w:r>
                    <w:rPr>
                      <w:rFonts w:ascii="Times New Roman"/>
                      <w:bCs/>
                      <w:vertAlign w:val="superscript"/>
                    </w:rPr>
                    <w:t>2</w:t>
                  </w:r>
                </w:p>
              </w:tc>
              <w:tc>
                <w:tcPr>
                  <w:tcW w:w="1025" w:type="dxa"/>
                  <w:vAlign w:val="center"/>
                </w:tcPr>
                <w:p w14:paraId="0641A87B">
                  <w:pPr>
                    <w:pStyle w:val="48"/>
                    <w:spacing w:before="24" w:after="24"/>
                    <w:rPr>
                      <w:rFonts w:ascii="Times New Roman"/>
                      <w:szCs w:val="21"/>
                    </w:rPr>
                  </w:pPr>
                  <w:r>
                    <w:rPr>
                      <w:rFonts w:ascii="Times New Roman"/>
                      <w:szCs w:val="21"/>
                    </w:rPr>
                    <w:t>原有扩建</w:t>
                  </w:r>
                </w:p>
              </w:tc>
            </w:tr>
          </w:tbl>
          <w:p w14:paraId="23BDF87C">
            <w:pPr>
              <w:spacing w:line="360" w:lineRule="auto"/>
              <w:ind w:firstLine="420" w:firstLineChars="200"/>
              <w:rPr>
                <w:b/>
                <w:bCs/>
              </w:rPr>
            </w:pPr>
            <w:r>
              <w:t>本项目工程实际主要经济技术指标较环评内容变更情况见下表。</w:t>
            </w:r>
          </w:p>
          <w:p w14:paraId="78F566F8">
            <w:pPr>
              <w:pStyle w:val="94"/>
              <w:spacing w:line="240" w:lineRule="auto"/>
              <w:rPr>
                <w:rFonts w:cs="Times New Roman"/>
                <w:szCs w:val="24"/>
              </w:rPr>
            </w:pPr>
            <w:r>
              <w:rPr>
                <w:rFonts w:cs="Times New Roman"/>
                <w:szCs w:val="24"/>
              </w:rPr>
              <w:t>表2-2  项目扩建前后对照表</w:t>
            </w:r>
          </w:p>
          <w:tbl>
            <w:tblPr>
              <w:tblStyle w:val="25"/>
              <w:tblW w:w="9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931"/>
              <w:gridCol w:w="1744"/>
              <w:gridCol w:w="846"/>
              <w:gridCol w:w="2299"/>
              <w:gridCol w:w="2211"/>
              <w:gridCol w:w="1152"/>
            </w:tblGrid>
            <w:tr w14:paraId="08A5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4" w:type="dxa"/>
                  <w:gridSpan w:val="3"/>
                  <w:vAlign w:val="center"/>
                </w:tcPr>
                <w:p w14:paraId="4D7C3C25">
                  <w:pPr>
                    <w:widowControl/>
                    <w:jc w:val="center"/>
                    <w:rPr>
                      <w:b/>
                      <w:szCs w:val="21"/>
                    </w:rPr>
                  </w:pPr>
                  <w:r>
                    <w:rPr>
                      <w:b/>
                      <w:szCs w:val="21"/>
                    </w:rPr>
                    <w:t>项目名称</w:t>
                  </w:r>
                </w:p>
              </w:tc>
              <w:tc>
                <w:tcPr>
                  <w:tcW w:w="846" w:type="dxa"/>
                </w:tcPr>
                <w:p w14:paraId="2BDB00AD">
                  <w:pPr>
                    <w:widowControl/>
                    <w:jc w:val="center"/>
                    <w:rPr>
                      <w:b/>
                      <w:szCs w:val="21"/>
                    </w:rPr>
                  </w:pPr>
                  <w:r>
                    <w:rPr>
                      <w:b/>
                      <w:szCs w:val="21"/>
                    </w:rPr>
                    <w:t>单位</w:t>
                  </w:r>
                </w:p>
              </w:tc>
              <w:tc>
                <w:tcPr>
                  <w:tcW w:w="2299" w:type="dxa"/>
                  <w:vAlign w:val="center"/>
                </w:tcPr>
                <w:p w14:paraId="60808B48">
                  <w:pPr>
                    <w:widowControl/>
                    <w:jc w:val="center"/>
                    <w:rPr>
                      <w:b/>
                      <w:szCs w:val="21"/>
                    </w:rPr>
                  </w:pPr>
                  <w:r>
                    <w:rPr>
                      <w:b/>
                      <w:szCs w:val="21"/>
                    </w:rPr>
                    <w:t>原环评经济指标</w:t>
                  </w:r>
                </w:p>
              </w:tc>
              <w:tc>
                <w:tcPr>
                  <w:tcW w:w="2211" w:type="dxa"/>
                </w:tcPr>
                <w:p w14:paraId="4AFB917F">
                  <w:pPr>
                    <w:widowControl/>
                    <w:jc w:val="center"/>
                    <w:rPr>
                      <w:b/>
                      <w:szCs w:val="21"/>
                    </w:rPr>
                  </w:pPr>
                  <w:r>
                    <w:rPr>
                      <w:b/>
                      <w:szCs w:val="21"/>
                    </w:rPr>
                    <w:t>扩建后经济指标</w:t>
                  </w:r>
                </w:p>
              </w:tc>
              <w:tc>
                <w:tcPr>
                  <w:tcW w:w="1152" w:type="dxa"/>
                </w:tcPr>
                <w:p w14:paraId="392229AD">
                  <w:pPr>
                    <w:widowControl/>
                    <w:jc w:val="center"/>
                    <w:rPr>
                      <w:b/>
                      <w:szCs w:val="21"/>
                    </w:rPr>
                  </w:pPr>
                  <w:r>
                    <w:rPr>
                      <w:b/>
                      <w:szCs w:val="21"/>
                    </w:rPr>
                    <w:t>对比</w:t>
                  </w:r>
                </w:p>
              </w:tc>
            </w:tr>
            <w:tr w14:paraId="0D3E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4" w:type="dxa"/>
                  <w:gridSpan w:val="3"/>
                  <w:vAlign w:val="center"/>
                </w:tcPr>
                <w:p w14:paraId="1BABBD27">
                  <w:pPr>
                    <w:widowControl/>
                    <w:jc w:val="center"/>
                    <w:rPr>
                      <w:szCs w:val="21"/>
                    </w:rPr>
                  </w:pPr>
                  <w:r>
                    <w:rPr>
                      <w:szCs w:val="21"/>
                    </w:rPr>
                    <w:t>总用地面积</w:t>
                  </w:r>
                </w:p>
              </w:tc>
              <w:tc>
                <w:tcPr>
                  <w:tcW w:w="846" w:type="dxa"/>
                </w:tcPr>
                <w:p w14:paraId="21C06950">
                  <w:pPr>
                    <w:jc w:val="center"/>
                    <w:rPr>
                      <w:szCs w:val="21"/>
                    </w:rPr>
                  </w:pPr>
                  <w:r>
                    <w:rPr>
                      <w:szCs w:val="21"/>
                    </w:rPr>
                    <w:t>m</w:t>
                  </w:r>
                  <w:r>
                    <w:rPr>
                      <w:szCs w:val="21"/>
                      <w:vertAlign w:val="superscript"/>
                    </w:rPr>
                    <w:t>2</w:t>
                  </w:r>
                </w:p>
              </w:tc>
              <w:tc>
                <w:tcPr>
                  <w:tcW w:w="2299" w:type="dxa"/>
                  <w:vAlign w:val="center"/>
                </w:tcPr>
                <w:p w14:paraId="038F1991">
                  <w:pPr>
                    <w:jc w:val="center"/>
                    <w:rPr>
                      <w:szCs w:val="21"/>
                    </w:rPr>
                  </w:pPr>
                  <w:r>
                    <w:rPr>
                      <w:szCs w:val="21"/>
                    </w:rPr>
                    <w:t>29600</w:t>
                  </w:r>
                </w:p>
              </w:tc>
              <w:tc>
                <w:tcPr>
                  <w:tcW w:w="2211" w:type="dxa"/>
                  <w:vAlign w:val="center"/>
                </w:tcPr>
                <w:p w14:paraId="56B1832A">
                  <w:pPr>
                    <w:widowControl/>
                    <w:jc w:val="center"/>
                    <w:rPr>
                      <w:kern w:val="0"/>
                      <w:szCs w:val="21"/>
                    </w:rPr>
                  </w:pPr>
                  <w:r>
                    <w:rPr>
                      <w:szCs w:val="21"/>
                    </w:rPr>
                    <w:t>29600</w:t>
                  </w:r>
                </w:p>
              </w:tc>
              <w:tc>
                <w:tcPr>
                  <w:tcW w:w="1152" w:type="dxa"/>
                </w:tcPr>
                <w:p w14:paraId="52217D33">
                  <w:pPr>
                    <w:widowControl/>
                    <w:jc w:val="center"/>
                    <w:rPr>
                      <w:szCs w:val="21"/>
                    </w:rPr>
                  </w:pPr>
                  <w:r>
                    <w:rPr>
                      <w:szCs w:val="21"/>
                    </w:rPr>
                    <w:t>0</w:t>
                  </w:r>
                </w:p>
              </w:tc>
            </w:tr>
            <w:tr w14:paraId="2F2B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4" w:type="dxa"/>
                  <w:gridSpan w:val="3"/>
                  <w:vAlign w:val="center"/>
                </w:tcPr>
                <w:p w14:paraId="0BE8A31E">
                  <w:pPr>
                    <w:jc w:val="center"/>
                    <w:rPr>
                      <w:szCs w:val="21"/>
                    </w:rPr>
                  </w:pPr>
                  <w:r>
                    <w:rPr>
                      <w:szCs w:val="21"/>
                    </w:rPr>
                    <w:t>总建筑面积</w:t>
                  </w:r>
                </w:p>
              </w:tc>
              <w:tc>
                <w:tcPr>
                  <w:tcW w:w="846" w:type="dxa"/>
                </w:tcPr>
                <w:p w14:paraId="48AD61F3">
                  <w:pPr>
                    <w:jc w:val="center"/>
                    <w:rPr>
                      <w:szCs w:val="21"/>
                    </w:rPr>
                  </w:pPr>
                  <w:r>
                    <w:rPr>
                      <w:szCs w:val="21"/>
                    </w:rPr>
                    <w:t>m</w:t>
                  </w:r>
                  <w:r>
                    <w:rPr>
                      <w:szCs w:val="21"/>
                      <w:vertAlign w:val="superscript"/>
                    </w:rPr>
                    <w:t>2</w:t>
                  </w:r>
                </w:p>
              </w:tc>
              <w:tc>
                <w:tcPr>
                  <w:tcW w:w="2299" w:type="dxa"/>
                  <w:vAlign w:val="center"/>
                </w:tcPr>
                <w:p w14:paraId="49E1D0F4">
                  <w:pPr>
                    <w:jc w:val="center"/>
                    <w:rPr>
                      <w:szCs w:val="21"/>
                    </w:rPr>
                  </w:pPr>
                  <w:r>
                    <w:rPr>
                      <w:szCs w:val="21"/>
                    </w:rPr>
                    <w:t>18549</w:t>
                  </w:r>
                </w:p>
              </w:tc>
              <w:tc>
                <w:tcPr>
                  <w:tcW w:w="2211" w:type="dxa"/>
                  <w:vAlign w:val="center"/>
                </w:tcPr>
                <w:p w14:paraId="6A633084">
                  <w:pPr>
                    <w:jc w:val="center"/>
                    <w:rPr>
                      <w:szCs w:val="21"/>
                    </w:rPr>
                  </w:pPr>
                  <w:r>
                    <w:rPr>
                      <w:szCs w:val="21"/>
                    </w:rPr>
                    <w:t>18549</w:t>
                  </w:r>
                </w:p>
              </w:tc>
              <w:tc>
                <w:tcPr>
                  <w:tcW w:w="1152" w:type="dxa"/>
                </w:tcPr>
                <w:p w14:paraId="53137F72">
                  <w:pPr>
                    <w:jc w:val="center"/>
                    <w:rPr>
                      <w:szCs w:val="21"/>
                    </w:rPr>
                  </w:pPr>
                  <w:r>
                    <w:rPr>
                      <w:szCs w:val="21"/>
                    </w:rPr>
                    <w:t>0</w:t>
                  </w:r>
                </w:p>
              </w:tc>
            </w:tr>
            <w:tr w14:paraId="1E1C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vMerge w:val="restart"/>
                  <w:vAlign w:val="center"/>
                </w:tcPr>
                <w:p w14:paraId="7286726B">
                  <w:pPr>
                    <w:widowControl/>
                    <w:jc w:val="center"/>
                    <w:rPr>
                      <w:szCs w:val="21"/>
                    </w:rPr>
                  </w:pPr>
                  <w:r>
                    <w:rPr>
                      <w:szCs w:val="21"/>
                    </w:rPr>
                    <w:t>其中</w:t>
                  </w:r>
                </w:p>
              </w:tc>
              <w:tc>
                <w:tcPr>
                  <w:tcW w:w="2675" w:type="dxa"/>
                  <w:gridSpan w:val="2"/>
                  <w:vAlign w:val="center"/>
                </w:tcPr>
                <w:p w14:paraId="0F809F6A">
                  <w:pPr>
                    <w:jc w:val="center"/>
                    <w:rPr>
                      <w:szCs w:val="21"/>
                    </w:rPr>
                  </w:pPr>
                  <w:r>
                    <w:rPr>
                      <w:szCs w:val="21"/>
                    </w:rPr>
                    <w:t>生产车间</w:t>
                  </w:r>
                </w:p>
              </w:tc>
              <w:tc>
                <w:tcPr>
                  <w:tcW w:w="846" w:type="dxa"/>
                </w:tcPr>
                <w:p w14:paraId="41308746">
                  <w:pPr>
                    <w:jc w:val="center"/>
                    <w:rPr>
                      <w:szCs w:val="21"/>
                    </w:rPr>
                  </w:pPr>
                  <w:r>
                    <w:rPr>
                      <w:szCs w:val="21"/>
                    </w:rPr>
                    <w:t>m</w:t>
                  </w:r>
                  <w:r>
                    <w:rPr>
                      <w:szCs w:val="21"/>
                      <w:vertAlign w:val="superscript"/>
                    </w:rPr>
                    <w:t>2</w:t>
                  </w:r>
                </w:p>
              </w:tc>
              <w:tc>
                <w:tcPr>
                  <w:tcW w:w="2299" w:type="dxa"/>
                  <w:vAlign w:val="center"/>
                </w:tcPr>
                <w:p w14:paraId="7B1DEB6E">
                  <w:pPr>
                    <w:jc w:val="center"/>
                    <w:rPr>
                      <w:szCs w:val="21"/>
                    </w:rPr>
                  </w:pPr>
                  <w:r>
                    <w:rPr>
                      <w:szCs w:val="21"/>
                    </w:rPr>
                    <w:t>9935</w:t>
                  </w:r>
                </w:p>
              </w:tc>
              <w:tc>
                <w:tcPr>
                  <w:tcW w:w="2211" w:type="dxa"/>
                  <w:vAlign w:val="center"/>
                </w:tcPr>
                <w:p w14:paraId="0C04D1CB">
                  <w:pPr>
                    <w:jc w:val="center"/>
                    <w:rPr>
                      <w:szCs w:val="21"/>
                    </w:rPr>
                  </w:pPr>
                  <w:r>
                    <w:rPr>
                      <w:szCs w:val="21"/>
                    </w:rPr>
                    <w:t>9935</w:t>
                  </w:r>
                </w:p>
              </w:tc>
              <w:tc>
                <w:tcPr>
                  <w:tcW w:w="1152" w:type="dxa"/>
                </w:tcPr>
                <w:p w14:paraId="1BEFC70F">
                  <w:pPr>
                    <w:jc w:val="center"/>
                    <w:rPr>
                      <w:szCs w:val="21"/>
                    </w:rPr>
                  </w:pPr>
                  <w:r>
                    <w:rPr>
                      <w:szCs w:val="21"/>
                    </w:rPr>
                    <w:t>0</w:t>
                  </w:r>
                </w:p>
              </w:tc>
            </w:tr>
            <w:tr w14:paraId="40EC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vMerge w:val="continue"/>
                  <w:vAlign w:val="center"/>
                </w:tcPr>
                <w:p w14:paraId="042BF0B2">
                  <w:pPr>
                    <w:widowControl/>
                    <w:jc w:val="center"/>
                    <w:rPr>
                      <w:szCs w:val="21"/>
                    </w:rPr>
                  </w:pPr>
                </w:p>
              </w:tc>
              <w:tc>
                <w:tcPr>
                  <w:tcW w:w="931" w:type="dxa"/>
                  <w:vMerge w:val="restart"/>
                  <w:vAlign w:val="center"/>
                </w:tcPr>
                <w:p w14:paraId="4C58ECFF">
                  <w:pPr>
                    <w:jc w:val="center"/>
                    <w:rPr>
                      <w:szCs w:val="21"/>
                    </w:rPr>
                  </w:pPr>
                  <w:r>
                    <w:rPr>
                      <w:szCs w:val="21"/>
                    </w:rPr>
                    <w:t>其中</w:t>
                  </w:r>
                </w:p>
              </w:tc>
              <w:tc>
                <w:tcPr>
                  <w:tcW w:w="1744" w:type="dxa"/>
                  <w:vAlign w:val="center"/>
                </w:tcPr>
                <w:p w14:paraId="631627A6">
                  <w:pPr>
                    <w:jc w:val="center"/>
                    <w:rPr>
                      <w:kern w:val="0"/>
                      <w:szCs w:val="21"/>
                    </w:rPr>
                  </w:pPr>
                  <w:r>
                    <w:rPr>
                      <w:kern w:val="0"/>
                      <w:szCs w:val="21"/>
                    </w:rPr>
                    <w:t>制砖车间</w:t>
                  </w:r>
                </w:p>
              </w:tc>
              <w:tc>
                <w:tcPr>
                  <w:tcW w:w="846" w:type="dxa"/>
                </w:tcPr>
                <w:p w14:paraId="559D645C">
                  <w:pPr>
                    <w:jc w:val="center"/>
                    <w:rPr>
                      <w:szCs w:val="21"/>
                    </w:rPr>
                  </w:pPr>
                  <w:r>
                    <w:rPr>
                      <w:szCs w:val="21"/>
                    </w:rPr>
                    <w:t>m</w:t>
                  </w:r>
                  <w:r>
                    <w:rPr>
                      <w:szCs w:val="21"/>
                      <w:vertAlign w:val="superscript"/>
                    </w:rPr>
                    <w:t>2</w:t>
                  </w:r>
                </w:p>
              </w:tc>
              <w:tc>
                <w:tcPr>
                  <w:tcW w:w="2299" w:type="dxa"/>
                  <w:vAlign w:val="center"/>
                </w:tcPr>
                <w:p w14:paraId="0F2D9560">
                  <w:pPr>
                    <w:jc w:val="center"/>
                    <w:rPr>
                      <w:szCs w:val="21"/>
                    </w:rPr>
                  </w:pPr>
                  <w:r>
                    <w:rPr>
                      <w:szCs w:val="21"/>
                    </w:rPr>
                    <w:t>1804</w:t>
                  </w:r>
                </w:p>
              </w:tc>
              <w:tc>
                <w:tcPr>
                  <w:tcW w:w="2211" w:type="dxa"/>
                  <w:vAlign w:val="center"/>
                </w:tcPr>
                <w:p w14:paraId="53E8F16A">
                  <w:pPr>
                    <w:jc w:val="center"/>
                    <w:rPr>
                      <w:szCs w:val="21"/>
                    </w:rPr>
                  </w:pPr>
                  <w:r>
                    <w:rPr>
                      <w:szCs w:val="21"/>
                    </w:rPr>
                    <w:t>1804</w:t>
                  </w:r>
                </w:p>
              </w:tc>
              <w:tc>
                <w:tcPr>
                  <w:tcW w:w="1152" w:type="dxa"/>
                </w:tcPr>
                <w:p w14:paraId="6B4033F6">
                  <w:pPr>
                    <w:jc w:val="center"/>
                    <w:rPr>
                      <w:szCs w:val="21"/>
                    </w:rPr>
                  </w:pPr>
                  <w:r>
                    <w:rPr>
                      <w:szCs w:val="21"/>
                    </w:rPr>
                    <w:t>0</w:t>
                  </w:r>
                </w:p>
              </w:tc>
            </w:tr>
            <w:tr w14:paraId="117F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vMerge w:val="continue"/>
                  <w:vAlign w:val="center"/>
                </w:tcPr>
                <w:p w14:paraId="42B42EE5">
                  <w:pPr>
                    <w:widowControl/>
                    <w:jc w:val="center"/>
                    <w:rPr>
                      <w:szCs w:val="21"/>
                    </w:rPr>
                  </w:pPr>
                </w:p>
              </w:tc>
              <w:tc>
                <w:tcPr>
                  <w:tcW w:w="931" w:type="dxa"/>
                  <w:vMerge w:val="continue"/>
                  <w:vAlign w:val="center"/>
                </w:tcPr>
                <w:p w14:paraId="30035B21">
                  <w:pPr>
                    <w:jc w:val="center"/>
                    <w:rPr>
                      <w:szCs w:val="21"/>
                    </w:rPr>
                  </w:pPr>
                </w:p>
              </w:tc>
              <w:tc>
                <w:tcPr>
                  <w:tcW w:w="1744" w:type="dxa"/>
                  <w:vAlign w:val="center"/>
                </w:tcPr>
                <w:p w14:paraId="47783B96">
                  <w:pPr>
                    <w:jc w:val="center"/>
                    <w:rPr>
                      <w:szCs w:val="21"/>
                    </w:rPr>
                  </w:pPr>
                  <w:r>
                    <w:rPr>
                      <w:szCs w:val="21"/>
                    </w:rPr>
                    <w:t>存坯车间</w:t>
                  </w:r>
                </w:p>
              </w:tc>
              <w:tc>
                <w:tcPr>
                  <w:tcW w:w="846" w:type="dxa"/>
                </w:tcPr>
                <w:p w14:paraId="04E67C7B">
                  <w:pPr>
                    <w:jc w:val="center"/>
                    <w:rPr>
                      <w:szCs w:val="21"/>
                    </w:rPr>
                  </w:pPr>
                  <w:r>
                    <w:rPr>
                      <w:szCs w:val="21"/>
                    </w:rPr>
                    <w:t>m</w:t>
                  </w:r>
                  <w:r>
                    <w:rPr>
                      <w:szCs w:val="21"/>
                      <w:vertAlign w:val="superscript"/>
                    </w:rPr>
                    <w:t>2</w:t>
                  </w:r>
                </w:p>
              </w:tc>
              <w:tc>
                <w:tcPr>
                  <w:tcW w:w="2299" w:type="dxa"/>
                  <w:vAlign w:val="center"/>
                </w:tcPr>
                <w:p w14:paraId="4EC530D9">
                  <w:pPr>
                    <w:jc w:val="center"/>
                    <w:rPr>
                      <w:szCs w:val="21"/>
                    </w:rPr>
                  </w:pPr>
                  <w:r>
                    <w:rPr>
                      <w:szCs w:val="21"/>
                    </w:rPr>
                    <w:t>530</w:t>
                  </w:r>
                </w:p>
              </w:tc>
              <w:tc>
                <w:tcPr>
                  <w:tcW w:w="2211" w:type="dxa"/>
                  <w:vAlign w:val="center"/>
                </w:tcPr>
                <w:p w14:paraId="31916D2E">
                  <w:pPr>
                    <w:jc w:val="center"/>
                    <w:rPr>
                      <w:szCs w:val="21"/>
                    </w:rPr>
                  </w:pPr>
                  <w:r>
                    <w:rPr>
                      <w:szCs w:val="21"/>
                    </w:rPr>
                    <w:t>530</w:t>
                  </w:r>
                </w:p>
              </w:tc>
              <w:tc>
                <w:tcPr>
                  <w:tcW w:w="1152" w:type="dxa"/>
                </w:tcPr>
                <w:p w14:paraId="57A7B7CF">
                  <w:pPr>
                    <w:jc w:val="center"/>
                    <w:rPr>
                      <w:szCs w:val="21"/>
                    </w:rPr>
                  </w:pPr>
                  <w:r>
                    <w:rPr>
                      <w:szCs w:val="21"/>
                    </w:rPr>
                    <w:t>0</w:t>
                  </w:r>
                </w:p>
              </w:tc>
            </w:tr>
            <w:tr w14:paraId="1DAA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vMerge w:val="continue"/>
                  <w:vAlign w:val="center"/>
                </w:tcPr>
                <w:p w14:paraId="0DD0F6EF">
                  <w:pPr>
                    <w:widowControl/>
                    <w:jc w:val="center"/>
                    <w:rPr>
                      <w:szCs w:val="21"/>
                    </w:rPr>
                  </w:pPr>
                </w:p>
              </w:tc>
              <w:tc>
                <w:tcPr>
                  <w:tcW w:w="931" w:type="dxa"/>
                  <w:vMerge w:val="continue"/>
                  <w:vAlign w:val="center"/>
                </w:tcPr>
                <w:p w14:paraId="3C5C1D99">
                  <w:pPr>
                    <w:jc w:val="center"/>
                    <w:rPr>
                      <w:szCs w:val="21"/>
                    </w:rPr>
                  </w:pPr>
                </w:p>
              </w:tc>
              <w:tc>
                <w:tcPr>
                  <w:tcW w:w="1744" w:type="dxa"/>
                  <w:vAlign w:val="center"/>
                </w:tcPr>
                <w:p w14:paraId="7382BF81">
                  <w:pPr>
                    <w:jc w:val="center"/>
                    <w:rPr>
                      <w:szCs w:val="21"/>
                    </w:rPr>
                  </w:pPr>
                  <w:r>
                    <w:rPr>
                      <w:szCs w:val="21"/>
                    </w:rPr>
                    <w:t>隧道窑车间</w:t>
                  </w:r>
                </w:p>
              </w:tc>
              <w:tc>
                <w:tcPr>
                  <w:tcW w:w="846" w:type="dxa"/>
                </w:tcPr>
                <w:p w14:paraId="28168688">
                  <w:pPr>
                    <w:jc w:val="center"/>
                    <w:rPr>
                      <w:szCs w:val="21"/>
                    </w:rPr>
                  </w:pPr>
                  <w:r>
                    <w:rPr>
                      <w:szCs w:val="21"/>
                    </w:rPr>
                    <w:t>m</w:t>
                  </w:r>
                  <w:r>
                    <w:rPr>
                      <w:szCs w:val="21"/>
                      <w:vertAlign w:val="superscript"/>
                    </w:rPr>
                    <w:t>2</w:t>
                  </w:r>
                </w:p>
              </w:tc>
              <w:tc>
                <w:tcPr>
                  <w:tcW w:w="2299" w:type="dxa"/>
                  <w:vAlign w:val="center"/>
                </w:tcPr>
                <w:p w14:paraId="4DD39ECE">
                  <w:pPr>
                    <w:jc w:val="center"/>
                    <w:rPr>
                      <w:szCs w:val="21"/>
                    </w:rPr>
                  </w:pPr>
                  <w:r>
                    <w:rPr>
                      <w:szCs w:val="21"/>
                    </w:rPr>
                    <w:t>2880</w:t>
                  </w:r>
                </w:p>
              </w:tc>
              <w:tc>
                <w:tcPr>
                  <w:tcW w:w="2211" w:type="dxa"/>
                  <w:vAlign w:val="center"/>
                </w:tcPr>
                <w:p w14:paraId="79AC54AF">
                  <w:pPr>
                    <w:jc w:val="center"/>
                    <w:rPr>
                      <w:szCs w:val="21"/>
                    </w:rPr>
                  </w:pPr>
                  <w:r>
                    <w:rPr>
                      <w:szCs w:val="21"/>
                    </w:rPr>
                    <w:t>2880</w:t>
                  </w:r>
                </w:p>
              </w:tc>
              <w:tc>
                <w:tcPr>
                  <w:tcW w:w="1152" w:type="dxa"/>
                </w:tcPr>
                <w:p w14:paraId="40FFD2BE">
                  <w:pPr>
                    <w:jc w:val="center"/>
                    <w:rPr>
                      <w:szCs w:val="21"/>
                    </w:rPr>
                  </w:pPr>
                  <w:r>
                    <w:rPr>
                      <w:szCs w:val="21"/>
                    </w:rPr>
                    <w:t>0</w:t>
                  </w:r>
                </w:p>
              </w:tc>
            </w:tr>
            <w:tr w14:paraId="73EC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vMerge w:val="continue"/>
                  <w:vAlign w:val="center"/>
                </w:tcPr>
                <w:p w14:paraId="7FDB2DEB">
                  <w:pPr>
                    <w:widowControl/>
                    <w:jc w:val="center"/>
                    <w:rPr>
                      <w:szCs w:val="21"/>
                    </w:rPr>
                  </w:pPr>
                </w:p>
              </w:tc>
              <w:tc>
                <w:tcPr>
                  <w:tcW w:w="2675" w:type="dxa"/>
                  <w:gridSpan w:val="2"/>
                  <w:vAlign w:val="center"/>
                </w:tcPr>
                <w:p w14:paraId="2FF241BA">
                  <w:pPr>
                    <w:jc w:val="center"/>
                    <w:rPr>
                      <w:szCs w:val="21"/>
                    </w:rPr>
                  </w:pPr>
                  <w:r>
                    <w:rPr>
                      <w:szCs w:val="21"/>
                    </w:rPr>
                    <w:t>原料车间</w:t>
                  </w:r>
                </w:p>
              </w:tc>
              <w:tc>
                <w:tcPr>
                  <w:tcW w:w="846" w:type="dxa"/>
                </w:tcPr>
                <w:p w14:paraId="561CE1E6">
                  <w:pPr>
                    <w:jc w:val="center"/>
                    <w:rPr>
                      <w:szCs w:val="21"/>
                    </w:rPr>
                  </w:pPr>
                  <w:r>
                    <w:rPr>
                      <w:szCs w:val="21"/>
                    </w:rPr>
                    <w:t>m</w:t>
                  </w:r>
                  <w:r>
                    <w:rPr>
                      <w:szCs w:val="21"/>
                      <w:vertAlign w:val="superscript"/>
                    </w:rPr>
                    <w:t>2</w:t>
                  </w:r>
                </w:p>
              </w:tc>
              <w:tc>
                <w:tcPr>
                  <w:tcW w:w="2299" w:type="dxa"/>
                  <w:vAlign w:val="center"/>
                </w:tcPr>
                <w:p w14:paraId="26F91328">
                  <w:pPr>
                    <w:jc w:val="center"/>
                    <w:rPr>
                      <w:szCs w:val="21"/>
                    </w:rPr>
                  </w:pPr>
                  <w:r>
                    <w:rPr>
                      <w:szCs w:val="21"/>
                    </w:rPr>
                    <w:t>2030</w:t>
                  </w:r>
                </w:p>
              </w:tc>
              <w:tc>
                <w:tcPr>
                  <w:tcW w:w="2211" w:type="dxa"/>
                  <w:vAlign w:val="center"/>
                </w:tcPr>
                <w:p w14:paraId="72FB5307">
                  <w:pPr>
                    <w:jc w:val="center"/>
                    <w:rPr>
                      <w:szCs w:val="21"/>
                    </w:rPr>
                  </w:pPr>
                  <w:r>
                    <w:rPr>
                      <w:szCs w:val="21"/>
                    </w:rPr>
                    <w:t>2030</w:t>
                  </w:r>
                </w:p>
              </w:tc>
              <w:tc>
                <w:tcPr>
                  <w:tcW w:w="1152" w:type="dxa"/>
                </w:tcPr>
                <w:p w14:paraId="124993B8">
                  <w:pPr>
                    <w:jc w:val="center"/>
                    <w:rPr>
                      <w:szCs w:val="21"/>
                    </w:rPr>
                  </w:pPr>
                  <w:r>
                    <w:rPr>
                      <w:szCs w:val="21"/>
                    </w:rPr>
                    <w:t>0</w:t>
                  </w:r>
                </w:p>
              </w:tc>
            </w:tr>
            <w:tr w14:paraId="2026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vMerge w:val="continue"/>
                  <w:vAlign w:val="center"/>
                </w:tcPr>
                <w:p w14:paraId="21F0C3B3">
                  <w:pPr>
                    <w:widowControl/>
                    <w:jc w:val="center"/>
                    <w:rPr>
                      <w:szCs w:val="21"/>
                    </w:rPr>
                  </w:pPr>
                </w:p>
              </w:tc>
              <w:tc>
                <w:tcPr>
                  <w:tcW w:w="2675" w:type="dxa"/>
                  <w:gridSpan w:val="2"/>
                  <w:vAlign w:val="center"/>
                </w:tcPr>
                <w:p w14:paraId="3C89DFEE">
                  <w:pPr>
                    <w:jc w:val="center"/>
                    <w:rPr>
                      <w:szCs w:val="21"/>
                    </w:rPr>
                  </w:pPr>
                  <w:r>
                    <w:rPr>
                      <w:szCs w:val="21"/>
                    </w:rPr>
                    <w:t>职工宿舍</w:t>
                  </w:r>
                </w:p>
              </w:tc>
              <w:tc>
                <w:tcPr>
                  <w:tcW w:w="846" w:type="dxa"/>
                </w:tcPr>
                <w:p w14:paraId="6ADDB33B">
                  <w:pPr>
                    <w:jc w:val="center"/>
                    <w:rPr>
                      <w:szCs w:val="21"/>
                    </w:rPr>
                  </w:pPr>
                  <w:r>
                    <w:rPr>
                      <w:szCs w:val="21"/>
                    </w:rPr>
                    <w:t>m</w:t>
                  </w:r>
                  <w:r>
                    <w:rPr>
                      <w:szCs w:val="21"/>
                      <w:vertAlign w:val="superscript"/>
                    </w:rPr>
                    <w:t>2</w:t>
                  </w:r>
                </w:p>
              </w:tc>
              <w:tc>
                <w:tcPr>
                  <w:tcW w:w="2299" w:type="dxa"/>
                  <w:vAlign w:val="center"/>
                </w:tcPr>
                <w:p w14:paraId="50B53F70">
                  <w:pPr>
                    <w:jc w:val="center"/>
                    <w:rPr>
                      <w:szCs w:val="21"/>
                    </w:rPr>
                  </w:pPr>
                  <w:r>
                    <w:rPr>
                      <w:szCs w:val="21"/>
                    </w:rPr>
                    <w:t>590</w:t>
                  </w:r>
                </w:p>
              </w:tc>
              <w:tc>
                <w:tcPr>
                  <w:tcW w:w="2211" w:type="dxa"/>
                  <w:vAlign w:val="center"/>
                </w:tcPr>
                <w:p w14:paraId="26A07F00">
                  <w:pPr>
                    <w:jc w:val="center"/>
                    <w:rPr>
                      <w:szCs w:val="21"/>
                    </w:rPr>
                  </w:pPr>
                  <w:r>
                    <w:rPr>
                      <w:szCs w:val="21"/>
                    </w:rPr>
                    <w:t>590</w:t>
                  </w:r>
                </w:p>
              </w:tc>
              <w:tc>
                <w:tcPr>
                  <w:tcW w:w="1152" w:type="dxa"/>
                </w:tcPr>
                <w:p w14:paraId="3D07CACF">
                  <w:pPr>
                    <w:jc w:val="center"/>
                    <w:rPr>
                      <w:szCs w:val="21"/>
                    </w:rPr>
                  </w:pPr>
                  <w:r>
                    <w:rPr>
                      <w:szCs w:val="21"/>
                    </w:rPr>
                    <w:t>0</w:t>
                  </w:r>
                </w:p>
              </w:tc>
            </w:tr>
            <w:tr w14:paraId="6026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vMerge w:val="continue"/>
                  <w:vAlign w:val="center"/>
                </w:tcPr>
                <w:p w14:paraId="7EBE93C3">
                  <w:pPr>
                    <w:widowControl/>
                    <w:jc w:val="center"/>
                    <w:rPr>
                      <w:szCs w:val="21"/>
                    </w:rPr>
                  </w:pPr>
                </w:p>
              </w:tc>
              <w:tc>
                <w:tcPr>
                  <w:tcW w:w="2675" w:type="dxa"/>
                  <w:gridSpan w:val="2"/>
                  <w:vAlign w:val="center"/>
                </w:tcPr>
                <w:p w14:paraId="45364578">
                  <w:pPr>
                    <w:jc w:val="center"/>
                    <w:rPr>
                      <w:szCs w:val="21"/>
                    </w:rPr>
                  </w:pPr>
                  <w:r>
                    <w:rPr>
                      <w:szCs w:val="21"/>
                    </w:rPr>
                    <w:t>办公楼</w:t>
                  </w:r>
                </w:p>
              </w:tc>
              <w:tc>
                <w:tcPr>
                  <w:tcW w:w="846" w:type="dxa"/>
                </w:tcPr>
                <w:p w14:paraId="6BA1C569">
                  <w:pPr>
                    <w:jc w:val="center"/>
                    <w:rPr>
                      <w:szCs w:val="21"/>
                    </w:rPr>
                  </w:pPr>
                  <w:r>
                    <w:rPr>
                      <w:szCs w:val="21"/>
                    </w:rPr>
                    <w:t>m</w:t>
                  </w:r>
                  <w:r>
                    <w:rPr>
                      <w:szCs w:val="21"/>
                      <w:vertAlign w:val="superscript"/>
                    </w:rPr>
                    <w:t>2</w:t>
                  </w:r>
                </w:p>
              </w:tc>
              <w:tc>
                <w:tcPr>
                  <w:tcW w:w="2299" w:type="dxa"/>
                  <w:vAlign w:val="center"/>
                </w:tcPr>
                <w:p w14:paraId="490FE9B9">
                  <w:pPr>
                    <w:jc w:val="center"/>
                    <w:rPr>
                      <w:szCs w:val="21"/>
                    </w:rPr>
                  </w:pPr>
                  <w:r>
                    <w:rPr>
                      <w:szCs w:val="21"/>
                    </w:rPr>
                    <w:t>780</w:t>
                  </w:r>
                </w:p>
              </w:tc>
              <w:tc>
                <w:tcPr>
                  <w:tcW w:w="2211" w:type="dxa"/>
                  <w:vAlign w:val="center"/>
                </w:tcPr>
                <w:p w14:paraId="5A9FB287">
                  <w:pPr>
                    <w:jc w:val="center"/>
                    <w:rPr>
                      <w:szCs w:val="21"/>
                    </w:rPr>
                  </w:pPr>
                  <w:r>
                    <w:rPr>
                      <w:szCs w:val="21"/>
                    </w:rPr>
                    <w:t>780</w:t>
                  </w:r>
                </w:p>
              </w:tc>
              <w:tc>
                <w:tcPr>
                  <w:tcW w:w="1152" w:type="dxa"/>
                </w:tcPr>
                <w:p w14:paraId="39EB0DB0">
                  <w:pPr>
                    <w:jc w:val="center"/>
                    <w:rPr>
                      <w:szCs w:val="21"/>
                    </w:rPr>
                  </w:pPr>
                  <w:r>
                    <w:rPr>
                      <w:szCs w:val="21"/>
                    </w:rPr>
                    <w:t>0</w:t>
                  </w:r>
                </w:p>
              </w:tc>
            </w:tr>
            <w:tr w14:paraId="580B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4" w:type="dxa"/>
                  <w:gridSpan w:val="3"/>
                  <w:vAlign w:val="center"/>
                </w:tcPr>
                <w:p w14:paraId="6C6E44C4">
                  <w:pPr>
                    <w:jc w:val="center"/>
                    <w:rPr>
                      <w:szCs w:val="21"/>
                    </w:rPr>
                  </w:pPr>
                  <w:r>
                    <w:rPr>
                      <w:szCs w:val="21"/>
                    </w:rPr>
                    <w:t>绿化</w:t>
                  </w:r>
                </w:p>
              </w:tc>
              <w:tc>
                <w:tcPr>
                  <w:tcW w:w="846" w:type="dxa"/>
                </w:tcPr>
                <w:p w14:paraId="176CFEC3">
                  <w:pPr>
                    <w:jc w:val="center"/>
                    <w:rPr>
                      <w:szCs w:val="21"/>
                    </w:rPr>
                  </w:pPr>
                  <w:r>
                    <w:rPr>
                      <w:szCs w:val="21"/>
                    </w:rPr>
                    <w:t>m</w:t>
                  </w:r>
                  <w:r>
                    <w:rPr>
                      <w:szCs w:val="21"/>
                      <w:vertAlign w:val="superscript"/>
                    </w:rPr>
                    <w:t>2</w:t>
                  </w:r>
                </w:p>
              </w:tc>
              <w:tc>
                <w:tcPr>
                  <w:tcW w:w="2299" w:type="dxa"/>
                  <w:vAlign w:val="center"/>
                </w:tcPr>
                <w:p w14:paraId="7DF6C3C9">
                  <w:pPr>
                    <w:jc w:val="center"/>
                    <w:rPr>
                      <w:szCs w:val="21"/>
                    </w:rPr>
                  </w:pPr>
                  <w:r>
                    <w:rPr>
                      <w:szCs w:val="21"/>
                    </w:rPr>
                    <w:t>50</w:t>
                  </w:r>
                </w:p>
              </w:tc>
              <w:tc>
                <w:tcPr>
                  <w:tcW w:w="2211" w:type="dxa"/>
                  <w:vAlign w:val="center"/>
                </w:tcPr>
                <w:p w14:paraId="205ECC85">
                  <w:pPr>
                    <w:jc w:val="center"/>
                    <w:rPr>
                      <w:szCs w:val="21"/>
                    </w:rPr>
                  </w:pPr>
                  <w:r>
                    <w:rPr>
                      <w:szCs w:val="21"/>
                    </w:rPr>
                    <w:t>50</w:t>
                  </w:r>
                </w:p>
              </w:tc>
              <w:tc>
                <w:tcPr>
                  <w:tcW w:w="1152" w:type="dxa"/>
                </w:tcPr>
                <w:p w14:paraId="5C2D26F5">
                  <w:pPr>
                    <w:jc w:val="center"/>
                    <w:rPr>
                      <w:szCs w:val="21"/>
                    </w:rPr>
                  </w:pPr>
                  <w:r>
                    <w:rPr>
                      <w:szCs w:val="21"/>
                    </w:rPr>
                    <w:t>0</w:t>
                  </w:r>
                </w:p>
              </w:tc>
            </w:tr>
            <w:tr w14:paraId="4F2A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4" w:type="dxa"/>
                  <w:gridSpan w:val="3"/>
                  <w:vAlign w:val="center"/>
                </w:tcPr>
                <w:p w14:paraId="2C493BC4">
                  <w:pPr>
                    <w:jc w:val="center"/>
                    <w:rPr>
                      <w:szCs w:val="21"/>
                    </w:rPr>
                  </w:pPr>
                  <w:r>
                    <w:rPr>
                      <w:szCs w:val="21"/>
                    </w:rPr>
                    <w:t>成品堆场</w:t>
                  </w:r>
                </w:p>
              </w:tc>
              <w:tc>
                <w:tcPr>
                  <w:tcW w:w="846" w:type="dxa"/>
                </w:tcPr>
                <w:p w14:paraId="748EB7B5">
                  <w:pPr>
                    <w:jc w:val="center"/>
                    <w:rPr>
                      <w:szCs w:val="21"/>
                    </w:rPr>
                  </w:pPr>
                  <w:r>
                    <w:rPr>
                      <w:szCs w:val="21"/>
                    </w:rPr>
                    <w:t>m</w:t>
                  </w:r>
                  <w:r>
                    <w:rPr>
                      <w:szCs w:val="21"/>
                      <w:vertAlign w:val="superscript"/>
                    </w:rPr>
                    <w:t>2</w:t>
                  </w:r>
                </w:p>
              </w:tc>
              <w:tc>
                <w:tcPr>
                  <w:tcW w:w="2299" w:type="dxa"/>
                  <w:vAlign w:val="center"/>
                </w:tcPr>
                <w:p w14:paraId="514C5922">
                  <w:pPr>
                    <w:jc w:val="center"/>
                    <w:rPr>
                      <w:szCs w:val="21"/>
                    </w:rPr>
                  </w:pPr>
                  <w:r>
                    <w:rPr>
                      <w:szCs w:val="21"/>
                    </w:rPr>
                    <w:t>1500</w:t>
                  </w:r>
                </w:p>
              </w:tc>
              <w:tc>
                <w:tcPr>
                  <w:tcW w:w="2211" w:type="dxa"/>
                  <w:vAlign w:val="center"/>
                </w:tcPr>
                <w:p w14:paraId="6AFF61DE">
                  <w:pPr>
                    <w:jc w:val="center"/>
                    <w:rPr>
                      <w:szCs w:val="21"/>
                    </w:rPr>
                  </w:pPr>
                  <w:r>
                    <w:rPr>
                      <w:szCs w:val="21"/>
                    </w:rPr>
                    <w:t>1500</w:t>
                  </w:r>
                </w:p>
              </w:tc>
              <w:tc>
                <w:tcPr>
                  <w:tcW w:w="1152" w:type="dxa"/>
                </w:tcPr>
                <w:p w14:paraId="45799956">
                  <w:pPr>
                    <w:jc w:val="center"/>
                    <w:rPr>
                      <w:szCs w:val="21"/>
                    </w:rPr>
                  </w:pPr>
                  <w:r>
                    <w:rPr>
                      <w:szCs w:val="21"/>
                    </w:rPr>
                    <w:t>0</w:t>
                  </w:r>
                </w:p>
              </w:tc>
            </w:tr>
            <w:tr w14:paraId="79C3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4" w:type="dxa"/>
                  <w:gridSpan w:val="3"/>
                  <w:vAlign w:val="center"/>
                </w:tcPr>
                <w:p w14:paraId="1B549C6C">
                  <w:pPr>
                    <w:jc w:val="center"/>
                    <w:rPr>
                      <w:szCs w:val="21"/>
                    </w:rPr>
                  </w:pPr>
                  <w:r>
                    <w:rPr>
                      <w:szCs w:val="21"/>
                    </w:rPr>
                    <w:t>其他及道路占地面积</w:t>
                  </w:r>
                </w:p>
              </w:tc>
              <w:tc>
                <w:tcPr>
                  <w:tcW w:w="846" w:type="dxa"/>
                </w:tcPr>
                <w:p w14:paraId="54370C12">
                  <w:pPr>
                    <w:jc w:val="center"/>
                    <w:rPr>
                      <w:szCs w:val="21"/>
                    </w:rPr>
                  </w:pPr>
                  <w:r>
                    <w:rPr>
                      <w:szCs w:val="21"/>
                    </w:rPr>
                    <w:t>m</w:t>
                  </w:r>
                  <w:r>
                    <w:rPr>
                      <w:szCs w:val="21"/>
                      <w:vertAlign w:val="superscript"/>
                    </w:rPr>
                    <w:t>2</w:t>
                  </w:r>
                </w:p>
              </w:tc>
              <w:tc>
                <w:tcPr>
                  <w:tcW w:w="2299" w:type="dxa"/>
                  <w:vAlign w:val="center"/>
                </w:tcPr>
                <w:p w14:paraId="3730BCB4">
                  <w:pPr>
                    <w:jc w:val="center"/>
                    <w:rPr>
                      <w:szCs w:val="21"/>
                    </w:rPr>
                  </w:pPr>
                  <w:r>
                    <w:rPr>
                      <w:szCs w:val="21"/>
                    </w:rPr>
                    <w:t>11051</w:t>
                  </w:r>
                </w:p>
              </w:tc>
              <w:tc>
                <w:tcPr>
                  <w:tcW w:w="2211" w:type="dxa"/>
                  <w:vAlign w:val="center"/>
                </w:tcPr>
                <w:p w14:paraId="72B67C90">
                  <w:pPr>
                    <w:jc w:val="center"/>
                    <w:rPr>
                      <w:szCs w:val="21"/>
                    </w:rPr>
                  </w:pPr>
                  <w:r>
                    <w:rPr>
                      <w:szCs w:val="21"/>
                    </w:rPr>
                    <w:t>11051</w:t>
                  </w:r>
                </w:p>
              </w:tc>
              <w:tc>
                <w:tcPr>
                  <w:tcW w:w="1152" w:type="dxa"/>
                </w:tcPr>
                <w:p w14:paraId="7A000F63">
                  <w:pPr>
                    <w:jc w:val="center"/>
                    <w:rPr>
                      <w:szCs w:val="21"/>
                    </w:rPr>
                  </w:pPr>
                  <w:r>
                    <w:rPr>
                      <w:szCs w:val="21"/>
                    </w:rPr>
                    <w:t>0</w:t>
                  </w:r>
                </w:p>
              </w:tc>
            </w:tr>
          </w:tbl>
          <w:p w14:paraId="37D0BBE9">
            <w:pPr>
              <w:tabs>
                <w:tab w:val="left" w:pos="2395"/>
              </w:tabs>
              <w:spacing w:line="360" w:lineRule="auto"/>
              <w:ind w:firstLine="482" w:firstLineChars="200"/>
              <w:rPr>
                <w:b/>
                <w:sz w:val="24"/>
              </w:rPr>
            </w:pPr>
            <w:r>
              <w:rPr>
                <w:b/>
                <w:sz w:val="24"/>
              </w:rPr>
              <w:t>3、产品方案</w:t>
            </w:r>
          </w:p>
          <w:p w14:paraId="41FE7AEA">
            <w:pPr>
              <w:tabs>
                <w:tab w:val="left" w:pos="2395"/>
              </w:tabs>
              <w:spacing w:line="360" w:lineRule="auto"/>
              <w:ind w:firstLine="480" w:firstLineChars="200"/>
              <w:rPr>
                <w:sz w:val="24"/>
              </w:rPr>
            </w:pPr>
            <w:r>
              <w:rPr>
                <w:sz w:val="24"/>
              </w:rPr>
              <w:t>本项目产品具体方案见下表。</w:t>
            </w:r>
          </w:p>
          <w:p w14:paraId="09D31043">
            <w:pPr>
              <w:spacing w:before="120" w:beforeLines="50"/>
              <w:jc w:val="center"/>
              <w:rPr>
                <w:b/>
                <w:bCs/>
              </w:rPr>
            </w:pPr>
            <w:r>
              <w:rPr>
                <w:b/>
                <w:bCs/>
              </w:rPr>
              <w:t>表2-3  产品方案一览表</w:t>
            </w:r>
          </w:p>
          <w:tbl>
            <w:tblPr>
              <w:tblStyle w:val="25"/>
              <w:tblW w:w="9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852"/>
              <w:gridCol w:w="2574"/>
              <w:gridCol w:w="2574"/>
            </w:tblGrid>
            <w:tr w14:paraId="35BA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2" w:type="dxa"/>
                  <w:tcMar>
                    <w:top w:w="0" w:type="dxa"/>
                    <w:left w:w="0" w:type="dxa"/>
                    <w:right w:w="0" w:type="dxa"/>
                  </w:tcMar>
                  <w:vAlign w:val="center"/>
                </w:tcPr>
                <w:p w14:paraId="0C57E3B6">
                  <w:pPr>
                    <w:jc w:val="center"/>
                    <w:rPr>
                      <w:b/>
                      <w:bCs/>
                    </w:rPr>
                  </w:pPr>
                  <w:r>
                    <w:rPr>
                      <w:b/>
                      <w:bCs/>
                    </w:rPr>
                    <w:t>序号</w:t>
                  </w:r>
                </w:p>
              </w:tc>
              <w:tc>
                <w:tcPr>
                  <w:tcW w:w="2852" w:type="dxa"/>
                  <w:vAlign w:val="center"/>
                </w:tcPr>
                <w:p w14:paraId="5F4873E2">
                  <w:pPr>
                    <w:jc w:val="center"/>
                    <w:rPr>
                      <w:b/>
                      <w:bCs/>
                    </w:rPr>
                  </w:pPr>
                  <w:r>
                    <w:rPr>
                      <w:b/>
                      <w:bCs/>
                    </w:rPr>
                    <w:t>名称</w:t>
                  </w:r>
                </w:p>
              </w:tc>
              <w:tc>
                <w:tcPr>
                  <w:tcW w:w="2574" w:type="dxa"/>
                </w:tcPr>
                <w:p w14:paraId="26E44D06">
                  <w:pPr>
                    <w:jc w:val="center"/>
                    <w:rPr>
                      <w:b/>
                      <w:bCs/>
                    </w:rPr>
                  </w:pPr>
                  <w:r>
                    <w:rPr>
                      <w:b/>
                      <w:bCs/>
                    </w:rPr>
                    <w:t>原环评</w:t>
                  </w:r>
                </w:p>
              </w:tc>
              <w:tc>
                <w:tcPr>
                  <w:tcW w:w="2574" w:type="dxa"/>
                  <w:vAlign w:val="center"/>
                </w:tcPr>
                <w:p w14:paraId="358D94BF">
                  <w:pPr>
                    <w:jc w:val="center"/>
                    <w:rPr>
                      <w:b/>
                      <w:bCs/>
                    </w:rPr>
                  </w:pPr>
                  <w:r>
                    <w:rPr>
                      <w:b/>
                      <w:bCs/>
                    </w:rPr>
                    <w:t>扩建后年产量</w:t>
                  </w:r>
                </w:p>
              </w:tc>
            </w:tr>
            <w:tr w14:paraId="49E6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2" w:type="dxa"/>
                  <w:tcMar>
                    <w:top w:w="0" w:type="dxa"/>
                    <w:left w:w="0" w:type="dxa"/>
                    <w:right w:w="0" w:type="dxa"/>
                  </w:tcMar>
                  <w:vAlign w:val="center"/>
                </w:tcPr>
                <w:p w14:paraId="2A5CD086">
                  <w:pPr>
                    <w:autoSpaceDE w:val="0"/>
                    <w:autoSpaceDN w:val="0"/>
                    <w:jc w:val="center"/>
                  </w:pPr>
                  <w:r>
                    <w:t>1</w:t>
                  </w:r>
                </w:p>
              </w:tc>
              <w:tc>
                <w:tcPr>
                  <w:tcW w:w="2852" w:type="dxa"/>
                  <w:vAlign w:val="center"/>
                </w:tcPr>
                <w:p w14:paraId="15D281FE">
                  <w:pPr>
                    <w:autoSpaceDE w:val="0"/>
                    <w:autoSpaceDN w:val="0"/>
                    <w:jc w:val="center"/>
                  </w:pPr>
                  <w:r>
                    <w:t>烧结砖</w:t>
                  </w:r>
                </w:p>
              </w:tc>
              <w:tc>
                <w:tcPr>
                  <w:tcW w:w="2574" w:type="dxa"/>
                </w:tcPr>
                <w:p w14:paraId="34866B1B">
                  <w:pPr>
                    <w:autoSpaceDE w:val="0"/>
                    <w:autoSpaceDN w:val="0"/>
                    <w:jc w:val="center"/>
                  </w:pPr>
                  <w:r>
                    <w:t>3000万块</w:t>
                  </w:r>
                </w:p>
              </w:tc>
              <w:tc>
                <w:tcPr>
                  <w:tcW w:w="2574" w:type="dxa"/>
                  <w:vAlign w:val="center"/>
                </w:tcPr>
                <w:p w14:paraId="6514161F">
                  <w:pPr>
                    <w:autoSpaceDE w:val="0"/>
                    <w:autoSpaceDN w:val="0"/>
                    <w:jc w:val="center"/>
                  </w:pPr>
                  <w:r>
                    <w:t>9000万块</w:t>
                  </w:r>
                </w:p>
              </w:tc>
            </w:tr>
          </w:tbl>
          <w:p w14:paraId="091056AA">
            <w:pPr>
              <w:pStyle w:val="2"/>
              <w:rPr>
                <w:rFonts w:ascii="Times New Roman" w:hAnsi="Times New Roman"/>
              </w:rPr>
            </w:pPr>
          </w:p>
          <w:p w14:paraId="5D48493B">
            <w:pPr>
              <w:tabs>
                <w:tab w:val="left" w:pos="2395"/>
              </w:tabs>
              <w:spacing w:line="360" w:lineRule="auto"/>
              <w:ind w:firstLine="482" w:firstLineChars="200"/>
              <w:rPr>
                <w:b/>
                <w:bCs/>
                <w:sz w:val="24"/>
              </w:rPr>
            </w:pPr>
            <w:r>
              <w:rPr>
                <w:b/>
                <w:bCs/>
                <w:sz w:val="24"/>
              </w:rPr>
              <w:t>4、项目原辅料及能源消耗</w:t>
            </w:r>
          </w:p>
          <w:p w14:paraId="7CDD5745">
            <w:pPr>
              <w:tabs>
                <w:tab w:val="left" w:pos="2395"/>
              </w:tabs>
              <w:spacing w:line="360" w:lineRule="auto"/>
              <w:ind w:firstLine="480" w:firstLineChars="200"/>
              <w:rPr>
                <w:sz w:val="24"/>
              </w:rPr>
            </w:pPr>
            <w:r>
              <w:rPr>
                <w:sz w:val="24"/>
              </w:rPr>
              <w:t>本项目生产过程中主要原辅材料及能源消耗如下表所示。</w:t>
            </w:r>
          </w:p>
          <w:p w14:paraId="2774A003">
            <w:pPr>
              <w:jc w:val="center"/>
              <w:rPr>
                <w:b/>
                <w:bCs/>
                <w:sz w:val="24"/>
                <w:szCs w:val="28"/>
              </w:rPr>
            </w:pPr>
            <w:r>
              <w:rPr>
                <w:b/>
                <w:bCs/>
                <w:sz w:val="24"/>
                <w:szCs w:val="28"/>
              </w:rPr>
              <w:t>表2-4  项目原辅料及能源消耗表</w:t>
            </w:r>
          </w:p>
          <w:tbl>
            <w:tblPr>
              <w:tblStyle w:val="25"/>
              <w:tblW w:w="9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691"/>
              <w:gridCol w:w="1128"/>
              <w:gridCol w:w="988"/>
              <w:gridCol w:w="1210"/>
              <w:gridCol w:w="3040"/>
            </w:tblGrid>
            <w:tr w14:paraId="7DF7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Align w:val="center"/>
                </w:tcPr>
                <w:p w14:paraId="504DA886">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序号</w:t>
                  </w:r>
                </w:p>
              </w:tc>
              <w:tc>
                <w:tcPr>
                  <w:tcW w:w="2691" w:type="dxa"/>
                  <w:vAlign w:val="center"/>
                </w:tcPr>
                <w:p w14:paraId="6DE503AE">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原辅材料名称</w:t>
                  </w:r>
                </w:p>
              </w:tc>
              <w:tc>
                <w:tcPr>
                  <w:tcW w:w="1128" w:type="dxa"/>
                  <w:vAlign w:val="center"/>
                </w:tcPr>
                <w:p w14:paraId="3C057830">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单位</w:t>
                  </w:r>
                </w:p>
              </w:tc>
              <w:tc>
                <w:tcPr>
                  <w:tcW w:w="988" w:type="dxa"/>
                  <w:vAlign w:val="center"/>
                </w:tcPr>
                <w:p w14:paraId="1EB7C441">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原有消耗量</w:t>
                  </w:r>
                </w:p>
              </w:tc>
              <w:tc>
                <w:tcPr>
                  <w:tcW w:w="1210" w:type="dxa"/>
                  <w:vAlign w:val="center"/>
                </w:tcPr>
                <w:p w14:paraId="1B0ED44B">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改造后消耗量</w:t>
                  </w:r>
                </w:p>
              </w:tc>
              <w:tc>
                <w:tcPr>
                  <w:tcW w:w="3040" w:type="dxa"/>
                  <w:vAlign w:val="center"/>
                </w:tcPr>
                <w:p w14:paraId="36BAC2F9">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备注</w:t>
                  </w:r>
                </w:p>
              </w:tc>
            </w:tr>
            <w:tr w14:paraId="3B39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Align w:val="center"/>
                </w:tcPr>
                <w:p w14:paraId="18703794">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2691" w:type="dxa"/>
                  <w:vAlign w:val="center"/>
                </w:tcPr>
                <w:p w14:paraId="66A17715">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页岩</w:t>
                  </w:r>
                </w:p>
              </w:tc>
              <w:tc>
                <w:tcPr>
                  <w:tcW w:w="1128" w:type="dxa"/>
                  <w:vAlign w:val="center"/>
                </w:tcPr>
                <w:p w14:paraId="11EB2D5D">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万t/a</w:t>
                  </w:r>
                </w:p>
              </w:tc>
              <w:tc>
                <w:tcPr>
                  <w:tcW w:w="988" w:type="dxa"/>
                  <w:vAlign w:val="center"/>
                </w:tcPr>
                <w:p w14:paraId="108B74B5">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1210" w:type="dxa"/>
                  <w:vAlign w:val="center"/>
                </w:tcPr>
                <w:p w14:paraId="1944F237">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c>
                <w:tcPr>
                  <w:tcW w:w="3040" w:type="dxa"/>
                  <w:vAlign w:val="center"/>
                </w:tcPr>
                <w:p w14:paraId="42B574E7">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现有矿区可开采5万吨/a，不足部分外购</w:t>
                  </w:r>
                </w:p>
              </w:tc>
            </w:tr>
            <w:tr w14:paraId="7D71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Align w:val="center"/>
                </w:tcPr>
                <w:p w14:paraId="46472758">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2691" w:type="dxa"/>
                  <w:vAlign w:val="center"/>
                </w:tcPr>
                <w:p w14:paraId="00C5080A">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煤矸石</w:t>
                  </w:r>
                </w:p>
              </w:tc>
              <w:tc>
                <w:tcPr>
                  <w:tcW w:w="1128" w:type="dxa"/>
                  <w:vAlign w:val="center"/>
                </w:tcPr>
                <w:p w14:paraId="58F6F923">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万t/a</w:t>
                  </w:r>
                </w:p>
              </w:tc>
              <w:tc>
                <w:tcPr>
                  <w:tcW w:w="988" w:type="dxa"/>
                  <w:vAlign w:val="center"/>
                </w:tcPr>
                <w:p w14:paraId="4108C029">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2.5</w:t>
                  </w:r>
                </w:p>
              </w:tc>
              <w:tc>
                <w:tcPr>
                  <w:tcW w:w="1210" w:type="dxa"/>
                  <w:vAlign w:val="center"/>
                </w:tcPr>
                <w:p w14:paraId="4C11E2EB">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3040" w:type="dxa"/>
                  <w:vAlign w:val="center"/>
                </w:tcPr>
                <w:p w14:paraId="5BFC4FCF">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外购</w:t>
                  </w:r>
                </w:p>
              </w:tc>
            </w:tr>
            <w:tr w14:paraId="70C4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Align w:val="center"/>
                </w:tcPr>
                <w:p w14:paraId="1890F4E6">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2691" w:type="dxa"/>
                  <w:vAlign w:val="center"/>
                </w:tcPr>
                <w:p w14:paraId="64E5D4D7">
                  <w:pPr>
                    <w:pStyle w:val="100"/>
                    <w:rPr>
                      <w:szCs w:val="21"/>
                    </w:rPr>
                  </w:pPr>
                  <w:r>
                    <w:rPr>
                      <w:szCs w:val="21"/>
                    </w:rPr>
                    <w:t>生活污水处理厂市政脱水污泥、硅灰、煤灰、渣土、工业尾矿等</w:t>
                  </w:r>
                </w:p>
              </w:tc>
              <w:tc>
                <w:tcPr>
                  <w:tcW w:w="1128" w:type="dxa"/>
                  <w:vAlign w:val="center"/>
                </w:tcPr>
                <w:p w14:paraId="0395238D">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t/a</w:t>
                  </w:r>
                </w:p>
              </w:tc>
              <w:tc>
                <w:tcPr>
                  <w:tcW w:w="988" w:type="dxa"/>
                  <w:vAlign w:val="center"/>
                </w:tcPr>
                <w:p w14:paraId="01FA2214">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0</w:t>
                  </w:r>
                </w:p>
              </w:tc>
              <w:tc>
                <w:tcPr>
                  <w:tcW w:w="1210" w:type="dxa"/>
                  <w:vAlign w:val="center"/>
                </w:tcPr>
                <w:p w14:paraId="3C403D3F">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75038.568</w:t>
                  </w:r>
                </w:p>
              </w:tc>
              <w:tc>
                <w:tcPr>
                  <w:tcW w:w="3040" w:type="dxa"/>
                  <w:vAlign w:val="center"/>
                </w:tcPr>
                <w:p w14:paraId="148588DB">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污水处理厂、尾矿、尾渣等</w:t>
                  </w:r>
                </w:p>
              </w:tc>
            </w:tr>
            <w:tr w14:paraId="1BF5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Align w:val="center"/>
                </w:tcPr>
                <w:p w14:paraId="0B5E4668">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2691" w:type="dxa"/>
                  <w:vAlign w:val="center"/>
                </w:tcPr>
                <w:p w14:paraId="6B0B024E">
                  <w:pPr>
                    <w:pStyle w:val="101"/>
                    <w:spacing w:line="240" w:lineRule="auto"/>
                    <w:ind w:firstLine="0" w:firstLineChars="0"/>
                    <w:jc w:val="center"/>
                    <w:rPr>
                      <w:rFonts w:ascii="Times New Roman" w:hAnsi="Times New Roman"/>
                      <w:sz w:val="21"/>
                      <w:szCs w:val="21"/>
                    </w:rPr>
                  </w:pPr>
                  <w:r>
                    <w:rPr>
                      <w:rFonts w:ascii="Times New Roman" w:hAnsi="Times New Roman"/>
                      <w:szCs w:val="21"/>
                    </w:rPr>
                    <w:t>Ca(OH)</w:t>
                  </w:r>
                  <w:r>
                    <w:rPr>
                      <w:rFonts w:ascii="Times New Roman" w:hAnsi="Times New Roman"/>
                      <w:szCs w:val="21"/>
                      <w:vertAlign w:val="subscript"/>
                    </w:rPr>
                    <w:t>2</w:t>
                  </w:r>
                </w:p>
              </w:tc>
              <w:tc>
                <w:tcPr>
                  <w:tcW w:w="1128" w:type="dxa"/>
                  <w:vAlign w:val="center"/>
                </w:tcPr>
                <w:p w14:paraId="2B0A5027">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t/a</w:t>
                  </w:r>
                </w:p>
              </w:tc>
              <w:tc>
                <w:tcPr>
                  <w:tcW w:w="988" w:type="dxa"/>
                  <w:vAlign w:val="center"/>
                </w:tcPr>
                <w:p w14:paraId="52A0DEC1">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1210" w:type="dxa"/>
                  <w:vAlign w:val="center"/>
                </w:tcPr>
                <w:p w14:paraId="77DD6DFA">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150</w:t>
                  </w:r>
                </w:p>
              </w:tc>
              <w:tc>
                <w:tcPr>
                  <w:tcW w:w="3040" w:type="dxa"/>
                  <w:vAlign w:val="center"/>
                </w:tcPr>
                <w:p w14:paraId="3196E46D">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袋装</w:t>
                  </w:r>
                </w:p>
              </w:tc>
            </w:tr>
            <w:tr w14:paraId="3B94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Align w:val="center"/>
                </w:tcPr>
                <w:p w14:paraId="1C347106">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2691" w:type="dxa"/>
                  <w:vAlign w:val="center"/>
                </w:tcPr>
                <w:p w14:paraId="451A739A">
                  <w:pPr>
                    <w:pStyle w:val="100"/>
                    <w:spacing w:line="240" w:lineRule="auto"/>
                    <w:rPr>
                      <w:szCs w:val="21"/>
                    </w:rPr>
                  </w:pPr>
                  <w:r>
                    <w:rPr>
                      <w:szCs w:val="21"/>
                    </w:rPr>
                    <w:t>片碱</w:t>
                  </w:r>
                </w:p>
              </w:tc>
              <w:tc>
                <w:tcPr>
                  <w:tcW w:w="1128" w:type="dxa"/>
                  <w:vAlign w:val="center"/>
                </w:tcPr>
                <w:p w14:paraId="2D1D17B2">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t/a</w:t>
                  </w:r>
                </w:p>
              </w:tc>
              <w:tc>
                <w:tcPr>
                  <w:tcW w:w="988" w:type="dxa"/>
                  <w:vAlign w:val="center"/>
                </w:tcPr>
                <w:p w14:paraId="2C0CDF85">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1210" w:type="dxa"/>
                  <w:vAlign w:val="center"/>
                </w:tcPr>
                <w:p w14:paraId="360773DA">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80</w:t>
                  </w:r>
                </w:p>
              </w:tc>
              <w:tc>
                <w:tcPr>
                  <w:tcW w:w="3040" w:type="dxa"/>
                  <w:vAlign w:val="center"/>
                </w:tcPr>
                <w:p w14:paraId="04CA1F0C">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袋装</w:t>
                  </w:r>
                </w:p>
              </w:tc>
            </w:tr>
            <w:tr w14:paraId="684C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685" w:type="dxa"/>
                  <w:vAlign w:val="center"/>
                </w:tcPr>
                <w:p w14:paraId="54835916">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2691" w:type="dxa"/>
                  <w:vAlign w:val="center"/>
                </w:tcPr>
                <w:p w14:paraId="790AC2DC">
                  <w:pPr>
                    <w:pStyle w:val="100"/>
                    <w:spacing w:line="240" w:lineRule="auto"/>
                    <w:rPr>
                      <w:szCs w:val="21"/>
                    </w:rPr>
                  </w:pPr>
                  <w:r>
                    <w:rPr>
                      <w:szCs w:val="21"/>
                    </w:rPr>
                    <w:t>电</w:t>
                  </w:r>
                </w:p>
              </w:tc>
              <w:tc>
                <w:tcPr>
                  <w:tcW w:w="1128" w:type="dxa"/>
                  <w:vAlign w:val="center"/>
                </w:tcPr>
                <w:p w14:paraId="33FC5237">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kw·h/a</w:t>
                  </w:r>
                </w:p>
              </w:tc>
              <w:tc>
                <w:tcPr>
                  <w:tcW w:w="988" w:type="dxa"/>
                  <w:vAlign w:val="center"/>
                </w:tcPr>
                <w:p w14:paraId="7CB2B5C7">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27万</w:t>
                  </w:r>
                </w:p>
              </w:tc>
              <w:tc>
                <w:tcPr>
                  <w:tcW w:w="1210" w:type="dxa"/>
                  <w:vAlign w:val="center"/>
                </w:tcPr>
                <w:p w14:paraId="7719B0CA">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85万</w:t>
                  </w:r>
                </w:p>
              </w:tc>
              <w:tc>
                <w:tcPr>
                  <w:tcW w:w="3040" w:type="dxa"/>
                  <w:vAlign w:val="center"/>
                </w:tcPr>
                <w:p w14:paraId="5897CADD">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引用附近电网</w:t>
                  </w:r>
                </w:p>
              </w:tc>
            </w:tr>
            <w:tr w14:paraId="691D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85" w:type="dxa"/>
                  <w:vAlign w:val="center"/>
                </w:tcPr>
                <w:p w14:paraId="1EB69185">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2691" w:type="dxa"/>
                  <w:vAlign w:val="center"/>
                </w:tcPr>
                <w:p w14:paraId="75E1B572">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水</w:t>
                  </w:r>
                </w:p>
              </w:tc>
              <w:tc>
                <w:tcPr>
                  <w:tcW w:w="1128" w:type="dxa"/>
                  <w:vAlign w:val="center"/>
                </w:tcPr>
                <w:p w14:paraId="7C6131FE">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rPr>
                    <w:t>/a</w:t>
                  </w:r>
                </w:p>
              </w:tc>
              <w:tc>
                <w:tcPr>
                  <w:tcW w:w="988" w:type="dxa"/>
                  <w:vAlign w:val="center"/>
                </w:tcPr>
                <w:p w14:paraId="7A4B059D">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0.9万</w:t>
                  </w:r>
                </w:p>
              </w:tc>
              <w:tc>
                <w:tcPr>
                  <w:tcW w:w="1210" w:type="dxa"/>
                  <w:vAlign w:val="center"/>
                </w:tcPr>
                <w:p w14:paraId="3F083AD7">
                  <w:pPr>
                    <w:pStyle w:val="101"/>
                    <w:spacing w:line="240" w:lineRule="auto"/>
                    <w:ind w:firstLine="0" w:firstLineChars="0"/>
                    <w:jc w:val="center"/>
                    <w:rPr>
                      <w:rFonts w:ascii="Times New Roman" w:hAnsi="Times New Roman"/>
                      <w:sz w:val="21"/>
                      <w:szCs w:val="21"/>
                    </w:rPr>
                  </w:pPr>
                  <w:r>
                    <w:rPr>
                      <w:rFonts w:ascii="Times New Roman" w:hAnsi="Times New Roman"/>
                      <w:sz w:val="21"/>
                      <w:szCs w:val="21"/>
                    </w:rPr>
                    <w:t>2.37万</w:t>
                  </w:r>
                </w:p>
              </w:tc>
              <w:tc>
                <w:tcPr>
                  <w:tcW w:w="3040" w:type="dxa"/>
                  <w:vAlign w:val="center"/>
                </w:tcPr>
                <w:p w14:paraId="7AE4805A">
                  <w:pPr>
                    <w:pStyle w:val="101"/>
                    <w:spacing w:line="240" w:lineRule="auto"/>
                    <w:ind w:firstLine="0" w:firstLineChars="0"/>
                    <w:jc w:val="center"/>
                    <w:rPr>
                      <w:rFonts w:ascii="Times New Roman" w:hAnsi="Times New Roman"/>
                      <w:sz w:val="21"/>
                      <w:szCs w:val="21"/>
                    </w:rPr>
                  </w:pPr>
                </w:p>
              </w:tc>
            </w:tr>
          </w:tbl>
          <w:p w14:paraId="3F81E79D">
            <w:pPr>
              <w:tabs>
                <w:tab w:val="left" w:pos="2395"/>
              </w:tabs>
              <w:spacing w:line="360" w:lineRule="auto"/>
              <w:ind w:firstLine="482" w:firstLineChars="200"/>
              <w:rPr>
                <w:sz w:val="24"/>
              </w:rPr>
            </w:pPr>
            <w:r>
              <w:rPr>
                <w:b/>
                <w:sz w:val="24"/>
              </w:rPr>
              <w:t>注：</w:t>
            </w:r>
            <w:r>
              <w:rPr>
                <w:color w:val="FF0000"/>
                <w:sz w:val="24"/>
              </w:rPr>
              <w:t>废弃渣土（主要为</w:t>
            </w:r>
            <w:r>
              <w:rPr>
                <w:rFonts w:hint="eastAsia"/>
                <w:color w:val="FF0000"/>
                <w:sz w:val="24"/>
              </w:rPr>
              <w:t>城市</w:t>
            </w:r>
            <w:r>
              <w:rPr>
                <w:color w:val="FF0000"/>
                <w:sz w:val="24"/>
              </w:rPr>
              <w:t>建设开挖过程中的</w:t>
            </w:r>
            <w:r>
              <w:rPr>
                <w:rFonts w:hint="eastAsia"/>
                <w:color w:val="FF0000"/>
                <w:sz w:val="24"/>
              </w:rPr>
              <w:t>废弃</w:t>
            </w:r>
            <w:r>
              <w:rPr>
                <w:color w:val="FF0000"/>
                <w:sz w:val="24"/>
              </w:rPr>
              <w:t>渣土等）、矿山尾矿（主要为采石场弃土、采硅石弃土等）。</w:t>
            </w:r>
          </w:p>
          <w:p w14:paraId="6D98C837">
            <w:pPr>
              <w:tabs>
                <w:tab w:val="left" w:pos="2395"/>
              </w:tabs>
              <w:spacing w:line="360" w:lineRule="auto"/>
              <w:ind w:firstLine="482" w:firstLineChars="200"/>
              <w:rPr>
                <w:b/>
                <w:sz w:val="24"/>
              </w:rPr>
            </w:pPr>
            <w:r>
              <w:rPr>
                <w:b/>
                <w:sz w:val="24"/>
              </w:rPr>
              <w:t>（1）页岩</w:t>
            </w:r>
          </w:p>
          <w:p w14:paraId="611F8031">
            <w:pPr>
              <w:tabs>
                <w:tab w:val="left" w:pos="2395"/>
              </w:tabs>
              <w:spacing w:line="360" w:lineRule="auto"/>
              <w:ind w:firstLine="480" w:firstLineChars="200"/>
              <w:rPr>
                <w:sz w:val="24"/>
              </w:rPr>
            </w:pPr>
            <w:r>
              <w:rPr>
                <w:sz w:val="24"/>
              </w:rPr>
              <w:t>页岩是一种沉积岩，成分复杂，但都具有薄页状或薄片层状的节理，主要是由粘土沉积经压力和温度形成的岩石，其中混杂有石英、长石的碎屑以及其他化学物质。一般页岩主要成分为 78%岩石、10%石英、10%长石、2%其他化学物质，页岩由粘土物质硬化形成的微小颗粒易碎裂，很容易分裂成为明显的岩层。页岩抵抗风化能力弱，在地形上往往因侵蚀形成低山、谷地。页岩不透水，在地下水分布中往往成为隔水层。</w:t>
            </w:r>
          </w:p>
          <w:p w14:paraId="267F7A44">
            <w:pPr>
              <w:tabs>
                <w:tab w:val="left" w:pos="2395"/>
              </w:tabs>
              <w:spacing w:line="360" w:lineRule="auto"/>
              <w:ind w:firstLine="480" w:firstLineChars="200"/>
              <w:rPr>
                <w:sz w:val="24"/>
              </w:rPr>
            </w:pPr>
            <w:r>
              <w:rPr>
                <w:sz w:val="24"/>
              </w:rPr>
              <w:t>该企业已取得采矿许可证，开采规模为5万吨每年，本项目页岩主要来于原矿山剩余页岩矿、周边开采页岩矿，周边矿山较多，本项目页岩可在周边现有矿山购买页岩拉至厂区，能满足本项目需求。</w:t>
            </w:r>
          </w:p>
          <w:p w14:paraId="05D9188B">
            <w:pPr>
              <w:tabs>
                <w:tab w:val="left" w:pos="2395"/>
              </w:tabs>
              <w:spacing w:line="360" w:lineRule="auto"/>
              <w:ind w:firstLine="482" w:firstLineChars="200"/>
              <w:rPr>
                <w:b/>
                <w:sz w:val="24"/>
              </w:rPr>
            </w:pPr>
            <w:r>
              <w:rPr>
                <w:b/>
                <w:sz w:val="24"/>
              </w:rPr>
              <w:t>（2）煤矸石</w:t>
            </w:r>
          </w:p>
          <w:p w14:paraId="485BCABB">
            <w:pPr>
              <w:tabs>
                <w:tab w:val="left" w:pos="2395"/>
              </w:tabs>
              <w:spacing w:line="360" w:lineRule="auto"/>
              <w:ind w:firstLine="480" w:firstLineChars="200"/>
              <w:rPr>
                <w:sz w:val="24"/>
              </w:rPr>
            </w:pPr>
            <w:r>
              <w:rPr>
                <w:sz w:val="24"/>
              </w:rPr>
              <w:t>本项目煤矸石全部外购，主要成分含量及特性如下表所示。</w:t>
            </w:r>
          </w:p>
          <w:p w14:paraId="66658261">
            <w:pPr>
              <w:jc w:val="center"/>
              <w:rPr>
                <w:b/>
                <w:bCs/>
                <w:sz w:val="24"/>
                <w:szCs w:val="28"/>
              </w:rPr>
            </w:pPr>
            <w:r>
              <w:rPr>
                <w:b/>
                <w:bCs/>
                <w:sz w:val="24"/>
                <w:szCs w:val="28"/>
              </w:rPr>
              <w:t>表2-5 煤矸石成分一览表</w:t>
            </w:r>
          </w:p>
          <w:tbl>
            <w:tblPr>
              <w:tblStyle w:val="25"/>
              <w:tblW w:w="9742" w:type="dxa"/>
              <w:tblInd w:w="0" w:type="dxa"/>
              <w:tblLayout w:type="fixed"/>
              <w:tblCellMar>
                <w:top w:w="0" w:type="dxa"/>
                <w:left w:w="0" w:type="dxa"/>
                <w:bottom w:w="0" w:type="dxa"/>
                <w:right w:w="0" w:type="dxa"/>
              </w:tblCellMar>
            </w:tblPr>
            <w:tblGrid>
              <w:gridCol w:w="1076"/>
              <w:gridCol w:w="1040"/>
              <w:gridCol w:w="1060"/>
              <w:gridCol w:w="888"/>
              <w:gridCol w:w="888"/>
              <w:gridCol w:w="924"/>
              <w:gridCol w:w="906"/>
              <w:gridCol w:w="842"/>
              <w:gridCol w:w="857"/>
              <w:gridCol w:w="1261"/>
            </w:tblGrid>
            <w:tr w14:paraId="53A50D07">
              <w:tblPrEx>
                <w:tblCellMar>
                  <w:top w:w="0" w:type="dxa"/>
                  <w:left w:w="0" w:type="dxa"/>
                  <w:bottom w:w="0" w:type="dxa"/>
                  <w:right w:w="0" w:type="dxa"/>
                </w:tblCellMar>
              </w:tblPrEx>
              <w:trPr>
                <w:trHeight w:val="20" w:hRule="atLeast"/>
              </w:trPr>
              <w:tc>
                <w:tcPr>
                  <w:tcW w:w="1076" w:type="dxa"/>
                  <w:tcBorders>
                    <w:top w:val="single" w:color="000000" w:sz="4" w:space="0"/>
                    <w:left w:val="single" w:color="000000" w:sz="4" w:space="0"/>
                    <w:bottom w:val="single" w:color="000000" w:sz="4" w:space="0"/>
                    <w:right w:val="single" w:color="000000" w:sz="4" w:space="0"/>
                  </w:tcBorders>
                </w:tcPr>
                <w:p w14:paraId="0F2C8D87">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w w:val="95"/>
                      <w:sz w:val="21"/>
                      <w:szCs w:val="21"/>
                    </w:rPr>
                    <w:t>成分</w:t>
                  </w:r>
                </w:p>
              </w:tc>
              <w:tc>
                <w:tcPr>
                  <w:tcW w:w="1040" w:type="dxa"/>
                  <w:tcBorders>
                    <w:top w:val="single" w:color="000000" w:sz="4" w:space="0"/>
                    <w:left w:val="single" w:color="000000" w:sz="4" w:space="0"/>
                    <w:bottom w:val="single" w:color="000000" w:sz="4" w:space="0"/>
                    <w:right w:val="single" w:color="000000" w:sz="4" w:space="0"/>
                  </w:tcBorders>
                </w:tcPr>
                <w:p w14:paraId="563896CE">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pacing w:val="1"/>
                      <w:w w:val="99"/>
                      <w:sz w:val="21"/>
                      <w:szCs w:val="21"/>
                    </w:rPr>
                    <w:t>Si</w:t>
                  </w:r>
                  <w:r>
                    <w:rPr>
                      <w:rFonts w:ascii="Times New Roman" w:hAnsi="Times New Roman" w:cs="Times New Roman"/>
                      <w:spacing w:val="-2"/>
                      <w:w w:val="99"/>
                      <w:sz w:val="21"/>
                      <w:szCs w:val="21"/>
                    </w:rPr>
                    <w:t>O</w:t>
                  </w:r>
                  <w:r>
                    <w:rPr>
                      <w:rFonts w:ascii="Times New Roman" w:hAnsi="Times New Roman" w:cs="Times New Roman"/>
                      <w:w w:val="106"/>
                      <w:position w:val="-3"/>
                      <w:sz w:val="21"/>
                      <w:szCs w:val="21"/>
                    </w:rPr>
                    <w:t>2</w:t>
                  </w:r>
                </w:p>
              </w:tc>
              <w:tc>
                <w:tcPr>
                  <w:tcW w:w="1060" w:type="dxa"/>
                  <w:tcBorders>
                    <w:top w:val="single" w:color="000000" w:sz="4" w:space="0"/>
                    <w:left w:val="single" w:color="000000" w:sz="4" w:space="0"/>
                    <w:bottom w:val="single" w:color="000000" w:sz="4" w:space="0"/>
                    <w:right w:val="single" w:color="000000" w:sz="4" w:space="0"/>
                  </w:tcBorders>
                </w:tcPr>
                <w:p w14:paraId="03F095DC">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pacing w:val="1"/>
                      <w:w w:val="99"/>
                      <w:sz w:val="21"/>
                      <w:szCs w:val="21"/>
                    </w:rPr>
                    <w:t>Al</w:t>
                  </w:r>
                  <w:r>
                    <w:rPr>
                      <w:rFonts w:ascii="Times New Roman" w:hAnsi="Times New Roman" w:cs="Times New Roman"/>
                      <w:spacing w:val="-1"/>
                      <w:w w:val="106"/>
                      <w:position w:val="-3"/>
                      <w:sz w:val="21"/>
                      <w:szCs w:val="21"/>
                    </w:rPr>
                    <w:t>2</w:t>
                  </w:r>
                  <w:r>
                    <w:rPr>
                      <w:rFonts w:ascii="Times New Roman" w:hAnsi="Times New Roman" w:cs="Times New Roman"/>
                      <w:spacing w:val="-2"/>
                      <w:w w:val="99"/>
                      <w:sz w:val="21"/>
                      <w:szCs w:val="21"/>
                    </w:rPr>
                    <w:t>O</w:t>
                  </w:r>
                  <w:r>
                    <w:rPr>
                      <w:rFonts w:ascii="Times New Roman" w:hAnsi="Times New Roman" w:cs="Times New Roman"/>
                      <w:w w:val="106"/>
                      <w:position w:val="-3"/>
                      <w:sz w:val="21"/>
                      <w:szCs w:val="21"/>
                    </w:rPr>
                    <w:t>3</w:t>
                  </w:r>
                </w:p>
              </w:tc>
              <w:tc>
                <w:tcPr>
                  <w:tcW w:w="888" w:type="dxa"/>
                  <w:tcBorders>
                    <w:top w:val="single" w:color="000000" w:sz="4" w:space="0"/>
                    <w:left w:val="single" w:color="000000" w:sz="4" w:space="0"/>
                    <w:bottom w:val="single" w:color="000000" w:sz="4" w:space="0"/>
                    <w:right w:val="single" w:color="000000" w:sz="4" w:space="0"/>
                  </w:tcBorders>
                </w:tcPr>
                <w:p w14:paraId="51C2B063">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pacing w:val="1"/>
                      <w:w w:val="99"/>
                      <w:sz w:val="21"/>
                      <w:szCs w:val="21"/>
                    </w:rPr>
                    <w:t>Fe</w:t>
                  </w:r>
                  <w:r>
                    <w:rPr>
                      <w:rFonts w:ascii="Times New Roman" w:hAnsi="Times New Roman" w:cs="Times New Roman"/>
                      <w:spacing w:val="-3"/>
                      <w:w w:val="106"/>
                      <w:position w:val="-3"/>
                      <w:sz w:val="21"/>
                      <w:szCs w:val="21"/>
                    </w:rPr>
                    <w:t>2</w:t>
                  </w:r>
                  <w:r>
                    <w:rPr>
                      <w:rFonts w:ascii="Times New Roman" w:hAnsi="Times New Roman" w:cs="Times New Roman"/>
                      <w:spacing w:val="1"/>
                      <w:w w:val="99"/>
                      <w:sz w:val="21"/>
                      <w:szCs w:val="21"/>
                    </w:rPr>
                    <w:t>O</w:t>
                  </w:r>
                  <w:r>
                    <w:rPr>
                      <w:rFonts w:ascii="Times New Roman" w:hAnsi="Times New Roman" w:cs="Times New Roman"/>
                      <w:w w:val="106"/>
                      <w:position w:val="-3"/>
                      <w:sz w:val="21"/>
                      <w:szCs w:val="21"/>
                    </w:rPr>
                    <w:t>3</w:t>
                  </w:r>
                </w:p>
              </w:tc>
              <w:tc>
                <w:tcPr>
                  <w:tcW w:w="888" w:type="dxa"/>
                  <w:tcBorders>
                    <w:top w:val="single" w:color="000000" w:sz="4" w:space="0"/>
                    <w:left w:val="single" w:color="000000" w:sz="4" w:space="0"/>
                    <w:bottom w:val="single" w:color="000000" w:sz="4" w:space="0"/>
                    <w:right w:val="single" w:color="000000" w:sz="4" w:space="0"/>
                  </w:tcBorders>
                </w:tcPr>
                <w:p w14:paraId="0CE509E1">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z w:val="21"/>
                      <w:szCs w:val="21"/>
                    </w:rPr>
                    <w:t>CaO</w:t>
                  </w:r>
                </w:p>
              </w:tc>
              <w:tc>
                <w:tcPr>
                  <w:tcW w:w="924" w:type="dxa"/>
                  <w:tcBorders>
                    <w:top w:val="single" w:color="000000" w:sz="4" w:space="0"/>
                    <w:left w:val="single" w:color="000000" w:sz="4" w:space="0"/>
                    <w:bottom w:val="single" w:color="000000" w:sz="4" w:space="0"/>
                    <w:right w:val="single" w:color="000000" w:sz="4" w:space="0"/>
                  </w:tcBorders>
                </w:tcPr>
                <w:p w14:paraId="6E0D62A7">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z w:val="21"/>
                      <w:szCs w:val="21"/>
                    </w:rPr>
                    <w:t>MgO</w:t>
                  </w:r>
                </w:p>
              </w:tc>
              <w:tc>
                <w:tcPr>
                  <w:tcW w:w="906" w:type="dxa"/>
                  <w:tcBorders>
                    <w:top w:val="single" w:color="000000" w:sz="4" w:space="0"/>
                    <w:left w:val="single" w:color="000000" w:sz="4" w:space="0"/>
                    <w:bottom w:val="single" w:color="000000" w:sz="4" w:space="0"/>
                    <w:right w:val="single" w:color="000000" w:sz="4" w:space="0"/>
                  </w:tcBorders>
                </w:tcPr>
                <w:p w14:paraId="10C7A4E1">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pacing w:val="1"/>
                      <w:w w:val="99"/>
                      <w:sz w:val="21"/>
                      <w:szCs w:val="21"/>
                    </w:rPr>
                    <w:t>K</w:t>
                  </w:r>
                  <w:r>
                    <w:rPr>
                      <w:rFonts w:ascii="Times New Roman" w:hAnsi="Times New Roman" w:cs="Times New Roman"/>
                      <w:spacing w:val="-3"/>
                      <w:w w:val="106"/>
                      <w:position w:val="-3"/>
                      <w:sz w:val="21"/>
                      <w:szCs w:val="21"/>
                    </w:rPr>
                    <w:t>2</w:t>
                  </w:r>
                  <w:r>
                    <w:rPr>
                      <w:rFonts w:ascii="Times New Roman" w:hAnsi="Times New Roman" w:cs="Times New Roman"/>
                      <w:w w:val="99"/>
                      <w:sz w:val="21"/>
                      <w:szCs w:val="21"/>
                    </w:rPr>
                    <w:t>O</w:t>
                  </w:r>
                </w:p>
              </w:tc>
              <w:tc>
                <w:tcPr>
                  <w:tcW w:w="842" w:type="dxa"/>
                  <w:tcBorders>
                    <w:top w:val="single" w:color="000000" w:sz="4" w:space="0"/>
                    <w:left w:val="single" w:color="000000" w:sz="4" w:space="0"/>
                    <w:bottom w:val="single" w:color="000000" w:sz="4" w:space="0"/>
                    <w:right w:val="single" w:color="000000" w:sz="4" w:space="0"/>
                  </w:tcBorders>
                </w:tcPr>
                <w:p w14:paraId="7C44CC52">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pacing w:val="1"/>
                      <w:w w:val="99"/>
                      <w:sz w:val="21"/>
                      <w:szCs w:val="21"/>
                    </w:rPr>
                    <w:t>N</w:t>
                  </w:r>
                  <w:r>
                    <w:rPr>
                      <w:rFonts w:ascii="Times New Roman" w:hAnsi="Times New Roman" w:cs="Times New Roman"/>
                      <w:spacing w:val="-2"/>
                      <w:w w:val="99"/>
                      <w:sz w:val="21"/>
                      <w:szCs w:val="21"/>
                    </w:rPr>
                    <w:t>a</w:t>
                  </w:r>
                  <w:r>
                    <w:rPr>
                      <w:rFonts w:ascii="Times New Roman" w:hAnsi="Times New Roman" w:cs="Times New Roman"/>
                      <w:spacing w:val="-1"/>
                      <w:w w:val="106"/>
                      <w:position w:val="-3"/>
                      <w:sz w:val="21"/>
                      <w:szCs w:val="21"/>
                    </w:rPr>
                    <w:t>2</w:t>
                  </w:r>
                  <w:r>
                    <w:rPr>
                      <w:rFonts w:ascii="Times New Roman" w:hAnsi="Times New Roman" w:cs="Times New Roman"/>
                      <w:w w:val="99"/>
                      <w:sz w:val="21"/>
                      <w:szCs w:val="21"/>
                    </w:rPr>
                    <w:t>O</w:t>
                  </w:r>
                </w:p>
              </w:tc>
              <w:tc>
                <w:tcPr>
                  <w:tcW w:w="857" w:type="dxa"/>
                  <w:tcBorders>
                    <w:top w:val="single" w:color="000000" w:sz="4" w:space="0"/>
                    <w:left w:val="single" w:color="000000" w:sz="4" w:space="0"/>
                    <w:bottom w:val="single" w:color="000000" w:sz="4" w:space="0"/>
                    <w:right w:val="single" w:color="000000" w:sz="4" w:space="0"/>
                  </w:tcBorders>
                </w:tcPr>
                <w:p w14:paraId="0419E217">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w w:val="99"/>
                      <w:sz w:val="21"/>
                      <w:szCs w:val="21"/>
                    </w:rPr>
                    <w:t>S</w:t>
                  </w:r>
                </w:p>
              </w:tc>
              <w:tc>
                <w:tcPr>
                  <w:tcW w:w="1261" w:type="dxa"/>
                  <w:tcBorders>
                    <w:top w:val="single" w:color="000000" w:sz="4" w:space="0"/>
                    <w:left w:val="single" w:color="000000" w:sz="4" w:space="0"/>
                    <w:bottom w:val="single" w:color="000000" w:sz="4" w:space="0"/>
                    <w:right w:val="single" w:color="000000" w:sz="4" w:space="0"/>
                  </w:tcBorders>
                </w:tcPr>
                <w:p w14:paraId="1C97E960">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w w:val="95"/>
                      <w:sz w:val="21"/>
                      <w:szCs w:val="21"/>
                    </w:rPr>
                    <w:t>烧矢量</w:t>
                  </w:r>
                </w:p>
              </w:tc>
            </w:tr>
            <w:tr w14:paraId="314F5BB7">
              <w:tblPrEx>
                <w:tblCellMar>
                  <w:top w:w="0" w:type="dxa"/>
                  <w:left w:w="0" w:type="dxa"/>
                  <w:bottom w:w="0" w:type="dxa"/>
                  <w:right w:w="0" w:type="dxa"/>
                </w:tblCellMar>
              </w:tblPrEx>
              <w:trPr>
                <w:trHeight w:val="20" w:hRule="atLeast"/>
              </w:trPr>
              <w:tc>
                <w:tcPr>
                  <w:tcW w:w="1076" w:type="dxa"/>
                  <w:tcBorders>
                    <w:top w:val="single" w:color="000000" w:sz="4" w:space="0"/>
                    <w:left w:val="single" w:color="000000" w:sz="4" w:space="0"/>
                    <w:bottom w:val="single" w:color="000000" w:sz="4" w:space="0"/>
                    <w:right w:val="single" w:color="000000" w:sz="4" w:space="0"/>
                  </w:tcBorders>
                </w:tcPr>
                <w:p w14:paraId="5A4951D8">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w w:val="95"/>
                      <w:sz w:val="21"/>
                      <w:szCs w:val="21"/>
                    </w:rPr>
                    <w:t>含量%</w:t>
                  </w:r>
                </w:p>
              </w:tc>
              <w:tc>
                <w:tcPr>
                  <w:tcW w:w="1040" w:type="dxa"/>
                  <w:tcBorders>
                    <w:top w:val="single" w:color="000000" w:sz="4" w:space="0"/>
                    <w:left w:val="single" w:color="000000" w:sz="4" w:space="0"/>
                    <w:bottom w:val="single" w:color="000000" w:sz="4" w:space="0"/>
                    <w:right w:val="single" w:color="000000" w:sz="4" w:space="0"/>
                  </w:tcBorders>
                </w:tcPr>
                <w:p w14:paraId="3E56C313">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z w:val="21"/>
                      <w:szCs w:val="21"/>
                    </w:rPr>
                    <w:t>57.2</w:t>
                  </w:r>
                </w:p>
              </w:tc>
              <w:tc>
                <w:tcPr>
                  <w:tcW w:w="1060" w:type="dxa"/>
                  <w:tcBorders>
                    <w:top w:val="single" w:color="000000" w:sz="4" w:space="0"/>
                    <w:left w:val="single" w:color="000000" w:sz="4" w:space="0"/>
                    <w:bottom w:val="single" w:color="000000" w:sz="4" w:space="0"/>
                    <w:right w:val="single" w:color="000000" w:sz="4" w:space="0"/>
                  </w:tcBorders>
                </w:tcPr>
                <w:p w14:paraId="5C821BF5">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w w:val="95"/>
                      <w:sz w:val="21"/>
                      <w:szCs w:val="21"/>
                    </w:rPr>
                    <w:t>25.14</w:t>
                  </w:r>
                </w:p>
              </w:tc>
              <w:tc>
                <w:tcPr>
                  <w:tcW w:w="888" w:type="dxa"/>
                  <w:tcBorders>
                    <w:top w:val="single" w:color="000000" w:sz="4" w:space="0"/>
                    <w:left w:val="single" w:color="000000" w:sz="4" w:space="0"/>
                    <w:bottom w:val="single" w:color="000000" w:sz="4" w:space="0"/>
                    <w:right w:val="single" w:color="000000" w:sz="4" w:space="0"/>
                  </w:tcBorders>
                </w:tcPr>
                <w:p w14:paraId="62F126CA">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z w:val="21"/>
                      <w:szCs w:val="21"/>
                    </w:rPr>
                    <w:t>1.86</w:t>
                  </w:r>
                </w:p>
              </w:tc>
              <w:tc>
                <w:tcPr>
                  <w:tcW w:w="888" w:type="dxa"/>
                  <w:tcBorders>
                    <w:top w:val="single" w:color="000000" w:sz="4" w:space="0"/>
                    <w:left w:val="single" w:color="000000" w:sz="4" w:space="0"/>
                    <w:bottom w:val="single" w:color="000000" w:sz="4" w:space="0"/>
                    <w:right w:val="single" w:color="000000" w:sz="4" w:space="0"/>
                  </w:tcBorders>
                </w:tcPr>
                <w:p w14:paraId="0D542AAF">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z w:val="21"/>
                      <w:szCs w:val="21"/>
                    </w:rPr>
                    <w:t>0.92</w:t>
                  </w:r>
                </w:p>
              </w:tc>
              <w:tc>
                <w:tcPr>
                  <w:tcW w:w="924" w:type="dxa"/>
                  <w:tcBorders>
                    <w:top w:val="single" w:color="000000" w:sz="4" w:space="0"/>
                    <w:left w:val="single" w:color="000000" w:sz="4" w:space="0"/>
                    <w:bottom w:val="single" w:color="000000" w:sz="4" w:space="0"/>
                    <w:right w:val="single" w:color="000000" w:sz="4" w:space="0"/>
                  </w:tcBorders>
                </w:tcPr>
                <w:p w14:paraId="5F1A8948">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z w:val="21"/>
                      <w:szCs w:val="21"/>
                    </w:rPr>
                    <w:t>0.52</w:t>
                  </w:r>
                </w:p>
              </w:tc>
              <w:tc>
                <w:tcPr>
                  <w:tcW w:w="906" w:type="dxa"/>
                  <w:tcBorders>
                    <w:top w:val="single" w:color="000000" w:sz="4" w:space="0"/>
                    <w:left w:val="single" w:color="000000" w:sz="4" w:space="0"/>
                    <w:bottom w:val="single" w:color="000000" w:sz="4" w:space="0"/>
                    <w:right w:val="single" w:color="000000" w:sz="4" w:space="0"/>
                  </w:tcBorders>
                </w:tcPr>
                <w:p w14:paraId="526E26B6">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z w:val="21"/>
                      <w:szCs w:val="21"/>
                    </w:rPr>
                    <w:t>0.88</w:t>
                  </w:r>
                </w:p>
              </w:tc>
              <w:tc>
                <w:tcPr>
                  <w:tcW w:w="842" w:type="dxa"/>
                  <w:tcBorders>
                    <w:top w:val="single" w:color="000000" w:sz="4" w:space="0"/>
                    <w:left w:val="single" w:color="000000" w:sz="4" w:space="0"/>
                    <w:bottom w:val="single" w:color="000000" w:sz="4" w:space="0"/>
                    <w:right w:val="single" w:color="000000" w:sz="4" w:space="0"/>
                  </w:tcBorders>
                </w:tcPr>
                <w:p w14:paraId="7141F265">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z w:val="21"/>
                      <w:szCs w:val="21"/>
                    </w:rPr>
                    <w:t>1.01</w:t>
                  </w:r>
                </w:p>
              </w:tc>
              <w:tc>
                <w:tcPr>
                  <w:tcW w:w="857" w:type="dxa"/>
                  <w:tcBorders>
                    <w:top w:val="single" w:color="000000" w:sz="4" w:space="0"/>
                    <w:left w:val="single" w:color="000000" w:sz="4" w:space="0"/>
                    <w:bottom w:val="single" w:color="000000" w:sz="4" w:space="0"/>
                    <w:right w:val="single" w:color="000000" w:sz="4" w:space="0"/>
                  </w:tcBorders>
                </w:tcPr>
                <w:p w14:paraId="27E3B61E">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sz w:val="21"/>
                      <w:szCs w:val="21"/>
                    </w:rPr>
                    <w:t>0.78</w:t>
                  </w:r>
                </w:p>
              </w:tc>
              <w:tc>
                <w:tcPr>
                  <w:tcW w:w="1261" w:type="dxa"/>
                  <w:tcBorders>
                    <w:top w:val="single" w:color="000000" w:sz="4" w:space="0"/>
                    <w:left w:val="single" w:color="000000" w:sz="4" w:space="0"/>
                    <w:bottom w:val="single" w:color="000000" w:sz="4" w:space="0"/>
                    <w:right w:val="single" w:color="000000" w:sz="4" w:space="0"/>
                  </w:tcBorders>
                </w:tcPr>
                <w:p w14:paraId="1F3DFE37">
                  <w:pPr>
                    <w:pStyle w:val="66"/>
                    <w:kinsoku w:val="0"/>
                    <w:overflowPunct w:val="0"/>
                    <w:ind w:left="105" w:leftChars="50" w:right="105" w:rightChars="50"/>
                    <w:jc w:val="center"/>
                    <w:rPr>
                      <w:rFonts w:ascii="Times New Roman" w:hAnsi="Times New Roman" w:cs="Times New Roman" w:eastAsiaTheme="minorEastAsia"/>
                      <w:sz w:val="21"/>
                      <w:szCs w:val="21"/>
                    </w:rPr>
                  </w:pPr>
                  <w:r>
                    <w:rPr>
                      <w:rFonts w:ascii="Times New Roman" w:hAnsi="Times New Roman" w:cs="Times New Roman"/>
                      <w:w w:val="95"/>
                      <w:sz w:val="21"/>
                      <w:szCs w:val="21"/>
                    </w:rPr>
                    <w:t>10.49</w:t>
                  </w:r>
                </w:p>
              </w:tc>
            </w:tr>
          </w:tbl>
          <w:p w14:paraId="38BDACA4">
            <w:pPr>
              <w:pStyle w:val="2"/>
              <w:rPr>
                <w:rFonts w:ascii="Times New Roman" w:hAnsi="Times New Roman"/>
              </w:rPr>
            </w:pPr>
          </w:p>
          <w:p w14:paraId="208B1BD5">
            <w:pPr>
              <w:tabs>
                <w:tab w:val="left" w:pos="2395"/>
              </w:tabs>
              <w:spacing w:line="360" w:lineRule="auto"/>
              <w:ind w:firstLine="482" w:firstLineChars="200"/>
              <w:rPr>
                <w:b/>
                <w:sz w:val="24"/>
              </w:rPr>
            </w:pPr>
            <w:r>
              <w:rPr>
                <w:b/>
                <w:sz w:val="24"/>
              </w:rPr>
              <w:t>（3）污泥主要成分分析及污泥制砖可行性</w:t>
            </w:r>
          </w:p>
          <w:p w14:paraId="4E824922">
            <w:pPr>
              <w:tabs>
                <w:tab w:val="left" w:pos="2395"/>
              </w:tabs>
              <w:spacing w:line="360" w:lineRule="auto"/>
              <w:ind w:firstLine="480" w:firstLineChars="200"/>
              <w:rPr>
                <w:sz w:val="24"/>
              </w:rPr>
            </w:pPr>
            <w:r>
              <w:rPr>
                <w:sz w:val="24"/>
              </w:rPr>
              <w:t>城市污水处理厂污泥固体物质中有机物含量较高，质量较轻，利用污水处理厂的污泥和其他原料混合制砖有助于污泥处理处置资源化利用。污泥制砖一方面利用并消耗了大量的城市污水处理厂排放的污泥，另一方面可以利用污泥中有机质自己燃烧的热量，即利用了污泥自身的热值，高温分解有毒物质，解决了城市污泥的二次污染问题。</w:t>
            </w:r>
          </w:p>
          <w:p w14:paraId="30213186">
            <w:pPr>
              <w:tabs>
                <w:tab w:val="left" w:pos="2395"/>
              </w:tabs>
              <w:spacing w:line="360" w:lineRule="auto"/>
              <w:ind w:firstLine="480" w:firstLineChars="200"/>
              <w:rPr>
                <w:sz w:val="24"/>
              </w:rPr>
            </w:pPr>
            <w:r>
              <w:rPr>
                <w:sz w:val="24"/>
              </w:rPr>
              <w:t>根据《中国大小型城市的城市污泥热值分析》(蔡璐、陈同斌等人编制)，城市污泥干基热值约2830.8kcal/kg(676kJ/kg)，其热值利用率约70%。污水处理厂污泥经压滤脱水后出厂含水率60%。</w:t>
            </w:r>
          </w:p>
          <w:p w14:paraId="4C0E91A6">
            <w:pPr>
              <w:tabs>
                <w:tab w:val="left" w:pos="2395"/>
              </w:tabs>
              <w:spacing w:line="360" w:lineRule="auto"/>
              <w:ind w:firstLine="480" w:firstLineChars="200"/>
              <w:rPr>
                <w:sz w:val="24"/>
              </w:rPr>
            </w:pPr>
            <w:bookmarkStart w:id="4" w:name="_Hlk54336840"/>
            <w:r>
              <w:rPr>
                <w:sz w:val="24"/>
              </w:rPr>
              <w:t>污水处理厂污泥需满足《城镇污水处理厂污泥处置制砖用泥质》中对于泥质要求限值后方可拉运至厂区内作为制砖原料。</w:t>
            </w:r>
          </w:p>
          <w:bookmarkEnd w:id="4"/>
          <w:p w14:paraId="12139DCD">
            <w:pPr>
              <w:tabs>
                <w:tab w:val="left" w:pos="2395"/>
              </w:tabs>
              <w:spacing w:line="360" w:lineRule="auto"/>
              <w:ind w:firstLine="482" w:firstLineChars="200"/>
              <w:rPr>
                <w:b/>
                <w:sz w:val="24"/>
              </w:rPr>
            </w:pPr>
            <w:r>
              <w:rPr>
                <w:b/>
                <w:sz w:val="24"/>
              </w:rPr>
              <w:t>（4）一般固废</w:t>
            </w:r>
          </w:p>
          <w:p w14:paraId="3E3679E0">
            <w:pPr>
              <w:tabs>
                <w:tab w:val="left" w:pos="2395"/>
              </w:tabs>
              <w:spacing w:line="360" w:lineRule="auto"/>
              <w:ind w:firstLine="480" w:firstLineChars="200"/>
              <w:rPr>
                <w:sz w:val="24"/>
              </w:rPr>
            </w:pPr>
            <w:r>
              <w:rPr>
                <w:sz w:val="24"/>
              </w:rPr>
              <w:t>本项目使用的</w:t>
            </w:r>
            <w:r>
              <w:rPr>
                <w:color w:val="FF0000"/>
                <w:sz w:val="24"/>
              </w:rPr>
              <w:t>废弃渣土（主要为建设开挖过程中的渣土等）、矿山尾矿（主要为采石场弃土、采硅石弃土等）</w:t>
            </w:r>
            <w:r>
              <w:rPr>
                <w:sz w:val="24"/>
              </w:rPr>
              <w:t>、工业废弃物为一般可用于制砖的固体废弃物。</w:t>
            </w:r>
          </w:p>
          <w:p w14:paraId="325EBEA5">
            <w:pPr>
              <w:tabs>
                <w:tab w:val="left" w:pos="2395"/>
              </w:tabs>
              <w:spacing w:line="360" w:lineRule="auto"/>
              <w:ind w:firstLine="480" w:firstLineChars="200"/>
              <w:rPr>
                <w:sz w:val="24"/>
              </w:rPr>
            </w:pPr>
            <w:r>
              <w:rPr>
                <w:sz w:val="24"/>
              </w:rPr>
              <w:t>需经过检测机构根据《危险废物鉴别技术规范》（HJ298-2019）出具浸出毒性检测认定为一般固废的鉴别报告，鉴别标准执行《危险废物鉴别标准 浸出毒性鉴别》（GB5085.3-2007）。废弃渣土、矿山尾矿、工业废弃物等均不属于危险废物，为一般固体废弃物，受污染的废弃物不能作为原辅料使用。</w:t>
            </w:r>
          </w:p>
          <w:p w14:paraId="19B7B4B9">
            <w:pPr>
              <w:tabs>
                <w:tab w:val="left" w:pos="2395"/>
              </w:tabs>
              <w:spacing w:line="360" w:lineRule="auto"/>
              <w:ind w:firstLine="482" w:firstLineChars="200"/>
              <w:rPr>
                <w:b/>
                <w:sz w:val="24"/>
              </w:rPr>
            </w:pPr>
            <w:r>
              <w:rPr>
                <w:b/>
                <w:sz w:val="24"/>
              </w:rPr>
              <w:t>（5）片碱</w:t>
            </w:r>
          </w:p>
          <w:p w14:paraId="080CE8AD">
            <w:pPr>
              <w:tabs>
                <w:tab w:val="left" w:pos="2395"/>
              </w:tabs>
              <w:spacing w:line="360" w:lineRule="auto"/>
              <w:ind w:firstLine="480" w:firstLineChars="200"/>
              <w:rPr>
                <w:sz w:val="24"/>
              </w:rPr>
            </w:pPr>
            <w:r>
              <w:rPr>
                <w:sz w:val="24"/>
              </w:rPr>
              <w:t>化学名氢氧化钠，白色半透明片状固体，为基本化工原料，广泛用于造纸、合成洗涤剂及肥皂、粘胶纤维、人造丝及绵织品等轻纺工业方面，农药、染料、橡胶和化学工业方面、石油钻探，精炼石油油脂和提炼焦油的石油工业，以及国防工业、机械工业、木材加工、冶金工业，医药工业及城市建设等方面。还用于制造化学品、纸张、肥皂和洗涤剂、人造丝和玻璃纸，加工铝矾土制氧化铝，还用于纺织品的丝光处理，水处理等。</w:t>
            </w:r>
          </w:p>
          <w:p w14:paraId="4C6AA236">
            <w:pPr>
              <w:tabs>
                <w:tab w:val="left" w:pos="2395"/>
              </w:tabs>
              <w:spacing w:line="360" w:lineRule="auto"/>
              <w:ind w:firstLine="482" w:firstLineChars="200"/>
              <w:rPr>
                <w:b/>
                <w:sz w:val="24"/>
              </w:rPr>
            </w:pPr>
            <w:r>
              <w:rPr>
                <w:b/>
                <w:sz w:val="24"/>
              </w:rPr>
              <w:t>（6）消石灰</w:t>
            </w:r>
          </w:p>
          <w:p w14:paraId="6B366567">
            <w:pPr>
              <w:tabs>
                <w:tab w:val="left" w:pos="2395"/>
              </w:tabs>
              <w:spacing w:line="360" w:lineRule="auto"/>
              <w:ind w:firstLine="480" w:firstLineChars="200"/>
              <w:rPr>
                <w:b/>
                <w:kern w:val="0"/>
                <w:sz w:val="24"/>
              </w:rPr>
            </w:pPr>
            <w:r>
              <w:rPr>
                <w:sz w:val="24"/>
              </w:rPr>
              <w:t>是一种无机化合物，化学式为 Ca(OH)</w:t>
            </w:r>
            <w:r>
              <w:rPr>
                <w:sz w:val="24"/>
                <w:vertAlign w:val="subscript"/>
              </w:rPr>
              <w:t>2</w:t>
            </w:r>
            <w:r>
              <w:rPr>
                <w:sz w:val="24"/>
              </w:rPr>
              <w:t>，俗称熟石灰或消石灰。是一种白色粉末状固体，微溶于水，其澄清的水溶液俗称澄清石灰水，与水组成的乳状悬浮液称石灰乳。且溶解度随温度的升高而下降。不溶于醇，能溶于铵盐、甘油，能与酸反应，生成对应的钙盐。580℃时，分解为氧化钙和水。氢氧化钙是强碱，对皮肤、织物有腐蚀作用。但因其溶解度不大，所以危害程度不如氢氧化钠等强碱大。</w:t>
            </w:r>
            <w:r>
              <w:rPr>
                <w:b/>
                <w:kern w:val="0"/>
                <w:sz w:val="24"/>
              </w:rPr>
              <w:t>料平衡</w:t>
            </w:r>
          </w:p>
          <w:p w14:paraId="225E2F55">
            <w:pPr>
              <w:tabs>
                <w:tab w:val="left" w:pos="2715"/>
                <w:tab w:val="center" w:pos="4535"/>
              </w:tabs>
              <w:adjustRightInd w:val="0"/>
              <w:snapToGrid w:val="0"/>
              <w:jc w:val="center"/>
              <w:rPr>
                <w:b/>
                <w:kern w:val="0"/>
                <w:sz w:val="8"/>
              </w:rPr>
            </w:pPr>
            <w:r>
              <w:rPr>
                <w:b/>
                <w:bCs/>
                <w:sz w:val="24"/>
              </w:rPr>
              <w:t>表2-6  拟建项目物料平衡一览表</w:t>
            </w:r>
          </w:p>
          <w:tbl>
            <w:tblPr>
              <w:tblStyle w:val="25"/>
              <w:tblW w:w="97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2"/>
              <w:gridCol w:w="2905"/>
              <w:gridCol w:w="1991"/>
              <w:gridCol w:w="2135"/>
              <w:gridCol w:w="1929"/>
            </w:tblGrid>
            <w:tr w14:paraId="2F186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82" w:type="dxa"/>
                  <w:vAlign w:val="center"/>
                </w:tcPr>
                <w:p w14:paraId="24273C89">
                  <w:pPr>
                    <w:adjustRightInd w:val="0"/>
                    <w:spacing w:line="240" w:lineRule="atLeast"/>
                    <w:jc w:val="center"/>
                    <w:rPr>
                      <w:b/>
                      <w:szCs w:val="21"/>
                    </w:rPr>
                  </w:pPr>
                  <w:r>
                    <w:rPr>
                      <w:b/>
                      <w:szCs w:val="21"/>
                    </w:rPr>
                    <w:t>序号</w:t>
                  </w:r>
                </w:p>
              </w:tc>
              <w:tc>
                <w:tcPr>
                  <w:tcW w:w="2905" w:type="dxa"/>
                  <w:vAlign w:val="center"/>
                </w:tcPr>
                <w:p w14:paraId="16936E42">
                  <w:pPr>
                    <w:adjustRightInd w:val="0"/>
                    <w:spacing w:line="240" w:lineRule="atLeast"/>
                    <w:jc w:val="center"/>
                    <w:rPr>
                      <w:b/>
                      <w:szCs w:val="21"/>
                    </w:rPr>
                  </w:pPr>
                  <w:r>
                    <w:rPr>
                      <w:b/>
                      <w:szCs w:val="21"/>
                    </w:rPr>
                    <w:t>进料</w:t>
                  </w:r>
                </w:p>
              </w:tc>
              <w:tc>
                <w:tcPr>
                  <w:tcW w:w="1991" w:type="dxa"/>
                  <w:vAlign w:val="center"/>
                </w:tcPr>
                <w:p w14:paraId="634C9ADE">
                  <w:pPr>
                    <w:adjustRightInd w:val="0"/>
                    <w:spacing w:line="240" w:lineRule="atLeast"/>
                    <w:jc w:val="center"/>
                    <w:rPr>
                      <w:b/>
                      <w:szCs w:val="21"/>
                    </w:rPr>
                  </w:pPr>
                  <w:r>
                    <w:rPr>
                      <w:b/>
                      <w:szCs w:val="21"/>
                    </w:rPr>
                    <w:t>数量（t/a）</w:t>
                  </w:r>
                </w:p>
              </w:tc>
              <w:tc>
                <w:tcPr>
                  <w:tcW w:w="2135" w:type="dxa"/>
                  <w:vAlign w:val="center"/>
                </w:tcPr>
                <w:p w14:paraId="58EAABD7">
                  <w:pPr>
                    <w:adjustRightInd w:val="0"/>
                    <w:spacing w:line="240" w:lineRule="atLeast"/>
                    <w:jc w:val="center"/>
                    <w:rPr>
                      <w:b/>
                      <w:szCs w:val="21"/>
                    </w:rPr>
                  </w:pPr>
                  <w:r>
                    <w:rPr>
                      <w:b/>
                      <w:szCs w:val="21"/>
                    </w:rPr>
                    <w:t>出料</w:t>
                  </w:r>
                </w:p>
              </w:tc>
              <w:tc>
                <w:tcPr>
                  <w:tcW w:w="1929" w:type="dxa"/>
                  <w:vAlign w:val="center"/>
                </w:tcPr>
                <w:p w14:paraId="17EDFA43">
                  <w:pPr>
                    <w:adjustRightInd w:val="0"/>
                    <w:spacing w:line="240" w:lineRule="atLeast"/>
                    <w:jc w:val="center"/>
                    <w:rPr>
                      <w:b/>
                      <w:szCs w:val="21"/>
                    </w:rPr>
                  </w:pPr>
                  <w:r>
                    <w:rPr>
                      <w:b/>
                      <w:szCs w:val="21"/>
                    </w:rPr>
                    <w:t>数量（t/a）</w:t>
                  </w:r>
                </w:p>
              </w:tc>
            </w:tr>
            <w:tr w14:paraId="3142F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 w:hRule="atLeast"/>
              </w:trPr>
              <w:tc>
                <w:tcPr>
                  <w:tcW w:w="782" w:type="dxa"/>
                  <w:vAlign w:val="center"/>
                </w:tcPr>
                <w:p w14:paraId="3A9BC505">
                  <w:pPr>
                    <w:adjustRightInd w:val="0"/>
                    <w:spacing w:line="240" w:lineRule="atLeast"/>
                    <w:jc w:val="center"/>
                    <w:rPr>
                      <w:b/>
                      <w:szCs w:val="21"/>
                    </w:rPr>
                  </w:pPr>
                  <w:r>
                    <w:rPr>
                      <w:b/>
                      <w:szCs w:val="21"/>
                    </w:rPr>
                    <w:t>1</w:t>
                  </w:r>
                </w:p>
              </w:tc>
              <w:tc>
                <w:tcPr>
                  <w:tcW w:w="2905" w:type="dxa"/>
                  <w:vAlign w:val="center"/>
                </w:tcPr>
                <w:p w14:paraId="722F8CB5">
                  <w:pPr>
                    <w:adjustRightInd w:val="0"/>
                    <w:spacing w:line="240" w:lineRule="atLeast"/>
                    <w:jc w:val="center"/>
                    <w:rPr>
                      <w:szCs w:val="21"/>
                    </w:rPr>
                  </w:pPr>
                  <w:r>
                    <w:rPr>
                      <w:szCs w:val="21"/>
                    </w:rPr>
                    <w:t>页岩</w:t>
                  </w:r>
                </w:p>
              </w:tc>
              <w:tc>
                <w:tcPr>
                  <w:tcW w:w="1991" w:type="dxa"/>
                  <w:vAlign w:val="center"/>
                </w:tcPr>
                <w:p w14:paraId="08910FF5">
                  <w:pPr>
                    <w:widowControl/>
                    <w:autoSpaceDE w:val="0"/>
                    <w:autoSpaceDN w:val="0"/>
                    <w:jc w:val="center"/>
                    <w:rPr>
                      <w:kern w:val="0"/>
                      <w:szCs w:val="21"/>
                    </w:rPr>
                  </w:pPr>
                  <w:r>
                    <w:rPr>
                      <w:szCs w:val="21"/>
                    </w:rPr>
                    <w:t>100000</w:t>
                  </w:r>
                </w:p>
              </w:tc>
              <w:tc>
                <w:tcPr>
                  <w:tcW w:w="2135" w:type="dxa"/>
                  <w:vAlign w:val="center"/>
                </w:tcPr>
                <w:p w14:paraId="10EC83BF">
                  <w:pPr>
                    <w:autoSpaceDE w:val="0"/>
                    <w:autoSpaceDN w:val="0"/>
                    <w:adjustRightInd w:val="0"/>
                    <w:spacing w:line="240" w:lineRule="atLeast"/>
                    <w:jc w:val="center"/>
                    <w:rPr>
                      <w:szCs w:val="21"/>
                    </w:rPr>
                  </w:pPr>
                  <w:r>
                    <w:rPr>
                      <w:szCs w:val="21"/>
                    </w:rPr>
                    <w:t>产品</w:t>
                  </w:r>
                </w:p>
              </w:tc>
              <w:tc>
                <w:tcPr>
                  <w:tcW w:w="1929" w:type="dxa"/>
                  <w:vAlign w:val="center"/>
                </w:tcPr>
                <w:p w14:paraId="6E22AE80">
                  <w:pPr>
                    <w:autoSpaceDE w:val="0"/>
                    <w:autoSpaceDN w:val="0"/>
                    <w:jc w:val="center"/>
                    <w:rPr>
                      <w:kern w:val="0"/>
                      <w:szCs w:val="21"/>
                    </w:rPr>
                  </w:pPr>
                  <w:r>
                    <w:rPr>
                      <w:kern w:val="0"/>
                      <w:szCs w:val="21"/>
                    </w:rPr>
                    <w:t>225000</w:t>
                  </w:r>
                </w:p>
              </w:tc>
            </w:tr>
            <w:tr w14:paraId="0E856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 w:hRule="atLeast"/>
              </w:trPr>
              <w:tc>
                <w:tcPr>
                  <w:tcW w:w="782" w:type="dxa"/>
                  <w:vAlign w:val="center"/>
                </w:tcPr>
                <w:p w14:paraId="01E9B576">
                  <w:pPr>
                    <w:adjustRightInd w:val="0"/>
                    <w:spacing w:line="240" w:lineRule="atLeast"/>
                    <w:jc w:val="center"/>
                    <w:rPr>
                      <w:b/>
                      <w:szCs w:val="21"/>
                    </w:rPr>
                  </w:pPr>
                  <w:r>
                    <w:rPr>
                      <w:b/>
                      <w:szCs w:val="21"/>
                    </w:rPr>
                    <w:t>2</w:t>
                  </w:r>
                </w:p>
              </w:tc>
              <w:tc>
                <w:tcPr>
                  <w:tcW w:w="2905" w:type="dxa"/>
                  <w:vAlign w:val="center"/>
                </w:tcPr>
                <w:p w14:paraId="7DA25685">
                  <w:pPr>
                    <w:adjustRightInd w:val="0"/>
                    <w:spacing w:line="240" w:lineRule="atLeast"/>
                    <w:jc w:val="center"/>
                    <w:rPr>
                      <w:szCs w:val="21"/>
                    </w:rPr>
                  </w:pPr>
                  <w:r>
                    <w:rPr>
                      <w:szCs w:val="21"/>
                    </w:rPr>
                    <w:t>煤矸石</w:t>
                  </w:r>
                </w:p>
              </w:tc>
              <w:tc>
                <w:tcPr>
                  <w:tcW w:w="1991" w:type="dxa"/>
                  <w:vAlign w:val="center"/>
                </w:tcPr>
                <w:p w14:paraId="6B9EBE31">
                  <w:pPr>
                    <w:widowControl/>
                    <w:autoSpaceDE w:val="0"/>
                    <w:autoSpaceDN w:val="0"/>
                    <w:jc w:val="center"/>
                    <w:rPr>
                      <w:kern w:val="0"/>
                      <w:szCs w:val="21"/>
                    </w:rPr>
                  </w:pPr>
                  <w:r>
                    <w:rPr>
                      <w:szCs w:val="21"/>
                    </w:rPr>
                    <w:t>50000</w:t>
                  </w:r>
                </w:p>
              </w:tc>
              <w:tc>
                <w:tcPr>
                  <w:tcW w:w="2135" w:type="dxa"/>
                  <w:vAlign w:val="center"/>
                </w:tcPr>
                <w:p w14:paraId="08A6A60C">
                  <w:pPr>
                    <w:autoSpaceDE w:val="0"/>
                    <w:autoSpaceDN w:val="0"/>
                    <w:adjustRightInd w:val="0"/>
                    <w:spacing w:line="240" w:lineRule="atLeast"/>
                    <w:jc w:val="center"/>
                    <w:rPr>
                      <w:szCs w:val="21"/>
                    </w:rPr>
                  </w:pPr>
                  <w:r>
                    <w:rPr>
                      <w:szCs w:val="21"/>
                    </w:rPr>
                    <w:t>废气</w:t>
                  </w:r>
                </w:p>
              </w:tc>
              <w:tc>
                <w:tcPr>
                  <w:tcW w:w="1929" w:type="dxa"/>
                  <w:vAlign w:val="center"/>
                </w:tcPr>
                <w:p w14:paraId="40EFD844">
                  <w:pPr>
                    <w:autoSpaceDE w:val="0"/>
                    <w:autoSpaceDN w:val="0"/>
                    <w:jc w:val="center"/>
                    <w:rPr>
                      <w:kern w:val="0"/>
                      <w:szCs w:val="21"/>
                    </w:rPr>
                  </w:pPr>
                  <w:r>
                    <w:rPr>
                      <w:kern w:val="0"/>
                      <w:szCs w:val="21"/>
                    </w:rPr>
                    <w:t>38.568</w:t>
                  </w:r>
                </w:p>
              </w:tc>
            </w:tr>
            <w:tr w14:paraId="4818D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82" w:type="dxa"/>
                  <w:vAlign w:val="center"/>
                </w:tcPr>
                <w:p w14:paraId="715C7416">
                  <w:pPr>
                    <w:adjustRightInd w:val="0"/>
                    <w:spacing w:line="240" w:lineRule="atLeast"/>
                    <w:jc w:val="center"/>
                    <w:rPr>
                      <w:b/>
                      <w:szCs w:val="21"/>
                    </w:rPr>
                  </w:pPr>
                  <w:r>
                    <w:rPr>
                      <w:b/>
                      <w:szCs w:val="21"/>
                    </w:rPr>
                    <w:t>3</w:t>
                  </w:r>
                </w:p>
              </w:tc>
              <w:tc>
                <w:tcPr>
                  <w:tcW w:w="2905" w:type="dxa"/>
                  <w:vAlign w:val="center"/>
                </w:tcPr>
                <w:p w14:paraId="24875B8C">
                  <w:pPr>
                    <w:adjustRightInd w:val="0"/>
                    <w:spacing w:line="240" w:lineRule="atLeast"/>
                    <w:jc w:val="center"/>
                    <w:rPr>
                      <w:szCs w:val="21"/>
                    </w:rPr>
                  </w:pPr>
                  <w:r>
                    <w:rPr>
                      <w:szCs w:val="21"/>
                    </w:rPr>
                    <w:t>生活污水处理厂市政脱水污泥、硅灰、煤灰、渣土、工业尾矿等</w:t>
                  </w:r>
                </w:p>
              </w:tc>
              <w:tc>
                <w:tcPr>
                  <w:tcW w:w="1991" w:type="dxa"/>
                  <w:vAlign w:val="center"/>
                </w:tcPr>
                <w:p w14:paraId="122F0BA4">
                  <w:pPr>
                    <w:autoSpaceDE w:val="0"/>
                    <w:autoSpaceDN w:val="0"/>
                    <w:jc w:val="center"/>
                    <w:rPr>
                      <w:kern w:val="0"/>
                      <w:szCs w:val="21"/>
                    </w:rPr>
                  </w:pPr>
                  <w:r>
                    <w:rPr>
                      <w:szCs w:val="21"/>
                    </w:rPr>
                    <w:t>75038.568</w:t>
                  </w:r>
                </w:p>
              </w:tc>
              <w:tc>
                <w:tcPr>
                  <w:tcW w:w="2135" w:type="dxa"/>
                  <w:vAlign w:val="center"/>
                </w:tcPr>
                <w:p w14:paraId="0FDB6C3E">
                  <w:pPr>
                    <w:autoSpaceDE w:val="0"/>
                    <w:autoSpaceDN w:val="0"/>
                    <w:adjustRightInd w:val="0"/>
                    <w:spacing w:line="240" w:lineRule="atLeast"/>
                    <w:jc w:val="center"/>
                    <w:rPr>
                      <w:szCs w:val="21"/>
                    </w:rPr>
                  </w:pPr>
                  <w:r>
                    <w:rPr>
                      <w:kern w:val="0"/>
                      <w:szCs w:val="21"/>
                    </w:rPr>
                    <w:t>水蒸发</w:t>
                  </w:r>
                </w:p>
              </w:tc>
              <w:tc>
                <w:tcPr>
                  <w:tcW w:w="1929" w:type="dxa"/>
                  <w:vAlign w:val="center"/>
                </w:tcPr>
                <w:p w14:paraId="15B52F80">
                  <w:pPr>
                    <w:autoSpaceDE w:val="0"/>
                    <w:autoSpaceDN w:val="0"/>
                    <w:jc w:val="center"/>
                    <w:rPr>
                      <w:kern w:val="0"/>
                      <w:szCs w:val="21"/>
                    </w:rPr>
                  </w:pPr>
                  <w:r>
                    <w:rPr>
                      <w:kern w:val="0"/>
                      <w:szCs w:val="21"/>
                    </w:rPr>
                    <w:t>9000</w:t>
                  </w:r>
                </w:p>
              </w:tc>
            </w:tr>
            <w:tr w14:paraId="6586A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82" w:type="dxa"/>
                  <w:vAlign w:val="center"/>
                </w:tcPr>
                <w:p w14:paraId="7E953CFD">
                  <w:pPr>
                    <w:adjustRightInd w:val="0"/>
                    <w:spacing w:line="240" w:lineRule="atLeast"/>
                    <w:jc w:val="center"/>
                    <w:rPr>
                      <w:b/>
                      <w:szCs w:val="21"/>
                    </w:rPr>
                  </w:pPr>
                  <w:r>
                    <w:rPr>
                      <w:b/>
                      <w:szCs w:val="21"/>
                    </w:rPr>
                    <w:t>4</w:t>
                  </w:r>
                </w:p>
              </w:tc>
              <w:tc>
                <w:tcPr>
                  <w:tcW w:w="2905" w:type="dxa"/>
                  <w:vAlign w:val="center"/>
                </w:tcPr>
                <w:p w14:paraId="5824FA49">
                  <w:pPr>
                    <w:adjustRightInd w:val="0"/>
                    <w:spacing w:line="240" w:lineRule="atLeast"/>
                    <w:jc w:val="center"/>
                    <w:rPr>
                      <w:szCs w:val="21"/>
                    </w:rPr>
                  </w:pPr>
                  <w:r>
                    <w:rPr>
                      <w:szCs w:val="21"/>
                    </w:rPr>
                    <w:t>水</w:t>
                  </w:r>
                </w:p>
              </w:tc>
              <w:tc>
                <w:tcPr>
                  <w:tcW w:w="1991" w:type="dxa"/>
                  <w:vAlign w:val="center"/>
                </w:tcPr>
                <w:p w14:paraId="5BCA8E9F">
                  <w:pPr>
                    <w:autoSpaceDE w:val="0"/>
                    <w:autoSpaceDN w:val="0"/>
                    <w:jc w:val="center"/>
                    <w:rPr>
                      <w:szCs w:val="21"/>
                    </w:rPr>
                  </w:pPr>
                  <w:r>
                    <w:rPr>
                      <w:szCs w:val="21"/>
                    </w:rPr>
                    <w:t>9000</w:t>
                  </w:r>
                </w:p>
              </w:tc>
              <w:tc>
                <w:tcPr>
                  <w:tcW w:w="2135" w:type="dxa"/>
                  <w:vAlign w:val="center"/>
                </w:tcPr>
                <w:p w14:paraId="72E959E7">
                  <w:pPr>
                    <w:autoSpaceDE w:val="0"/>
                    <w:autoSpaceDN w:val="0"/>
                    <w:adjustRightInd w:val="0"/>
                    <w:spacing w:line="240" w:lineRule="atLeast"/>
                    <w:jc w:val="center"/>
                    <w:rPr>
                      <w:kern w:val="0"/>
                      <w:szCs w:val="21"/>
                    </w:rPr>
                  </w:pPr>
                  <w:r>
                    <w:rPr>
                      <w:kern w:val="0"/>
                      <w:szCs w:val="21"/>
                    </w:rPr>
                    <w:t>/</w:t>
                  </w:r>
                </w:p>
              </w:tc>
              <w:tc>
                <w:tcPr>
                  <w:tcW w:w="1929" w:type="dxa"/>
                  <w:vAlign w:val="center"/>
                </w:tcPr>
                <w:p w14:paraId="1ACA2669">
                  <w:pPr>
                    <w:autoSpaceDE w:val="0"/>
                    <w:autoSpaceDN w:val="0"/>
                    <w:jc w:val="center"/>
                    <w:rPr>
                      <w:kern w:val="0"/>
                      <w:szCs w:val="21"/>
                    </w:rPr>
                  </w:pPr>
                  <w:r>
                    <w:rPr>
                      <w:kern w:val="0"/>
                      <w:szCs w:val="21"/>
                    </w:rPr>
                    <w:t>/</w:t>
                  </w:r>
                </w:p>
              </w:tc>
            </w:tr>
            <w:tr w14:paraId="52032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82" w:type="dxa"/>
                  <w:vAlign w:val="center"/>
                </w:tcPr>
                <w:p w14:paraId="4DC3B087">
                  <w:pPr>
                    <w:adjustRightInd w:val="0"/>
                    <w:spacing w:line="240" w:lineRule="atLeast"/>
                    <w:jc w:val="center"/>
                    <w:rPr>
                      <w:b/>
                      <w:szCs w:val="21"/>
                    </w:rPr>
                  </w:pPr>
                  <w:r>
                    <w:rPr>
                      <w:b/>
                      <w:szCs w:val="21"/>
                    </w:rPr>
                    <w:t>5</w:t>
                  </w:r>
                </w:p>
              </w:tc>
              <w:tc>
                <w:tcPr>
                  <w:tcW w:w="2905" w:type="dxa"/>
                  <w:vAlign w:val="center"/>
                </w:tcPr>
                <w:p w14:paraId="34218242">
                  <w:pPr>
                    <w:adjustRightInd w:val="0"/>
                    <w:spacing w:line="240" w:lineRule="atLeast"/>
                    <w:jc w:val="center"/>
                    <w:rPr>
                      <w:szCs w:val="21"/>
                    </w:rPr>
                  </w:pPr>
                  <w:r>
                    <w:rPr>
                      <w:szCs w:val="21"/>
                    </w:rPr>
                    <w:t>合计</w:t>
                  </w:r>
                </w:p>
              </w:tc>
              <w:tc>
                <w:tcPr>
                  <w:tcW w:w="1991" w:type="dxa"/>
                  <w:vAlign w:val="center"/>
                </w:tcPr>
                <w:p w14:paraId="22A5C8CE">
                  <w:pPr>
                    <w:widowControl/>
                    <w:jc w:val="center"/>
                    <w:rPr>
                      <w:kern w:val="0"/>
                      <w:szCs w:val="21"/>
                    </w:rPr>
                  </w:pPr>
                  <w:r>
                    <w:rPr>
                      <w:rFonts w:eastAsia="等线"/>
                      <w:szCs w:val="21"/>
                    </w:rPr>
                    <w:t>234038.568</w:t>
                  </w:r>
                </w:p>
              </w:tc>
              <w:tc>
                <w:tcPr>
                  <w:tcW w:w="2135" w:type="dxa"/>
                  <w:vAlign w:val="center"/>
                </w:tcPr>
                <w:p w14:paraId="461EAF23">
                  <w:pPr>
                    <w:adjustRightInd w:val="0"/>
                    <w:spacing w:line="240" w:lineRule="atLeast"/>
                    <w:jc w:val="center"/>
                    <w:rPr>
                      <w:rFonts w:eastAsia="等线"/>
                      <w:kern w:val="0"/>
                      <w:szCs w:val="21"/>
                    </w:rPr>
                  </w:pPr>
                  <w:r>
                    <w:rPr>
                      <w:rFonts w:eastAsia="等线"/>
                      <w:kern w:val="0"/>
                      <w:szCs w:val="21"/>
                    </w:rPr>
                    <w:t>合计</w:t>
                  </w:r>
                </w:p>
              </w:tc>
              <w:tc>
                <w:tcPr>
                  <w:tcW w:w="1929" w:type="dxa"/>
                  <w:vAlign w:val="center"/>
                </w:tcPr>
                <w:p w14:paraId="0CEAD689">
                  <w:pPr>
                    <w:autoSpaceDE w:val="0"/>
                    <w:autoSpaceDN w:val="0"/>
                    <w:jc w:val="center"/>
                    <w:rPr>
                      <w:kern w:val="0"/>
                      <w:szCs w:val="21"/>
                    </w:rPr>
                  </w:pPr>
                  <w:r>
                    <w:rPr>
                      <w:rFonts w:eastAsia="等线"/>
                      <w:szCs w:val="21"/>
                    </w:rPr>
                    <w:t>234038.568</w:t>
                  </w:r>
                </w:p>
              </w:tc>
            </w:tr>
          </w:tbl>
          <w:p w14:paraId="5D667B5C">
            <w:pPr>
              <w:tabs>
                <w:tab w:val="left" w:pos="2395"/>
              </w:tabs>
              <w:spacing w:line="360" w:lineRule="auto"/>
              <w:ind w:firstLine="482" w:firstLineChars="200"/>
              <w:rPr>
                <w:b/>
                <w:sz w:val="24"/>
              </w:rPr>
            </w:pPr>
            <w:r>
              <w:rPr>
                <w:b/>
                <w:sz w:val="24"/>
              </w:rPr>
              <w:t>5、生产设备、设施</w:t>
            </w:r>
          </w:p>
          <w:p w14:paraId="663E1940">
            <w:pPr>
              <w:tabs>
                <w:tab w:val="left" w:pos="2395"/>
              </w:tabs>
              <w:spacing w:line="360" w:lineRule="auto"/>
              <w:ind w:firstLine="480" w:firstLineChars="200"/>
            </w:pPr>
            <w:r>
              <w:rPr>
                <w:sz w:val="24"/>
              </w:rPr>
              <w:t>本项目生产过程中主要生产设备、设施见下表。</w:t>
            </w:r>
          </w:p>
          <w:p w14:paraId="643026FE">
            <w:pPr>
              <w:jc w:val="center"/>
              <w:rPr>
                <w:b/>
                <w:bCs/>
                <w:sz w:val="24"/>
                <w:szCs w:val="28"/>
              </w:rPr>
            </w:pPr>
            <w:r>
              <w:rPr>
                <w:b/>
                <w:bCs/>
                <w:sz w:val="24"/>
                <w:szCs w:val="28"/>
              </w:rPr>
              <w:t>表2-7  主要生产设备一览表</w:t>
            </w:r>
          </w:p>
          <w:tbl>
            <w:tblPr>
              <w:tblStyle w:val="26"/>
              <w:tblW w:w="9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2221"/>
              <w:gridCol w:w="2240"/>
              <w:gridCol w:w="2176"/>
              <w:gridCol w:w="2176"/>
            </w:tblGrid>
            <w:tr w14:paraId="0457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62949505">
                  <w:pPr>
                    <w:jc w:val="center"/>
                    <w:rPr>
                      <w:szCs w:val="21"/>
                    </w:rPr>
                  </w:pPr>
                  <w:r>
                    <w:rPr>
                      <w:b/>
                      <w:bCs/>
                      <w:szCs w:val="21"/>
                    </w:rPr>
                    <w:t>序号</w:t>
                  </w:r>
                </w:p>
              </w:tc>
              <w:tc>
                <w:tcPr>
                  <w:tcW w:w="2221" w:type="dxa"/>
                  <w:vAlign w:val="center"/>
                </w:tcPr>
                <w:p w14:paraId="6AC3F8DB">
                  <w:pPr>
                    <w:jc w:val="center"/>
                    <w:rPr>
                      <w:szCs w:val="21"/>
                    </w:rPr>
                  </w:pPr>
                  <w:r>
                    <w:rPr>
                      <w:b/>
                      <w:bCs/>
                      <w:szCs w:val="21"/>
                    </w:rPr>
                    <w:t>设备名称</w:t>
                  </w:r>
                </w:p>
              </w:tc>
              <w:tc>
                <w:tcPr>
                  <w:tcW w:w="2240" w:type="dxa"/>
                  <w:vAlign w:val="center"/>
                </w:tcPr>
                <w:p w14:paraId="13FA17B3">
                  <w:pPr>
                    <w:jc w:val="center"/>
                    <w:rPr>
                      <w:b/>
                      <w:bCs/>
                      <w:szCs w:val="21"/>
                    </w:rPr>
                  </w:pPr>
                  <w:r>
                    <w:rPr>
                      <w:b/>
                      <w:bCs/>
                      <w:szCs w:val="21"/>
                    </w:rPr>
                    <w:t>规格型号</w:t>
                  </w:r>
                </w:p>
              </w:tc>
              <w:tc>
                <w:tcPr>
                  <w:tcW w:w="2176" w:type="dxa"/>
                  <w:vAlign w:val="center"/>
                </w:tcPr>
                <w:p w14:paraId="4D3686A5">
                  <w:pPr>
                    <w:jc w:val="center"/>
                    <w:rPr>
                      <w:b/>
                      <w:bCs/>
                      <w:szCs w:val="21"/>
                    </w:rPr>
                  </w:pPr>
                  <w:r>
                    <w:rPr>
                      <w:b/>
                      <w:bCs/>
                      <w:szCs w:val="21"/>
                    </w:rPr>
                    <w:t>原项目台数</w:t>
                  </w:r>
                </w:p>
              </w:tc>
              <w:tc>
                <w:tcPr>
                  <w:tcW w:w="2176" w:type="dxa"/>
                  <w:vAlign w:val="center"/>
                </w:tcPr>
                <w:p w14:paraId="0827BBF8">
                  <w:pPr>
                    <w:jc w:val="center"/>
                    <w:rPr>
                      <w:b/>
                      <w:bCs/>
                      <w:szCs w:val="21"/>
                      <w:highlight w:val="yellow"/>
                    </w:rPr>
                  </w:pPr>
                  <w:r>
                    <w:rPr>
                      <w:b/>
                      <w:bCs/>
                      <w:szCs w:val="21"/>
                    </w:rPr>
                    <w:t>本项目台数</w:t>
                  </w:r>
                </w:p>
              </w:tc>
            </w:tr>
            <w:tr w14:paraId="0F99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7CF559C4">
                  <w:pPr>
                    <w:jc w:val="center"/>
                    <w:rPr>
                      <w:szCs w:val="21"/>
                    </w:rPr>
                  </w:pPr>
                  <w:r>
                    <w:rPr>
                      <w:szCs w:val="21"/>
                    </w:rPr>
                    <w:t>1</w:t>
                  </w:r>
                </w:p>
              </w:tc>
              <w:tc>
                <w:tcPr>
                  <w:tcW w:w="2221" w:type="dxa"/>
                  <w:vAlign w:val="center"/>
                </w:tcPr>
                <w:p w14:paraId="5C0DC0CC">
                  <w:pPr>
                    <w:jc w:val="center"/>
                    <w:rPr>
                      <w:szCs w:val="21"/>
                    </w:rPr>
                  </w:pPr>
                  <w:r>
                    <w:rPr>
                      <w:szCs w:val="21"/>
                    </w:rPr>
                    <w:t>供料箱</w:t>
                  </w:r>
                </w:p>
              </w:tc>
              <w:tc>
                <w:tcPr>
                  <w:tcW w:w="2240" w:type="dxa"/>
                  <w:vAlign w:val="center"/>
                </w:tcPr>
                <w:p w14:paraId="6CDADBF2">
                  <w:pPr>
                    <w:jc w:val="center"/>
                    <w:rPr>
                      <w:szCs w:val="21"/>
                    </w:rPr>
                  </w:pPr>
                  <w:r>
                    <w:rPr>
                      <w:szCs w:val="21"/>
                    </w:rPr>
                    <w:t>P1000</w:t>
                  </w:r>
                </w:p>
              </w:tc>
              <w:tc>
                <w:tcPr>
                  <w:tcW w:w="2176" w:type="dxa"/>
                  <w:vAlign w:val="center"/>
                </w:tcPr>
                <w:p w14:paraId="2AF59D59">
                  <w:pPr>
                    <w:jc w:val="center"/>
                    <w:rPr>
                      <w:szCs w:val="21"/>
                    </w:rPr>
                  </w:pPr>
                  <w:r>
                    <w:rPr>
                      <w:szCs w:val="21"/>
                    </w:rPr>
                    <w:t>1</w:t>
                  </w:r>
                </w:p>
              </w:tc>
              <w:tc>
                <w:tcPr>
                  <w:tcW w:w="2176" w:type="dxa"/>
                  <w:vAlign w:val="center"/>
                </w:tcPr>
                <w:p w14:paraId="3A09F140">
                  <w:pPr>
                    <w:jc w:val="center"/>
                    <w:rPr>
                      <w:szCs w:val="21"/>
                    </w:rPr>
                  </w:pPr>
                  <w:r>
                    <w:rPr>
                      <w:szCs w:val="21"/>
                    </w:rPr>
                    <w:t>1</w:t>
                  </w:r>
                </w:p>
              </w:tc>
            </w:tr>
            <w:tr w14:paraId="7175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50236D97">
                  <w:pPr>
                    <w:jc w:val="center"/>
                    <w:rPr>
                      <w:szCs w:val="21"/>
                    </w:rPr>
                  </w:pPr>
                  <w:r>
                    <w:rPr>
                      <w:szCs w:val="21"/>
                    </w:rPr>
                    <w:t>2</w:t>
                  </w:r>
                </w:p>
              </w:tc>
              <w:tc>
                <w:tcPr>
                  <w:tcW w:w="2221" w:type="dxa"/>
                  <w:vAlign w:val="center"/>
                </w:tcPr>
                <w:p w14:paraId="22403E5E">
                  <w:pPr>
                    <w:jc w:val="center"/>
                    <w:rPr>
                      <w:szCs w:val="21"/>
                    </w:rPr>
                  </w:pPr>
                  <w:r>
                    <w:rPr>
                      <w:szCs w:val="21"/>
                    </w:rPr>
                    <w:t>预湿搅拌机</w:t>
                  </w:r>
                </w:p>
              </w:tc>
              <w:tc>
                <w:tcPr>
                  <w:tcW w:w="2240" w:type="dxa"/>
                  <w:vAlign w:val="center"/>
                </w:tcPr>
                <w:p w14:paraId="483C33E5">
                  <w:pPr>
                    <w:jc w:val="center"/>
                    <w:rPr>
                      <w:szCs w:val="21"/>
                    </w:rPr>
                  </w:pPr>
                  <w:r>
                    <w:rPr>
                      <w:szCs w:val="21"/>
                    </w:rPr>
                    <w:t>GJ4500</w:t>
                  </w:r>
                </w:p>
              </w:tc>
              <w:tc>
                <w:tcPr>
                  <w:tcW w:w="2176" w:type="dxa"/>
                  <w:vAlign w:val="center"/>
                </w:tcPr>
                <w:p w14:paraId="6F65BF89">
                  <w:pPr>
                    <w:jc w:val="center"/>
                    <w:rPr>
                      <w:szCs w:val="21"/>
                    </w:rPr>
                  </w:pPr>
                  <w:r>
                    <w:rPr>
                      <w:szCs w:val="21"/>
                    </w:rPr>
                    <w:t>1</w:t>
                  </w:r>
                </w:p>
              </w:tc>
              <w:tc>
                <w:tcPr>
                  <w:tcW w:w="2176" w:type="dxa"/>
                  <w:vAlign w:val="center"/>
                </w:tcPr>
                <w:p w14:paraId="02C65C05">
                  <w:pPr>
                    <w:jc w:val="center"/>
                    <w:rPr>
                      <w:szCs w:val="21"/>
                    </w:rPr>
                  </w:pPr>
                  <w:r>
                    <w:rPr>
                      <w:szCs w:val="21"/>
                    </w:rPr>
                    <w:t>1</w:t>
                  </w:r>
                </w:p>
              </w:tc>
            </w:tr>
            <w:tr w14:paraId="0467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74B32EEE">
                  <w:pPr>
                    <w:jc w:val="center"/>
                    <w:rPr>
                      <w:szCs w:val="21"/>
                    </w:rPr>
                  </w:pPr>
                  <w:r>
                    <w:rPr>
                      <w:szCs w:val="21"/>
                    </w:rPr>
                    <w:t>3</w:t>
                  </w:r>
                </w:p>
              </w:tc>
              <w:tc>
                <w:tcPr>
                  <w:tcW w:w="2221" w:type="dxa"/>
                  <w:vAlign w:val="center"/>
                </w:tcPr>
                <w:p w14:paraId="43F3CADE">
                  <w:pPr>
                    <w:jc w:val="center"/>
                    <w:rPr>
                      <w:szCs w:val="21"/>
                    </w:rPr>
                  </w:pPr>
                  <w:r>
                    <w:rPr>
                      <w:szCs w:val="21"/>
                    </w:rPr>
                    <w:t>锤式破碎机</w:t>
                  </w:r>
                </w:p>
              </w:tc>
              <w:tc>
                <w:tcPr>
                  <w:tcW w:w="2240" w:type="dxa"/>
                  <w:vAlign w:val="center"/>
                </w:tcPr>
                <w:p w14:paraId="0F8C70D6">
                  <w:pPr>
                    <w:jc w:val="center"/>
                    <w:rPr>
                      <w:szCs w:val="21"/>
                    </w:rPr>
                  </w:pPr>
                  <w:r>
                    <w:rPr>
                      <w:szCs w:val="21"/>
                    </w:rPr>
                    <w:t>450型</w:t>
                  </w:r>
                </w:p>
              </w:tc>
              <w:tc>
                <w:tcPr>
                  <w:tcW w:w="2176" w:type="dxa"/>
                  <w:vAlign w:val="center"/>
                </w:tcPr>
                <w:p w14:paraId="542C3BCC">
                  <w:pPr>
                    <w:jc w:val="center"/>
                    <w:rPr>
                      <w:szCs w:val="21"/>
                    </w:rPr>
                  </w:pPr>
                  <w:r>
                    <w:rPr>
                      <w:szCs w:val="21"/>
                    </w:rPr>
                    <w:t>1</w:t>
                  </w:r>
                </w:p>
              </w:tc>
              <w:tc>
                <w:tcPr>
                  <w:tcW w:w="2176" w:type="dxa"/>
                  <w:vAlign w:val="center"/>
                </w:tcPr>
                <w:p w14:paraId="7B3211C9">
                  <w:pPr>
                    <w:jc w:val="center"/>
                    <w:rPr>
                      <w:szCs w:val="21"/>
                    </w:rPr>
                  </w:pPr>
                  <w:r>
                    <w:rPr>
                      <w:szCs w:val="21"/>
                    </w:rPr>
                    <w:t>1</w:t>
                  </w:r>
                </w:p>
              </w:tc>
            </w:tr>
            <w:tr w14:paraId="68B8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4A45D183">
                  <w:pPr>
                    <w:jc w:val="center"/>
                    <w:rPr>
                      <w:szCs w:val="21"/>
                    </w:rPr>
                  </w:pPr>
                  <w:r>
                    <w:rPr>
                      <w:szCs w:val="21"/>
                    </w:rPr>
                    <w:t>4</w:t>
                  </w:r>
                </w:p>
              </w:tc>
              <w:tc>
                <w:tcPr>
                  <w:tcW w:w="2221" w:type="dxa"/>
                  <w:vAlign w:val="center"/>
                </w:tcPr>
                <w:p w14:paraId="5BDD8A78">
                  <w:pPr>
                    <w:jc w:val="center"/>
                    <w:rPr>
                      <w:szCs w:val="21"/>
                    </w:rPr>
                  </w:pPr>
                  <w:r>
                    <w:rPr>
                      <w:szCs w:val="21"/>
                    </w:rPr>
                    <w:t>高速滚动筛</w:t>
                  </w:r>
                </w:p>
              </w:tc>
              <w:tc>
                <w:tcPr>
                  <w:tcW w:w="2240" w:type="dxa"/>
                  <w:vAlign w:val="center"/>
                </w:tcPr>
                <w:p w14:paraId="4D51428A">
                  <w:pPr>
                    <w:jc w:val="center"/>
                    <w:rPr>
                      <w:szCs w:val="21"/>
                    </w:rPr>
                  </w:pPr>
                  <w:r>
                    <w:rPr>
                      <w:szCs w:val="21"/>
                    </w:rPr>
                    <w:t>2m*6m</w:t>
                  </w:r>
                </w:p>
              </w:tc>
              <w:tc>
                <w:tcPr>
                  <w:tcW w:w="2176" w:type="dxa"/>
                  <w:vAlign w:val="center"/>
                </w:tcPr>
                <w:p w14:paraId="79E67BA0">
                  <w:pPr>
                    <w:jc w:val="center"/>
                    <w:rPr>
                      <w:szCs w:val="21"/>
                    </w:rPr>
                  </w:pPr>
                  <w:r>
                    <w:rPr>
                      <w:szCs w:val="21"/>
                    </w:rPr>
                    <w:t>1</w:t>
                  </w:r>
                </w:p>
              </w:tc>
              <w:tc>
                <w:tcPr>
                  <w:tcW w:w="2176" w:type="dxa"/>
                  <w:vAlign w:val="center"/>
                </w:tcPr>
                <w:p w14:paraId="71EB2E2E">
                  <w:pPr>
                    <w:jc w:val="center"/>
                    <w:rPr>
                      <w:szCs w:val="21"/>
                    </w:rPr>
                  </w:pPr>
                  <w:r>
                    <w:rPr>
                      <w:szCs w:val="21"/>
                    </w:rPr>
                    <w:t>1</w:t>
                  </w:r>
                </w:p>
              </w:tc>
            </w:tr>
            <w:tr w14:paraId="45D8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104EEB01">
                  <w:pPr>
                    <w:jc w:val="center"/>
                    <w:rPr>
                      <w:szCs w:val="21"/>
                    </w:rPr>
                  </w:pPr>
                  <w:r>
                    <w:rPr>
                      <w:szCs w:val="21"/>
                    </w:rPr>
                    <w:t>5</w:t>
                  </w:r>
                </w:p>
              </w:tc>
              <w:tc>
                <w:tcPr>
                  <w:tcW w:w="2221" w:type="dxa"/>
                  <w:vAlign w:val="center"/>
                </w:tcPr>
                <w:p w14:paraId="14BC5DBA">
                  <w:pPr>
                    <w:jc w:val="center"/>
                    <w:rPr>
                      <w:szCs w:val="21"/>
                    </w:rPr>
                  </w:pPr>
                  <w:r>
                    <w:rPr>
                      <w:szCs w:val="21"/>
                    </w:rPr>
                    <w:t>输送机</w:t>
                  </w:r>
                </w:p>
              </w:tc>
              <w:tc>
                <w:tcPr>
                  <w:tcW w:w="2240" w:type="dxa"/>
                  <w:vAlign w:val="center"/>
                </w:tcPr>
                <w:p w14:paraId="1CC7ACB8">
                  <w:pPr>
                    <w:jc w:val="center"/>
                    <w:rPr>
                      <w:szCs w:val="21"/>
                    </w:rPr>
                  </w:pPr>
                  <w:r>
                    <w:rPr>
                      <w:szCs w:val="21"/>
                    </w:rPr>
                    <w:t>10m*600</w:t>
                  </w:r>
                </w:p>
              </w:tc>
              <w:tc>
                <w:tcPr>
                  <w:tcW w:w="2176" w:type="dxa"/>
                  <w:vAlign w:val="center"/>
                </w:tcPr>
                <w:p w14:paraId="2500E7B9">
                  <w:pPr>
                    <w:jc w:val="center"/>
                    <w:rPr>
                      <w:szCs w:val="21"/>
                    </w:rPr>
                  </w:pPr>
                  <w:r>
                    <w:rPr>
                      <w:szCs w:val="21"/>
                    </w:rPr>
                    <w:t>6</w:t>
                  </w:r>
                </w:p>
              </w:tc>
              <w:tc>
                <w:tcPr>
                  <w:tcW w:w="2176" w:type="dxa"/>
                  <w:vAlign w:val="center"/>
                </w:tcPr>
                <w:p w14:paraId="0C714B05">
                  <w:pPr>
                    <w:jc w:val="center"/>
                    <w:rPr>
                      <w:szCs w:val="21"/>
                    </w:rPr>
                  </w:pPr>
                  <w:r>
                    <w:rPr>
                      <w:szCs w:val="21"/>
                    </w:rPr>
                    <w:t>6</w:t>
                  </w:r>
                </w:p>
              </w:tc>
            </w:tr>
            <w:tr w14:paraId="0C16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5378FF12">
                  <w:pPr>
                    <w:jc w:val="center"/>
                    <w:rPr>
                      <w:szCs w:val="21"/>
                    </w:rPr>
                  </w:pPr>
                  <w:r>
                    <w:rPr>
                      <w:szCs w:val="21"/>
                    </w:rPr>
                    <w:t>6</w:t>
                  </w:r>
                </w:p>
              </w:tc>
              <w:tc>
                <w:tcPr>
                  <w:tcW w:w="2221" w:type="dxa"/>
                  <w:vAlign w:val="center"/>
                </w:tcPr>
                <w:p w14:paraId="4430F56A">
                  <w:pPr>
                    <w:jc w:val="center"/>
                    <w:rPr>
                      <w:szCs w:val="21"/>
                    </w:rPr>
                  </w:pPr>
                  <w:r>
                    <w:rPr>
                      <w:szCs w:val="21"/>
                    </w:rPr>
                    <w:t>窑车</w:t>
                  </w:r>
                </w:p>
              </w:tc>
              <w:tc>
                <w:tcPr>
                  <w:tcW w:w="2240" w:type="dxa"/>
                  <w:vAlign w:val="center"/>
                </w:tcPr>
                <w:p w14:paraId="62CE81FB">
                  <w:pPr>
                    <w:jc w:val="center"/>
                    <w:rPr>
                      <w:szCs w:val="21"/>
                    </w:rPr>
                  </w:pPr>
                  <w:r>
                    <w:rPr>
                      <w:szCs w:val="21"/>
                    </w:rPr>
                    <w:t>2.2*2.68</w:t>
                  </w:r>
                </w:p>
              </w:tc>
              <w:tc>
                <w:tcPr>
                  <w:tcW w:w="2176" w:type="dxa"/>
                  <w:vAlign w:val="center"/>
                </w:tcPr>
                <w:p w14:paraId="2A22309C">
                  <w:pPr>
                    <w:jc w:val="center"/>
                    <w:rPr>
                      <w:szCs w:val="21"/>
                    </w:rPr>
                  </w:pPr>
                  <w:r>
                    <w:rPr>
                      <w:szCs w:val="21"/>
                    </w:rPr>
                    <w:t>230</w:t>
                  </w:r>
                </w:p>
              </w:tc>
              <w:tc>
                <w:tcPr>
                  <w:tcW w:w="2176" w:type="dxa"/>
                  <w:vAlign w:val="center"/>
                </w:tcPr>
                <w:p w14:paraId="3C9E6003">
                  <w:pPr>
                    <w:jc w:val="center"/>
                    <w:rPr>
                      <w:szCs w:val="21"/>
                    </w:rPr>
                  </w:pPr>
                  <w:r>
                    <w:rPr>
                      <w:szCs w:val="21"/>
                    </w:rPr>
                    <w:t>230</w:t>
                  </w:r>
                </w:p>
              </w:tc>
            </w:tr>
            <w:tr w14:paraId="678D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66226393">
                  <w:pPr>
                    <w:jc w:val="center"/>
                    <w:rPr>
                      <w:szCs w:val="21"/>
                    </w:rPr>
                  </w:pPr>
                  <w:r>
                    <w:rPr>
                      <w:szCs w:val="21"/>
                    </w:rPr>
                    <w:t>7</w:t>
                  </w:r>
                </w:p>
              </w:tc>
              <w:tc>
                <w:tcPr>
                  <w:tcW w:w="2221" w:type="dxa"/>
                  <w:vAlign w:val="center"/>
                </w:tcPr>
                <w:p w14:paraId="4AAC6357">
                  <w:pPr>
                    <w:jc w:val="center"/>
                    <w:rPr>
                      <w:szCs w:val="21"/>
                    </w:rPr>
                  </w:pPr>
                  <w:r>
                    <w:rPr>
                      <w:szCs w:val="21"/>
                    </w:rPr>
                    <w:t>隧道窑</w:t>
                  </w:r>
                </w:p>
              </w:tc>
              <w:tc>
                <w:tcPr>
                  <w:tcW w:w="2240" w:type="dxa"/>
                  <w:vAlign w:val="center"/>
                </w:tcPr>
                <w:p w14:paraId="0B55B91D">
                  <w:pPr>
                    <w:jc w:val="center"/>
                    <w:rPr>
                      <w:szCs w:val="21"/>
                    </w:rPr>
                  </w:pPr>
                  <w:r>
                    <w:rPr>
                      <w:szCs w:val="21"/>
                    </w:rPr>
                    <w:t>/</w:t>
                  </w:r>
                </w:p>
              </w:tc>
              <w:tc>
                <w:tcPr>
                  <w:tcW w:w="2176" w:type="dxa"/>
                  <w:vAlign w:val="center"/>
                </w:tcPr>
                <w:p w14:paraId="4E3683BA">
                  <w:pPr>
                    <w:jc w:val="center"/>
                    <w:rPr>
                      <w:szCs w:val="21"/>
                    </w:rPr>
                  </w:pPr>
                  <w:r>
                    <w:rPr>
                      <w:szCs w:val="21"/>
                    </w:rPr>
                    <w:t>1</w:t>
                  </w:r>
                </w:p>
              </w:tc>
              <w:tc>
                <w:tcPr>
                  <w:tcW w:w="2176" w:type="dxa"/>
                  <w:vAlign w:val="center"/>
                </w:tcPr>
                <w:p w14:paraId="633F7D30">
                  <w:pPr>
                    <w:jc w:val="center"/>
                    <w:rPr>
                      <w:szCs w:val="21"/>
                    </w:rPr>
                  </w:pPr>
                  <w:r>
                    <w:rPr>
                      <w:szCs w:val="21"/>
                    </w:rPr>
                    <w:t>1（本次改造）</w:t>
                  </w:r>
                </w:p>
              </w:tc>
            </w:tr>
            <w:tr w14:paraId="5785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1CDA5A4C">
                  <w:pPr>
                    <w:jc w:val="center"/>
                    <w:rPr>
                      <w:szCs w:val="21"/>
                    </w:rPr>
                  </w:pPr>
                  <w:r>
                    <w:rPr>
                      <w:szCs w:val="21"/>
                    </w:rPr>
                    <w:t>8</w:t>
                  </w:r>
                </w:p>
              </w:tc>
              <w:tc>
                <w:tcPr>
                  <w:tcW w:w="2221" w:type="dxa"/>
                  <w:vAlign w:val="center"/>
                </w:tcPr>
                <w:p w14:paraId="02F12478">
                  <w:pPr>
                    <w:jc w:val="center"/>
                    <w:rPr>
                      <w:szCs w:val="21"/>
                    </w:rPr>
                  </w:pPr>
                  <w:r>
                    <w:rPr>
                      <w:szCs w:val="21"/>
                    </w:rPr>
                    <w:t>液压顶车</w:t>
                  </w:r>
                </w:p>
              </w:tc>
              <w:tc>
                <w:tcPr>
                  <w:tcW w:w="2240" w:type="dxa"/>
                  <w:vAlign w:val="center"/>
                </w:tcPr>
                <w:p w14:paraId="2A889728">
                  <w:pPr>
                    <w:jc w:val="center"/>
                    <w:rPr>
                      <w:szCs w:val="21"/>
                    </w:rPr>
                  </w:pPr>
                  <w:r>
                    <w:rPr>
                      <w:szCs w:val="21"/>
                    </w:rPr>
                    <w:t>CP600</w:t>
                  </w:r>
                </w:p>
              </w:tc>
              <w:tc>
                <w:tcPr>
                  <w:tcW w:w="2176" w:type="dxa"/>
                  <w:vAlign w:val="center"/>
                </w:tcPr>
                <w:p w14:paraId="31FE2030">
                  <w:pPr>
                    <w:jc w:val="center"/>
                    <w:rPr>
                      <w:szCs w:val="21"/>
                    </w:rPr>
                  </w:pPr>
                  <w:r>
                    <w:rPr>
                      <w:szCs w:val="21"/>
                    </w:rPr>
                    <w:t>4</w:t>
                  </w:r>
                </w:p>
              </w:tc>
              <w:tc>
                <w:tcPr>
                  <w:tcW w:w="2176" w:type="dxa"/>
                  <w:vAlign w:val="center"/>
                </w:tcPr>
                <w:p w14:paraId="24909498">
                  <w:pPr>
                    <w:jc w:val="center"/>
                    <w:rPr>
                      <w:szCs w:val="21"/>
                    </w:rPr>
                  </w:pPr>
                  <w:r>
                    <w:rPr>
                      <w:szCs w:val="21"/>
                    </w:rPr>
                    <w:t>4</w:t>
                  </w:r>
                </w:p>
              </w:tc>
            </w:tr>
            <w:tr w14:paraId="6556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3932C2E2">
                  <w:pPr>
                    <w:jc w:val="center"/>
                    <w:rPr>
                      <w:szCs w:val="21"/>
                    </w:rPr>
                  </w:pPr>
                  <w:r>
                    <w:rPr>
                      <w:szCs w:val="21"/>
                    </w:rPr>
                    <w:t>9</w:t>
                  </w:r>
                </w:p>
              </w:tc>
              <w:tc>
                <w:tcPr>
                  <w:tcW w:w="2221" w:type="dxa"/>
                  <w:vAlign w:val="center"/>
                </w:tcPr>
                <w:p w14:paraId="6B35F925">
                  <w:pPr>
                    <w:jc w:val="center"/>
                    <w:rPr>
                      <w:szCs w:val="21"/>
                    </w:rPr>
                  </w:pPr>
                  <w:r>
                    <w:rPr>
                      <w:szCs w:val="21"/>
                    </w:rPr>
                    <w:t>铲车</w:t>
                  </w:r>
                </w:p>
              </w:tc>
              <w:tc>
                <w:tcPr>
                  <w:tcW w:w="2240" w:type="dxa"/>
                  <w:vAlign w:val="center"/>
                </w:tcPr>
                <w:p w14:paraId="5E1C37DA">
                  <w:pPr>
                    <w:jc w:val="center"/>
                    <w:rPr>
                      <w:szCs w:val="21"/>
                    </w:rPr>
                  </w:pPr>
                  <w:r>
                    <w:rPr>
                      <w:szCs w:val="21"/>
                    </w:rPr>
                    <w:t>临工500</w:t>
                  </w:r>
                </w:p>
              </w:tc>
              <w:tc>
                <w:tcPr>
                  <w:tcW w:w="2176" w:type="dxa"/>
                  <w:vAlign w:val="center"/>
                </w:tcPr>
                <w:p w14:paraId="79D675C3">
                  <w:pPr>
                    <w:jc w:val="center"/>
                    <w:rPr>
                      <w:szCs w:val="21"/>
                    </w:rPr>
                  </w:pPr>
                  <w:r>
                    <w:rPr>
                      <w:szCs w:val="21"/>
                    </w:rPr>
                    <w:t>2</w:t>
                  </w:r>
                </w:p>
              </w:tc>
              <w:tc>
                <w:tcPr>
                  <w:tcW w:w="2176" w:type="dxa"/>
                  <w:vAlign w:val="center"/>
                </w:tcPr>
                <w:p w14:paraId="17CDA358">
                  <w:pPr>
                    <w:jc w:val="center"/>
                    <w:rPr>
                      <w:szCs w:val="21"/>
                    </w:rPr>
                  </w:pPr>
                  <w:r>
                    <w:rPr>
                      <w:szCs w:val="21"/>
                    </w:rPr>
                    <w:t>2</w:t>
                  </w:r>
                </w:p>
              </w:tc>
            </w:tr>
            <w:tr w14:paraId="6957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352D16C7">
                  <w:pPr>
                    <w:jc w:val="center"/>
                    <w:rPr>
                      <w:szCs w:val="21"/>
                    </w:rPr>
                  </w:pPr>
                  <w:r>
                    <w:rPr>
                      <w:szCs w:val="21"/>
                    </w:rPr>
                    <w:t>10</w:t>
                  </w:r>
                </w:p>
              </w:tc>
              <w:tc>
                <w:tcPr>
                  <w:tcW w:w="2221" w:type="dxa"/>
                  <w:vAlign w:val="center"/>
                </w:tcPr>
                <w:p w14:paraId="765ABFDD">
                  <w:pPr>
                    <w:jc w:val="center"/>
                    <w:rPr>
                      <w:szCs w:val="21"/>
                    </w:rPr>
                  </w:pPr>
                  <w:r>
                    <w:rPr>
                      <w:szCs w:val="21"/>
                    </w:rPr>
                    <w:t>全新码坯机</w:t>
                  </w:r>
                </w:p>
              </w:tc>
              <w:tc>
                <w:tcPr>
                  <w:tcW w:w="2240" w:type="dxa"/>
                  <w:vAlign w:val="center"/>
                </w:tcPr>
                <w:p w14:paraId="3B1D0960">
                  <w:pPr>
                    <w:jc w:val="center"/>
                    <w:rPr>
                      <w:szCs w:val="21"/>
                    </w:rPr>
                  </w:pPr>
                  <w:r>
                    <w:rPr>
                      <w:szCs w:val="21"/>
                    </w:rPr>
                    <w:t>/</w:t>
                  </w:r>
                </w:p>
              </w:tc>
              <w:tc>
                <w:tcPr>
                  <w:tcW w:w="2176" w:type="dxa"/>
                  <w:vAlign w:val="center"/>
                </w:tcPr>
                <w:p w14:paraId="1DE03D2F">
                  <w:pPr>
                    <w:jc w:val="center"/>
                    <w:rPr>
                      <w:szCs w:val="21"/>
                    </w:rPr>
                  </w:pPr>
                  <w:r>
                    <w:rPr>
                      <w:szCs w:val="21"/>
                    </w:rPr>
                    <w:t>1</w:t>
                  </w:r>
                </w:p>
              </w:tc>
              <w:tc>
                <w:tcPr>
                  <w:tcW w:w="2176" w:type="dxa"/>
                  <w:vAlign w:val="center"/>
                </w:tcPr>
                <w:p w14:paraId="53997881">
                  <w:pPr>
                    <w:jc w:val="center"/>
                    <w:rPr>
                      <w:szCs w:val="21"/>
                    </w:rPr>
                  </w:pPr>
                  <w:r>
                    <w:rPr>
                      <w:szCs w:val="21"/>
                    </w:rPr>
                    <w:t>1</w:t>
                  </w:r>
                </w:p>
              </w:tc>
            </w:tr>
            <w:tr w14:paraId="4471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9" w:type="dxa"/>
                  <w:vAlign w:val="center"/>
                </w:tcPr>
                <w:p w14:paraId="0DA31011">
                  <w:pPr>
                    <w:jc w:val="center"/>
                    <w:rPr>
                      <w:szCs w:val="21"/>
                    </w:rPr>
                  </w:pPr>
                  <w:r>
                    <w:rPr>
                      <w:szCs w:val="21"/>
                    </w:rPr>
                    <w:t>11</w:t>
                  </w:r>
                </w:p>
              </w:tc>
              <w:tc>
                <w:tcPr>
                  <w:tcW w:w="2221" w:type="dxa"/>
                  <w:vAlign w:val="center"/>
                </w:tcPr>
                <w:p w14:paraId="4BB6022E">
                  <w:pPr>
                    <w:jc w:val="center"/>
                    <w:rPr>
                      <w:szCs w:val="21"/>
                    </w:rPr>
                  </w:pPr>
                  <w:r>
                    <w:rPr>
                      <w:szCs w:val="21"/>
                    </w:rPr>
                    <w:t>制砖机</w:t>
                  </w:r>
                </w:p>
              </w:tc>
              <w:tc>
                <w:tcPr>
                  <w:tcW w:w="2240" w:type="dxa"/>
                  <w:vAlign w:val="center"/>
                </w:tcPr>
                <w:p w14:paraId="6639EA30">
                  <w:pPr>
                    <w:jc w:val="center"/>
                    <w:rPr>
                      <w:szCs w:val="21"/>
                    </w:rPr>
                  </w:pPr>
                  <w:r>
                    <w:rPr>
                      <w:szCs w:val="21"/>
                    </w:rPr>
                    <w:t>/</w:t>
                  </w:r>
                </w:p>
              </w:tc>
              <w:tc>
                <w:tcPr>
                  <w:tcW w:w="2176" w:type="dxa"/>
                  <w:vAlign w:val="center"/>
                </w:tcPr>
                <w:p w14:paraId="2F85A98F">
                  <w:pPr>
                    <w:jc w:val="center"/>
                    <w:rPr>
                      <w:szCs w:val="21"/>
                    </w:rPr>
                  </w:pPr>
                  <w:r>
                    <w:rPr>
                      <w:szCs w:val="21"/>
                    </w:rPr>
                    <w:t>1</w:t>
                  </w:r>
                </w:p>
              </w:tc>
              <w:tc>
                <w:tcPr>
                  <w:tcW w:w="2176" w:type="dxa"/>
                  <w:vAlign w:val="center"/>
                </w:tcPr>
                <w:p w14:paraId="09291483">
                  <w:pPr>
                    <w:jc w:val="center"/>
                    <w:rPr>
                      <w:szCs w:val="21"/>
                    </w:rPr>
                  </w:pPr>
                  <w:r>
                    <w:rPr>
                      <w:szCs w:val="21"/>
                    </w:rPr>
                    <w:t>1</w:t>
                  </w:r>
                </w:p>
              </w:tc>
            </w:tr>
          </w:tbl>
          <w:p w14:paraId="0B00D74C">
            <w:pPr>
              <w:jc w:val="center"/>
              <w:rPr>
                <w:b/>
                <w:bCs/>
                <w:sz w:val="24"/>
                <w:szCs w:val="28"/>
              </w:rPr>
            </w:pPr>
          </w:p>
          <w:p w14:paraId="680F39C4">
            <w:pPr>
              <w:tabs>
                <w:tab w:val="left" w:pos="2395"/>
              </w:tabs>
              <w:spacing w:line="360" w:lineRule="auto"/>
              <w:ind w:firstLine="480" w:firstLineChars="200"/>
              <w:rPr>
                <w:sz w:val="24"/>
              </w:rPr>
            </w:pPr>
            <w:r>
              <w:rPr>
                <w:sz w:val="24"/>
              </w:rPr>
              <w:t>本项目设备均为外购，经查阅《产业结构调整指导目录（2021修订）》，本项目设备不属于指导目录中限制类及淘汰类设备。</w:t>
            </w:r>
          </w:p>
          <w:p w14:paraId="5392C9C8">
            <w:pPr>
              <w:tabs>
                <w:tab w:val="left" w:pos="2395"/>
              </w:tabs>
              <w:spacing w:line="360" w:lineRule="auto"/>
              <w:ind w:firstLine="482" w:firstLineChars="200"/>
              <w:rPr>
                <w:b/>
                <w:bCs/>
                <w:sz w:val="24"/>
              </w:rPr>
            </w:pPr>
            <w:r>
              <w:rPr>
                <w:b/>
                <w:bCs/>
                <w:sz w:val="24"/>
              </w:rPr>
              <w:t>6、项目工作制度及劳动定员</w:t>
            </w:r>
          </w:p>
          <w:p w14:paraId="5AF19796">
            <w:pPr>
              <w:tabs>
                <w:tab w:val="left" w:pos="2395"/>
              </w:tabs>
              <w:spacing w:line="360" w:lineRule="auto"/>
              <w:ind w:firstLine="482" w:firstLineChars="200"/>
              <w:rPr>
                <w:sz w:val="24"/>
              </w:rPr>
            </w:pPr>
            <w:r>
              <w:rPr>
                <w:b/>
                <w:sz w:val="24"/>
              </w:rPr>
              <w:t>劳动定员：</w:t>
            </w:r>
            <w:r>
              <w:rPr>
                <w:sz w:val="24"/>
              </w:rPr>
              <w:t>本项目员工10人，全在厂区食宿，本次改造自动化程度高，不新增人员。</w:t>
            </w:r>
          </w:p>
          <w:p w14:paraId="5FBFD2A7">
            <w:pPr>
              <w:adjustRightInd w:val="0"/>
              <w:snapToGrid w:val="0"/>
              <w:spacing w:line="360" w:lineRule="auto"/>
              <w:ind w:firstLine="482" w:firstLineChars="200"/>
              <w:rPr>
                <w:sz w:val="24"/>
              </w:rPr>
            </w:pPr>
            <w:r>
              <w:rPr>
                <w:b/>
                <w:sz w:val="24"/>
              </w:rPr>
              <w:t>工作制度：</w:t>
            </w:r>
            <w:r>
              <w:rPr>
                <w:sz w:val="24"/>
              </w:rPr>
              <w:t>本项目年运营300天，每天运行16小时。</w:t>
            </w:r>
          </w:p>
          <w:p w14:paraId="4F5F3CD6">
            <w:pPr>
              <w:tabs>
                <w:tab w:val="left" w:pos="2395"/>
              </w:tabs>
              <w:spacing w:line="360" w:lineRule="auto"/>
              <w:ind w:firstLine="482" w:firstLineChars="200"/>
              <w:rPr>
                <w:b/>
                <w:bCs/>
                <w:sz w:val="24"/>
              </w:rPr>
            </w:pPr>
            <w:r>
              <w:rPr>
                <w:b/>
                <w:bCs/>
                <w:sz w:val="24"/>
              </w:rPr>
              <w:t>7、厂区平面布置</w:t>
            </w:r>
          </w:p>
          <w:p w14:paraId="0C00BF43">
            <w:pPr>
              <w:autoSpaceDE w:val="0"/>
              <w:autoSpaceDN w:val="0"/>
              <w:adjustRightInd w:val="0"/>
              <w:spacing w:line="360" w:lineRule="auto"/>
              <w:ind w:firstLine="480" w:firstLineChars="200"/>
              <w:rPr>
                <w:sz w:val="24"/>
                <w:szCs w:val="32"/>
              </w:rPr>
            </w:pPr>
            <w:r>
              <w:rPr>
                <w:sz w:val="24"/>
                <w:szCs w:val="32"/>
              </w:rPr>
              <w:t>根据厂区面积和生产流程合理布置了原料堆场、生产区、隧道窑及生活区，原料堆场位于厂区东北侧，紧邻项目破碎制砖</w:t>
            </w:r>
            <w:r>
              <w:rPr>
                <w:rFonts w:hint="eastAsia"/>
                <w:sz w:val="24"/>
                <w:szCs w:val="32"/>
                <w:lang w:val="en-US" w:eastAsia="zh-CN"/>
              </w:rPr>
              <w:t>车间</w:t>
            </w:r>
            <w:r>
              <w:rPr>
                <w:sz w:val="24"/>
                <w:szCs w:val="32"/>
              </w:rPr>
              <w:t>，破碎车间又紧邻隧道窑，位于整个厂区的西侧，方便原料输送，节省了劳动力；办公区在厂区，南侧，南侧与生产车间和隧道窑隔成品堆场，离生产车间和隧道窑均较远，可减少来自生产车间和隧道窑的废气、噪声影响；成品堆场位于西侧，西侧成品堆场紧邻隧道窑，方便成品堆放，在满足生产工艺的前提下，合理利用场地，力求减少运输距离， 节约用地。</w:t>
            </w:r>
          </w:p>
          <w:p w14:paraId="260820CF">
            <w:pPr>
              <w:tabs>
                <w:tab w:val="left" w:pos="2395"/>
              </w:tabs>
              <w:spacing w:line="360" w:lineRule="auto"/>
              <w:ind w:firstLine="480" w:firstLineChars="200"/>
            </w:pPr>
            <w:r>
              <w:rPr>
                <w:sz w:val="24"/>
              </w:rPr>
              <w:t>厂区平面布置详见附图3。</w:t>
            </w:r>
          </w:p>
          <w:p w14:paraId="5034A661"/>
          <w:p w14:paraId="505413FB">
            <w:pPr>
              <w:pStyle w:val="10"/>
              <w:spacing w:line="360" w:lineRule="auto"/>
              <w:ind w:firstLine="482" w:firstLineChars="200"/>
              <w:jc w:val="both"/>
            </w:pPr>
            <w:r>
              <w:rPr>
                <w:b/>
              </w:rPr>
              <w:t>8、配套系统</w:t>
            </w:r>
          </w:p>
          <w:p w14:paraId="571D5DAE">
            <w:pPr>
              <w:adjustRightInd w:val="0"/>
              <w:snapToGrid w:val="0"/>
              <w:spacing w:line="360" w:lineRule="auto"/>
              <w:ind w:firstLine="482" w:firstLineChars="200"/>
              <w:rPr>
                <w:b/>
                <w:sz w:val="24"/>
              </w:rPr>
            </w:pPr>
            <w:r>
              <w:rPr>
                <w:b/>
                <w:sz w:val="24"/>
              </w:rPr>
              <w:t>8.1、给排水系统</w:t>
            </w:r>
          </w:p>
          <w:p w14:paraId="014E5CF5">
            <w:pPr>
              <w:adjustRightInd w:val="0"/>
              <w:snapToGrid w:val="0"/>
              <w:spacing w:line="360" w:lineRule="auto"/>
              <w:ind w:firstLine="482" w:firstLineChars="200"/>
              <w:rPr>
                <w:b/>
                <w:bCs/>
                <w:sz w:val="24"/>
                <w:szCs w:val="28"/>
              </w:rPr>
            </w:pPr>
            <w:r>
              <w:rPr>
                <w:b/>
                <w:bCs/>
                <w:sz w:val="24"/>
                <w:szCs w:val="28"/>
              </w:rPr>
              <w:t>8.1.1、</w:t>
            </w:r>
            <w:r>
              <w:rPr>
                <w:b/>
                <w:sz w:val="24"/>
                <w:szCs w:val="22"/>
              </w:rPr>
              <w:t>给水工程</w:t>
            </w:r>
          </w:p>
          <w:p w14:paraId="06F39BE2">
            <w:pPr>
              <w:adjustRightInd w:val="0"/>
              <w:snapToGrid w:val="0"/>
              <w:spacing w:line="360" w:lineRule="auto"/>
              <w:ind w:firstLine="480" w:firstLineChars="200"/>
              <w:rPr>
                <w:sz w:val="24"/>
                <w:szCs w:val="22"/>
              </w:rPr>
            </w:pPr>
            <w:r>
              <w:rPr>
                <w:sz w:val="24"/>
                <w:szCs w:val="22"/>
              </w:rPr>
              <w:t>生产新水、生活水引自市政供水系统，本工程生产、生活及消防供水水源依托市政提供到厂区界外及原有厂区供水系统，水质满足《生活饮用水卫生标准》（GB5749-2006）。</w:t>
            </w:r>
          </w:p>
          <w:p w14:paraId="08D344BF">
            <w:pPr>
              <w:adjustRightInd w:val="0"/>
              <w:snapToGrid w:val="0"/>
              <w:spacing w:line="360" w:lineRule="auto"/>
              <w:ind w:firstLine="482" w:firstLineChars="200"/>
              <w:rPr>
                <w:b/>
                <w:sz w:val="24"/>
                <w:szCs w:val="22"/>
              </w:rPr>
            </w:pPr>
            <w:r>
              <w:rPr>
                <w:b/>
                <w:sz w:val="24"/>
                <w:szCs w:val="22"/>
              </w:rPr>
              <w:t>8.1.2、排水工程</w:t>
            </w:r>
          </w:p>
          <w:p w14:paraId="38676AA5">
            <w:pPr>
              <w:adjustRightInd w:val="0"/>
              <w:snapToGrid w:val="0"/>
              <w:spacing w:line="360" w:lineRule="auto"/>
              <w:ind w:firstLine="480" w:firstLineChars="200"/>
              <w:jc w:val="left"/>
              <w:rPr>
                <w:sz w:val="24"/>
                <w:szCs w:val="22"/>
              </w:rPr>
            </w:pPr>
            <w:r>
              <w:rPr>
                <w:sz w:val="24"/>
                <w:szCs w:val="22"/>
              </w:rPr>
              <w:t>本项目所在片区尚未配套完善的市政污水管网；</w:t>
            </w:r>
          </w:p>
          <w:p w14:paraId="3727D935">
            <w:pPr>
              <w:adjustRightInd w:val="0"/>
              <w:snapToGrid w:val="0"/>
              <w:spacing w:line="360" w:lineRule="auto"/>
              <w:ind w:firstLine="482" w:firstLineChars="200"/>
              <w:rPr>
                <w:b/>
                <w:sz w:val="24"/>
                <w:szCs w:val="22"/>
              </w:rPr>
            </w:pPr>
            <w:r>
              <w:rPr>
                <w:b/>
                <w:sz w:val="24"/>
                <w:szCs w:val="22"/>
              </w:rPr>
              <w:t>（1）雨污分流</w:t>
            </w:r>
          </w:p>
          <w:p w14:paraId="09DBECEA">
            <w:pPr>
              <w:adjustRightInd w:val="0"/>
              <w:snapToGrid w:val="0"/>
              <w:spacing w:line="360" w:lineRule="auto"/>
              <w:ind w:firstLine="480" w:firstLineChars="200"/>
              <w:rPr>
                <w:sz w:val="24"/>
                <w:szCs w:val="22"/>
              </w:rPr>
            </w:pPr>
            <w:r>
              <w:rPr>
                <w:bCs/>
                <w:sz w:val="24"/>
                <w:szCs w:val="22"/>
              </w:rPr>
              <w:t>雨污分流，</w:t>
            </w:r>
            <w:r>
              <w:rPr>
                <w:sz w:val="24"/>
                <w:szCs w:val="22"/>
              </w:rPr>
              <w:t>项</w:t>
            </w:r>
            <w:r>
              <w:rPr>
                <w:bCs/>
                <w:sz w:val="24"/>
                <w:szCs w:val="22"/>
              </w:rPr>
              <w:t>目区</w:t>
            </w:r>
            <w:r>
              <w:rPr>
                <w:sz w:val="24"/>
                <w:szCs w:val="22"/>
              </w:rPr>
              <w:t>设置雨水沟，项目区东南侧地势最低处建造15m</w:t>
            </w:r>
            <w:r>
              <w:rPr>
                <w:sz w:val="24"/>
                <w:szCs w:val="22"/>
                <w:vertAlign w:val="superscript"/>
              </w:rPr>
              <w:t>3</w:t>
            </w:r>
            <w:r>
              <w:rPr>
                <w:sz w:val="24"/>
                <w:szCs w:val="22"/>
              </w:rPr>
              <w:t>的初期雨水收集池，初期雨水收集沉淀后回用于生产或道路降尘，项目区其余雨水经厂区雨水沟外排。</w:t>
            </w:r>
          </w:p>
          <w:p w14:paraId="1D8D1477">
            <w:pPr>
              <w:adjustRightInd w:val="0"/>
              <w:snapToGrid w:val="0"/>
              <w:spacing w:line="360" w:lineRule="auto"/>
              <w:ind w:firstLine="482" w:firstLineChars="200"/>
              <w:rPr>
                <w:b/>
                <w:sz w:val="24"/>
                <w:szCs w:val="22"/>
              </w:rPr>
            </w:pPr>
            <w:r>
              <w:rPr>
                <w:b/>
                <w:sz w:val="24"/>
                <w:szCs w:val="22"/>
              </w:rPr>
              <w:t>（2）废水</w:t>
            </w:r>
          </w:p>
          <w:p w14:paraId="1705A47B">
            <w:pPr>
              <w:adjustRightInd w:val="0"/>
              <w:snapToGrid w:val="0"/>
              <w:spacing w:line="360" w:lineRule="auto"/>
              <w:ind w:firstLine="482" w:firstLineChars="200"/>
              <w:jc w:val="left"/>
              <w:rPr>
                <w:sz w:val="24"/>
                <w:szCs w:val="22"/>
              </w:rPr>
            </w:pPr>
            <w:r>
              <w:rPr>
                <w:b/>
                <w:sz w:val="24"/>
                <w:szCs w:val="22"/>
              </w:rPr>
              <w:t>生活废水：</w:t>
            </w:r>
            <w:bookmarkStart w:id="5" w:name="_Toc6423"/>
            <w:r>
              <w:rPr>
                <w:bCs/>
                <w:sz w:val="24"/>
                <w:szCs w:val="22"/>
              </w:rPr>
              <w:t>经1个隔油池（0.1m</w:t>
            </w:r>
            <w:r>
              <w:rPr>
                <w:bCs/>
                <w:sz w:val="24"/>
                <w:szCs w:val="22"/>
                <w:vertAlign w:val="superscript"/>
              </w:rPr>
              <w:t>3</w:t>
            </w:r>
            <w:r>
              <w:rPr>
                <w:bCs/>
                <w:sz w:val="24"/>
                <w:szCs w:val="22"/>
              </w:rPr>
              <w:t>）、化粪池（</w:t>
            </w:r>
            <w:r>
              <w:rPr>
                <w:bCs/>
                <w:iCs/>
                <w:sz w:val="24"/>
                <w:szCs w:val="22"/>
              </w:rPr>
              <w:t>2个，每个10m</w:t>
            </w:r>
            <w:r>
              <w:rPr>
                <w:bCs/>
                <w:iCs/>
                <w:sz w:val="24"/>
                <w:szCs w:val="22"/>
                <w:vertAlign w:val="superscript"/>
              </w:rPr>
              <w:t>3</w:t>
            </w:r>
            <w:r>
              <w:rPr>
                <w:bCs/>
                <w:iCs/>
                <w:sz w:val="24"/>
                <w:szCs w:val="22"/>
              </w:rPr>
              <w:t>的化粪池</w:t>
            </w:r>
            <w:r>
              <w:rPr>
                <w:bCs/>
                <w:sz w:val="24"/>
                <w:szCs w:val="22"/>
              </w:rPr>
              <w:t>），委托周边农户清掏，用于农作物施肥</w:t>
            </w:r>
            <w:r>
              <w:rPr>
                <w:sz w:val="24"/>
                <w:szCs w:val="22"/>
              </w:rPr>
              <w:t>。</w:t>
            </w:r>
            <w:r>
              <w:rPr>
                <w:sz w:val="24"/>
                <w:szCs w:val="22"/>
              </w:rPr>
              <w:tab/>
            </w:r>
          </w:p>
          <w:bookmarkEnd w:id="5"/>
          <w:p w14:paraId="41937E45">
            <w:pPr>
              <w:adjustRightInd w:val="0"/>
              <w:snapToGrid w:val="0"/>
              <w:spacing w:line="360" w:lineRule="auto"/>
              <w:ind w:firstLine="482" w:firstLineChars="200"/>
              <w:rPr>
                <w:b/>
                <w:sz w:val="24"/>
              </w:rPr>
            </w:pPr>
            <w:r>
              <w:rPr>
                <w:b/>
                <w:sz w:val="24"/>
              </w:rPr>
              <w:t>8.2、供电系统</w:t>
            </w:r>
          </w:p>
          <w:p w14:paraId="1A4ADFE2">
            <w:pPr>
              <w:adjustRightInd w:val="0"/>
              <w:snapToGrid w:val="0"/>
              <w:spacing w:line="360" w:lineRule="auto"/>
              <w:ind w:firstLine="480" w:firstLineChars="200"/>
              <w:rPr>
                <w:sz w:val="24"/>
              </w:rPr>
            </w:pPr>
            <w:r>
              <w:rPr>
                <w:sz w:val="24"/>
              </w:rPr>
              <w:t>依托原有市政供电。</w:t>
            </w:r>
          </w:p>
          <w:p w14:paraId="7F172634">
            <w:pPr>
              <w:adjustRightInd w:val="0"/>
              <w:snapToGrid w:val="0"/>
              <w:spacing w:line="360" w:lineRule="auto"/>
              <w:ind w:firstLine="482" w:firstLineChars="200"/>
              <w:rPr>
                <w:b/>
                <w:bCs/>
                <w:sz w:val="24"/>
              </w:rPr>
            </w:pPr>
            <w:r>
              <w:rPr>
                <w:b/>
                <w:bCs/>
                <w:sz w:val="24"/>
              </w:rPr>
              <w:t>9、环保投资</w:t>
            </w:r>
          </w:p>
          <w:p w14:paraId="081A5203">
            <w:pPr>
              <w:adjustRightInd w:val="0"/>
              <w:snapToGrid w:val="0"/>
              <w:spacing w:line="360" w:lineRule="auto"/>
              <w:ind w:firstLine="480" w:firstLineChars="200"/>
              <w:rPr>
                <w:sz w:val="24"/>
              </w:rPr>
            </w:pPr>
            <w:r>
              <w:rPr>
                <w:sz w:val="24"/>
              </w:rPr>
              <w:t>项目总投资1200万元，其中环保总投资为260万元，占项目总投资的21.66%。环保投资一览表见下表。</w:t>
            </w:r>
          </w:p>
          <w:p w14:paraId="6F8FB27F">
            <w:pPr>
              <w:jc w:val="center"/>
              <w:rPr>
                <w:b/>
                <w:sz w:val="24"/>
              </w:rPr>
            </w:pPr>
            <w:r>
              <w:rPr>
                <w:b/>
                <w:sz w:val="24"/>
              </w:rPr>
              <w:t>表2-8  项目环保投资估算表</w:t>
            </w:r>
          </w:p>
          <w:tbl>
            <w:tblPr>
              <w:tblStyle w:val="25"/>
              <w:tblW w:w="9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904"/>
              <w:gridCol w:w="6032"/>
              <w:gridCol w:w="1070"/>
              <w:gridCol w:w="861"/>
            </w:tblGrid>
            <w:tr w14:paraId="6624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5" w:type="dxa"/>
                  <w:vAlign w:val="center"/>
                </w:tcPr>
                <w:p w14:paraId="71D1366F">
                  <w:pPr>
                    <w:adjustRightInd w:val="0"/>
                    <w:snapToGrid w:val="0"/>
                    <w:jc w:val="center"/>
                    <w:rPr>
                      <w:b/>
                      <w:szCs w:val="21"/>
                    </w:rPr>
                  </w:pPr>
                  <w:r>
                    <w:rPr>
                      <w:b/>
                      <w:szCs w:val="21"/>
                    </w:rPr>
                    <w:t>阶段</w:t>
                  </w:r>
                </w:p>
              </w:tc>
              <w:tc>
                <w:tcPr>
                  <w:tcW w:w="6936" w:type="dxa"/>
                  <w:gridSpan w:val="2"/>
                  <w:vAlign w:val="center"/>
                </w:tcPr>
                <w:p w14:paraId="44D854BD">
                  <w:pPr>
                    <w:adjustRightInd w:val="0"/>
                    <w:snapToGrid w:val="0"/>
                    <w:jc w:val="center"/>
                    <w:rPr>
                      <w:b/>
                      <w:szCs w:val="21"/>
                    </w:rPr>
                  </w:pPr>
                  <w:r>
                    <w:rPr>
                      <w:b/>
                      <w:szCs w:val="21"/>
                    </w:rPr>
                    <w:t>项目</w:t>
                  </w:r>
                </w:p>
              </w:tc>
              <w:tc>
                <w:tcPr>
                  <w:tcW w:w="1070" w:type="dxa"/>
                  <w:vAlign w:val="center"/>
                </w:tcPr>
                <w:p w14:paraId="6A44DF5E">
                  <w:pPr>
                    <w:adjustRightInd w:val="0"/>
                    <w:snapToGrid w:val="0"/>
                    <w:jc w:val="center"/>
                    <w:rPr>
                      <w:b/>
                      <w:szCs w:val="21"/>
                    </w:rPr>
                  </w:pPr>
                  <w:r>
                    <w:rPr>
                      <w:b/>
                      <w:szCs w:val="21"/>
                    </w:rPr>
                    <w:t>金额</w:t>
                  </w:r>
                </w:p>
                <w:p w14:paraId="23B3C538">
                  <w:pPr>
                    <w:adjustRightInd w:val="0"/>
                    <w:snapToGrid w:val="0"/>
                    <w:jc w:val="center"/>
                    <w:rPr>
                      <w:b/>
                      <w:szCs w:val="21"/>
                    </w:rPr>
                  </w:pPr>
                  <w:r>
                    <w:rPr>
                      <w:b/>
                      <w:szCs w:val="21"/>
                    </w:rPr>
                    <w:t>（万元）</w:t>
                  </w:r>
                </w:p>
              </w:tc>
              <w:tc>
                <w:tcPr>
                  <w:tcW w:w="861" w:type="dxa"/>
                  <w:vAlign w:val="center"/>
                </w:tcPr>
                <w:p w14:paraId="5A51C505">
                  <w:pPr>
                    <w:adjustRightInd w:val="0"/>
                    <w:snapToGrid w:val="0"/>
                    <w:jc w:val="center"/>
                    <w:rPr>
                      <w:b/>
                      <w:szCs w:val="21"/>
                    </w:rPr>
                  </w:pPr>
                  <w:r>
                    <w:rPr>
                      <w:b/>
                      <w:szCs w:val="21"/>
                    </w:rPr>
                    <w:t>备注</w:t>
                  </w:r>
                </w:p>
              </w:tc>
            </w:tr>
            <w:tr w14:paraId="3D5C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5" w:type="dxa"/>
                  <w:vMerge w:val="restart"/>
                  <w:vAlign w:val="center"/>
                </w:tcPr>
                <w:p w14:paraId="3F2B53F1">
                  <w:pPr>
                    <w:adjustRightInd w:val="0"/>
                    <w:snapToGrid w:val="0"/>
                    <w:jc w:val="center"/>
                    <w:rPr>
                      <w:szCs w:val="21"/>
                    </w:rPr>
                  </w:pPr>
                  <w:r>
                    <w:rPr>
                      <w:szCs w:val="21"/>
                    </w:rPr>
                    <w:t>运</w:t>
                  </w:r>
                </w:p>
                <w:p w14:paraId="4FD59EEB">
                  <w:pPr>
                    <w:adjustRightInd w:val="0"/>
                    <w:snapToGrid w:val="0"/>
                    <w:jc w:val="center"/>
                    <w:rPr>
                      <w:szCs w:val="21"/>
                    </w:rPr>
                  </w:pPr>
                  <w:r>
                    <w:rPr>
                      <w:szCs w:val="21"/>
                    </w:rPr>
                    <w:t>营</w:t>
                  </w:r>
                </w:p>
                <w:p w14:paraId="5AD6FF5F">
                  <w:pPr>
                    <w:adjustRightInd w:val="0"/>
                    <w:snapToGrid w:val="0"/>
                    <w:jc w:val="center"/>
                    <w:rPr>
                      <w:szCs w:val="21"/>
                    </w:rPr>
                  </w:pPr>
                  <w:r>
                    <w:rPr>
                      <w:szCs w:val="21"/>
                    </w:rPr>
                    <w:t>期</w:t>
                  </w:r>
                </w:p>
              </w:tc>
              <w:tc>
                <w:tcPr>
                  <w:tcW w:w="904" w:type="dxa"/>
                  <w:vMerge w:val="restart"/>
                  <w:vAlign w:val="center"/>
                </w:tcPr>
                <w:p w14:paraId="4B4F7E88">
                  <w:pPr>
                    <w:jc w:val="center"/>
                    <w:rPr>
                      <w:szCs w:val="21"/>
                    </w:rPr>
                  </w:pPr>
                  <w:r>
                    <w:rPr>
                      <w:szCs w:val="21"/>
                    </w:rPr>
                    <w:t>废水</w:t>
                  </w:r>
                </w:p>
              </w:tc>
              <w:tc>
                <w:tcPr>
                  <w:tcW w:w="6032" w:type="dxa"/>
                  <w:vAlign w:val="center"/>
                </w:tcPr>
                <w:p w14:paraId="57EF782D">
                  <w:pPr>
                    <w:ind w:firstLine="420" w:firstLineChars="200"/>
                    <w:rPr>
                      <w:szCs w:val="21"/>
                    </w:rPr>
                  </w:pPr>
                  <w:r>
                    <w:rPr>
                      <w:bCs/>
                      <w:szCs w:val="21"/>
                    </w:rPr>
                    <w:t>雨污分流，</w:t>
                  </w:r>
                  <w:r>
                    <w:rPr>
                      <w:szCs w:val="21"/>
                    </w:rPr>
                    <w:t>项</w:t>
                  </w:r>
                  <w:r>
                    <w:rPr>
                      <w:bCs/>
                      <w:szCs w:val="21"/>
                    </w:rPr>
                    <w:t>目区</w:t>
                  </w:r>
                  <w:r>
                    <w:rPr>
                      <w:szCs w:val="21"/>
                    </w:rPr>
                    <w:t>设置雨水沟，15m</w:t>
                  </w:r>
                  <w:r>
                    <w:rPr>
                      <w:szCs w:val="21"/>
                      <w:vertAlign w:val="superscript"/>
                    </w:rPr>
                    <w:t>3</w:t>
                  </w:r>
                  <w:r>
                    <w:rPr>
                      <w:szCs w:val="21"/>
                    </w:rPr>
                    <w:t>的初期雨水收集池；</w:t>
                  </w:r>
                </w:p>
              </w:tc>
              <w:tc>
                <w:tcPr>
                  <w:tcW w:w="1070" w:type="dxa"/>
                  <w:vAlign w:val="center"/>
                </w:tcPr>
                <w:p w14:paraId="7F61DFE0">
                  <w:pPr>
                    <w:jc w:val="center"/>
                    <w:rPr>
                      <w:szCs w:val="21"/>
                    </w:rPr>
                  </w:pPr>
                  <w:r>
                    <w:rPr>
                      <w:szCs w:val="21"/>
                    </w:rPr>
                    <w:t>/</w:t>
                  </w:r>
                </w:p>
              </w:tc>
              <w:tc>
                <w:tcPr>
                  <w:tcW w:w="861" w:type="dxa"/>
                  <w:vAlign w:val="center"/>
                </w:tcPr>
                <w:p w14:paraId="174F5D87">
                  <w:pPr>
                    <w:jc w:val="center"/>
                    <w:rPr>
                      <w:szCs w:val="21"/>
                    </w:rPr>
                  </w:pPr>
                  <w:r>
                    <w:rPr>
                      <w:szCs w:val="21"/>
                    </w:rPr>
                    <w:t>原有</w:t>
                  </w:r>
                </w:p>
              </w:tc>
            </w:tr>
            <w:tr w14:paraId="48F9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75" w:type="dxa"/>
                  <w:vMerge w:val="continue"/>
                  <w:vAlign w:val="center"/>
                </w:tcPr>
                <w:p w14:paraId="7E1EACB0">
                  <w:pPr>
                    <w:adjustRightInd w:val="0"/>
                    <w:snapToGrid w:val="0"/>
                    <w:jc w:val="center"/>
                    <w:rPr>
                      <w:szCs w:val="21"/>
                    </w:rPr>
                  </w:pPr>
                </w:p>
              </w:tc>
              <w:tc>
                <w:tcPr>
                  <w:tcW w:w="904" w:type="dxa"/>
                  <w:vMerge w:val="continue"/>
                  <w:vAlign w:val="center"/>
                </w:tcPr>
                <w:p w14:paraId="36AB0A90">
                  <w:pPr>
                    <w:jc w:val="center"/>
                    <w:rPr>
                      <w:szCs w:val="21"/>
                    </w:rPr>
                  </w:pPr>
                </w:p>
              </w:tc>
              <w:tc>
                <w:tcPr>
                  <w:tcW w:w="6032" w:type="dxa"/>
                  <w:vAlign w:val="center"/>
                </w:tcPr>
                <w:p w14:paraId="1D9AEDA4">
                  <w:pPr>
                    <w:ind w:firstLine="422" w:firstLineChars="200"/>
                    <w:rPr>
                      <w:szCs w:val="21"/>
                    </w:rPr>
                  </w:pPr>
                  <w:r>
                    <w:rPr>
                      <w:b/>
                      <w:szCs w:val="21"/>
                    </w:rPr>
                    <w:t>生产废水：</w:t>
                  </w:r>
                  <w:r>
                    <w:rPr>
                      <w:bCs/>
                      <w:szCs w:val="21"/>
                    </w:rPr>
                    <w:t>1个隔油池（0.1m</w:t>
                  </w:r>
                  <w:r>
                    <w:rPr>
                      <w:bCs/>
                      <w:szCs w:val="21"/>
                      <w:vertAlign w:val="superscript"/>
                    </w:rPr>
                    <w:t>3</w:t>
                  </w:r>
                  <w:r>
                    <w:rPr>
                      <w:bCs/>
                      <w:szCs w:val="21"/>
                    </w:rPr>
                    <w:t>）、化粪池（</w:t>
                  </w:r>
                  <w:r>
                    <w:rPr>
                      <w:bCs/>
                      <w:iCs/>
                      <w:szCs w:val="21"/>
                    </w:rPr>
                    <w:t>2个，每个10m</w:t>
                  </w:r>
                  <w:r>
                    <w:rPr>
                      <w:bCs/>
                      <w:iCs/>
                      <w:szCs w:val="21"/>
                      <w:vertAlign w:val="superscript"/>
                    </w:rPr>
                    <w:t>3</w:t>
                  </w:r>
                  <w:r>
                    <w:rPr>
                      <w:bCs/>
                      <w:iCs/>
                      <w:szCs w:val="21"/>
                    </w:rPr>
                    <w:t>的化粪池</w:t>
                  </w:r>
                  <w:r>
                    <w:rPr>
                      <w:bCs/>
                      <w:szCs w:val="21"/>
                    </w:rPr>
                    <w:t>）。</w:t>
                  </w:r>
                </w:p>
              </w:tc>
              <w:tc>
                <w:tcPr>
                  <w:tcW w:w="1070" w:type="dxa"/>
                  <w:vAlign w:val="center"/>
                </w:tcPr>
                <w:p w14:paraId="3DE77E82">
                  <w:pPr>
                    <w:jc w:val="center"/>
                    <w:rPr>
                      <w:szCs w:val="21"/>
                    </w:rPr>
                  </w:pPr>
                  <w:r>
                    <w:rPr>
                      <w:szCs w:val="21"/>
                    </w:rPr>
                    <w:t>/</w:t>
                  </w:r>
                </w:p>
              </w:tc>
              <w:tc>
                <w:tcPr>
                  <w:tcW w:w="861" w:type="dxa"/>
                  <w:vAlign w:val="center"/>
                </w:tcPr>
                <w:p w14:paraId="0CDE8EAF">
                  <w:pPr>
                    <w:jc w:val="center"/>
                    <w:rPr>
                      <w:szCs w:val="21"/>
                    </w:rPr>
                  </w:pPr>
                  <w:r>
                    <w:rPr>
                      <w:szCs w:val="21"/>
                    </w:rPr>
                    <w:t>原有</w:t>
                  </w:r>
                </w:p>
              </w:tc>
            </w:tr>
            <w:tr w14:paraId="72B0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Merge w:val="continue"/>
                  <w:vAlign w:val="center"/>
                </w:tcPr>
                <w:p w14:paraId="73EBCF7D">
                  <w:pPr>
                    <w:adjustRightInd w:val="0"/>
                    <w:snapToGrid w:val="0"/>
                    <w:jc w:val="center"/>
                    <w:rPr>
                      <w:szCs w:val="21"/>
                    </w:rPr>
                  </w:pPr>
                </w:p>
              </w:tc>
              <w:tc>
                <w:tcPr>
                  <w:tcW w:w="904" w:type="dxa"/>
                  <w:vMerge w:val="restart"/>
                  <w:vAlign w:val="center"/>
                </w:tcPr>
                <w:p w14:paraId="6E124EEB">
                  <w:pPr>
                    <w:adjustRightInd w:val="0"/>
                    <w:snapToGrid w:val="0"/>
                    <w:jc w:val="center"/>
                    <w:rPr>
                      <w:szCs w:val="21"/>
                    </w:rPr>
                  </w:pPr>
                  <w:r>
                    <w:rPr>
                      <w:szCs w:val="21"/>
                    </w:rPr>
                    <w:t>固废</w:t>
                  </w:r>
                </w:p>
              </w:tc>
              <w:tc>
                <w:tcPr>
                  <w:tcW w:w="6032" w:type="dxa"/>
                  <w:vAlign w:val="center"/>
                </w:tcPr>
                <w:p w14:paraId="087CABA4">
                  <w:pPr>
                    <w:ind w:firstLine="422" w:firstLineChars="200"/>
                    <w:rPr>
                      <w:szCs w:val="21"/>
                    </w:rPr>
                  </w:pPr>
                  <w:r>
                    <w:rPr>
                      <w:b/>
                      <w:szCs w:val="21"/>
                    </w:rPr>
                    <w:t>生活垃圾：</w:t>
                  </w:r>
                  <w:r>
                    <w:rPr>
                      <w:szCs w:val="21"/>
                    </w:rPr>
                    <w:t>若干生活</w:t>
                  </w:r>
                  <w:bookmarkStart w:id="31" w:name="_GoBack"/>
                  <w:bookmarkEnd w:id="31"/>
                  <w:r>
                    <w:rPr>
                      <w:szCs w:val="21"/>
                    </w:rPr>
                    <w:t>垃圾桶；</w:t>
                  </w:r>
                </w:p>
              </w:tc>
              <w:tc>
                <w:tcPr>
                  <w:tcW w:w="1070" w:type="dxa"/>
                  <w:vAlign w:val="center"/>
                </w:tcPr>
                <w:p w14:paraId="0E839C00">
                  <w:pPr>
                    <w:adjustRightInd w:val="0"/>
                    <w:snapToGrid w:val="0"/>
                    <w:jc w:val="center"/>
                    <w:rPr>
                      <w:szCs w:val="21"/>
                    </w:rPr>
                  </w:pPr>
                  <w:r>
                    <w:rPr>
                      <w:szCs w:val="21"/>
                    </w:rPr>
                    <w:t>/</w:t>
                  </w:r>
                </w:p>
              </w:tc>
              <w:tc>
                <w:tcPr>
                  <w:tcW w:w="861" w:type="dxa"/>
                </w:tcPr>
                <w:p w14:paraId="5DE536AA">
                  <w:pPr>
                    <w:adjustRightInd w:val="0"/>
                    <w:snapToGrid w:val="0"/>
                    <w:jc w:val="center"/>
                    <w:rPr>
                      <w:szCs w:val="21"/>
                    </w:rPr>
                  </w:pPr>
                  <w:r>
                    <w:rPr>
                      <w:szCs w:val="21"/>
                    </w:rPr>
                    <w:t>原有</w:t>
                  </w:r>
                </w:p>
              </w:tc>
            </w:tr>
            <w:tr w14:paraId="48A0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Merge w:val="continue"/>
                  <w:vAlign w:val="center"/>
                </w:tcPr>
                <w:p w14:paraId="5E5E8BE3">
                  <w:pPr>
                    <w:adjustRightInd w:val="0"/>
                    <w:snapToGrid w:val="0"/>
                    <w:jc w:val="center"/>
                    <w:rPr>
                      <w:szCs w:val="21"/>
                    </w:rPr>
                  </w:pPr>
                </w:p>
              </w:tc>
              <w:tc>
                <w:tcPr>
                  <w:tcW w:w="904" w:type="dxa"/>
                  <w:vMerge w:val="continue"/>
                  <w:vAlign w:val="center"/>
                </w:tcPr>
                <w:p w14:paraId="4AF599BF">
                  <w:pPr>
                    <w:adjustRightInd w:val="0"/>
                    <w:snapToGrid w:val="0"/>
                    <w:jc w:val="center"/>
                    <w:rPr>
                      <w:szCs w:val="21"/>
                    </w:rPr>
                  </w:pPr>
                </w:p>
              </w:tc>
              <w:tc>
                <w:tcPr>
                  <w:tcW w:w="6032" w:type="dxa"/>
                  <w:vAlign w:val="center"/>
                </w:tcPr>
                <w:p w14:paraId="74BA8221">
                  <w:pPr>
                    <w:ind w:firstLine="422" w:firstLineChars="200"/>
                    <w:rPr>
                      <w:b/>
                      <w:szCs w:val="21"/>
                    </w:rPr>
                  </w:pPr>
                  <w:r>
                    <w:rPr>
                      <w:b/>
                      <w:szCs w:val="21"/>
                    </w:rPr>
                    <w:t>一般固废：</w:t>
                  </w:r>
                  <w:r>
                    <w:rPr>
                      <w:bCs/>
                      <w:szCs w:val="21"/>
                    </w:rPr>
                    <w:t>占地50m</w:t>
                  </w:r>
                  <w:r>
                    <w:rPr>
                      <w:bCs/>
                      <w:szCs w:val="21"/>
                      <w:vertAlign w:val="superscript"/>
                    </w:rPr>
                    <w:t>2</w:t>
                  </w:r>
                  <w:r>
                    <w:rPr>
                      <w:bCs/>
                      <w:szCs w:val="21"/>
                    </w:rPr>
                    <w:t>；</w:t>
                  </w:r>
                </w:p>
              </w:tc>
              <w:tc>
                <w:tcPr>
                  <w:tcW w:w="1070" w:type="dxa"/>
                  <w:vAlign w:val="center"/>
                </w:tcPr>
                <w:p w14:paraId="76E3B27A">
                  <w:pPr>
                    <w:adjustRightInd w:val="0"/>
                    <w:snapToGrid w:val="0"/>
                    <w:jc w:val="center"/>
                    <w:rPr>
                      <w:szCs w:val="21"/>
                    </w:rPr>
                  </w:pPr>
                  <w:r>
                    <w:rPr>
                      <w:szCs w:val="21"/>
                    </w:rPr>
                    <w:t>4</w:t>
                  </w:r>
                </w:p>
              </w:tc>
              <w:tc>
                <w:tcPr>
                  <w:tcW w:w="861" w:type="dxa"/>
                </w:tcPr>
                <w:p w14:paraId="3F9EA788">
                  <w:pPr>
                    <w:adjustRightInd w:val="0"/>
                    <w:snapToGrid w:val="0"/>
                    <w:jc w:val="center"/>
                    <w:rPr>
                      <w:szCs w:val="21"/>
                    </w:rPr>
                  </w:pPr>
                  <w:r>
                    <w:rPr>
                      <w:szCs w:val="21"/>
                    </w:rPr>
                    <w:t>新增</w:t>
                  </w:r>
                </w:p>
              </w:tc>
            </w:tr>
            <w:tr w14:paraId="18D5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75" w:type="dxa"/>
                  <w:vMerge w:val="continue"/>
                  <w:vAlign w:val="center"/>
                </w:tcPr>
                <w:p w14:paraId="65502C79">
                  <w:pPr>
                    <w:adjustRightInd w:val="0"/>
                    <w:snapToGrid w:val="0"/>
                    <w:jc w:val="center"/>
                    <w:rPr>
                      <w:szCs w:val="21"/>
                    </w:rPr>
                  </w:pPr>
                </w:p>
              </w:tc>
              <w:tc>
                <w:tcPr>
                  <w:tcW w:w="904" w:type="dxa"/>
                  <w:vMerge w:val="continue"/>
                  <w:vAlign w:val="center"/>
                </w:tcPr>
                <w:p w14:paraId="689CD37D">
                  <w:pPr>
                    <w:adjustRightInd w:val="0"/>
                    <w:snapToGrid w:val="0"/>
                    <w:jc w:val="center"/>
                    <w:rPr>
                      <w:szCs w:val="21"/>
                    </w:rPr>
                  </w:pPr>
                </w:p>
              </w:tc>
              <w:tc>
                <w:tcPr>
                  <w:tcW w:w="6032" w:type="dxa"/>
                  <w:vAlign w:val="center"/>
                </w:tcPr>
                <w:p w14:paraId="70415303">
                  <w:pPr>
                    <w:ind w:firstLine="422"/>
                    <w:rPr>
                      <w:szCs w:val="21"/>
                    </w:rPr>
                  </w:pPr>
                  <w:r>
                    <w:rPr>
                      <w:b/>
                      <w:bCs/>
                      <w:szCs w:val="21"/>
                    </w:rPr>
                    <w:t>危险废物：</w:t>
                  </w:r>
                  <w:r>
                    <w:rPr>
                      <w:bCs/>
                      <w:szCs w:val="21"/>
                    </w:rPr>
                    <w:t>设置1个</w:t>
                  </w:r>
                  <w:r>
                    <w:rPr>
                      <w:szCs w:val="21"/>
                    </w:rPr>
                    <w:t>危险废物暂存间（10m</w:t>
                  </w:r>
                  <w:r>
                    <w:rPr>
                      <w:szCs w:val="21"/>
                      <w:vertAlign w:val="superscript"/>
                    </w:rPr>
                    <w:t>2</w:t>
                  </w:r>
                  <w:r>
                    <w:rPr>
                      <w:szCs w:val="21"/>
                    </w:rPr>
                    <w:t>）。</w:t>
                  </w:r>
                </w:p>
              </w:tc>
              <w:tc>
                <w:tcPr>
                  <w:tcW w:w="1070" w:type="dxa"/>
                  <w:vAlign w:val="center"/>
                </w:tcPr>
                <w:p w14:paraId="6F7FE906">
                  <w:pPr>
                    <w:adjustRightInd w:val="0"/>
                    <w:snapToGrid w:val="0"/>
                    <w:jc w:val="center"/>
                    <w:rPr>
                      <w:szCs w:val="21"/>
                    </w:rPr>
                  </w:pPr>
                  <w:r>
                    <w:rPr>
                      <w:szCs w:val="21"/>
                    </w:rPr>
                    <w:t>/</w:t>
                  </w:r>
                </w:p>
              </w:tc>
              <w:tc>
                <w:tcPr>
                  <w:tcW w:w="861" w:type="dxa"/>
                </w:tcPr>
                <w:p w14:paraId="4E8F3D00">
                  <w:pPr>
                    <w:adjustRightInd w:val="0"/>
                    <w:snapToGrid w:val="0"/>
                    <w:jc w:val="center"/>
                    <w:rPr>
                      <w:szCs w:val="21"/>
                    </w:rPr>
                  </w:pPr>
                  <w:r>
                    <w:rPr>
                      <w:szCs w:val="21"/>
                    </w:rPr>
                    <w:t>原有</w:t>
                  </w:r>
                </w:p>
              </w:tc>
            </w:tr>
            <w:tr w14:paraId="5A78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875" w:type="dxa"/>
                  <w:vMerge w:val="continue"/>
                  <w:vAlign w:val="center"/>
                </w:tcPr>
                <w:p w14:paraId="2FB82669">
                  <w:pPr>
                    <w:adjustRightInd w:val="0"/>
                    <w:snapToGrid w:val="0"/>
                    <w:jc w:val="center"/>
                    <w:rPr>
                      <w:szCs w:val="21"/>
                    </w:rPr>
                  </w:pPr>
                </w:p>
              </w:tc>
              <w:tc>
                <w:tcPr>
                  <w:tcW w:w="904" w:type="dxa"/>
                  <w:vAlign w:val="center"/>
                </w:tcPr>
                <w:p w14:paraId="03F4C318">
                  <w:pPr>
                    <w:adjustRightInd w:val="0"/>
                    <w:snapToGrid w:val="0"/>
                    <w:jc w:val="center"/>
                    <w:rPr>
                      <w:szCs w:val="21"/>
                    </w:rPr>
                  </w:pPr>
                  <w:r>
                    <w:rPr>
                      <w:szCs w:val="21"/>
                    </w:rPr>
                    <w:t>废气</w:t>
                  </w:r>
                </w:p>
              </w:tc>
              <w:tc>
                <w:tcPr>
                  <w:tcW w:w="6032" w:type="dxa"/>
                  <w:vAlign w:val="center"/>
                </w:tcPr>
                <w:p w14:paraId="5E8F9512">
                  <w:pPr>
                    <w:adjustRightInd w:val="0"/>
                    <w:snapToGrid w:val="0"/>
                    <w:ind w:firstLine="422" w:firstLineChars="200"/>
                    <w:rPr>
                      <w:b/>
                      <w:bCs/>
                      <w:szCs w:val="21"/>
                    </w:rPr>
                  </w:pPr>
                  <w:r>
                    <w:rPr>
                      <w:b/>
                      <w:bCs/>
                      <w:szCs w:val="21"/>
                    </w:rPr>
                    <w:t>1、隧道窑烧结废气</w:t>
                  </w:r>
                </w:p>
                <w:p w14:paraId="5BC613E8">
                  <w:pPr>
                    <w:adjustRightInd w:val="0"/>
                    <w:snapToGrid w:val="0"/>
                    <w:ind w:firstLine="420" w:firstLineChars="200"/>
                    <w:rPr>
                      <w:bCs/>
                      <w:szCs w:val="21"/>
                    </w:rPr>
                  </w:pPr>
                  <w:r>
                    <w:rPr>
                      <w:bCs/>
                      <w:szCs w:val="21"/>
                    </w:rPr>
                    <w:t>隧道窑烧结废气经一套脱硫除尘尾气处理设施处理，通过25m烟囱排放（内径2m）；对烟尘、二氧化硫的处理效率分别为95%、85%。</w:t>
                  </w:r>
                </w:p>
                <w:p w14:paraId="22DEFEC2">
                  <w:pPr>
                    <w:adjustRightInd w:val="0"/>
                    <w:snapToGrid w:val="0"/>
                    <w:ind w:firstLine="420" w:firstLineChars="200"/>
                    <w:rPr>
                      <w:bCs/>
                      <w:szCs w:val="21"/>
                    </w:rPr>
                  </w:pPr>
                  <w:r>
                    <w:rPr>
                      <w:bCs/>
                      <w:szCs w:val="21"/>
                    </w:rPr>
                    <w:t>2、破碎筛分：工序密闭处理，并配套2套集气罩+1套布袋除尘器，收集效率为80%，布袋除尘器处理效率为99%；</w:t>
                  </w:r>
                </w:p>
                <w:p w14:paraId="5604B437">
                  <w:pPr>
                    <w:adjustRightInd w:val="0"/>
                    <w:snapToGrid w:val="0"/>
                    <w:ind w:firstLine="420" w:firstLineChars="200"/>
                  </w:pPr>
                  <w:r>
                    <w:rPr>
                      <w:bCs/>
                      <w:szCs w:val="21"/>
                    </w:rPr>
                    <w:t>3、原料堆场：原料堆场堆棚四周设置防风抑尘网、挡风墙，且高度不低于堆存物料高度的1.1 倍，以及采取覆盖、洒水（1台雾炮机、1辆洒水车）等措施。</w:t>
                  </w:r>
                </w:p>
              </w:tc>
              <w:tc>
                <w:tcPr>
                  <w:tcW w:w="1070" w:type="dxa"/>
                  <w:vAlign w:val="center"/>
                </w:tcPr>
                <w:p w14:paraId="3E64B870">
                  <w:pPr>
                    <w:adjustRightInd w:val="0"/>
                    <w:snapToGrid w:val="0"/>
                    <w:jc w:val="center"/>
                    <w:rPr>
                      <w:szCs w:val="21"/>
                    </w:rPr>
                  </w:pPr>
                  <w:r>
                    <w:rPr>
                      <w:szCs w:val="21"/>
                    </w:rPr>
                    <w:t>255</w:t>
                  </w:r>
                </w:p>
              </w:tc>
              <w:tc>
                <w:tcPr>
                  <w:tcW w:w="861" w:type="dxa"/>
                  <w:vAlign w:val="center"/>
                </w:tcPr>
                <w:p w14:paraId="52614C0D">
                  <w:pPr>
                    <w:adjustRightInd w:val="0"/>
                    <w:snapToGrid w:val="0"/>
                    <w:jc w:val="center"/>
                    <w:rPr>
                      <w:szCs w:val="21"/>
                    </w:rPr>
                  </w:pPr>
                  <w:r>
                    <w:rPr>
                      <w:szCs w:val="21"/>
                    </w:rPr>
                    <w:t>新建</w:t>
                  </w:r>
                </w:p>
              </w:tc>
            </w:tr>
            <w:tr w14:paraId="4DCC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5" w:type="dxa"/>
                  <w:vMerge w:val="continue"/>
                  <w:vAlign w:val="center"/>
                </w:tcPr>
                <w:p w14:paraId="3DFF5C51">
                  <w:pPr>
                    <w:adjustRightInd w:val="0"/>
                    <w:snapToGrid w:val="0"/>
                    <w:jc w:val="center"/>
                    <w:rPr>
                      <w:szCs w:val="21"/>
                    </w:rPr>
                  </w:pPr>
                </w:p>
              </w:tc>
              <w:tc>
                <w:tcPr>
                  <w:tcW w:w="904" w:type="dxa"/>
                  <w:vAlign w:val="center"/>
                </w:tcPr>
                <w:p w14:paraId="24749171">
                  <w:pPr>
                    <w:adjustRightInd w:val="0"/>
                    <w:snapToGrid w:val="0"/>
                    <w:jc w:val="center"/>
                    <w:rPr>
                      <w:szCs w:val="21"/>
                    </w:rPr>
                  </w:pPr>
                  <w:r>
                    <w:rPr>
                      <w:szCs w:val="21"/>
                    </w:rPr>
                    <w:t>噪声</w:t>
                  </w:r>
                </w:p>
              </w:tc>
              <w:tc>
                <w:tcPr>
                  <w:tcW w:w="6032" w:type="dxa"/>
                  <w:vAlign w:val="center"/>
                </w:tcPr>
                <w:p w14:paraId="30CDDF46">
                  <w:pPr>
                    <w:adjustRightInd w:val="0"/>
                    <w:snapToGrid w:val="0"/>
                    <w:ind w:firstLine="420" w:firstLineChars="200"/>
                    <w:rPr>
                      <w:szCs w:val="21"/>
                    </w:rPr>
                  </w:pPr>
                  <w:r>
                    <w:rPr>
                      <w:szCs w:val="21"/>
                    </w:rPr>
                    <w:t>厂房隔音、安装减震垫、距离衰减等。</w:t>
                  </w:r>
                </w:p>
              </w:tc>
              <w:tc>
                <w:tcPr>
                  <w:tcW w:w="1070" w:type="dxa"/>
                  <w:vAlign w:val="center"/>
                </w:tcPr>
                <w:p w14:paraId="48F060F6">
                  <w:pPr>
                    <w:adjustRightInd w:val="0"/>
                    <w:snapToGrid w:val="0"/>
                    <w:jc w:val="center"/>
                    <w:rPr>
                      <w:szCs w:val="21"/>
                    </w:rPr>
                  </w:pPr>
                  <w:r>
                    <w:rPr>
                      <w:szCs w:val="21"/>
                    </w:rPr>
                    <w:t>1</w:t>
                  </w:r>
                </w:p>
              </w:tc>
              <w:tc>
                <w:tcPr>
                  <w:tcW w:w="861" w:type="dxa"/>
                  <w:vAlign w:val="center"/>
                </w:tcPr>
                <w:p w14:paraId="5AAB306D">
                  <w:pPr>
                    <w:adjustRightInd w:val="0"/>
                    <w:snapToGrid w:val="0"/>
                    <w:jc w:val="center"/>
                    <w:rPr>
                      <w:szCs w:val="21"/>
                    </w:rPr>
                  </w:pPr>
                  <w:r>
                    <w:rPr>
                      <w:szCs w:val="21"/>
                    </w:rPr>
                    <w:t>原有</w:t>
                  </w:r>
                </w:p>
              </w:tc>
            </w:tr>
            <w:tr w14:paraId="5F7F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5" w:type="dxa"/>
                  <w:vMerge w:val="continue"/>
                  <w:vAlign w:val="center"/>
                </w:tcPr>
                <w:p w14:paraId="57B78D0B">
                  <w:pPr>
                    <w:adjustRightInd w:val="0"/>
                    <w:snapToGrid w:val="0"/>
                    <w:jc w:val="center"/>
                    <w:rPr>
                      <w:szCs w:val="21"/>
                    </w:rPr>
                  </w:pPr>
                </w:p>
              </w:tc>
              <w:tc>
                <w:tcPr>
                  <w:tcW w:w="904" w:type="dxa"/>
                  <w:vAlign w:val="center"/>
                </w:tcPr>
                <w:p w14:paraId="71B2886A">
                  <w:pPr>
                    <w:adjustRightInd w:val="0"/>
                    <w:snapToGrid w:val="0"/>
                    <w:jc w:val="center"/>
                    <w:rPr>
                      <w:szCs w:val="21"/>
                    </w:rPr>
                  </w:pPr>
                  <w:r>
                    <w:rPr>
                      <w:szCs w:val="21"/>
                    </w:rPr>
                    <w:t>地下水、土壤</w:t>
                  </w:r>
                </w:p>
              </w:tc>
              <w:tc>
                <w:tcPr>
                  <w:tcW w:w="6032" w:type="dxa"/>
                  <w:vAlign w:val="center"/>
                </w:tcPr>
                <w:p w14:paraId="5ACC24F4">
                  <w:pPr>
                    <w:adjustRightInd w:val="0"/>
                    <w:snapToGrid w:val="0"/>
                    <w:ind w:firstLine="420" w:firstLineChars="200"/>
                    <w:rPr>
                      <w:szCs w:val="21"/>
                    </w:rPr>
                  </w:pPr>
                  <w:r>
                    <w:rPr>
                      <w:szCs w:val="21"/>
                    </w:rPr>
                    <w:t>危险废物暂存、储油区重点防渗。</w:t>
                  </w:r>
                </w:p>
              </w:tc>
              <w:tc>
                <w:tcPr>
                  <w:tcW w:w="1070" w:type="dxa"/>
                  <w:vAlign w:val="center"/>
                </w:tcPr>
                <w:p w14:paraId="5E3E8CD3">
                  <w:pPr>
                    <w:adjustRightInd w:val="0"/>
                    <w:snapToGrid w:val="0"/>
                    <w:jc w:val="center"/>
                    <w:rPr>
                      <w:szCs w:val="21"/>
                    </w:rPr>
                  </w:pPr>
                  <w:r>
                    <w:rPr>
                      <w:szCs w:val="21"/>
                    </w:rPr>
                    <w:t>/</w:t>
                  </w:r>
                </w:p>
              </w:tc>
              <w:tc>
                <w:tcPr>
                  <w:tcW w:w="861" w:type="dxa"/>
                  <w:vAlign w:val="center"/>
                </w:tcPr>
                <w:p w14:paraId="5DA25C54">
                  <w:pPr>
                    <w:adjustRightInd w:val="0"/>
                    <w:snapToGrid w:val="0"/>
                    <w:jc w:val="center"/>
                    <w:rPr>
                      <w:szCs w:val="21"/>
                    </w:rPr>
                  </w:pPr>
                  <w:r>
                    <w:rPr>
                      <w:szCs w:val="21"/>
                    </w:rPr>
                    <w:t>原有</w:t>
                  </w:r>
                </w:p>
              </w:tc>
            </w:tr>
            <w:tr w14:paraId="7F78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11" w:type="dxa"/>
                  <w:gridSpan w:val="3"/>
                  <w:vAlign w:val="center"/>
                </w:tcPr>
                <w:p w14:paraId="66D6AD3F">
                  <w:pPr>
                    <w:adjustRightInd w:val="0"/>
                    <w:snapToGrid w:val="0"/>
                    <w:jc w:val="center"/>
                    <w:rPr>
                      <w:b/>
                      <w:szCs w:val="21"/>
                    </w:rPr>
                  </w:pPr>
                  <w:r>
                    <w:rPr>
                      <w:b/>
                      <w:szCs w:val="21"/>
                    </w:rPr>
                    <w:t>合计</w:t>
                  </w:r>
                </w:p>
              </w:tc>
              <w:tc>
                <w:tcPr>
                  <w:tcW w:w="1070" w:type="dxa"/>
                  <w:vAlign w:val="center"/>
                </w:tcPr>
                <w:p w14:paraId="3262D3E7">
                  <w:pPr>
                    <w:adjustRightInd w:val="0"/>
                    <w:snapToGrid w:val="0"/>
                    <w:jc w:val="center"/>
                    <w:rPr>
                      <w:b/>
                      <w:szCs w:val="21"/>
                    </w:rPr>
                  </w:pPr>
                  <w:r>
                    <w:rPr>
                      <w:b/>
                      <w:szCs w:val="21"/>
                    </w:rPr>
                    <w:t>260</w:t>
                  </w:r>
                </w:p>
              </w:tc>
              <w:tc>
                <w:tcPr>
                  <w:tcW w:w="861" w:type="dxa"/>
                  <w:vAlign w:val="center"/>
                </w:tcPr>
                <w:p w14:paraId="6697226C">
                  <w:pPr>
                    <w:adjustRightInd w:val="0"/>
                    <w:snapToGrid w:val="0"/>
                    <w:jc w:val="center"/>
                    <w:rPr>
                      <w:szCs w:val="21"/>
                    </w:rPr>
                  </w:pPr>
                  <w:r>
                    <w:rPr>
                      <w:szCs w:val="21"/>
                    </w:rPr>
                    <w:t>/</w:t>
                  </w:r>
                </w:p>
              </w:tc>
            </w:tr>
          </w:tbl>
          <w:p w14:paraId="75CA8B2B">
            <w:pPr>
              <w:adjustRightInd w:val="0"/>
              <w:snapToGrid w:val="0"/>
              <w:spacing w:line="360" w:lineRule="auto"/>
              <w:ind w:firstLine="480" w:firstLineChars="200"/>
              <w:rPr>
                <w:sz w:val="24"/>
              </w:rPr>
            </w:pPr>
          </w:p>
        </w:tc>
      </w:tr>
      <w:tr w14:paraId="3A244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457" w:type="dxa"/>
            <w:vAlign w:val="center"/>
          </w:tcPr>
          <w:p w14:paraId="33629484">
            <w:pPr>
              <w:pStyle w:val="20"/>
              <w:adjustRightInd w:val="0"/>
              <w:snapToGrid w:val="0"/>
              <w:spacing w:before="0" w:beforeAutospacing="0" w:after="0" w:afterAutospacing="0"/>
              <w:jc w:val="center"/>
              <w:rPr>
                <w:rFonts w:ascii="Times New Roman" w:hAnsi="Times New Roman"/>
                <w:b/>
                <w:bCs/>
                <w:szCs w:val="24"/>
              </w:rPr>
            </w:pPr>
            <w:r>
              <w:rPr>
                <w:rFonts w:ascii="Times New Roman" w:hAnsi="Times New Roman"/>
                <w:b/>
                <w:bCs/>
                <w:szCs w:val="24"/>
              </w:rPr>
              <w:t>工艺流程和产排污环节</w:t>
            </w:r>
          </w:p>
        </w:tc>
        <w:tc>
          <w:tcPr>
            <w:tcW w:w="9968" w:type="dxa"/>
            <w:vAlign w:val="center"/>
          </w:tcPr>
          <w:p w14:paraId="449B8316">
            <w:pPr>
              <w:spacing w:line="360" w:lineRule="auto"/>
              <w:outlineLvl w:val="0"/>
              <w:rPr>
                <w:b/>
                <w:bCs/>
                <w:sz w:val="24"/>
              </w:rPr>
            </w:pPr>
            <w:bookmarkStart w:id="6" w:name="_Toc101052672"/>
            <w:bookmarkStart w:id="7" w:name="_Toc28835"/>
            <w:r>
              <w:rPr>
                <w:b/>
                <w:bCs/>
                <w:sz w:val="24"/>
              </w:rPr>
              <w:t>工艺流程简述</w:t>
            </w:r>
            <w:bookmarkEnd w:id="6"/>
            <w:bookmarkEnd w:id="7"/>
          </w:p>
          <w:p w14:paraId="6713FAD9">
            <w:pPr>
              <w:spacing w:line="360" w:lineRule="auto"/>
              <w:ind w:firstLine="482" w:firstLineChars="200"/>
              <w:rPr>
                <w:b/>
                <w:sz w:val="24"/>
              </w:rPr>
            </w:pPr>
            <w:bookmarkStart w:id="8" w:name="_Toc29434"/>
            <w:r>
              <w:rPr>
                <w:b/>
                <w:bCs/>
                <w:sz w:val="24"/>
              </w:rPr>
              <w:t>1、</w:t>
            </w:r>
            <w:r>
              <w:rPr>
                <w:b/>
                <w:sz w:val="24"/>
              </w:rPr>
              <w:t>施工期</w:t>
            </w:r>
          </w:p>
          <w:p w14:paraId="0717CE3E">
            <w:pPr>
              <w:spacing w:line="360" w:lineRule="auto"/>
              <w:ind w:firstLine="480" w:firstLineChars="200"/>
              <w:rPr>
                <w:sz w:val="24"/>
              </w:rPr>
            </w:pPr>
            <w:r>
              <w:rPr>
                <w:sz w:val="24"/>
              </w:rPr>
              <w:t>本项目施工期工艺流程如下图所示。</w:t>
            </w:r>
          </w:p>
          <w:p w14:paraId="0BE50FBB">
            <w:pPr>
              <w:widowControl/>
              <w:spacing w:line="360" w:lineRule="auto"/>
              <w:jc w:val="center"/>
              <w:rPr>
                <w:kern w:val="0"/>
                <w:sz w:val="24"/>
              </w:rPr>
            </w:pPr>
            <w:r>
              <w:drawing>
                <wp:inline distT="0" distB="0" distL="114300" distR="114300">
                  <wp:extent cx="5273040" cy="1250950"/>
                  <wp:effectExtent l="0" t="0" r="3810" b="635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7" cstate="print"/>
                          <a:stretch>
                            <a:fillRect/>
                          </a:stretch>
                        </pic:blipFill>
                        <pic:spPr>
                          <a:xfrm>
                            <a:off x="0" y="0"/>
                            <a:ext cx="5273040" cy="1250950"/>
                          </a:xfrm>
                          <a:prstGeom prst="rect">
                            <a:avLst/>
                          </a:prstGeom>
                          <a:noFill/>
                          <a:ln>
                            <a:noFill/>
                          </a:ln>
                        </pic:spPr>
                      </pic:pic>
                    </a:graphicData>
                  </a:graphic>
                </wp:inline>
              </w:drawing>
            </w:r>
          </w:p>
          <w:p w14:paraId="2003FE63">
            <w:pPr>
              <w:spacing w:line="360" w:lineRule="auto"/>
              <w:jc w:val="center"/>
              <w:rPr>
                <w:b/>
                <w:sz w:val="24"/>
              </w:rPr>
            </w:pPr>
            <w:r>
              <w:rPr>
                <w:b/>
                <w:sz w:val="24"/>
              </w:rPr>
              <w:t>图2-1  施工期施工流程及产污节点图</w:t>
            </w:r>
          </w:p>
          <w:p w14:paraId="0ADF6314">
            <w:pPr>
              <w:spacing w:line="360" w:lineRule="auto"/>
              <w:ind w:firstLine="480" w:firstLineChars="200"/>
              <w:outlineLvl w:val="0"/>
              <w:rPr>
                <w:b/>
                <w:bCs/>
                <w:sz w:val="24"/>
              </w:rPr>
            </w:pPr>
            <w:bookmarkStart w:id="9" w:name="_Toc101052673"/>
            <w:r>
              <w:rPr>
                <w:sz w:val="24"/>
              </w:rPr>
              <w:t>本项目施工期产生的污染物主要为施工噪声、扬尘、燃油废气、废弃包装袋、施工人员产生的垃圾和废水，但这些污染物对环境的影响随着施工的结束而消失，对外部环境影响较小。</w:t>
            </w:r>
            <w:bookmarkEnd w:id="9"/>
          </w:p>
          <w:p w14:paraId="6A90D97E">
            <w:pPr>
              <w:spacing w:line="360" w:lineRule="auto"/>
              <w:ind w:firstLine="482" w:firstLineChars="200"/>
              <w:outlineLvl w:val="0"/>
              <w:rPr>
                <w:b/>
                <w:bCs/>
                <w:sz w:val="24"/>
              </w:rPr>
            </w:pPr>
            <w:bookmarkStart w:id="10" w:name="_Toc101052674"/>
            <w:r>
              <w:rPr>
                <w:b/>
                <w:bCs/>
                <w:sz w:val="24"/>
              </w:rPr>
              <w:t>2、运营期</w:t>
            </w:r>
            <w:bookmarkEnd w:id="8"/>
            <w:bookmarkEnd w:id="10"/>
          </w:p>
          <w:p w14:paraId="6A12819A">
            <w:pPr>
              <w:spacing w:line="360" w:lineRule="auto"/>
              <w:ind w:firstLine="482" w:firstLineChars="200"/>
              <w:rPr>
                <w:b/>
                <w:bCs/>
                <w:sz w:val="24"/>
              </w:rPr>
            </w:pPr>
            <w:r>
              <w:rPr>
                <w:b/>
                <w:bCs/>
                <w:sz w:val="24"/>
              </w:rPr>
              <w:t>2.1、生产工艺流程简介</w:t>
            </w:r>
          </w:p>
          <w:p w14:paraId="2688B84C">
            <w:pPr>
              <w:spacing w:line="360" w:lineRule="auto"/>
              <w:ind w:firstLine="482" w:firstLineChars="200"/>
              <w:outlineLvl w:val="0"/>
              <w:rPr>
                <w:b/>
                <w:sz w:val="24"/>
              </w:rPr>
            </w:pPr>
            <w:r>
              <w:rPr>
                <w:b/>
                <w:sz w:val="24"/>
              </w:rPr>
              <w:t>（1）原料制备</w:t>
            </w:r>
          </w:p>
          <w:p w14:paraId="43BDF9CB">
            <w:pPr>
              <w:spacing w:line="360" w:lineRule="auto"/>
              <w:ind w:firstLine="480" w:firstLineChars="200"/>
              <w:outlineLvl w:val="0"/>
              <w:rPr>
                <w:sz w:val="24"/>
              </w:rPr>
            </w:pPr>
            <w:r>
              <w:rPr>
                <w:sz w:val="24"/>
              </w:rPr>
              <w:t>原料堆场中的煤矸石和页岩（块度小于350mm）及一般固废（废弃渣土，矿山尾矿，工业废弃物等可用于制砖的固体废物）分别经皮带机送至粉碎搅拌场，先由颚式破碎机进行初破，初破料经滚筒筛筛分，大于60mm的料返回颚式破碎机再破碎，控制煤矸石、页岩及一般固废的出料块度小于60mm，然后经输料皮带送到锤式粉碎机进行粉碎。经初步处理、符合要求的原料由输送带送至搅拌机箱内混合，并掺入一定量的水进行搅拌。控制泥料含水在10~14%，然后将初搅后的泥料送至第二搅拌机进一步搅拌均匀后，进行陈化。该工序产生粉尘以及噪声。</w:t>
            </w:r>
          </w:p>
          <w:p w14:paraId="43E07F84">
            <w:pPr>
              <w:spacing w:line="360" w:lineRule="auto"/>
              <w:ind w:firstLine="482" w:firstLineChars="200"/>
              <w:outlineLvl w:val="0"/>
              <w:rPr>
                <w:b/>
                <w:sz w:val="24"/>
              </w:rPr>
            </w:pPr>
            <w:r>
              <w:rPr>
                <w:b/>
                <w:sz w:val="24"/>
              </w:rPr>
              <w:t>（2）原料陈化处理</w:t>
            </w:r>
          </w:p>
          <w:p w14:paraId="062C3756">
            <w:pPr>
              <w:spacing w:line="360" w:lineRule="auto"/>
              <w:ind w:firstLine="480" w:firstLineChars="200"/>
              <w:outlineLvl w:val="0"/>
              <w:rPr>
                <w:sz w:val="24"/>
              </w:rPr>
            </w:pPr>
            <w:r>
              <w:rPr>
                <w:sz w:val="24"/>
              </w:rPr>
              <w:t>陈化是将煤矸石和页岩料加水浸润，使其进一步疏解，促使水分分布均匀。不但可以改善原料的成型性能，而且可以改善原料的成型、干燥和焙烧等工序的技术要求，提高制品质量。原料经过2-3天陈化后由多斗挖掘机出料，经输送带送至箱式给料机。</w:t>
            </w:r>
          </w:p>
          <w:p w14:paraId="1D90A094">
            <w:pPr>
              <w:spacing w:line="360" w:lineRule="auto"/>
              <w:ind w:firstLine="482" w:firstLineChars="200"/>
              <w:outlineLvl w:val="0"/>
              <w:rPr>
                <w:b/>
                <w:sz w:val="24"/>
              </w:rPr>
            </w:pPr>
            <w:r>
              <w:rPr>
                <w:b/>
                <w:sz w:val="24"/>
              </w:rPr>
              <w:t>（3）挤出成型</w:t>
            </w:r>
          </w:p>
          <w:p w14:paraId="3B4C6175">
            <w:pPr>
              <w:spacing w:line="360" w:lineRule="auto"/>
              <w:ind w:firstLine="480" w:firstLineChars="200"/>
              <w:outlineLvl w:val="0"/>
              <w:rPr>
                <w:sz w:val="24"/>
              </w:rPr>
            </w:pPr>
            <w:r>
              <w:rPr>
                <w:sz w:val="24"/>
              </w:rPr>
              <w:t>陈化后的混合料，经箱式给料机均匀地将料供给双轴搅拌机进行搅拌，搅拌过程中适当加水，使其含水率达到成型要求。经搅拌后的原料送入双极真空挤出机挤出成型，输送过程中设置悬挂式磁铁，以除去带铁的物质，免除对设定设备的危害。成型后的泥条经全自动切条机、自动切坯机切割成所需尺寸的砖坯，由全自动码坯机码上窑车，进入烘干窑。切坯工序产生的少量废泥头送回至双轴搅拌机再次搅拌挤压成型。该工序主要产生噪声。</w:t>
            </w:r>
          </w:p>
          <w:p w14:paraId="7B9D181C">
            <w:pPr>
              <w:pStyle w:val="2"/>
              <w:rPr>
                <w:rFonts w:ascii="Times New Roman" w:hAnsi="Times New Roman"/>
              </w:rPr>
            </w:pPr>
          </w:p>
          <w:p w14:paraId="0CFEE286">
            <w:pPr>
              <w:spacing w:line="360" w:lineRule="auto"/>
              <w:ind w:firstLine="482" w:firstLineChars="200"/>
              <w:outlineLvl w:val="0"/>
              <w:rPr>
                <w:b/>
                <w:sz w:val="24"/>
              </w:rPr>
            </w:pPr>
            <w:r>
              <w:rPr>
                <w:b/>
                <w:sz w:val="24"/>
              </w:rPr>
              <w:t>（4）干燥与焙烧</w:t>
            </w:r>
          </w:p>
          <w:p w14:paraId="267D91FD">
            <w:pPr>
              <w:spacing w:line="360" w:lineRule="auto"/>
              <w:ind w:firstLine="480" w:firstLineChars="200"/>
              <w:outlineLvl w:val="0"/>
              <w:rPr>
                <w:sz w:val="24"/>
              </w:rPr>
            </w:pPr>
            <w:r>
              <w:rPr>
                <w:sz w:val="24"/>
              </w:rPr>
              <w:t>项目隧道窑集烘干与焙烧于一体，采用内燃焙烧工艺，热源来自砖坯内燃料，不需外投煤。码好砖坯的窑车将砖坯送入烘干窑干燥，烘干窑热源来自隧道窑余热，通过调节系统调整送风温度及风量大小，满足砖坯干燥，干燥好的砖坯进入隧道窑焙烧，焙烧温度控制在980℃~1080℃，焙烧产生的热量经风机抽出，用于砖坯干燥。该工序产生窑炉废气及噪声。</w:t>
            </w:r>
          </w:p>
          <w:p w14:paraId="2AB2D1B1">
            <w:pPr>
              <w:spacing w:line="360" w:lineRule="auto"/>
              <w:ind w:firstLine="482" w:firstLineChars="200"/>
              <w:outlineLvl w:val="0"/>
              <w:rPr>
                <w:b/>
                <w:sz w:val="24"/>
              </w:rPr>
            </w:pPr>
            <w:r>
              <w:rPr>
                <w:b/>
                <w:sz w:val="24"/>
              </w:rPr>
              <w:t>（5）成品检验与堆放</w:t>
            </w:r>
          </w:p>
          <w:p w14:paraId="75246C17">
            <w:pPr>
              <w:spacing w:line="360" w:lineRule="auto"/>
              <w:ind w:firstLine="480" w:firstLineChars="200"/>
              <w:outlineLvl w:val="0"/>
              <w:rPr>
                <w:sz w:val="24"/>
              </w:rPr>
            </w:pPr>
            <w:r>
              <w:rPr>
                <w:sz w:val="24"/>
              </w:rPr>
              <w:t>燃烧后的成品砖在隧道窑轨道线上保湿、自然冷却，经检验合格后即为合格成品砖，运送至成品区装运，有人工将成品从窑车卸下，按制品外观质量分等码放到成品堆场。对空窑车经清扫、保养通过回车线送至码坯位置，进入下一个循环。不合格品经收集破碎后回用于生产，不外排。</w:t>
            </w:r>
            <w:bookmarkStart w:id="11" w:name="_Toc101052678"/>
          </w:p>
          <w:p w14:paraId="1895DD43">
            <w:pPr>
              <w:spacing w:line="360" w:lineRule="auto"/>
              <w:ind w:firstLine="482" w:firstLineChars="200"/>
              <w:outlineLvl w:val="0"/>
              <w:rPr>
                <w:b/>
                <w:sz w:val="24"/>
              </w:rPr>
            </w:pPr>
            <w:r>
              <w:rPr>
                <w:b/>
                <w:sz w:val="24"/>
              </w:rPr>
              <w:t>（6）废气处置措施</w:t>
            </w:r>
          </w:p>
          <w:p w14:paraId="0D4369AF">
            <w:pPr>
              <w:kinsoku w:val="0"/>
              <w:overflowPunct w:val="0"/>
              <w:autoSpaceDE w:val="0"/>
              <w:autoSpaceDN w:val="0"/>
              <w:adjustRightInd w:val="0"/>
              <w:spacing w:line="360" w:lineRule="auto"/>
              <w:ind w:firstLine="480" w:firstLineChars="200"/>
              <w:jc w:val="left"/>
              <w:rPr>
                <w:rFonts w:eastAsia="新宋体"/>
                <w:kern w:val="0"/>
                <w:sz w:val="24"/>
              </w:rPr>
            </w:pPr>
            <w:r>
              <w:rPr>
                <w:rFonts w:eastAsia="新宋体"/>
                <w:kern w:val="0"/>
                <w:sz w:val="24"/>
              </w:rPr>
              <w:t>本项目采用成熟的双碱法脱硫工艺进行除尘脱硫。</w:t>
            </w:r>
          </w:p>
          <w:p w14:paraId="75AB803B">
            <w:pPr>
              <w:kinsoku w:val="0"/>
              <w:overflowPunct w:val="0"/>
              <w:autoSpaceDE w:val="0"/>
              <w:autoSpaceDN w:val="0"/>
              <w:adjustRightInd w:val="0"/>
              <w:spacing w:line="360" w:lineRule="auto"/>
              <w:ind w:firstLine="480" w:firstLineChars="200"/>
              <w:rPr>
                <w:rFonts w:eastAsia="新宋体"/>
                <w:kern w:val="0"/>
                <w:sz w:val="24"/>
              </w:rPr>
            </w:pPr>
            <w:r>
              <w:rPr>
                <w:rFonts w:eastAsia="新宋体"/>
                <w:kern w:val="0"/>
                <w:sz w:val="24"/>
              </w:rPr>
              <w:t>双碱法工艺是以碱溶液为脱硫剂，该工艺系统简单，适应性好，脱硫效率高，其主要脱硫机理具体反应如下：</w:t>
            </w:r>
          </w:p>
          <w:p w14:paraId="2C628015">
            <w:pPr>
              <w:kinsoku w:val="0"/>
              <w:overflowPunct w:val="0"/>
              <w:autoSpaceDE w:val="0"/>
              <w:autoSpaceDN w:val="0"/>
              <w:adjustRightInd w:val="0"/>
              <w:spacing w:line="360" w:lineRule="auto"/>
              <w:ind w:firstLine="480" w:firstLineChars="200"/>
              <w:jc w:val="left"/>
              <w:rPr>
                <w:rFonts w:eastAsia="新宋体"/>
                <w:kern w:val="0"/>
                <w:sz w:val="24"/>
              </w:rPr>
            </w:pPr>
            <w:r>
              <w:rPr>
                <w:rFonts w:eastAsia="新宋体"/>
                <w:kern w:val="0"/>
                <w:sz w:val="24"/>
              </w:rPr>
              <w:t>系统启动阶段，脱硫塔内吸收液中加入氢氧化钠，发生如下反应：首先二氧化硫溶入吸收液中：</w:t>
            </w:r>
          </w:p>
          <w:p w14:paraId="1B47325D">
            <w:pPr>
              <w:tabs>
                <w:tab w:val="left" w:pos="3242"/>
              </w:tabs>
              <w:kinsoku w:val="0"/>
              <w:overflowPunct w:val="0"/>
              <w:autoSpaceDE w:val="0"/>
              <w:autoSpaceDN w:val="0"/>
              <w:adjustRightInd w:val="0"/>
              <w:spacing w:line="360" w:lineRule="auto"/>
              <w:ind w:firstLine="480" w:firstLineChars="200"/>
              <w:jc w:val="center"/>
              <w:rPr>
                <w:rFonts w:eastAsia="新宋体"/>
                <w:kern w:val="0"/>
                <w:sz w:val="24"/>
              </w:rPr>
            </w:pPr>
            <w:r>
              <w:rPr>
                <w:rFonts w:eastAsia="新宋体"/>
                <w:kern w:val="0"/>
                <w:sz w:val="24"/>
              </w:rPr>
              <w:t>SO</w:t>
            </w:r>
            <w:r>
              <w:rPr>
                <w:rFonts w:eastAsia="新宋体"/>
                <w:kern w:val="0"/>
                <w:position w:val="-4"/>
                <w:sz w:val="12"/>
                <w:szCs w:val="12"/>
              </w:rPr>
              <w:t>2</w:t>
            </w:r>
            <w:r>
              <w:rPr>
                <w:rFonts w:eastAsia="新宋体"/>
                <w:kern w:val="0"/>
                <w:sz w:val="24"/>
              </w:rPr>
              <w:t>+H</w:t>
            </w:r>
            <w:r>
              <w:rPr>
                <w:rFonts w:eastAsia="新宋体"/>
                <w:kern w:val="0"/>
                <w:position w:val="-4"/>
                <w:sz w:val="12"/>
                <w:szCs w:val="12"/>
              </w:rPr>
              <w:t>2</w:t>
            </w:r>
            <w:r>
              <w:rPr>
                <w:rFonts w:eastAsia="新宋体"/>
                <w:kern w:val="0"/>
                <w:sz w:val="24"/>
              </w:rPr>
              <w:t>O=H</w:t>
            </w:r>
            <w:r>
              <w:rPr>
                <w:rFonts w:eastAsia="新宋体"/>
                <w:kern w:val="0"/>
                <w:position w:val="-4"/>
                <w:sz w:val="12"/>
                <w:szCs w:val="12"/>
              </w:rPr>
              <w:t>2</w:t>
            </w:r>
            <w:r>
              <w:rPr>
                <w:rFonts w:eastAsia="新宋体"/>
                <w:kern w:val="0"/>
                <w:sz w:val="24"/>
              </w:rPr>
              <w:t>SO</w:t>
            </w:r>
            <w:r>
              <w:rPr>
                <w:rFonts w:eastAsia="新宋体"/>
                <w:kern w:val="0"/>
                <w:position w:val="-4"/>
                <w:sz w:val="12"/>
                <w:szCs w:val="12"/>
              </w:rPr>
              <w:t>3</w:t>
            </w:r>
            <w:r>
              <w:rPr>
                <w:rFonts w:eastAsia="新宋体"/>
                <w:kern w:val="0"/>
                <w:position w:val="-4"/>
                <w:sz w:val="12"/>
                <w:szCs w:val="12"/>
              </w:rPr>
              <w:tab/>
            </w:r>
            <w:r>
              <w:rPr>
                <w:rFonts w:eastAsia="新宋体"/>
                <w:kern w:val="0"/>
                <w:sz w:val="24"/>
              </w:rPr>
              <w:t>（1）</w:t>
            </w:r>
          </w:p>
          <w:p w14:paraId="5CABA3CF">
            <w:pPr>
              <w:kinsoku w:val="0"/>
              <w:overflowPunct w:val="0"/>
              <w:autoSpaceDE w:val="0"/>
              <w:autoSpaceDN w:val="0"/>
              <w:adjustRightInd w:val="0"/>
              <w:spacing w:line="360" w:lineRule="auto"/>
              <w:ind w:firstLine="480" w:firstLineChars="200"/>
              <w:jc w:val="left"/>
              <w:rPr>
                <w:rFonts w:eastAsia="新宋体"/>
                <w:kern w:val="0"/>
                <w:sz w:val="24"/>
              </w:rPr>
            </w:pPr>
            <w:r>
              <w:rPr>
                <w:rFonts w:eastAsia="新宋体"/>
                <w:kern w:val="0"/>
                <w:sz w:val="24"/>
              </w:rPr>
              <w:t>生成的亚硫酸再与吸收液中加入的氢氧化钠进行中和反应：</w:t>
            </w:r>
          </w:p>
          <w:p w14:paraId="204CF732">
            <w:pPr>
              <w:tabs>
                <w:tab w:val="left" w:pos="4265"/>
              </w:tabs>
              <w:kinsoku w:val="0"/>
              <w:overflowPunct w:val="0"/>
              <w:autoSpaceDE w:val="0"/>
              <w:autoSpaceDN w:val="0"/>
              <w:adjustRightInd w:val="0"/>
              <w:spacing w:line="360" w:lineRule="auto"/>
              <w:ind w:firstLine="480" w:firstLineChars="200"/>
              <w:jc w:val="center"/>
              <w:rPr>
                <w:rFonts w:eastAsia="新宋体"/>
                <w:kern w:val="0"/>
                <w:sz w:val="24"/>
              </w:rPr>
            </w:pPr>
            <w:r>
              <w:rPr>
                <w:rFonts w:eastAsia="新宋体"/>
                <w:kern w:val="0"/>
                <w:sz w:val="24"/>
              </w:rPr>
              <w:t>2NaOH+H</w:t>
            </w:r>
            <w:r>
              <w:rPr>
                <w:rFonts w:eastAsia="新宋体"/>
                <w:kern w:val="0"/>
                <w:position w:val="-4"/>
                <w:sz w:val="12"/>
                <w:szCs w:val="12"/>
              </w:rPr>
              <w:t>2</w:t>
            </w:r>
            <w:r>
              <w:rPr>
                <w:rFonts w:eastAsia="新宋体"/>
                <w:kern w:val="0"/>
                <w:sz w:val="24"/>
              </w:rPr>
              <w:t>SO</w:t>
            </w:r>
            <w:r>
              <w:rPr>
                <w:rFonts w:eastAsia="新宋体"/>
                <w:kern w:val="0"/>
                <w:position w:val="-4"/>
                <w:sz w:val="12"/>
                <w:szCs w:val="12"/>
              </w:rPr>
              <w:t>3</w:t>
            </w:r>
            <w:r>
              <w:rPr>
                <w:rFonts w:eastAsia="新宋体"/>
                <w:kern w:val="0"/>
                <w:sz w:val="24"/>
              </w:rPr>
              <w:t>=Na</w:t>
            </w:r>
            <w:r>
              <w:rPr>
                <w:rFonts w:eastAsia="新宋体"/>
                <w:kern w:val="0"/>
                <w:position w:val="-4"/>
                <w:sz w:val="12"/>
                <w:szCs w:val="12"/>
              </w:rPr>
              <w:t>2</w:t>
            </w:r>
            <w:r>
              <w:rPr>
                <w:rFonts w:eastAsia="新宋体"/>
                <w:kern w:val="0"/>
                <w:sz w:val="24"/>
              </w:rPr>
              <w:t>SO</w:t>
            </w:r>
            <w:r>
              <w:rPr>
                <w:rFonts w:eastAsia="新宋体"/>
                <w:kern w:val="0"/>
                <w:position w:val="-4"/>
                <w:sz w:val="12"/>
                <w:szCs w:val="12"/>
              </w:rPr>
              <w:t>3</w:t>
            </w:r>
            <w:r>
              <w:rPr>
                <w:rFonts w:eastAsia="新宋体"/>
                <w:kern w:val="0"/>
                <w:sz w:val="24"/>
              </w:rPr>
              <w:t>+2H</w:t>
            </w:r>
            <w:r>
              <w:rPr>
                <w:rFonts w:eastAsia="新宋体"/>
                <w:kern w:val="0"/>
                <w:position w:val="-4"/>
                <w:sz w:val="12"/>
                <w:szCs w:val="12"/>
              </w:rPr>
              <w:t>2</w:t>
            </w:r>
            <w:r>
              <w:rPr>
                <w:rFonts w:eastAsia="新宋体"/>
                <w:kern w:val="0"/>
                <w:sz w:val="24"/>
              </w:rPr>
              <w:t>O</w:t>
            </w:r>
            <w:r>
              <w:rPr>
                <w:rFonts w:eastAsia="新宋体"/>
                <w:kern w:val="0"/>
                <w:sz w:val="24"/>
              </w:rPr>
              <w:tab/>
            </w:r>
            <w:r>
              <w:rPr>
                <w:rFonts w:eastAsia="新宋体"/>
                <w:kern w:val="0"/>
                <w:sz w:val="24"/>
              </w:rPr>
              <w:t>（2）</w:t>
            </w:r>
          </w:p>
          <w:p w14:paraId="586021C0">
            <w:pPr>
              <w:kinsoku w:val="0"/>
              <w:overflowPunct w:val="0"/>
              <w:autoSpaceDE w:val="0"/>
              <w:autoSpaceDN w:val="0"/>
              <w:adjustRightInd w:val="0"/>
              <w:spacing w:line="360" w:lineRule="auto"/>
              <w:ind w:firstLine="480" w:firstLineChars="200"/>
              <w:rPr>
                <w:rFonts w:eastAsia="新宋体"/>
                <w:kern w:val="0"/>
                <w:sz w:val="24"/>
              </w:rPr>
            </w:pPr>
            <w:r>
              <w:rPr>
                <w:rFonts w:eastAsia="新宋体"/>
                <w:kern w:val="0"/>
                <w:sz w:val="24"/>
              </w:rPr>
              <w:t>如果烟气中二氧化硫浓度过高，生成的亚硫酸钠溶液可以进一步吸收二氧化硫：</w:t>
            </w:r>
          </w:p>
          <w:p w14:paraId="5B89F194">
            <w:pPr>
              <w:tabs>
                <w:tab w:val="left" w:pos="4025"/>
              </w:tabs>
              <w:kinsoku w:val="0"/>
              <w:overflowPunct w:val="0"/>
              <w:autoSpaceDE w:val="0"/>
              <w:autoSpaceDN w:val="0"/>
              <w:adjustRightInd w:val="0"/>
              <w:spacing w:line="360" w:lineRule="auto"/>
              <w:ind w:firstLine="480" w:firstLineChars="200"/>
              <w:jc w:val="center"/>
              <w:rPr>
                <w:rFonts w:eastAsia="新宋体"/>
                <w:kern w:val="0"/>
                <w:sz w:val="24"/>
              </w:rPr>
            </w:pPr>
            <w:r>
              <w:rPr>
                <w:rFonts w:eastAsia="新宋体"/>
                <w:kern w:val="0"/>
                <w:sz w:val="24"/>
              </w:rPr>
              <w:t>Na</w:t>
            </w:r>
            <w:r>
              <w:rPr>
                <w:rFonts w:eastAsia="新宋体"/>
                <w:kern w:val="0"/>
                <w:position w:val="-4"/>
                <w:sz w:val="12"/>
                <w:szCs w:val="12"/>
              </w:rPr>
              <w:t>2</w:t>
            </w:r>
            <w:r>
              <w:rPr>
                <w:rFonts w:eastAsia="新宋体"/>
                <w:kern w:val="0"/>
                <w:sz w:val="24"/>
              </w:rPr>
              <w:t>SO</w:t>
            </w:r>
            <w:r>
              <w:rPr>
                <w:rFonts w:eastAsia="新宋体"/>
                <w:kern w:val="0"/>
                <w:position w:val="-4"/>
                <w:sz w:val="12"/>
                <w:szCs w:val="12"/>
              </w:rPr>
              <w:t>3</w:t>
            </w:r>
            <w:r>
              <w:rPr>
                <w:rFonts w:eastAsia="新宋体"/>
                <w:kern w:val="0"/>
                <w:sz w:val="24"/>
              </w:rPr>
              <w:t>+ H</w:t>
            </w:r>
            <w:r>
              <w:rPr>
                <w:rFonts w:eastAsia="新宋体"/>
                <w:kern w:val="0"/>
                <w:position w:val="-4"/>
                <w:sz w:val="12"/>
                <w:szCs w:val="12"/>
              </w:rPr>
              <w:t>2</w:t>
            </w:r>
            <w:r>
              <w:rPr>
                <w:rFonts w:eastAsia="新宋体"/>
                <w:kern w:val="0"/>
                <w:sz w:val="24"/>
              </w:rPr>
              <w:t>SO</w:t>
            </w:r>
            <w:r>
              <w:rPr>
                <w:rFonts w:eastAsia="新宋体"/>
                <w:kern w:val="0"/>
                <w:position w:val="-4"/>
                <w:sz w:val="12"/>
                <w:szCs w:val="12"/>
              </w:rPr>
              <w:t>3</w:t>
            </w:r>
            <w:r>
              <w:rPr>
                <w:rFonts w:eastAsia="新宋体"/>
                <w:kern w:val="0"/>
                <w:sz w:val="24"/>
              </w:rPr>
              <w:t>=2NaHSO</w:t>
            </w:r>
            <w:r>
              <w:rPr>
                <w:rFonts w:eastAsia="新宋体"/>
                <w:kern w:val="0"/>
                <w:position w:val="-4"/>
                <w:sz w:val="12"/>
                <w:szCs w:val="12"/>
              </w:rPr>
              <w:t>3</w:t>
            </w:r>
            <w:r>
              <w:rPr>
                <w:rFonts w:eastAsia="新宋体"/>
                <w:kern w:val="0"/>
                <w:position w:val="-4"/>
                <w:sz w:val="12"/>
                <w:szCs w:val="12"/>
              </w:rPr>
              <w:tab/>
            </w:r>
            <w:r>
              <w:rPr>
                <w:rFonts w:eastAsia="新宋体"/>
                <w:kern w:val="0"/>
                <w:sz w:val="24"/>
              </w:rPr>
              <w:t>（3）</w:t>
            </w:r>
          </w:p>
          <w:p w14:paraId="61B6CA73">
            <w:pPr>
              <w:kinsoku w:val="0"/>
              <w:overflowPunct w:val="0"/>
              <w:autoSpaceDE w:val="0"/>
              <w:autoSpaceDN w:val="0"/>
              <w:adjustRightInd w:val="0"/>
              <w:spacing w:line="360" w:lineRule="auto"/>
              <w:ind w:firstLine="480" w:firstLineChars="200"/>
              <w:jc w:val="left"/>
              <w:rPr>
                <w:rFonts w:eastAsia="新宋体"/>
                <w:kern w:val="0"/>
                <w:sz w:val="24"/>
              </w:rPr>
            </w:pPr>
            <w:r>
              <w:rPr>
                <w:rFonts w:eastAsia="新宋体"/>
                <w:kern w:val="0"/>
                <w:sz w:val="24"/>
              </w:rPr>
              <w:t>在以上主反应发生的时候还会有以下副反应发生：</w:t>
            </w:r>
          </w:p>
          <w:p w14:paraId="30E426C4">
            <w:pPr>
              <w:kinsoku w:val="0"/>
              <w:overflowPunct w:val="0"/>
              <w:autoSpaceDE w:val="0"/>
              <w:autoSpaceDN w:val="0"/>
              <w:adjustRightInd w:val="0"/>
              <w:spacing w:line="360" w:lineRule="auto"/>
              <w:ind w:firstLine="480" w:firstLineChars="200"/>
              <w:jc w:val="center"/>
              <w:rPr>
                <w:rFonts w:eastAsia="新宋体"/>
                <w:kern w:val="0"/>
                <w:position w:val="-4"/>
                <w:sz w:val="12"/>
                <w:szCs w:val="12"/>
              </w:rPr>
            </w:pPr>
            <w:r>
              <w:rPr>
                <w:rFonts w:eastAsia="新宋体"/>
                <w:kern w:val="0"/>
                <w:sz w:val="24"/>
              </w:rPr>
              <w:t>Na</w:t>
            </w:r>
            <w:r>
              <w:rPr>
                <w:rFonts w:eastAsia="新宋体"/>
                <w:kern w:val="0"/>
                <w:position w:val="-4"/>
                <w:sz w:val="12"/>
                <w:szCs w:val="12"/>
              </w:rPr>
              <w:t>2</w:t>
            </w:r>
            <w:r>
              <w:rPr>
                <w:rFonts w:eastAsia="新宋体"/>
                <w:kern w:val="0"/>
                <w:sz w:val="24"/>
              </w:rPr>
              <w:t>SO</w:t>
            </w:r>
            <w:r>
              <w:rPr>
                <w:rFonts w:eastAsia="新宋体"/>
                <w:kern w:val="0"/>
                <w:position w:val="-4"/>
                <w:sz w:val="12"/>
                <w:szCs w:val="12"/>
              </w:rPr>
              <w:t>3</w:t>
            </w:r>
            <w:r>
              <w:rPr>
                <w:rFonts w:eastAsia="新宋体"/>
                <w:kern w:val="0"/>
                <w:sz w:val="24"/>
              </w:rPr>
              <w:t>+1/2O</w:t>
            </w:r>
            <w:r>
              <w:rPr>
                <w:rFonts w:eastAsia="新宋体"/>
                <w:kern w:val="0"/>
                <w:position w:val="-4"/>
                <w:sz w:val="12"/>
                <w:szCs w:val="12"/>
              </w:rPr>
              <w:t>2</w:t>
            </w:r>
            <w:r>
              <w:rPr>
                <w:rFonts w:eastAsia="新宋体"/>
                <w:kern w:val="0"/>
                <w:sz w:val="24"/>
              </w:rPr>
              <w:t>=Na</w:t>
            </w:r>
            <w:r>
              <w:rPr>
                <w:rFonts w:eastAsia="新宋体"/>
                <w:kern w:val="0"/>
                <w:position w:val="-4"/>
                <w:sz w:val="12"/>
                <w:szCs w:val="12"/>
              </w:rPr>
              <w:t>2</w:t>
            </w:r>
            <w:r>
              <w:rPr>
                <w:rFonts w:eastAsia="新宋体"/>
                <w:kern w:val="0"/>
                <w:sz w:val="24"/>
              </w:rPr>
              <w:t>SO</w:t>
            </w:r>
            <w:r>
              <w:rPr>
                <w:rFonts w:eastAsia="新宋体"/>
                <w:kern w:val="0"/>
                <w:position w:val="-4"/>
                <w:sz w:val="12"/>
                <w:szCs w:val="12"/>
              </w:rPr>
              <w:t>4</w:t>
            </w:r>
          </w:p>
          <w:p w14:paraId="4AB0D24E">
            <w:pPr>
              <w:spacing w:line="360" w:lineRule="auto"/>
              <w:ind w:firstLine="480" w:firstLineChars="200"/>
              <w:outlineLvl w:val="0"/>
              <w:rPr>
                <w:sz w:val="24"/>
              </w:rPr>
            </w:pPr>
            <w:r>
              <w:rPr>
                <w:sz w:val="24"/>
              </w:rPr>
              <w:t>当加入NaOH之后，反应（2）为主要反应，系统在启动一段时间内 NaOH 成分消耗完毕，然后开始反应（3），pH 值缓慢下降，当 PH 值下降到 5.5 以下时（表明溶液中主要成分为 NaHSO</w:t>
            </w:r>
            <w:r>
              <w:rPr>
                <w:sz w:val="24"/>
                <w:vertAlign w:val="subscript"/>
              </w:rPr>
              <w:t>3</w:t>
            </w:r>
            <w:r>
              <w:rPr>
                <w:sz w:val="24"/>
              </w:rPr>
              <w:t xml:space="preserve"> 和 Na</w:t>
            </w:r>
            <w:r>
              <w:rPr>
                <w:sz w:val="24"/>
                <w:vertAlign w:val="subscript"/>
              </w:rPr>
              <w:t>2</w:t>
            </w:r>
            <w:r>
              <w:rPr>
                <w:sz w:val="24"/>
              </w:rPr>
              <w:t>SO</w:t>
            </w:r>
            <w:r>
              <w:rPr>
                <w:sz w:val="24"/>
                <w:vertAlign w:val="subscript"/>
              </w:rPr>
              <w:t>4</w:t>
            </w:r>
            <w:r>
              <w:rPr>
                <w:sz w:val="24"/>
              </w:rPr>
              <w:t>）将吸收液排出塔体进入沉淀池进行沉淀。</w:t>
            </w:r>
          </w:p>
          <w:p w14:paraId="4050AAA8">
            <w:pPr>
              <w:kinsoku w:val="0"/>
              <w:overflowPunct w:val="0"/>
              <w:autoSpaceDE w:val="0"/>
              <w:autoSpaceDN w:val="0"/>
              <w:adjustRightInd w:val="0"/>
              <w:spacing w:line="360" w:lineRule="auto"/>
              <w:ind w:firstLine="480" w:firstLineChars="200"/>
              <w:jc w:val="left"/>
              <w:rPr>
                <w:rFonts w:eastAsia="新宋体"/>
                <w:kern w:val="0"/>
                <w:sz w:val="24"/>
              </w:rPr>
            </w:pPr>
            <w:r>
              <w:rPr>
                <w:rFonts w:eastAsia="新宋体"/>
                <w:kern w:val="0"/>
                <w:sz w:val="24"/>
              </w:rPr>
              <w:t>沉淀阶段：</w:t>
            </w:r>
          </w:p>
          <w:p w14:paraId="1122335E">
            <w:pPr>
              <w:kinsoku w:val="0"/>
              <w:overflowPunct w:val="0"/>
              <w:autoSpaceDE w:val="0"/>
              <w:autoSpaceDN w:val="0"/>
              <w:adjustRightInd w:val="0"/>
              <w:spacing w:line="360" w:lineRule="auto"/>
              <w:ind w:firstLine="480" w:firstLineChars="200"/>
              <w:jc w:val="left"/>
              <w:rPr>
                <w:rFonts w:eastAsia="新宋体"/>
                <w:kern w:val="0"/>
                <w:sz w:val="24"/>
              </w:rPr>
            </w:pPr>
            <w:r>
              <w:rPr>
                <w:rFonts w:eastAsia="新宋体"/>
                <w:kern w:val="0"/>
                <w:sz w:val="24"/>
              </w:rPr>
              <w:t>首先在沉淀池中加入石灰：</w:t>
            </w:r>
          </w:p>
          <w:p w14:paraId="1A71272B">
            <w:pPr>
              <w:tabs>
                <w:tab w:val="left" w:pos="2758"/>
              </w:tabs>
              <w:kinsoku w:val="0"/>
              <w:overflowPunct w:val="0"/>
              <w:autoSpaceDE w:val="0"/>
              <w:autoSpaceDN w:val="0"/>
              <w:adjustRightInd w:val="0"/>
              <w:spacing w:line="360" w:lineRule="auto"/>
              <w:ind w:firstLine="480" w:firstLineChars="200"/>
              <w:jc w:val="center"/>
              <w:rPr>
                <w:rFonts w:eastAsia="新宋体"/>
                <w:kern w:val="0"/>
                <w:sz w:val="24"/>
              </w:rPr>
            </w:pPr>
            <w:r>
              <w:rPr>
                <w:rFonts w:eastAsia="新宋体"/>
                <w:kern w:val="0"/>
                <w:sz w:val="24"/>
              </w:rPr>
              <w:t>CaO+H</w:t>
            </w:r>
            <w:r>
              <w:rPr>
                <w:rFonts w:eastAsia="新宋体"/>
                <w:kern w:val="0"/>
                <w:position w:val="-4"/>
                <w:sz w:val="12"/>
                <w:szCs w:val="12"/>
              </w:rPr>
              <w:t>2</w:t>
            </w:r>
            <w:r>
              <w:rPr>
                <w:rFonts w:eastAsia="新宋体"/>
                <w:kern w:val="0"/>
                <w:sz w:val="24"/>
              </w:rPr>
              <w:t>O=Ca(OH)</w:t>
            </w:r>
            <w:r>
              <w:rPr>
                <w:rFonts w:eastAsia="新宋体"/>
                <w:kern w:val="0"/>
                <w:position w:val="-4"/>
                <w:sz w:val="12"/>
                <w:szCs w:val="12"/>
              </w:rPr>
              <w:t>2</w:t>
            </w:r>
            <w:r>
              <w:rPr>
                <w:rFonts w:eastAsia="新宋体"/>
                <w:kern w:val="0"/>
                <w:position w:val="-4"/>
                <w:sz w:val="12"/>
                <w:szCs w:val="12"/>
              </w:rPr>
              <w:tab/>
            </w:r>
            <w:r>
              <w:rPr>
                <w:rFonts w:eastAsia="新宋体"/>
                <w:kern w:val="0"/>
                <w:sz w:val="24"/>
              </w:rPr>
              <w:t>（4）</w:t>
            </w:r>
          </w:p>
          <w:p w14:paraId="553C2F6A">
            <w:pPr>
              <w:tabs>
                <w:tab w:val="left" w:pos="6574"/>
              </w:tabs>
              <w:kinsoku w:val="0"/>
              <w:overflowPunct w:val="0"/>
              <w:autoSpaceDE w:val="0"/>
              <w:autoSpaceDN w:val="0"/>
              <w:adjustRightInd w:val="0"/>
              <w:spacing w:line="360" w:lineRule="auto"/>
              <w:ind w:firstLine="480" w:firstLineChars="200"/>
              <w:jc w:val="left"/>
              <w:rPr>
                <w:rFonts w:eastAsia="新宋体"/>
                <w:kern w:val="0"/>
                <w:sz w:val="24"/>
              </w:rPr>
            </w:pPr>
            <w:r>
              <w:rPr>
                <w:rFonts w:eastAsia="新宋体"/>
                <w:kern w:val="0"/>
                <w:sz w:val="24"/>
              </w:rPr>
              <w:t>然后进入清水池中发生下列反应2NaHSO</w:t>
            </w:r>
            <w:r>
              <w:rPr>
                <w:rFonts w:eastAsia="新宋体"/>
                <w:kern w:val="0"/>
                <w:position w:val="-4"/>
                <w:sz w:val="12"/>
                <w:szCs w:val="12"/>
              </w:rPr>
              <w:t>3</w:t>
            </w:r>
            <w:r>
              <w:rPr>
                <w:rFonts w:eastAsia="新宋体"/>
                <w:kern w:val="0"/>
                <w:sz w:val="24"/>
              </w:rPr>
              <w:t>+Ca(OH)</w:t>
            </w:r>
            <w:r>
              <w:rPr>
                <w:rFonts w:eastAsia="新宋体"/>
                <w:kern w:val="0"/>
                <w:position w:val="-4"/>
                <w:sz w:val="12"/>
                <w:szCs w:val="12"/>
              </w:rPr>
              <w:t>2</w:t>
            </w:r>
            <w:r>
              <w:rPr>
                <w:rFonts w:eastAsia="新宋体"/>
                <w:kern w:val="0"/>
                <w:sz w:val="24"/>
              </w:rPr>
              <w:t>=Na</w:t>
            </w:r>
            <w:r>
              <w:rPr>
                <w:rFonts w:eastAsia="新宋体"/>
                <w:kern w:val="0"/>
                <w:position w:val="-4"/>
                <w:sz w:val="12"/>
                <w:szCs w:val="12"/>
              </w:rPr>
              <w:t>2</w:t>
            </w:r>
            <w:r>
              <w:rPr>
                <w:rFonts w:eastAsia="新宋体"/>
                <w:kern w:val="0"/>
                <w:sz w:val="24"/>
              </w:rPr>
              <w:t>SO</w:t>
            </w:r>
            <w:r>
              <w:rPr>
                <w:rFonts w:eastAsia="新宋体"/>
                <w:kern w:val="0"/>
                <w:position w:val="-4"/>
                <w:sz w:val="12"/>
                <w:szCs w:val="12"/>
              </w:rPr>
              <w:t>3</w:t>
            </w:r>
            <w:r>
              <w:rPr>
                <w:rFonts w:eastAsia="新宋体"/>
                <w:kern w:val="0"/>
                <w:sz w:val="24"/>
              </w:rPr>
              <w:t>+CaSO</w:t>
            </w:r>
            <w:r>
              <w:rPr>
                <w:rFonts w:eastAsia="新宋体"/>
                <w:kern w:val="0"/>
                <w:position w:val="-4"/>
                <w:sz w:val="12"/>
                <w:szCs w:val="12"/>
              </w:rPr>
              <w:t>3</w:t>
            </w:r>
            <w:r>
              <w:rPr>
                <w:rFonts w:eastAsia="新宋体"/>
                <w:kern w:val="0"/>
                <w:sz w:val="24"/>
              </w:rPr>
              <w:t>·1/2H</w:t>
            </w:r>
            <w:r>
              <w:rPr>
                <w:rFonts w:eastAsia="新宋体"/>
                <w:kern w:val="0"/>
                <w:position w:val="-4"/>
                <w:sz w:val="12"/>
                <w:szCs w:val="12"/>
              </w:rPr>
              <w:t>2</w:t>
            </w:r>
            <w:r>
              <w:rPr>
                <w:rFonts w:eastAsia="新宋体"/>
                <w:kern w:val="0"/>
                <w:sz w:val="24"/>
              </w:rPr>
              <w:t>O↓+3/2H</w:t>
            </w:r>
            <w:r>
              <w:rPr>
                <w:rFonts w:eastAsia="新宋体"/>
                <w:kern w:val="0"/>
                <w:position w:val="-4"/>
                <w:sz w:val="12"/>
                <w:szCs w:val="12"/>
              </w:rPr>
              <w:t>2</w:t>
            </w:r>
            <w:r>
              <w:rPr>
                <w:rFonts w:eastAsia="新宋体"/>
                <w:kern w:val="0"/>
                <w:sz w:val="24"/>
              </w:rPr>
              <w:t>O（5）</w:t>
            </w:r>
          </w:p>
          <w:p w14:paraId="1D92A78E">
            <w:pPr>
              <w:tabs>
                <w:tab w:val="left" w:pos="5703"/>
              </w:tabs>
              <w:kinsoku w:val="0"/>
              <w:overflowPunct w:val="0"/>
              <w:autoSpaceDE w:val="0"/>
              <w:autoSpaceDN w:val="0"/>
              <w:adjustRightInd w:val="0"/>
              <w:spacing w:line="360" w:lineRule="auto"/>
              <w:ind w:firstLine="480" w:firstLineChars="200"/>
              <w:jc w:val="center"/>
              <w:rPr>
                <w:rFonts w:eastAsia="新宋体"/>
                <w:kern w:val="0"/>
                <w:sz w:val="24"/>
              </w:rPr>
            </w:pPr>
            <w:r>
              <w:rPr>
                <w:rFonts w:eastAsia="新宋体"/>
                <w:kern w:val="0"/>
                <w:sz w:val="24"/>
              </w:rPr>
              <w:t>脱硫塔内部分</w:t>
            </w:r>
            <w:r>
              <w:rPr>
                <w:rFonts w:eastAsia="新宋体"/>
                <w:spacing w:val="-60"/>
                <w:kern w:val="0"/>
                <w:sz w:val="24"/>
              </w:rPr>
              <w:t xml:space="preserve"> </w:t>
            </w:r>
            <w:r>
              <w:rPr>
                <w:rFonts w:eastAsia="新宋体"/>
                <w:kern w:val="0"/>
                <w:sz w:val="24"/>
              </w:rPr>
              <w:t>Na</w:t>
            </w:r>
            <w:r>
              <w:rPr>
                <w:rFonts w:eastAsia="新宋体"/>
                <w:kern w:val="0"/>
                <w:position w:val="-4"/>
                <w:sz w:val="12"/>
                <w:szCs w:val="12"/>
              </w:rPr>
              <w:t>2</w:t>
            </w:r>
            <w:r>
              <w:rPr>
                <w:rFonts w:eastAsia="新宋体"/>
                <w:kern w:val="0"/>
                <w:sz w:val="24"/>
              </w:rPr>
              <w:t>SO</w:t>
            </w:r>
            <w:r>
              <w:rPr>
                <w:rFonts w:eastAsia="新宋体"/>
                <w:kern w:val="0"/>
                <w:position w:val="-4"/>
                <w:sz w:val="12"/>
                <w:szCs w:val="12"/>
              </w:rPr>
              <w:t>3</w:t>
            </w:r>
            <w:r>
              <w:rPr>
                <w:rFonts w:eastAsia="新宋体"/>
                <w:spacing w:val="-32"/>
                <w:kern w:val="0"/>
                <w:position w:val="-4"/>
                <w:sz w:val="12"/>
                <w:szCs w:val="12"/>
              </w:rPr>
              <w:t xml:space="preserve"> </w:t>
            </w:r>
            <w:r>
              <w:rPr>
                <w:rFonts w:eastAsia="新宋体"/>
                <w:kern w:val="0"/>
                <w:sz w:val="24"/>
              </w:rPr>
              <w:t>被氧化生成的</w:t>
            </w:r>
            <w:r>
              <w:rPr>
                <w:rFonts w:eastAsia="新宋体"/>
                <w:spacing w:val="-60"/>
                <w:kern w:val="0"/>
                <w:sz w:val="24"/>
              </w:rPr>
              <w:t xml:space="preserve"> </w:t>
            </w:r>
            <w:r>
              <w:rPr>
                <w:rFonts w:eastAsia="新宋体"/>
                <w:kern w:val="0"/>
                <w:sz w:val="24"/>
              </w:rPr>
              <w:t>Na</w:t>
            </w:r>
            <w:r>
              <w:rPr>
                <w:rFonts w:eastAsia="新宋体"/>
                <w:kern w:val="0"/>
                <w:position w:val="-4"/>
                <w:sz w:val="12"/>
                <w:szCs w:val="12"/>
              </w:rPr>
              <w:t>2</w:t>
            </w:r>
            <w:r>
              <w:rPr>
                <w:rFonts w:eastAsia="新宋体"/>
                <w:kern w:val="0"/>
                <w:sz w:val="24"/>
              </w:rPr>
              <w:t>SO</w:t>
            </w:r>
            <w:r>
              <w:rPr>
                <w:rFonts w:eastAsia="新宋体"/>
                <w:kern w:val="0"/>
                <w:position w:val="-4"/>
                <w:sz w:val="12"/>
                <w:szCs w:val="12"/>
              </w:rPr>
              <w:t>4</w:t>
            </w:r>
            <w:r>
              <w:rPr>
                <w:rFonts w:eastAsia="新宋体"/>
                <w:spacing w:val="-29"/>
                <w:kern w:val="0"/>
                <w:position w:val="-4"/>
                <w:sz w:val="12"/>
                <w:szCs w:val="12"/>
              </w:rPr>
              <w:t xml:space="preserve"> </w:t>
            </w:r>
            <w:r>
              <w:rPr>
                <w:rFonts w:eastAsia="新宋体"/>
                <w:kern w:val="0"/>
                <w:sz w:val="24"/>
              </w:rPr>
              <w:t>于沉淀池中发生以下反应： Na</w:t>
            </w:r>
            <w:r>
              <w:rPr>
                <w:rFonts w:eastAsia="新宋体"/>
                <w:kern w:val="0"/>
                <w:position w:val="-4"/>
                <w:sz w:val="12"/>
                <w:szCs w:val="12"/>
              </w:rPr>
              <w:t>2</w:t>
            </w:r>
            <w:r>
              <w:rPr>
                <w:rFonts w:eastAsia="新宋体"/>
                <w:kern w:val="0"/>
                <w:sz w:val="24"/>
              </w:rPr>
              <w:t>SO</w:t>
            </w:r>
            <w:r>
              <w:rPr>
                <w:rFonts w:eastAsia="新宋体"/>
                <w:kern w:val="0"/>
                <w:position w:val="-4"/>
                <w:sz w:val="12"/>
                <w:szCs w:val="12"/>
              </w:rPr>
              <w:t>4</w:t>
            </w:r>
            <w:r>
              <w:rPr>
                <w:rFonts w:eastAsia="新宋体"/>
                <w:kern w:val="0"/>
                <w:sz w:val="24"/>
              </w:rPr>
              <w:t>+Ca(OH)</w:t>
            </w:r>
            <w:r>
              <w:rPr>
                <w:rFonts w:eastAsia="新宋体"/>
                <w:kern w:val="0"/>
                <w:position w:val="-4"/>
                <w:sz w:val="12"/>
                <w:szCs w:val="12"/>
              </w:rPr>
              <w:t>2</w:t>
            </w:r>
            <w:r>
              <w:rPr>
                <w:rFonts w:eastAsia="新宋体"/>
                <w:kern w:val="0"/>
                <w:sz w:val="24"/>
              </w:rPr>
              <w:t>=2NaOH+CaSO</w:t>
            </w:r>
            <w:r>
              <w:rPr>
                <w:rFonts w:eastAsia="新宋体"/>
                <w:kern w:val="0"/>
                <w:position w:val="-4"/>
                <w:sz w:val="12"/>
                <w:szCs w:val="12"/>
              </w:rPr>
              <w:t>4</w:t>
            </w:r>
            <w:r>
              <w:rPr>
                <w:rFonts w:eastAsia="新宋体"/>
                <w:kern w:val="0"/>
                <w:sz w:val="24"/>
              </w:rPr>
              <w:t>↓  （6）</w:t>
            </w:r>
          </w:p>
          <w:p w14:paraId="662162A3">
            <w:pPr>
              <w:kinsoku w:val="0"/>
              <w:overflowPunct w:val="0"/>
              <w:autoSpaceDE w:val="0"/>
              <w:autoSpaceDN w:val="0"/>
              <w:adjustRightInd w:val="0"/>
              <w:spacing w:line="360" w:lineRule="auto"/>
              <w:ind w:firstLine="480" w:firstLineChars="200"/>
              <w:jc w:val="left"/>
              <w:rPr>
                <w:rFonts w:eastAsia="新宋体"/>
                <w:kern w:val="0"/>
                <w:sz w:val="24"/>
              </w:rPr>
            </w:pPr>
            <w:r>
              <w:rPr>
                <w:rFonts w:eastAsia="新宋体"/>
                <w:kern w:val="0"/>
                <w:sz w:val="24"/>
              </w:rPr>
              <w:t>氧化阶段：</w:t>
            </w:r>
          </w:p>
          <w:p w14:paraId="6DE34576">
            <w:pPr>
              <w:tabs>
                <w:tab w:val="left" w:pos="6423"/>
              </w:tabs>
              <w:kinsoku w:val="0"/>
              <w:overflowPunct w:val="0"/>
              <w:autoSpaceDE w:val="0"/>
              <w:autoSpaceDN w:val="0"/>
              <w:adjustRightInd w:val="0"/>
              <w:spacing w:line="360" w:lineRule="auto"/>
              <w:ind w:firstLine="480" w:firstLineChars="200"/>
              <w:jc w:val="left"/>
              <w:rPr>
                <w:rFonts w:eastAsia="新宋体"/>
                <w:kern w:val="0"/>
                <w:sz w:val="24"/>
              </w:rPr>
            </w:pPr>
            <w:r>
              <w:rPr>
                <w:rFonts w:eastAsia="新宋体"/>
                <w:kern w:val="0"/>
                <w:sz w:val="24"/>
              </w:rPr>
              <w:t>生成的亚硫酸钙进入氧化池氧化。CaSO</w:t>
            </w:r>
            <w:r>
              <w:rPr>
                <w:rFonts w:eastAsia="新宋体"/>
                <w:kern w:val="0"/>
                <w:position w:val="-4"/>
                <w:sz w:val="12"/>
                <w:szCs w:val="12"/>
              </w:rPr>
              <w:t>3</w:t>
            </w:r>
            <w:r>
              <w:rPr>
                <w:rFonts w:eastAsia="新宋体"/>
                <w:kern w:val="0"/>
                <w:sz w:val="24"/>
              </w:rPr>
              <w:t>·1/2H</w:t>
            </w:r>
            <w:r>
              <w:rPr>
                <w:rFonts w:eastAsia="新宋体"/>
                <w:kern w:val="0"/>
                <w:position w:val="-4"/>
                <w:sz w:val="12"/>
                <w:szCs w:val="12"/>
              </w:rPr>
              <w:t>2</w:t>
            </w:r>
            <w:r>
              <w:rPr>
                <w:rFonts w:eastAsia="新宋体"/>
                <w:kern w:val="0"/>
                <w:sz w:val="24"/>
              </w:rPr>
              <w:t>O+1/2O</w:t>
            </w:r>
            <w:r>
              <w:rPr>
                <w:rFonts w:eastAsia="新宋体"/>
                <w:kern w:val="0"/>
                <w:position w:val="-4"/>
                <w:sz w:val="12"/>
                <w:szCs w:val="12"/>
              </w:rPr>
              <w:t>2</w:t>
            </w:r>
            <w:r>
              <w:rPr>
                <w:rFonts w:eastAsia="新宋体"/>
                <w:kern w:val="0"/>
                <w:sz w:val="24"/>
              </w:rPr>
              <w:t>+3/2H</w:t>
            </w:r>
            <w:r>
              <w:rPr>
                <w:rFonts w:eastAsia="新宋体"/>
                <w:kern w:val="0"/>
                <w:position w:val="-4"/>
                <w:sz w:val="12"/>
                <w:szCs w:val="12"/>
              </w:rPr>
              <w:t>2</w:t>
            </w:r>
            <w:r>
              <w:rPr>
                <w:rFonts w:eastAsia="新宋体"/>
                <w:kern w:val="0"/>
                <w:sz w:val="24"/>
              </w:rPr>
              <w:t>O=CaSO</w:t>
            </w:r>
            <w:r>
              <w:rPr>
                <w:rFonts w:eastAsia="新宋体"/>
                <w:kern w:val="0"/>
                <w:position w:val="-4"/>
                <w:sz w:val="12"/>
                <w:szCs w:val="12"/>
              </w:rPr>
              <w:t>4</w:t>
            </w:r>
            <w:r>
              <w:rPr>
                <w:rFonts w:eastAsia="新宋体"/>
                <w:kern w:val="0"/>
                <w:sz w:val="24"/>
              </w:rPr>
              <w:t>·2H</w:t>
            </w:r>
            <w:r>
              <w:rPr>
                <w:rFonts w:eastAsia="新宋体"/>
                <w:kern w:val="0"/>
                <w:position w:val="-4"/>
                <w:sz w:val="12"/>
                <w:szCs w:val="12"/>
              </w:rPr>
              <w:t>2</w:t>
            </w:r>
            <w:r>
              <w:rPr>
                <w:rFonts w:eastAsia="新宋体"/>
                <w:kern w:val="0"/>
                <w:sz w:val="24"/>
              </w:rPr>
              <w:t>O↓</w:t>
            </w:r>
            <w:r>
              <w:rPr>
                <w:rFonts w:eastAsia="新宋体"/>
                <w:kern w:val="0"/>
                <w:sz w:val="24"/>
              </w:rPr>
              <w:tab/>
            </w:r>
            <w:r>
              <w:rPr>
                <w:rFonts w:eastAsia="新宋体"/>
                <w:kern w:val="0"/>
                <w:sz w:val="24"/>
              </w:rPr>
              <w:t>（7）</w:t>
            </w:r>
          </w:p>
          <w:p w14:paraId="30DE45E3">
            <w:pPr>
              <w:kinsoku w:val="0"/>
              <w:overflowPunct w:val="0"/>
              <w:autoSpaceDE w:val="0"/>
              <w:autoSpaceDN w:val="0"/>
              <w:adjustRightInd w:val="0"/>
              <w:spacing w:line="360" w:lineRule="auto"/>
              <w:ind w:firstLine="480" w:firstLineChars="200"/>
              <w:jc w:val="left"/>
              <w:rPr>
                <w:rFonts w:eastAsia="新宋体"/>
                <w:kern w:val="0"/>
                <w:sz w:val="24"/>
              </w:rPr>
            </w:pPr>
            <w:r>
              <w:rPr>
                <w:rFonts w:eastAsia="新宋体"/>
                <w:kern w:val="0"/>
                <w:sz w:val="24"/>
              </w:rPr>
              <w:t>产生的 CaSO</w:t>
            </w:r>
            <w:r>
              <w:rPr>
                <w:rFonts w:eastAsia="新宋体"/>
                <w:kern w:val="0"/>
                <w:position w:val="-4"/>
                <w:sz w:val="12"/>
                <w:szCs w:val="12"/>
              </w:rPr>
              <w:t>4</w:t>
            </w:r>
            <w:r>
              <w:rPr>
                <w:rFonts w:eastAsia="新宋体"/>
                <w:kern w:val="0"/>
                <w:sz w:val="24"/>
              </w:rPr>
              <w:t>·2H</w:t>
            </w:r>
            <w:r>
              <w:rPr>
                <w:rFonts w:eastAsia="新宋体"/>
                <w:kern w:val="0"/>
                <w:position w:val="-4"/>
                <w:sz w:val="12"/>
                <w:szCs w:val="12"/>
              </w:rPr>
              <w:t>2</w:t>
            </w:r>
            <w:r>
              <w:rPr>
                <w:rFonts w:eastAsia="新宋体"/>
                <w:kern w:val="0"/>
                <w:sz w:val="24"/>
              </w:rPr>
              <w:t>O 经过沉淀池沉淀和脱水，形成最终产物石膏。</w:t>
            </w:r>
          </w:p>
          <w:bookmarkEnd w:id="11"/>
          <w:p w14:paraId="1D6A1D9D">
            <w:pPr>
              <w:spacing w:line="360" w:lineRule="auto"/>
              <w:ind w:firstLine="482" w:firstLineChars="200"/>
            </w:pPr>
            <w:r>
              <w:rPr>
                <w:b/>
                <w:bCs/>
                <w:sz w:val="24"/>
              </w:rPr>
              <w:t>2.2、生产工艺流程及产污节点图</w:t>
            </w:r>
          </w:p>
          <w:p w14:paraId="27E5F320">
            <w:pPr>
              <w:pStyle w:val="2"/>
              <w:jc w:val="center"/>
              <w:rPr>
                <w:rFonts w:ascii="Times New Roman" w:hAnsi="Times New Roman"/>
              </w:rPr>
            </w:pPr>
            <w:r>
              <w:rPr>
                <w:rFonts w:ascii="Times New Roman" w:hAnsi="Times New Roman"/>
              </w:rPr>
              <w:object>
                <v:shape id="_x0000_i1025" o:spt="75" type="#_x0000_t75" style="height:500.4pt;width:409.65pt;" o:ole="t" filled="f" o:preferrelative="t" stroked="f" coordsize="21600,21600">
                  <v:path/>
                  <v:fill on="f" focussize="0,0"/>
                  <v:stroke on="f" joinstyle="miter"/>
                  <v:imagedata r:id="rId8" o:title=""/>
                  <o:lock v:ext="edit" aspectratio="t"/>
                  <w10:wrap type="none"/>
                  <w10:anchorlock/>
                </v:shape>
                <o:OLEObject Type="Embed" ProgID="Visio.Drawing.15" ShapeID="_x0000_i1025" DrawAspect="Content" ObjectID="_1468075725">
                  <o:LockedField>false</o:LockedField>
                </o:OLEObject>
              </w:object>
            </w:r>
          </w:p>
          <w:p w14:paraId="63E0C2F7">
            <w:pPr>
              <w:pStyle w:val="2"/>
              <w:spacing w:line="240" w:lineRule="auto"/>
              <w:jc w:val="center"/>
              <w:rPr>
                <w:rFonts w:ascii="Times New Roman" w:hAnsi="Times New Roman"/>
                <w:sz w:val="24"/>
              </w:rPr>
            </w:pPr>
            <w:r>
              <w:rPr>
                <w:rFonts w:ascii="Times New Roman" w:hAnsi="Times New Roman"/>
                <w:b/>
                <w:sz w:val="24"/>
                <w:szCs w:val="24"/>
              </w:rPr>
              <w:t>图2-4  工艺流程及产污节点图</w:t>
            </w:r>
          </w:p>
        </w:tc>
      </w:tr>
      <w:tr w14:paraId="0BFB0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9" w:hRule="atLeast"/>
          <w:jc w:val="center"/>
        </w:trPr>
        <w:tc>
          <w:tcPr>
            <w:tcW w:w="457" w:type="dxa"/>
            <w:vAlign w:val="center"/>
          </w:tcPr>
          <w:p w14:paraId="006F6C59">
            <w:pPr>
              <w:pStyle w:val="20"/>
              <w:adjustRightInd w:val="0"/>
              <w:snapToGrid w:val="0"/>
              <w:spacing w:before="0" w:beforeAutospacing="0" w:after="0" w:afterAutospacing="0"/>
              <w:jc w:val="center"/>
              <w:rPr>
                <w:rFonts w:ascii="Times New Roman" w:hAnsi="Times New Roman"/>
                <w:b/>
                <w:bCs/>
                <w:szCs w:val="24"/>
              </w:rPr>
            </w:pPr>
            <w:r>
              <w:rPr>
                <w:rFonts w:ascii="Times New Roman" w:hAnsi="Times New Roman"/>
                <w:b/>
                <w:bCs/>
                <w:kern w:val="2"/>
                <w:szCs w:val="24"/>
              </w:rPr>
              <w:t>与项目有关的原有环境污染问题</w:t>
            </w:r>
          </w:p>
        </w:tc>
        <w:tc>
          <w:tcPr>
            <w:tcW w:w="9968" w:type="dxa"/>
            <w:vAlign w:val="center"/>
          </w:tcPr>
          <w:p w14:paraId="3A8D5383">
            <w:pPr>
              <w:spacing w:line="360" w:lineRule="auto"/>
              <w:ind w:firstLine="482" w:firstLineChars="200"/>
              <w:rPr>
                <w:b/>
                <w:bCs/>
              </w:rPr>
            </w:pPr>
            <w:r>
              <w:rPr>
                <w:b/>
                <w:bCs/>
                <w:sz w:val="24"/>
              </w:rPr>
              <w:t>1、与项目有关的原有环境污染问题</w:t>
            </w:r>
          </w:p>
          <w:p w14:paraId="2505354F">
            <w:pPr>
              <w:pStyle w:val="24"/>
              <w:spacing w:after="0" w:line="360" w:lineRule="auto"/>
              <w:ind w:firstLine="0"/>
              <w:rPr>
                <w:b/>
                <w:bCs/>
                <w:sz w:val="24"/>
              </w:rPr>
            </w:pPr>
            <w:r>
              <w:rPr>
                <w:b/>
                <w:bCs/>
                <w:sz w:val="24"/>
              </w:rPr>
              <w:t>（1）环保手续办理情况</w:t>
            </w:r>
          </w:p>
          <w:p w14:paraId="724B02EC">
            <w:pPr>
              <w:spacing w:line="360" w:lineRule="auto"/>
              <w:ind w:firstLine="480" w:firstLineChars="200"/>
              <w:jc w:val="left"/>
              <w:rPr>
                <w:sz w:val="24"/>
              </w:rPr>
            </w:pPr>
            <w:r>
              <w:rPr>
                <w:sz w:val="24"/>
              </w:rPr>
              <w:t>2008年7月取得潞西市环境保护局关于对《潞西市风平镇南相章页岩砖厂环境影响报告表的批复》（潞环许准〔2008〕08号）。</w:t>
            </w:r>
          </w:p>
          <w:p w14:paraId="5B79B67E">
            <w:pPr>
              <w:spacing w:line="360" w:lineRule="auto"/>
              <w:ind w:firstLine="480" w:firstLineChars="200"/>
              <w:jc w:val="left"/>
              <w:rPr>
                <w:bCs/>
                <w:sz w:val="24"/>
              </w:rPr>
            </w:pPr>
            <w:r>
              <w:rPr>
                <w:sz w:val="24"/>
              </w:rPr>
              <w:t>2013年3月取得芒市环境保护局关于对《芒市风平镇永发页岩砖厂项目竣工环境保护验收的批复》（芒环复〔2013〕23号）</w:t>
            </w:r>
            <w:r>
              <w:rPr>
                <w:bCs/>
                <w:sz w:val="24"/>
              </w:rPr>
              <w:t>。</w:t>
            </w:r>
          </w:p>
          <w:p w14:paraId="69AD2F2B">
            <w:pPr>
              <w:spacing w:line="360" w:lineRule="auto"/>
              <w:ind w:firstLine="480" w:firstLineChars="200"/>
              <w:jc w:val="left"/>
              <w:rPr>
                <w:bCs/>
                <w:sz w:val="24"/>
              </w:rPr>
            </w:pPr>
            <w:r>
              <w:rPr>
                <w:bCs/>
                <w:sz w:val="24"/>
              </w:rPr>
              <w:t>2020年6月取得德宏傣族景颇族自治州生态环境局排污许可证，证书编号：91533103MA6NEY2Y9K001V；</w:t>
            </w:r>
          </w:p>
          <w:p w14:paraId="377F22B5">
            <w:pPr>
              <w:spacing w:line="360" w:lineRule="auto"/>
              <w:ind w:firstLine="482" w:firstLineChars="200"/>
              <w:rPr>
                <w:b/>
                <w:bCs/>
              </w:rPr>
            </w:pPr>
            <w:r>
              <w:rPr>
                <w:b/>
                <w:bCs/>
                <w:sz w:val="24"/>
              </w:rPr>
              <w:t>2、原有污染物治理措施及达标情况</w:t>
            </w:r>
          </w:p>
          <w:p w14:paraId="14B1912E">
            <w:pPr>
              <w:spacing w:line="360" w:lineRule="auto"/>
              <w:ind w:firstLine="482" w:firstLineChars="200"/>
              <w:jc w:val="left"/>
              <w:rPr>
                <w:b/>
                <w:bCs/>
                <w:sz w:val="24"/>
              </w:rPr>
            </w:pPr>
            <w:r>
              <w:rPr>
                <w:b/>
                <w:bCs/>
                <w:sz w:val="24"/>
              </w:rPr>
              <w:t>2.1、废水</w:t>
            </w:r>
          </w:p>
          <w:p w14:paraId="240011EE">
            <w:pPr>
              <w:spacing w:line="360" w:lineRule="auto"/>
              <w:ind w:firstLine="480" w:firstLineChars="200"/>
              <w:jc w:val="left"/>
              <w:rPr>
                <w:b/>
                <w:bCs/>
                <w:sz w:val="24"/>
              </w:rPr>
            </w:pPr>
            <w:r>
              <w:rPr>
                <w:bCs/>
                <w:sz w:val="24"/>
              </w:rPr>
              <w:t>项目生产过程不产生生产废水，主要为生活废水，根据《芒市风平镇永发页岩砖厂项目竣工环境保护验收》环境影响报告表，生活废水产生量为 0.8m</w:t>
            </w:r>
            <w:r>
              <w:rPr>
                <w:bCs/>
                <w:sz w:val="24"/>
                <w:vertAlign w:val="superscript"/>
              </w:rPr>
              <w:t>3</w:t>
            </w:r>
            <w:r>
              <w:rPr>
                <w:bCs/>
                <w:sz w:val="24"/>
              </w:rPr>
              <w:t>/d，240m</w:t>
            </w:r>
            <w:r>
              <w:rPr>
                <w:bCs/>
                <w:sz w:val="24"/>
                <w:vertAlign w:val="superscript"/>
              </w:rPr>
              <w:t>3</w:t>
            </w:r>
            <w:r>
              <w:rPr>
                <w:bCs/>
                <w:sz w:val="24"/>
              </w:rPr>
              <w:t>/a，废水经化粪池处理后，用于周边农作物施肥。</w:t>
            </w:r>
          </w:p>
          <w:p w14:paraId="5E4E5519">
            <w:pPr>
              <w:spacing w:line="360" w:lineRule="auto"/>
              <w:ind w:firstLine="482" w:firstLineChars="200"/>
              <w:jc w:val="left"/>
              <w:rPr>
                <w:b/>
                <w:bCs/>
                <w:sz w:val="24"/>
              </w:rPr>
            </w:pPr>
            <w:r>
              <w:rPr>
                <w:b/>
                <w:bCs/>
                <w:sz w:val="24"/>
              </w:rPr>
              <w:t>2.2、废气</w:t>
            </w:r>
          </w:p>
          <w:p w14:paraId="32127170">
            <w:pPr>
              <w:spacing w:line="360" w:lineRule="auto"/>
              <w:ind w:firstLine="480" w:firstLineChars="200"/>
              <w:jc w:val="left"/>
              <w:rPr>
                <w:bCs/>
                <w:sz w:val="24"/>
              </w:rPr>
            </w:pPr>
            <w:r>
              <w:rPr>
                <w:bCs/>
                <w:sz w:val="24"/>
              </w:rPr>
              <w:t>项目产生的废气主要为破碎、筛分工序产生的粉尘、原料堆场粉尘、运输车辆扬尘，以及隧道窑焙烧废气。</w:t>
            </w:r>
          </w:p>
          <w:p w14:paraId="038AE536">
            <w:pPr>
              <w:spacing w:line="360" w:lineRule="auto"/>
              <w:ind w:firstLine="482" w:firstLineChars="200"/>
              <w:jc w:val="left"/>
              <w:rPr>
                <w:b/>
                <w:bCs/>
                <w:sz w:val="24"/>
              </w:rPr>
            </w:pPr>
            <w:r>
              <w:rPr>
                <w:b/>
                <w:bCs/>
                <w:sz w:val="24"/>
              </w:rPr>
              <w:t>（1）处置措施</w:t>
            </w:r>
          </w:p>
          <w:p w14:paraId="14795320">
            <w:pPr>
              <w:spacing w:line="360" w:lineRule="auto"/>
              <w:ind w:firstLine="482" w:firstLineChars="200"/>
              <w:jc w:val="left"/>
              <w:rPr>
                <w:b/>
                <w:bCs/>
                <w:sz w:val="24"/>
              </w:rPr>
            </w:pPr>
            <w:r>
              <w:rPr>
                <w:rFonts w:hint="eastAsia" w:ascii="宋体" w:hAnsi="宋体" w:cs="宋体"/>
                <w:b/>
                <w:bCs/>
                <w:sz w:val="24"/>
              </w:rPr>
              <w:t>①</w:t>
            </w:r>
            <w:r>
              <w:rPr>
                <w:b/>
                <w:bCs/>
                <w:sz w:val="24"/>
              </w:rPr>
              <w:t>破碎、筛分废气处置措施</w:t>
            </w:r>
          </w:p>
          <w:p w14:paraId="5E2F9FE1">
            <w:pPr>
              <w:spacing w:line="360" w:lineRule="auto"/>
              <w:ind w:firstLine="480" w:firstLineChars="200"/>
              <w:jc w:val="left"/>
              <w:rPr>
                <w:bCs/>
                <w:sz w:val="24"/>
              </w:rPr>
            </w:pPr>
            <w:r>
              <w:rPr>
                <w:bCs/>
                <w:sz w:val="24"/>
              </w:rPr>
              <w:t>根据现场调查，破碎、筛分工序产生的粉尘，已进行封闭式作业，未配备除尘设施。</w:t>
            </w:r>
          </w:p>
          <w:p w14:paraId="25DB313B">
            <w:pPr>
              <w:spacing w:line="360" w:lineRule="auto"/>
              <w:ind w:firstLine="482" w:firstLineChars="200"/>
              <w:jc w:val="left"/>
              <w:rPr>
                <w:b/>
                <w:bCs/>
                <w:sz w:val="24"/>
              </w:rPr>
            </w:pPr>
            <w:r>
              <w:rPr>
                <w:rFonts w:hint="eastAsia" w:ascii="宋体" w:hAnsi="宋体" w:cs="宋体"/>
                <w:b/>
                <w:bCs/>
                <w:sz w:val="24"/>
              </w:rPr>
              <w:t>②</w:t>
            </w:r>
            <w:r>
              <w:rPr>
                <w:b/>
                <w:bCs/>
                <w:sz w:val="24"/>
              </w:rPr>
              <w:t>烧结废气处置措施</w:t>
            </w:r>
          </w:p>
          <w:p w14:paraId="63A08801">
            <w:pPr>
              <w:spacing w:line="360" w:lineRule="auto"/>
              <w:ind w:firstLine="480"/>
              <w:rPr>
                <w:sz w:val="24"/>
              </w:rPr>
            </w:pPr>
            <w:r>
              <w:rPr>
                <w:bCs/>
                <w:sz w:val="24"/>
              </w:rPr>
              <w:t>根据现场调查，烧结废气工序产生的烟尘、SO</w:t>
            </w:r>
            <w:r>
              <w:rPr>
                <w:bCs/>
                <w:sz w:val="24"/>
                <w:vertAlign w:val="subscript"/>
              </w:rPr>
              <w:t>2</w:t>
            </w:r>
            <w:r>
              <w:rPr>
                <w:bCs/>
                <w:sz w:val="24"/>
              </w:rPr>
              <w:t>、NOx、氟化物，</w:t>
            </w:r>
            <w:r>
              <w:rPr>
                <w:sz w:val="24"/>
              </w:rPr>
              <w:t>由引风机引入干燥窑(隧道窑上配引风机，将烟气引入干燥窑)，然后由干燥窑底部进入两边烟墙对砖坯直接烘干，可使余热在窑两边均匀分配，使砖坯干燥程度一致，余热利用后的废气(含潮气)经引风机引入双碱法脱硫除尘装置处理后由25m高的烟囱排放。</w:t>
            </w:r>
          </w:p>
          <w:p w14:paraId="1770B282">
            <w:pPr>
              <w:spacing w:line="360" w:lineRule="auto"/>
              <w:ind w:firstLine="482" w:firstLineChars="200"/>
              <w:jc w:val="left"/>
              <w:rPr>
                <w:b/>
                <w:bCs/>
                <w:sz w:val="24"/>
              </w:rPr>
            </w:pPr>
            <w:r>
              <w:rPr>
                <w:rFonts w:hint="eastAsia" w:ascii="宋体" w:hAnsi="宋体" w:cs="宋体"/>
                <w:b/>
                <w:bCs/>
                <w:sz w:val="24"/>
              </w:rPr>
              <w:t>③</w:t>
            </w:r>
            <w:r>
              <w:rPr>
                <w:b/>
                <w:bCs/>
                <w:sz w:val="24"/>
              </w:rPr>
              <w:t>原料堆放处置措施</w:t>
            </w:r>
          </w:p>
          <w:p w14:paraId="1615FA58">
            <w:pPr>
              <w:pStyle w:val="24"/>
              <w:spacing w:after="0" w:line="360" w:lineRule="auto"/>
              <w:ind w:firstLine="0"/>
              <w:rPr>
                <w:bCs/>
                <w:kern w:val="2"/>
                <w:sz w:val="24"/>
              </w:rPr>
            </w:pPr>
            <w:r>
              <w:rPr>
                <w:bCs/>
                <w:sz w:val="24"/>
              </w:rPr>
              <w:t>根据现场调查，原辅料均堆放于原料库中</w:t>
            </w:r>
            <w:r>
              <w:rPr>
                <w:bCs/>
                <w:kern w:val="2"/>
                <w:sz w:val="24"/>
              </w:rPr>
              <w:t>，未设置</w:t>
            </w:r>
            <w:r>
              <w:rPr>
                <w:bCs/>
                <w:kern w:val="2"/>
                <w:sz w:val="24"/>
                <w:lang w:val="zh-CN"/>
              </w:rPr>
              <w:t>防风抑尘网、挡</w:t>
            </w:r>
            <w:r>
              <w:rPr>
                <w:bCs/>
                <w:kern w:val="2"/>
                <w:sz w:val="24"/>
              </w:rPr>
              <w:t>风墙。</w:t>
            </w:r>
          </w:p>
          <w:p w14:paraId="5D3C478A">
            <w:pPr>
              <w:spacing w:line="360" w:lineRule="auto"/>
              <w:ind w:firstLine="482" w:firstLineChars="200"/>
              <w:jc w:val="left"/>
              <w:rPr>
                <w:b/>
                <w:bCs/>
                <w:sz w:val="24"/>
              </w:rPr>
            </w:pPr>
            <w:r>
              <w:rPr>
                <w:b/>
                <w:bCs/>
                <w:sz w:val="24"/>
              </w:rPr>
              <w:t>（2）处置措施</w:t>
            </w:r>
          </w:p>
          <w:p w14:paraId="05930D51">
            <w:pPr>
              <w:pStyle w:val="24"/>
              <w:spacing w:after="0" w:line="360" w:lineRule="auto"/>
              <w:ind w:left="0" w:leftChars="0" w:firstLine="480" w:firstLineChars="200"/>
              <w:rPr>
                <w:bCs/>
                <w:sz w:val="24"/>
              </w:rPr>
            </w:pPr>
            <w:r>
              <w:rPr>
                <w:bCs/>
                <w:sz w:val="24"/>
              </w:rPr>
              <w:t>根据2021年6月份自行监测数据，对烧结废气及厂界无组织废气进行了监测，监测结果如下。</w:t>
            </w:r>
          </w:p>
          <w:p w14:paraId="124A5B09">
            <w:pPr>
              <w:spacing w:line="360" w:lineRule="auto"/>
              <w:ind w:firstLine="482" w:firstLineChars="200"/>
              <w:jc w:val="left"/>
              <w:rPr>
                <w:b/>
                <w:bCs/>
                <w:sz w:val="24"/>
              </w:rPr>
            </w:pPr>
          </w:p>
          <w:p w14:paraId="1665EA50">
            <w:pPr>
              <w:spacing w:line="360" w:lineRule="auto"/>
              <w:ind w:firstLine="482" w:firstLineChars="200"/>
              <w:jc w:val="left"/>
              <w:rPr>
                <w:b/>
                <w:bCs/>
                <w:sz w:val="24"/>
              </w:rPr>
            </w:pPr>
          </w:p>
          <w:p w14:paraId="13539B4A">
            <w:pPr>
              <w:spacing w:line="360" w:lineRule="auto"/>
              <w:ind w:firstLine="482" w:firstLineChars="200"/>
              <w:jc w:val="left"/>
              <w:rPr>
                <w:b/>
                <w:bCs/>
                <w:sz w:val="24"/>
              </w:rPr>
            </w:pPr>
            <w:r>
              <w:rPr>
                <w:rFonts w:hint="eastAsia" w:ascii="宋体" w:hAnsi="宋体" w:cs="宋体"/>
                <w:b/>
                <w:bCs/>
                <w:sz w:val="24"/>
              </w:rPr>
              <w:t>①</w:t>
            </w:r>
            <w:r>
              <w:rPr>
                <w:b/>
                <w:bCs/>
                <w:sz w:val="24"/>
              </w:rPr>
              <w:t>有组织烧结废气达标分析</w:t>
            </w:r>
          </w:p>
          <w:p w14:paraId="1969C6A3">
            <w:pPr>
              <w:pStyle w:val="2"/>
              <w:jc w:val="center"/>
              <w:rPr>
                <w:rFonts w:ascii="Times New Roman" w:hAnsi="Times New Roman"/>
                <w:b/>
              </w:rPr>
            </w:pPr>
            <w:r>
              <w:rPr>
                <w:rFonts w:ascii="Times New Roman" w:hAnsi="Times New Roman"/>
                <w:b/>
                <w:sz w:val="24"/>
                <w:szCs w:val="24"/>
              </w:rPr>
              <w:t>表2-9  烧结废气监测结果一览表</w:t>
            </w:r>
          </w:p>
          <w:p w14:paraId="43F65E6A">
            <w:pPr>
              <w:pStyle w:val="23"/>
              <w:ind w:firstLine="0" w:firstLineChars="0"/>
            </w:pPr>
            <w:r>
              <w:drawing>
                <wp:inline distT="0" distB="0" distL="0" distR="0">
                  <wp:extent cx="6120765" cy="30314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BEBA8EAE-BF5A-486C-A8C5-ECC9F3942E4B}">
                                <a14:imgProps xmlns:a14="http://schemas.microsoft.com/office/drawing/2010/main">
                                  <a14:imgLayer r:embed="rId10">
                                    <a14:imgEffect>
                                      <a14:saturation sat="66000"/>
                                    </a14:imgEffect>
                                  </a14:imgLayer>
                                </a14:imgProps>
                              </a:ext>
                            </a:extLst>
                          </a:blip>
                          <a:stretch>
                            <a:fillRect/>
                          </a:stretch>
                        </pic:blipFill>
                        <pic:spPr>
                          <a:xfrm>
                            <a:off x="0" y="0"/>
                            <a:ext cx="6120765" cy="3031490"/>
                          </a:xfrm>
                          <a:prstGeom prst="rect">
                            <a:avLst/>
                          </a:prstGeom>
                        </pic:spPr>
                      </pic:pic>
                    </a:graphicData>
                  </a:graphic>
                </wp:inline>
              </w:drawing>
            </w:r>
          </w:p>
          <w:p w14:paraId="3D95FCB1">
            <w:pPr>
              <w:pStyle w:val="24"/>
              <w:spacing w:after="0" w:line="360" w:lineRule="auto"/>
              <w:ind w:left="0" w:leftChars="0" w:firstLine="480" w:firstLineChars="200"/>
              <w:rPr>
                <w:bCs/>
                <w:sz w:val="24"/>
              </w:rPr>
            </w:pPr>
            <w:r>
              <w:rPr>
                <w:bCs/>
                <w:sz w:val="24"/>
              </w:rPr>
              <w:t>综上，根据自行监测结果，烧结废气经双碱法脱硫除尘设施处理后，烟尘、SO</w:t>
            </w:r>
            <w:r>
              <w:rPr>
                <w:bCs/>
                <w:sz w:val="24"/>
                <w:vertAlign w:val="subscript"/>
              </w:rPr>
              <w:t>2</w:t>
            </w:r>
            <w:r>
              <w:rPr>
                <w:bCs/>
                <w:sz w:val="24"/>
              </w:rPr>
              <w:t>、NOx、氟化物能满足《砖瓦工业大气污染物排放标准》（GB26920—2013）表 2 及其修改单的标准。</w:t>
            </w:r>
          </w:p>
          <w:p w14:paraId="1C0A289E">
            <w:pPr>
              <w:pStyle w:val="23"/>
              <w:spacing w:before="0" w:after="0"/>
              <w:ind w:right="0" w:firstLine="480" w:firstLineChars="200"/>
              <w:rPr>
                <w:bCs/>
                <w:szCs w:val="24"/>
              </w:rPr>
            </w:pPr>
            <w:r>
              <w:rPr>
                <w:szCs w:val="24"/>
              </w:rPr>
              <w:t>根据上述监测数据，工作制度：年生产300天，8h/d，</w:t>
            </w:r>
            <w:r>
              <w:rPr>
                <w:bCs/>
                <w:szCs w:val="24"/>
              </w:rPr>
              <w:t>烟尘排放量为0.772t/a；</w:t>
            </w:r>
          </w:p>
          <w:p w14:paraId="17264B2A">
            <w:pPr>
              <w:pStyle w:val="24"/>
              <w:spacing w:after="0" w:line="360" w:lineRule="auto"/>
              <w:ind w:left="0" w:leftChars="0" w:firstLine="0"/>
              <w:rPr>
                <w:bCs/>
                <w:sz w:val="24"/>
              </w:rPr>
            </w:pPr>
            <w:r>
              <w:rPr>
                <w:bCs/>
                <w:sz w:val="24"/>
              </w:rPr>
              <w:t>SO</w:t>
            </w:r>
            <w:r>
              <w:rPr>
                <w:bCs/>
                <w:sz w:val="24"/>
                <w:vertAlign w:val="subscript"/>
              </w:rPr>
              <w:t>2</w:t>
            </w:r>
            <w:r>
              <w:rPr>
                <w:bCs/>
                <w:sz w:val="24"/>
              </w:rPr>
              <w:t>排放量为3.94t/a；NOx排放量为3.67t/a；氟化物排放量为0.048t/a；</w:t>
            </w:r>
          </w:p>
          <w:p w14:paraId="7F96482E">
            <w:pPr>
              <w:spacing w:line="360" w:lineRule="auto"/>
              <w:ind w:firstLine="482" w:firstLineChars="200"/>
              <w:jc w:val="left"/>
              <w:rPr>
                <w:b/>
                <w:bCs/>
                <w:sz w:val="24"/>
              </w:rPr>
            </w:pPr>
          </w:p>
          <w:p w14:paraId="47871C8B">
            <w:pPr>
              <w:pStyle w:val="2"/>
              <w:rPr>
                <w:rFonts w:ascii="Times New Roman" w:hAnsi="Times New Roman"/>
              </w:rPr>
            </w:pPr>
          </w:p>
          <w:p w14:paraId="3080B61D"/>
          <w:p w14:paraId="4D158280">
            <w:pPr>
              <w:pStyle w:val="2"/>
              <w:rPr>
                <w:rFonts w:ascii="Times New Roman" w:hAnsi="Times New Roman"/>
              </w:rPr>
            </w:pPr>
          </w:p>
          <w:p w14:paraId="4D75AE6F"/>
          <w:p w14:paraId="181702D6">
            <w:pPr>
              <w:pStyle w:val="2"/>
              <w:rPr>
                <w:rFonts w:ascii="Times New Roman" w:hAnsi="Times New Roman"/>
              </w:rPr>
            </w:pPr>
          </w:p>
          <w:p w14:paraId="2E55B219"/>
          <w:p w14:paraId="1E6D7C1F">
            <w:pPr>
              <w:pStyle w:val="2"/>
              <w:rPr>
                <w:rFonts w:ascii="Times New Roman" w:hAnsi="Times New Roman"/>
              </w:rPr>
            </w:pPr>
          </w:p>
          <w:p w14:paraId="0FD43149"/>
          <w:p w14:paraId="5122ADAC">
            <w:pPr>
              <w:pStyle w:val="2"/>
              <w:rPr>
                <w:rFonts w:ascii="Times New Roman" w:hAnsi="Times New Roman"/>
              </w:rPr>
            </w:pPr>
          </w:p>
          <w:p w14:paraId="67308A2A"/>
          <w:p w14:paraId="687B8F27">
            <w:pPr>
              <w:pStyle w:val="2"/>
              <w:rPr>
                <w:rFonts w:ascii="Times New Roman" w:hAnsi="Times New Roman"/>
              </w:rPr>
            </w:pPr>
          </w:p>
          <w:p w14:paraId="6B0F1144"/>
          <w:p w14:paraId="2C343C21">
            <w:pPr>
              <w:pStyle w:val="2"/>
              <w:rPr>
                <w:rFonts w:ascii="Times New Roman" w:hAnsi="Times New Roman"/>
              </w:rPr>
            </w:pPr>
          </w:p>
          <w:p w14:paraId="3A02AC75"/>
          <w:p w14:paraId="395553C6">
            <w:pPr>
              <w:pStyle w:val="2"/>
              <w:rPr>
                <w:rFonts w:ascii="Times New Roman" w:hAnsi="Times New Roman"/>
              </w:rPr>
            </w:pPr>
          </w:p>
          <w:p w14:paraId="4D6B72DF"/>
          <w:p w14:paraId="5D5255E8">
            <w:pPr>
              <w:pStyle w:val="2"/>
              <w:rPr>
                <w:rFonts w:ascii="Times New Roman" w:hAnsi="Times New Roman"/>
              </w:rPr>
            </w:pPr>
          </w:p>
          <w:p w14:paraId="15A5C59A">
            <w:pPr>
              <w:spacing w:line="360" w:lineRule="auto"/>
              <w:ind w:firstLine="482" w:firstLineChars="200"/>
              <w:jc w:val="left"/>
              <w:rPr>
                <w:b/>
                <w:bCs/>
                <w:sz w:val="24"/>
              </w:rPr>
            </w:pPr>
          </w:p>
          <w:p w14:paraId="79E60B99">
            <w:pPr>
              <w:spacing w:line="360" w:lineRule="auto"/>
              <w:ind w:firstLine="482" w:firstLineChars="200"/>
              <w:jc w:val="left"/>
              <w:rPr>
                <w:b/>
                <w:bCs/>
                <w:sz w:val="24"/>
              </w:rPr>
            </w:pPr>
          </w:p>
          <w:p w14:paraId="2FEDC492">
            <w:pPr>
              <w:spacing w:line="360" w:lineRule="auto"/>
              <w:ind w:firstLine="482" w:firstLineChars="200"/>
              <w:jc w:val="left"/>
              <w:rPr>
                <w:b/>
                <w:bCs/>
                <w:sz w:val="24"/>
              </w:rPr>
            </w:pPr>
            <w:r>
              <w:rPr>
                <w:rFonts w:hint="eastAsia" w:ascii="宋体" w:hAnsi="宋体" w:cs="宋体"/>
                <w:b/>
                <w:bCs/>
                <w:sz w:val="24"/>
              </w:rPr>
              <w:t>②</w:t>
            </w:r>
            <w:r>
              <w:rPr>
                <w:b/>
                <w:bCs/>
                <w:sz w:val="24"/>
              </w:rPr>
              <w:t>厂界无组织废气达标分析</w:t>
            </w:r>
          </w:p>
          <w:p w14:paraId="7677AF36">
            <w:pPr>
              <w:pStyle w:val="2"/>
              <w:jc w:val="center"/>
              <w:rPr>
                <w:rFonts w:ascii="Times New Roman" w:hAnsi="Times New Roman"/>
                <w:b/>
                <w:sz w:val="24"/>
                <w:szCs w:val="24"/>
              </w:rPr>
            </w:pPr>
            <w:r>
              <w:rPr>
                <w:rFonts w:ascii="Times New Roman" w:hAnsi="Times New Roman"/>
                <w:b/>
                <w:sz w:val="24"/>
                <w:szCs w:val="24"/>
              </w:rPr>
              <w:t>表2-10  厂界无组织废气监测结果一览表</w:t>
            </w:r>
          </w:p>
          <w:p w14:paraId="6A945524">
            <w:pPr>
              <w:jc w:val="center"/>
            </w:pPr>
            <w:r>
              <w:drawing>
                <wp:inline distT="0" distB="0" distL="0" distR="0">
                  <wp:extent cx="4877435" cy="3267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877481" cy="3267531"/>
                          </a:xfrm>
                          <a:prstGeom prst="rect">
                            <a:avLst/>
                          </a:prstGeom>
                        </pic:spPr>
                      </pic:pic>
                    </a:graphicData>
                  </a:graphic>
                </wp:inline>
              </w:drawing>
            </w:r>
          </w:p>
          <w:p w14:paraId="4BD4D299">
            <w:pPr>
              <w:pStyle w:val="2"/>
              <w:rPr>
                <w:rFonts w:ascii="Times New Roman" w:hAnsi="Times New Roman"/>
              </w:rPr>
            </w:pPr>
          </w:p>
          <w:p w14:paraId="6D495E5C">
            <w:pPr>
              <w:jc w:val="center"/>
            </w:pPr>
            <w:r>
              <w:drawing>
                <wp:inline distT="0" distB="0" distL="0" distR="0">
                  <wp:extent cx="4925060" cy="3362325"/>
                  <wp:effectExtent l="0" t="0" r="889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925112" cy="3362794"/>
                          </a:xfrm>
                          <a:prstGeom prst="rect">
                            <a:avLst/>
                          </a:prstGeom>
                        </pic:spPr>
                      </pic:pic>
                    </a:graphicData>
                  </a:graphic>
                </wp:inline>
              </w:drawing>
            </w:r>
          </w:p>
          <w:p w14:paraId="3CFEA629">
            <w:pPr>
              <w:pStyle w:val="23"/>
              <w:ind w:firstLine="240"/>
              <w:jc w:val="center"/>
            </w:pPr>
            <w:r>
              <w:drawing>
                <wp:inline distT="0" distB="0" distL="0" distR="0">
                  <wp:extent cx="4940300" cy="35337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010880" cy="3584780"/>
                          </a:xfrm>
                          <a:prstGeom prst="rect">
                            <a:avLst/>
                          </a:prstGeom>
                        </pic:spPr>
                      </pic:pic>
                    </a:graphicData>
                  </a:graphic>
                </wp:inline>
              </w:drawing>
            </w:r>
          </w:p>
          <w:p w14:paraId="6D696E7B">
            <w:pPr>
              <w:pStyle w:val="24"/>
              <w:spacing w:after="0" w:line="360" w:lineRule="auto"/>
              <w:ind w:left="0" w:leftChars="0" w:firstLine="480" w:firstLineChars="200"/>
              <w:rPr>
                <w:sz w:val="24"/>
              </w:rPr>
            </w:pPr>
            <w:r>
              <w:rPr>
                <w:sz w:val="24"/>
              </w:rPr>
              <w:t>根据自行监测结果，烧结废气经双碱法脱硫除尘设施处理后，烟尘、SO</w:t>
            </w:r>
            <w:r>
              <w:rPr>
                <w:sz w:val="24"/>
                <w:vertAlign w:val="subscript"/>
              </w:rPr>
              <w:t>2</w:t>
            </w:r>
            <w:r>
              <w:rPr>
                <w:sz w:val="24"/>
              </w:rPr>
              <w:t>、NOx、氟化物能满足《砖瓦工业大气污染物排放标准》（GB26920—2013）表 2 及其修改单的标准。</w:t>
            </w:r>
          </w:p>
          <w:p w14:paraId="4826CD5A">
            <w:pPr>
              <w:pStyle w:val="24"/>
              <w:spacing w:after="0" w:line="360" w:lineRule="auto"/>
              <w:ind w:left="0" w:leftChars="0" w:firstLine="482" w:firstLineChars="200"/>
              <w:rPr>
                <w:b/>
                <w:sz w:val="24"/>
              </w:rPr>
            </w:pPr>
            <w:r>
              <w:rPr>
                <w:b/>
                <w:sz w:val="24"/>
              </w:rPr>
              <w:t>2.3、噪声</w:t>
            </w:r>
          </w:p>
          <w:p w14:paraId="56500B3D">
            <w:pPr>
              <w:pStyle w:val="24"/>
              <w:spacing w:after="0" w:line="360" w:lineRule="auto"/>
              <w:ind w:left="0" w:leftChars="0" w:firstLine="480" w:firstLineChars="200"/>
              <w:rPr>
                <w:sz w:val="24"/>
              </w:rPr>
            </w:pPr>
            <w:r>
              <w:rPr>
                <w:sz w:val="24"/>
              </w:rPr>
              <w:t>项目噪声源主要为破碎机、滚动筛、搅拌机、制砖机、风机等设备运行噪声，以及运输车辆噪声，根据竣工环境保护验收报告，项目厂界能够满足《工业企业厂界环境噪声排放标准》（GB12348-2008）2 类标准。</w:t>
            </w:r>
          </w:p>
          <w:p w14:paraId="0281B4E1">
            <w:pPr>
              <w:pStyle w:val="24"/>
              <w:spacing w:after="0" w:line="360" w:lineRule="auto"/>
              <w:ind w:left="0" w:leftChars="0" w:firstLine="482" w:firstLineChars="200"/>
              <w:rPr>
                <w:b/>
                <w:sz w:val="24"/>
              </w:rPr>
            </w:pPr>
            <w:r>
              <w:rPr>
                <w:b/>
                <w:sz w:val="24"/>
              </w:rPr>
              <w:t>2.4、固废</w:t>
            </w:r>
          </w:p>
          <w:p w14:paraId="006A2BD1">
            <w:pPr>
              <w:pStyle w:val="24"/>
              <w:spacing w:after="0" w:line="360" w:lineRule="auto"/>
              <w:ind w:left="0" w:leftChars="0" w:firstLine="480" w:firstLineChars="200"/>
              <w:rPr>
                <w:sz w:val="24"/>
              </w:rPr>
            </w:pPr>
            <w:r>
              <w:rPr>
                <w:rFonts w:hint="eastAsia" w:ascii="宋体" w:hAnsi="宋体" w:cs="宋体"/>
                <w:sz w:val="24"/>
              </w:rPr>
              <w:t>①</w:t>
            </w:r>
            <w:r>
              <w:rPr>
                <w:sz w:val="24"/>
              </w:rPr>
              <w:t>生活垃圾</w:t>
            </w:r>
          </w:p>
          <w:p w14:paraId="370ECCB8">
            <w:pPr>
              <w:pStyle w:val="24"/>
              <w:spacing w:after="0" w:line="360" w:lineRule="auto"/>
              <w:ind w:left="0" w:leftChars="0" w:firstLine="480" w:firstLineChars="200"/>
              <w:rPr>
                <w:sz w:val="24"/>
              </w:rPr>
            </w:pPr>
            <w:r>
              <w:rPr>
                <w:sz w:val="24"/>
              </w:rPr>
              <w:t>生活垃圾通过布置垃圾桶集中收集后，清运至最近垃圾收集点；</w:t>
            </w:r>
          </w:p>
          <w:p w14:paraId="504194D7">
            <w:pPr>
              <w:pStyle w:val="24"/>
              <w:spacing w:after="0" w:line="360" w:lineRule="auto"/>
              <w:ind w:left="0" w:leftChars="0" w:firstLine="480" w:firstLineChars="200"/>
              <w:rPr>
                <w:sz w:val="24"/>
              </w:rPr>
            </w:pPr>
            <w:r>
              <w:rPr>
                <w:rFonts w:hint="eastAsia" w:ascii="宋体" w:hAnsi="宋体" w:cs="宋体"/>
                <w:sz w:val="24"/>
              </w:rPr>
              <w:t>②</w:t>
            </w:r>
            <w:r>
              <w:rPr>
                <w:sz w:val="24"/>
              </w:rPr>
              <w:t>一般固废</w:t>
            </w:r>
          </w:p>
          <w:p w14:paraId="049C1813">
            <w:pPr>
              <w:pStyle w:val="24"/>
              <w:spacing w:after="0" w:line="360" w:lineRule="auto"/>
              <w:ind w:left="0" w:leftChars="0" w:firstLine="480" w:firstLineChars="200"/>
              <w:rPr>
                <w:sz w:val="24"/>
              </w:rPr>
            </w:pPr>
            <w:r>
              <w:rPr>
                <w:sz w:val="24"/>
              </w:rPr>
              <w:t>建设方在生产区北侧车间内设置了一般固废堆存处，未有标识。</w:t>
            </w:r>
          </w:p>
          <w:p w14:paraId="2D5AB684">
            <w:pPr>
              <w:pStyle w:val="24"/>
              <w:spacing w:after="0" w:line="360" w:lineRule="auto"/>
              <w:ind w:left="0" w:leftChars="0" w:firstLine="480" w:firstLineChars="200"/>
              <w:rPr>
                <w:sz w:val="24"/>
              </w:rPr>
            </w:pPr>
            <w:r>
              <w:rPr>
                <w:sz w:val="24"/>
              </w:rPr>
              <w:t>生产过程中的不合格品可破碎后重新回用于制砖；</w:t>
            </w:r>
          </w:p>
          <w:p w14:paraId="495E44F5">
            <w:pPr>
              <w:pStyle w:val="24"/>
              <w:spacing w:after="0" w:line="360" w:lineRule="auto"/>
              <w:ind w:left="0" w:leftChars="0" w:firstLine="480" w:firstLineChars="200"/>
              <w:rPr>
                <w:sz w:val="24"/>
              </w:rPr>
            </w:pPr>
            <w:r>
              <w:rPr>
                <w:sz w:val="24"/>
              </w:rPr>
              <w:t>脱硫渣集中收集，返回生产线做原料重新利用，不外排。</w:t>
            </w:r>
          </w:p>
          <w:p w14:paraId="756FCC2F">
            <w:pPr>
              <w:pStyle w:val="24"/>
              <w:spacing w:after="0" w:line="360" w:lineRule="auto"/>
              <w:ind w:left="0" w:leftChars="0" w:firstLine="480" w:firstLineChars="200"/>
              <w:rPr>
                <w:sz w:val="24"/>
              </w:rPr>
            </w:pPr>
            <w:r>
              <w:rPr>
                <w:rFonts w:hint="eastAsia" w:ascii="宋体" w:hAnsi="宋体" w:cs="宋体"/>
                <w:sz w:val="24"/>
              </w:rPr>
              <w:t>③</w:t>
            </w:r>
            <w:r>
              <w:rPr>
                <w:sz w:val="24"/>
              </w:rPr>
              <w:t>危险废物</w:t>
            </w:r>
          </w:p>
          <w:p w14:paraId="48B9A09A">
            <w:pPr>
              <w:pStyle w:val="24"/>
              <w:spacing w:after="0" w:line="360" w:lineRule="auto"/>
              <w:ind w:left="0" w:leftChars="0" w:firstLine="480" w:firstLineChars="200"/>
              <w:rPr>
                <w:sz w:val="24"/>
              </w:rPr>
            </w:pPr>
            <w:r>
              <w:rPr>
                <w:sz w:val="24"/>
              </w:rPr>
              <w:t>危废暂存间10m</w:t>
            </w:r>
            <w:r>
              <w:rPr>
                <w:sz w:val="24"/>
                <w:vertAlign w:val="superscript"/>
              </w:rPr>
              <w:t>2</w:t>
            </w:r>
            <w:r>
              <w:rPr>
                <w:sz w:val="24"/>
              </w:rPr>
              <w:t>，设备检修产生的废机油，用于厂区设备润滑。</w:t>
            </w:r>
          </w:p>
          <w:p w14:paraId="3A896E5F">
            <w:pPr>
              <w:spacing w:line="360" w:lineRule="auto"/>
              <w:ind w:firstLine="482" w:firstLineChars="200"/>
              <w:rPr>
                <w:b/>
                <w:bCs/>
                <w:sz w:val="24"/>
              </w:rPr>
            </w:pPr>
            <w:r>
              <w:rPr>
                <w:b/>
                <w:bCs/>
                <w:sz w:val="24"/>
              </w:rPr>
              <w:t>3、原有项目存在问题及整改措施</w:t>
            </w:r>
          </w:p>
          <w:p w14:paraId="3DFBC2D0">
            <w:pPr>
              <w:pStyle w:val="2"/>
              <w:jc w:val="center"/>
              <w:rPr>
                <w:rFonts w:ascii="Times New Roman" w:hAnsi="Times New Roman"/>
                <w:b/>
                <w:sz w:val="24"/>
                <w:szCs w:val="24"/>
              </w:rPr>
            </w:pPr>
          </w:p>
          <w:p w14:paraId="0A3F4738">
            <w:pPr>
              <w:pStyle w:val="2"/>
              <w:jc w:val="center"/>
              <w:rPr>
                <w:rFonts w:ascii="Times New Roman" w:hAnsi="Times New Roman"/>
                <w:b/>
                <w:sz w:val="24"/>
                <w:szCs w:val="24"/>
              </w:rPr>
            </w:pPr>
          </w:p>
          <w:p w14:paraId="5DAD8A5A">
            <w:pPr>
              <w:pStyle w:val="2"/>
              <w:jc w:val="center"/>
              <w:rPr>
                <w:rFonts w:ascii="Times New Roman" w:hAnsi="Times New Roman"/>
                <w:b/>
                <w:sz w:val="24"/>
                <w:szCs w:val="24"/>
              </w:rPr>
            </w:pPr>
          </w:p>
          <w:p w14:paraId="60573027">
            <w:pPr>
              <w:pStyle w:val="2"/>
              <w:jc w:val="center"/>
              <w:rPr>
                <w:rFonts w:ascii="Times New Roman" w:hAnsi="Times New Roman"/>
                <w:b/>
                <w:sz w:val="24"/>
                <w:szCs w:val="24"/>
              </w:rPr>
            </w:pPr>
            <w:r>
              <w:rPr>
                <w:rFonts w:ascii="Times New Roman" w:hAnsi="Times New Roman"/>
                <w:b/>
                <w:sz w:val="24"/>
                <w:szCs w:val="24"/>
              </w:rPr>
              <w:t xml:space="preserve">表2-11  </w:t>
            </w:r>
            <w:r>
              <w:rPr>
                <w:rFonts w:ascii="Times New Roman" w:hAnsi="Times New Roman"/>
                <w:b/>
                <w:bCs/>
                <w:sz w:val="24"/>
                <w:szCs w:val="24"/>
              </w:rPr>
              <w:t>原有项目存在问题及整改措施</w:t>
            </w:r>
            <w:r>
              <w:rPr>
                <w:rFonts w:ascii="Times New Roman" w:hAnsi="Times New Roman"/>
                <w:b/>
                <w:sz w:val="24"/>
                <w:szCs w:val="24"/>
              </w:rPr>
              <w:t>一览表</w:t>
            </w:r>
          </w:p>
          <w:tbl>
            <w:tblPr>
              <w:tblStyle w:val="25"/>
              <w:tblW w:w="97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4"/>
              <w:gridCol w:w="748"/>
              <w:gridCol w:w="791"/>
              <w:gridCol w:w="809"/>
              <w:gridCol w:w="2020"/>
              <w:gridCol w:w="1674"/>
              <w:gridCol w:w="3086"/>
            </w:tblGrid>
            <w:tr w14:paraId="6797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Align w:val="center"/>
                </w:tcPr>
                <w:p w14:paraId="17E4B562">
                  <w:pPr>
                    <w:pStyle w:val="66"/>
                    <w:kinsoku w:val="0"/>
                    <w:overflowPunct w:val="0"/>
                    <w:jc w:val="center"/>
                    <w:rPr>
                      <w:rFonts w:ascii="Times New Roman" w:hAnsi="Times New Roman" w:cs="Times New Roman"/>
                      <w:b/>
                      <w:sz w:val="21"/>
                      <w:szCs w:val="21"/>
                    </w:rPr>
                  </w:pPr>
                  <w:r>
                    <w:rPr>
                      <w:rFonts w:ascii="Times New Roman" w:hAnsi="Times New Roman" w:cs="Times New Roman"/>
                      <w:b/>
                      <w:sz w:val="21"/>
                      <w:szCs w:val="21"/>
                    </w:rPr>
                    <w:t>污染</w:t>
                  </w:r>
                </w:p>
                <w:p w14:paraId="07ED3969">
                  <w:pPr>
                    <w:pStyle w:val="66"/>
                    <w:kinsoku w:val="0"/>
                    <w:overflowPunct w:val="0"/>
                    <w:jc w:val="center"/>
                    <w:rPr>
                      <w:rFonts w:ascii="Times New Roman" w:hAnsi="Times New Roman" w:cs="Times New Roman"/>
                      <w:b/>
                      <w:sz w:val="21"/>
                      <w:szCs w:val="21"/>
                    </w:rPr>
                  </w:pPr>
                  <w:r>
                    <w:rPr>
                      <w:rFonts w:ascii="Times New Roman" w:hAnsi="Times New Roman" w:cs="Times New Roman"/>
                      <w:b/>
                      <w:sz w:val="21"/>
                      <w:szCs w:val="21"/>
                    </w:rPr>
                    <w:t>源</w:t>
                  </w:r>
                </w:p>
              </w:tc>
              <w:tc>
                <w:tcPr>
                  <w:tcW w:w="748" w:type="dxa"/>
                  <w:vAlign w:val="center"/>
                </w:tcPr>
                <w:p w14:paraId="1B0F2D87">
                  <w:pPr>
                    <w:pStyle w:val="66"/>
                    <w:kinsoku w:val="0"/>
                    <w:overflowPunct w:val="0"/>
                    <w:jc w:val="center"/>
                    <w:rPr>
                      <w:rFonts w:ascii="Times New Roman" w:hAnsi="Times New Roman" w:cs="Times New Roman"/>
                      <w:b/>
                      <w:sz w:val="21"/>
                      <w:szCs w:val="21"/>
                    </w:rPr>
                  </w:pPr>
                  <w:r>
                    <w:rPr>
                      <w:rFonts w:ascii="Times New Roman" w:hAnsi="Times New Roman" w:cs="Times New Roman"/>
                      <w:b/>
                      <w:sz w:val="21"/>
                      <w:szCs w:val="21"/>
                    </w:rPr>
                    <w:t>产污环节</w:t>
                  </w:r>
                </w:p>
              </w:tc>
              <w:tc>
                <w:tcPr>
                  <w:tcW w:w="791" w:type="dxa"/>
                  <w:vAlign w:val="center"/>
                </w:tcPr>
                <w:p w14:paraId="482CED61">
                  <w:pPr>
                    <w:pStyle w:val="66"/>
                    <w:kinsoku w:val="0"/>
                    <w:overflowPunct w:val="0"/>
                    <w:jc w:val="center"/>
                    <w:rPr>
                      <w:rFonts w:ascii="Times New Roman" w:hAnsi="Times New Roman" w:cs="Times New Roman"/>
                      <w:b/>
                      <w:sz w:val="21"/>
                      <w:szCs w:val="21"/>
                    </w:rPr>
                  </w:pPr>
                  <w:r>
                    <w:rPr>
                      <w:rFonts w:ascii="Times New Roman" w:hAnsi="Times New Roman" w:cs="Times New Roman"/>
                      <w:b/>
                      <w:sz w:val="21"/>
                      <w:szCs w:val="21"/>
                    </w:rPr>
                    <w:t>污染物</w:t>
                  </w:r>
                </w:p>
                <w:p w14:paraId="370A53C1">
                  <w:pPr>
                    <w:pStyle w:val="66"/>
                    <w:kinsoku w:val="0"/>
                    <w:overflowPunct w:val="0"/>
                    <w:jc w:val="center"/>
                    <w:rPr>
                      <w:rFonts w:ascii="Times New Roman" w:hAnsi="Times New Roman" w:cs="Times New Roman"/>
                      <w:b/>
                      <w:sz w:val="21"/>
                      <w:szCs w:val="21"/>
                    </w:rPr>
                  </w:pPr>
                  <w:r>
                    <w:rPr>
                      <w:rFonts w:ascii="Times New Roman" w:hAnsi="Times New Roman" w:cs="Times New Roman"/>
                      <w:b/>
                      <w:sz w:val="21"/>
                      <w:szCs w:val="21"/>
                    </w:rPr>
                    <w:t>种类</w:t>
                  </w:r>
                </w:p>
              </w:tc>
              <w:tc>
                <w:tcPr>
                  <w:tcW w:w="809" w:type="dxa"/>
                  <w:vAlign w:val="center"/>
                </w:tcPr>
                <w:p w14:paraId="6DC7A0B3">
                  <w:pPr>
                    <w:pStyle w:val="66"/>
                    <w:kinsoku w:val="0"/>
                    <w:overflowPunct w:val="0"/>
                    <w:jc w:val="center"/>
                    <w:rPr>
                      <w:rFonts w:ascii="Times New Roman" w:hAnsi="Times New Roman" w:cs="Times New Roman"/>
                      <w:b/>
                      <w:sz w:val="21"/>
                      <w:szCs w:val="21"/>
                    </w:rPr>
                  </w:pPr>
                  <w:r>
                    <w:rPr>
                      <w:rFonts w:ascii="Times New Roman" w:hAnsi="Times New Roman" w:cs="Times New Roman"/>
                      <w:b/>
                      <w:sz w:val="21"/>
                      <w:szCs w:val="21"/>
                    </w:rPr>
                    <w:t>排放</w:t>
                  </w:r>
                </w:p>
                <w:p w14:paraId="4C7E4246">
                  <w:pPr>
                    <w:pStyle w:val="66"/>
                    <w:kinsoku w:val="0"/>
                    <w:overflowPunct w:val="0"/>
                    <w:jc w:val="center"/>
                    <w:rPr>
                      <w:rFonts w:ascii="Times New Roman" w:hAnsi="Times New Roman" w:cs="Times New Roman"/>
                      <w:b/>
                      <w:sz w:val="21"/>
                      <w:szCs w:val="21"/>
                    </w:rPr>
                  </w:pPr>
                  <w:r>
                    <w:rPr>
                      <w:rFonts w:ascii="Times New Roman" w:hAnsi="Times New Roman" w:cs="Times New Roman"/>
                      <w:b/>
                      <w:sz w:val="21"/>
                      <w:szCs w:val="21"/>
                    </w:rPr>
                    <w:t>量t/a</w:t>
                  </w:r>
                </w:p>
              </w:tc>
              <w:tc>
                <w:tcPr>
                  <w:tcW w:w="2020" w:type="dxa"/>
                  <w:vAlign w:val="center"/>
                </w:tcPr>
                <w:p w14:paraId="09C5F9C4">
                  <w:pPr>
                    <w:pStyle w:val="66"/>
                    <w:kinsoku w:val="0"/>
                    <w:overflowPunct w:val="0"/>
                    <w:jc w:val="center"/>
                    <w:rPr>
                      <w:rFonts w:ascii="Times New Roman" w:hAnsi="Times New Roman" w:cs="Times New Roman"/>
                      <w:b/>
                      <w:sz w:val="21"/>
                      <w:szCs w:val="21"/>
                    </w:rPr>
                  </w:pPr>
                  <w:r>
                    <w:rPr>
                      <w:rFonts w:ascii="Times New Roman" w:hAnsi="Times New Roman" w:cs="Times New Roman"/>
                      <w:b/>
                      <w:sz w:val="21"/>
                      <w:szCs w:val="21"/>
                      <w:lang w:eastAsia="zh-CN"/>
                    </w:rPr>
                    <w:t>现有</w:t>
                  </w:r>
                  <w:r>
                    <w:rPr>
                      <w:rFonts w:ascii="Times New Roman" w:hAnsi="Times New Roman" w:cs="Times New Roman"/>
                      <w:b/>
                      <w:sz w:val="21"/>
                      <w:szCs w:val="21"/>
                    </w:rPr>
                    <w:t>治理设施</w:t>
                  </w:r>
                </w:p>
              </w:tc>
              <w:tc>
                <w:tcPr>
                  <w:tcW w:w="1674" w:type="dxa"/>
                  <w:vAlign w:val="center"/>
                </w:tcPr>
                <w:p w14:paraId="454CE401">
                  <w:pPr>
                    <w:pStyle w:val="66"/>
                    <w:kinsoku w:val="0"/>
                    <w:overflowPunct w:val="0"/>
                    <w:jc w:val="center"/>
                    <w:rPr>
                      <w:rFonts w:ascii="Times New Roman" w:hAnsi="Times New Roman" w:cs="Times New Roman"/>
                      <w:b/>
                      <w:sz w:val="21"/>
                      <w:szCs w:val="21"/>
                    </w:rPr>
                  </w:pPr>
                  <w:r>
                    <w:rPr>
                      <w:rFonts w:ascii="Times New Roman" w:hAnsi="Times New Roman" w:cs="Times New Roman"/>
                      <w:b/>
                      <w:sz w:val="21"/>
                      <w:szCs w:val="21"/>
                    </w:rPr>
                    <w:t>存在问题</w:t>
                  </w:r>
                </w:p>
              </w:tc>
              <w:tc>
                <w:tcPr>
                  <w:tcW w:w="3086" w:type="dxa"/>
                  <w:vAlign w:val="center"/>
                </w:tcPr>
                <w:p w14:paraId="11966823">
                  <w:pPr>
                    <w:pStyle w:val="66"/>
                    <w:kinsoku w:val="0"/>
                    <w:overflowPunct w:val="0"/>
                    <w:jc w:val="center"/>
                    <w:rPr>
                      <w:rFonts w:ascii="Times New Roman" w:hAnsi="Times New Roman" w:cs="Times New Roman"/>
                      <w:b/>
                      <w:sz w:val="21"/>
                      <w:szCs w:val="21"/>
                    </w:rPr>
                  </w:pPr>
                  <w:r>
                    <w:rPr>
                      <w:rFonts w:ascii="Times New Roman" w:hAnsi="Times New Roman" w:cs="Times New Roman"/>
                      <w:b/>
                      <w:sz w:val="21"/>
                      <w:szCs w:val="21"/>
                    </w:rPr>
                    <w:t>整改措施</w:t>
                  </w:r>
                </w:p>
              </w:tc>
            </w:tr>
            <w:tr w14:paraId="1661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Align w:val="center"/>
                </w:tcPr>
                <w:p w14:paraId="74830219">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废水</w:t>
                  </w:r>
                </w:p>
              </w:tc>
              <w:tc>
                <w:tcPr>
                  <w:tcW w:w="1539" w:type="dxa"/>
                  <w:gridSpan w:val="2"/>
                  <w:vAlign w:val="center"/>
                </w:tcPr>
                <w:p w14:paraId="6BDEA6E9">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生活废水</w:t>
                  </w:r>
                </w:p>
              </w:tc>
              <w:tc>
                <w:tcPr>
                  <w:tcW w:w="809" w:type="dxa"/>
                  <w:vAlign w:val="center"/>
                </w:tcPr>
                <w:p w14:paraId="4637D1DA">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0</w:t>
                  </w:r>
                </w:p>
              </w:tc>
              <w:tc>
                <w:tcPr>
                  <w:tcW w:w="2020" w:type="dxa"/>
                  <w:vAlign w:val="center"/>
                </w:tcPr>
                <w:p w14:paraId="715480E9">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经化粪池处理后，回用于周边农作物施肥</w:t>
                  </w:r>
                </w:p>
              </w:tc>
              <w:tc>
                <w:tcPr>
                  <w:tcW w:w="1674" w:type="dxa"/>
                  <w:vAlign w:val="center"/>
                </w:tcPr>
                <w:p w14:paraId="5D4490BE">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不</w:t>
                  </w:r>
                  <w:r>
                    <w:rPr>
                      <w:rFonts w:ascii="Times New Roman" w:hAnsi="Times New Roman" w:cs="Times New Roman"/>
                      <w:sz w:val="21"/>
                      <w:szCs w:val="21"/>
                    </w:rPr>
                    <w:t>满足要求</w:t>
                  </w:r>
                </w:p>
              </w:tc>
              <w:tc>
                <w:tcPr>
                  <w:tcW w:w="3086" w:type="dxa"/>
                  <w:vAlign w:val="center"/>
                </w:tcPr>
                <w:p w14:paraId="2E9A5592">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增加隔油池</w:t>
                  </w:r>
                </w:p>
              </w:tc>
            </w:tr>
            <w:tr w14:paraId="44D0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Merge w:val="restart"/>
                  <w:vAlign w:val="center"/>
                </w:tcPr>
                <w:p w14:paraId="5E4F3548">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废气</w:t>
                  </w:r>
                </w:p>
              </w:tc>
              <w:tc>
                <w:tcPr>
                  <w:tcW w:w="748" w:type="dxa"/>
                  <w:vAlign w:val="center"/>
                </w:tcPr>
                <w:p w14:paraId="708EFEB6">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破碎</w:t>
                  </w:r>
                  <w:r>
                    <w:rPr>
                      <w:rFonts w:ascii="Times New Roman" w:hAnsi="Times New Roman" w:cs="Times New Roman"/>
                      <w:sz w:val="21"/>
                      <w:szCs w:val="21"/>
                      <w:lang w:eastAsia="zh-CN"/>
                    </w:rPr>
                    <w:t>筛分</w:t>
                  </w:r>
                </w:p>
              </w:tc>
              <w:tc>
                <w:tcPr>
                  <w:tcW w:w="791" w:type="dxa"/>
                  <w:vAlign w:val="center"/>
                </w:tcPr>
                <w:p w14:paraId="7B46C76C">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颗粒物</w:t>
                  </w:r>
                </w:p>
              </w:tc>
              <w:tc>
                <w:tcPr>
                  <w:tcW w:w="809" w:type="dxa"/>
                  <w:vAlign w:val="center"/>
                </w:tcPr>
                <w:p w14:paraId="1EE23B49">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w:t>
                  </w:r>
                </w:p>
              </w:tc>
              <w:tc>
                <w:tcPr>
                  <w:tcW w:w="2020" w:type="dxa"/>
                  <w:vAlign w:val="center"/>
                </w:tcPr>
                <w:p w14:paraId="220104EA">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车间封闭、喷雾降尘、加水拌合</w:t>
                  </w:r>
                </w:p>
              </w:tc>
              <w:tc>
                <w:tcPr>
                  <w:tcW w:w="1674" w:type="dxa"/>
                  <w:vAlign w:val="center"/>
                </w:tcPr>
                <w:p w14:paraId="14407FE8">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不满足要求</w:t>
                  </w:r>
                </w:p>
              </w:tc>
              <w:tc>
                <w:tcPr>
                  <w:tcW w:w="3086" w:type="dxa"/>
                  <w:vAlign w:val="center"/>
                </w:tcPr>
                <w:p w14:paraId="06DD8E27">
                  <w:pPr>
                    <w:pStyle w:val="66"/>
                    <w:kinsoku w:val="0"/>
                    <w:overflowPunct w:val="0"/>
                    <w:rPr>
                      <w:rFonts w:ascii="Times New Roman" w:hAnsi="Times New Roman" w:cs="Times New Roman"/>
                      <w:sz w:val="21"/>
                      <w:szCs w:val="21"/>
                      <w:lang w:eastAsia="zh-CN"/>
                    </w:rPr>
                  </w:pPr>
                  <w:r>
                    <w:rPr>
                      <w:rFonts w:ascii="Times New Roman" w:hAnsi="Times New Roman" w:cs="Times New Roman"/>
                      <w:szCs w:val="21"/>
                      <w:lang w:eastAsia="zh-CN"/>
                    </w:rPr>
                    <w:t>配套2套集气罩+1套布袋除尘器，收集效率为80%，布袋除尘器处理效率为99%。</w:t>
                  </w:r>
                </w:p>
              </w:tc>
            </w:tr>
            <w:tr w14:paraId="2E78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Merge w:val="continue"/>
                  <w:vAlign w:val="center"/>
                </w:tcPr>
                <w:p w14:paraId="036D6EFF">
                  <w:pPr>
                    <w:pStyle w:val="66"/>
                    <w:kinsoku w:val="0"/>
                    <w:overflowPunct w:val="0"/>
                    <w:jc w:val="center"/>
                    <w:rPr>
                      <w:rFonts w:ascii="Times New Roman" w:hAnsi="Times New Roman" w:cs="Times New Roman"/>
                      <w:sz w:val="21"/>
                      <w:szCs w:val="21"/>
                      <w:lang w:eastAsia="zh-CN"/>
                    </w:rPr>
                  </w:pPr>
                </w:p>
              </w:tc>
              <w:tc>
                <w:tcPr>
                  <w:tcW w:w="748" w:type="dxa"/>
                  <w:vAlign w:val="center"/>
                </w:tcPr>
                <w:p w14:paraId="11BC1B69">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原料堆场</w:t>
                  </w:r>
                </w:p>
              </w:tc>
              <w:tc>
                <w:tcPr>
                  <w:tcW w:w="791" w:type="dxa"/>
                  <w:vAlign w:val="center"/>
                </w:tcPr>
                <w:p w14:paraId="488B01D8">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颗粒物</w:t>
                  </w:r>
                </w:p>
              </w:tc>
              <w:tc>
                <w:tcPr>
                  <w:tcW w:w="809" w:type="dxa"/>
                  <w:vAlign w:val="center"/>
                </w:tcPr>
                <w:p w14:paraId="46DAA63C">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少量</w:t>
                  </w:r>
                </w:p>
              </w:tc>
              <w:tc>
                <w:tcPr>
                  <w:tcW w:w="2020" w:type="dxa"/>
                  <w:vAlign w:val="center"/>
                </w:tcPr>
                <w:p w14:paraId="3D0F5C2E">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半封闭堆棚，洒水降尘</w:t>
                  </w:r>
                </w:p>
              </w:tc>
              <w:tc>
                <w:tcPr>
                  <w:tcW w:w="1674" w:type="dxa"/>
                  <w:vAlign w:val="center"/>
                </w:tcPr>
                <w:p w14:paraId="02BE78B4">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不满足要求</w:t>
                  </w:r>
                </w:p>
              </w:tc>
              <w:tc>
                <w:tcPr>
                  <w:tcW w:w="3086" w:type="dxa"/>
                  <w:vAlign w:val="center"/>
                </w:tcPr>
                <w:p w14:paraId="09FE0021">
                  <w:pPr>
                    <w:pStyle w:val="66"/>
                    <w:kinsoku w:val="0"/>
                    <w:overflowPunct w:val="0"/>
                    <w:rPr>
                      <w:rFonts w:ascii="Times New Roman" w:hAnsi="Times New Roman" w:cs="Times New Roman"/>
                      <w:sz w:val="21"/>
                      <w:szCs w:val="21"/>
                      <w:lang w:eastAsia="zh-CN"/>
                    </w:rPr>
                  </w:pPr>
                  <w:r>
                    <w:rPr>
                      <w:rFonts w:ascii="Times New Roman" w:hAnsi="Times New Roman" w:cs="Times New Roman"/>
                      <w:sz w:val="21"/>
                      <w:szCs w:val="21"/>
                      <w:lang w:eastAsia="zh-CN"/>
                    </w:rPr>
                    <w:t>原料堆场四周设置防风抑尘网、挡风墙，且高度不低于堆存物料高度的 1.1 倍</w:t>
                  </w:r>
                </w:p>
              </w:tc>
            </w:tr>
            <w:tr w14:paraId="4E69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Merge w:val="continue"/>
                  <w:vAlign w:val="center"/>
                </w:tcPr>
                <w:p w14:paraId="45573D5B">
                  <w:pPr>
                    <w:pStyle w:val="66"/>
                    <w:kinsoku w:val="0"/>
                    <w:overflowPunct w:val="0"/>
                    <w:jc w:val="center"/>
                    <w:rPr>
                      <w:rFonts w:ascii="Times New Roman" w:hAnsi="Times New Roman" w:cs="Times New Roman"/>
                      <w:sz w:val="21"/>
                      <w:szCs w:val="21"/>
                      <w:lang w:eastAsia="zh-CN"/>
                    </w:rPr>
                  </w:pPr>
                </w:p>
              </w:tc>
              <w:tc>
                <w:tcPr>
                  <w:tcW w:w="748" w:type="dxa"/>
                  <w:vAlign w:val="center"/>
                </w:tcPr>
                <w:p w14:paraId="2B235818">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运输车辆扬尘</w:t>
                  </w:r>
                </w:p>
              </w:tc>
              <w:tc>
                <w:tcPr>
                  <w:tcW w:w="791" w:type="dxa"/>
                  <w:vAlign w:val="center"/>
                </w:tcPr>
                <w:p w14:paraId="69CE315C">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颗粒物</w:t>
                  </w:r>
                </w:p>
              </w:tc>
              <w:tc>
                <w:tcPr>
                  <w:tcW w:w="809" w:type="dxa"/>
                  <w:vAlign w:val="center"/>
                </w:tcPr>
                <w:p w14:paraId="244308A4">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少量</w:t>
                  </w:r>
                </w:p>
              </w:tc>
              <w:tc>
                <w:tcPr>
                  <w:tcW w:w="2020" w:type="dxa"/>
                  <w:vAlign w:val="center"/>
                </w:tcPr>
                <w:p w14:paraId="451DDD43">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设置1台雾炮机+洒水车，喷淋降尘</w:t>
                  </w:r>
                </w:p>
              </w:tc>
              <w:tc>
                <w:tcPr>
                  <w:tcW w:w="1674" w:type="dxa"/>
                  <w:vAlign w:val="center"/>
                </w:tcPr>
                <w:p w14:paraId="6AED128F">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满足要求</w:t>
                  </w:r>
                </w:p>
              </w:tc>
              <w:tc>
                <w:tcPr>
                  <w:tcW w:w="3086" w:type="dxa"/>
                  <w:vAlign w:val="center"/>
                </w:tcPr>
                <w:p w14:paraId="0BA0F015">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w:t>
                  </w:r>
                </w:p>
              </w:tc>
            </w:tr>
            <w:tr w14:paraId="37B1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Merge w:val="continue"/>
                  <w:vAlign w:val="center"/>
                </w:tcPr>
                <w:p w14:paraId="393573A3">
                  <w:pPr>
                    <w:pStyle w:val="66"/>
                    <w:kinsoku w:val="0"/>
                    <w:overflowPunct w:val="0"/>
                    <w:jc w:val="center"/>
                    <w:rPr>
                      <w:rFonts w:ascii="Times New Roman" w:hAnsi="Times New Roman" w:cs="Times New Roman"/>
                      <w:sz w:val="21"/>
                      <w:szCs w:val="21"/>
                    </w:rPr>
                  </w:pPr>
                </w:p>
              </w:tc>
              <w:tc>
                <w:tcPr>
                  <w:tcW w:w="748" w:type="dxa"/>
                  <w:vMerge w:val="restart"/>
                  <w:vAlign w:val="center"/>
                </w:tcPr>
                <w:p w14:paraId="5612165E">
                  <w:pPr>
                    <w:pStyle w:val="66"/>
                    <w:kinsoku w:val="0"/>
                    <w:overflowPunct w:val="0"/>
                    <w:jc w:val="center"/>
                    <w:rPr>
                      <w:rFonts w:ascii="Times New Roman" w:hAnsi="Times New Roman" w:cs="Times New Roman"/>
                      <w:sz w:val="21"/>
                      <w:szCs w:val="21"/>
                    </w:rPr>
                  </w:pPr>
                </w:p>
                <w:p w14:paraId="123F2E53">
                  <w:pPr>
                    <w:pStyle w:val="66"/>
                    <w:kinsoku w:val="0"/>
                    <w:overflowPunct w:val="0"/>
                    <w:jc w:val="center"/>
                    <w:rPr>
                      <w:rFonts w:ascii="Times New Roman" w:hAnsi="Times New Roman" w:cs="Times New Roman"/>
                      <w:sz w:val="21"/>
                      <w:szCs w:val="21"/>
                    </w:rPr>
                  </w:pPr>
                </w:p>
                <w:p w14:paraId="61E981D9">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隧道窑焙烧</w:t>
                  </w:r>
                </w:p>
              </w:tc>
              <w:tc>
                <w:tcPr>
                  <w:tcW w:w="791" w:type="dxa"/>
                  <w:vAlign w:val="center"/>
                </w:tcPr>
                <w:p w14:paraId="272AFC45">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颗粒物</w:t>
                  </w:r>
                </w:p>
              </w:tc>
              <w:tc>
                <w:tcPr>
                  <w:tcW w:w="809" w:type="dxa"/>
                  <w:vAlign w:val="center"/>
                </w:tcPr>
                <w:p w14:paraId="2159C58B">
                  <w:pPr>
                    <w:pStyle w:val="66"/>
                    <w:kinsoku w:val="0"/>
                    <w:overflowPunct w:val="0"/>
                    <w:jc w:val="center"/>
                    <w:rPr>
                      <w:rFonts w:ascii="Times New Roman" w:hAnsi="Times New Roman" w:cs="Times New Roman"/>
                      <w:sz w:val="21"/>
                      <w:szCs w:val="21"/>
                    </w:rPr>
                  </w:pPr>
                  <w:r>
                    <w:rPr>
                      <w:rFonts w:ascii="Times New Roman" w:hAnsi="Times New Roman" w:cs="Times New Roman"/>
                      <w:snapToGrid w:val="0"/>
                      <w:kern w:val="21"/>
                      <w:sz w:val="21"/>
                      <w:szCs w:val="21"/>
                    </w:rPr>
                    <w:t>0.772</w:t>
                  </w:r>
                </w:p>
              </w:tc>
              <w:tc>
                <w:tcPr>
                  <w:tcW w:w="2020" w:type="dxa"/>
                  <w:vMerge w:val="restart"/>
                  <w:vAlign w:val="center"/>
                </w:tcPr>
                <w:p w14:paraId="799727C9">
                  <w:pPr>
                    <w:pStyle w:val="66"/>
                    <w:kinsoku w:val="0"/>
                    <w:overflowPunct w:val="0"/>
                    <w:jc w:val="center"/>
                    <w:rPr>
                      <w:rFonts w:ascii="Times New Roman" w:hAnsi="Times New Roman" w:cs="Times New Roman"/>
                      <w:sz w:val="21"/>
                      <w:szCs w:val="21"/>
                      <w:lang w:eastAsia="zh-CN"/>
                    </w:rPr>
                  </w:pPr>
                </w:p>
                <w:p w14:paraId="20DE3009">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双碱法脱硫工艺，除尘效率为95%，脱硫效率为 90%，25m烟囱</w:t>
                  </w:r>
                </w:p>
              </w:tc>
              <w:tc>
                <w:tcPr>
                  <w:tcW w:w="1674" w:type="dxa"/>
                  <w:vMerge w:val="restart"/>
                  <w:vAlign w:val="center"/>
                </w:tcPr>
                <w:p w14:paraId="5EAB871F">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产能增加，原有改造</w:t>
                  </w:r>
                </w:p>
              </w:tc>
              <w:tc>
                <w:tcPr>
                  <w:tcW w:w="3086" w:type="dxa"/>
                  <w:vMerge w:val="restart"/>
                  <w:vAlign w:val="center"/>
                </w:tcPr>
                <w:p w14:paraId="03A8E553">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改造</w:t>
                  </w:r>
                </w:p>
              </w:tc>
            </w:tr>
            <w:tr w14:paraId="788C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Merge w:val="continue"/>
                  <w:vAlign w:val="center"/>
                </w:tcPr>
                <w:p w14:paraId="12A736F6">
                  <w:pPr>
                    <w:pStyle w:val="66"/>
                    <w:kinsoku w:val="0"/>
                    <w:overflowPunct w:val="0"/>
                    <w:jc w:val="center"/>
                    <w:rPr>
                      <w:rFonts w:ascii="Times New Roman" w:hAnsi="Times New Roman" w:cs="Times New Roman"/>
                      <w:sz w:val="21"/>
                      <w:szCs w:val="21"/>
                    </w:rPr>
                  </w:pPr>
                </w:p>
              </w:tc>
              <w:tc>
                <w:tcPr>
                  <w:tcW w:w="748" w:type="dxa"/>
                  <w:vMerge w:val="continue"/>
                  <w:vAlign w:val="center"/>
                </w:tcPr>
                <w:p w14:paraId="5D993C54">
                  <w:pPr>
                    <w:pStyle w:val="66"/>
                    <w:kinsoku w:val="0"/>
                    <w:overflowPunct w:val="0"/>
                    <w:jc w:val="center"/>
                    <w:rPr>
                      <w:rFonts w:ascii="Times New Roman" w:hAnsi="Times New Roman" w:cs="Times New Roman"/>
                      <w:sz w:val="21"/>
                      <w:szCs w:val="21"/>
                    </w:rPr>
                  </w:pPr>
                </w:p>
              </w:tc>
              <w:tc>
                <w:tcPr>
                  <w:tcW w:w="791" w:type="dxa"/>
                  <w:vAlign w:val="center"/>
                </w:tcPr>
                <w:p w14:paraId="7B57366F">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809" w:type="dxa"/>
                  <w:vAlign w:val="center"/>
                </w:tcPr>
                <w:p w14:paraId="1DAB394C">
                  <w:pPr>
                    <w:pStyle w:val="66"/>
                    <w:kinsoku w:val="0"/>
                    <w:overflowPunct w:val="0"/>
                    <w:jc w:val="center"/>
                    <w:rPr>
                      <w:rFonts w:ascii="Times New Roman" w:hAnsi="Times New Roman" w:cs="Times New Roman"/>
                      <w:sz w:val="21"/>
                      <w:szCs w:val="21"/>
                    </w:rPr>
                  </w:pPr>
                  <w:r>
                    <w:rPr>
                      <w:rFonts w:ascii="Times New Roman" w:hAnsi="Times New Roman" w:cs="Times New Roman"/>
                      <w:snapToGrid w:val="0"/>
                      <w:kern w:val="21"/>
                      <w:sz w:val="21"/>
                      <w:szCs w:val="21"/>
                    </w:rPr>
                    <w:t>3.94</w:t>
                  </w:r>
                </w:p>
              </w:tc>
              <w:tc>
                <w:tcPr>
                  <w:tcW w:w="2020" w:type="dxa"/>
                  <w:vMerge w:val="continue"/>
                  <w:vAlign w:val="center"/>
                </w:tcPr>
                <w:p w14:paraId="458DB45A">
                  <w:pPr>
                    <w:pStyle w:val="66"/>
                    <w:kinsoku w:val="0"/>
                    <w:overflowPunct w:val="0"/>
                    <w:jc w:val="center"/>
                    <w:rPr>
                      <w:rFonts w:ascii="Times New Roman" w:hAnsi="Times New Roman" w:cs="Times New Roman"/>
                      <w:sz w:val="21"/>
                      <w:szCs w:val="21"/>
                    </w:rPr>
                  </w:pPr>
                </w:p>
              </w:tc>
              <w:tc>
                <w:tcPr>
                  <w:tcW w:w="1674" w:type="dxa"/>
                  <w:vMerge w:val="continue"/>
                  <w:vAlign w:val="center"/>
                </w:tcPr>
                <w:p w14:paraId="5D1A2568">
                  <w:pPr>
                    <w:pStyle w:val="66"/>
                    <w:kinsoku w:val="0"/>
                    <w:overflowPunct w:val="0"/>
                    <w:jc w:val="center"/>
                    <w:rPr>
                      <w:rFonts w:ascii="Times New Roman" w:hAnsi="Times New Roman" w:cs="Times New Roman"/>
                      <w:sz w:val="21"/>
                      <w:szCs w:val="21"/>
                    </w:rPr>
                  </w:pPr>
                </w:p>
              </w:tc>
              <w:tc>
                <w:tcPr>
                  <w:tcW w:w="3086" w:type="dxa"/>
                  <w:vMerge w:val="continue"/>
                  <w:vAlign w:val="center"/>
                </w:tcPr>
                <w:p w14:paraId="4DE76EB2">
                  <w:pPr>
                    <w:pStyle w:val="66"/>
                    <w:kinsoku w:val="0"/>
                    <w:overflowPunct w:val="0"/>
                    <w:jc w:val="center"/>
                    <w:rPr>
                      <w:rFonts w:ascii="Times New Roman" w:hAnsi="Times New Roman" w:cs="Times New Roman"/>
                      <w:sz w:val="21"/>
                      <w:szCs w:val="21"/>
                    </w:rPr>
                  </w:pPr>
                </w:p>
              </w:tc>
            </w:tr>
            <w:tr w14:paraId="196A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Merge w:val="continue"/>
                  <w:vAlign w:val="center"/>
                </w:tcPr>
                <w:p w14:paraId="4AB6AF48">
                  <w:pPr>
                    <w:pStyle w:val="66"/>
                    <w:kinsoku w:val="0"/>
                    <w:overflowPunct w:val="0"/>
                    <w:jc w:val="center"/>
                    <w:rPr>
                      <w:rFonts w:ascii="Times New Roman" w:hAnsi="Times New Roman" w:cs="Times New Roman"/>
                      <w:sz w:val="21"/>
                      <w:szCs w:val="21"/>
                    </w:rPr>
                  </w:pPr>
                </w:p>
              </w:tc>
              <w:tc>
                <w:tcPr>
                  <w:tcW w:w="748" w:type="dxa"/>
                  <w:vMerge w:val="continue"/>
                  <w:vAlign w:val="center"/>
                </w:tcPr>
                <w:p w14:paraId="19167545">
                  <w:pPr>
                    <w:pStyle w:val="66"/>
                    <w:kinsoku w:val="0"/>
                    <w:overflowPunct w:val="0"/>
                    <w:jc w:val="center"/>
                    <w:rPr>
                      <w:rFonts w:ascii="Times New Roman" w:hAnsi="Times New Roman" w:cs="Times New Roman"/>
                      <w:sz w:val="21"/>
                      <w:szCs w:val="21"/>
                    </w:rPr>
                  </w:pPr>
                </w:p>
              </w:tc>
              <w:tc>
                <w:tcPr>
                  <w:tcW w:w="791" w:type="dxa"/>
                  <w:vAlign w:val="center"/>
                </w:tcPr>
                <w:p w14:paraId="2AEE9A33">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NOx</w:t>
                  </w:r>
                </w:p>
              </w:tc>
              <w:tc>
                <w:tcPr>
                  <w:tcW w:w="809" w:type="dxa"/>
                  <w:vAlign w:val="center"/>
                </w:tcPr>
                <w:p w14:paraId="25D274BB">
                  <w:pPr>
                    <w:pStyle w:val="66"/>
                    <w:kinsoku w:val="0"/>
                    <w:overflowPunct w:val="0"/>
                    <w:jc w:val="center"/>
                    <w:rPr>
                      <w:rFonts w:ascii="Times New Roman" w:hAnsi="Times New Roman" w:cs="Times New Roman"/>
                      <w:sz w:val="21"/>
                      <w:szCs w:val="21"/>
                    </w:rPr>
                  </w:pPr>
                  <w:r>
                    <w:rPr>
                      <w:rFonts w:ascii="Times New Roman" w:hAnsi="Times New Roman" w:cs="Times New Roman"/>
                      <w:snapToGrid w:val="0"/>
                      <w:kern w:val="21"/>
                      <w:sz w:val="21"/>
                      <w:szCs w:val="21"/>
                    </w:rPr>
                    <w:t>3.67</w:t>
                  </w:r>
                </w:p>
              </w:tc>
              <w:tc>
                <w:tcPr>
                  <w:tcW w:w="2020" w:type="dxa"/>
                  <w:vMerge w:val="continue"/>
                  <w:vAlign w:val="center"/>
                </w:tcPr>
                <w:p w14:paraId="1BAAD57A">
                  <w:pPr>
                    <w:pStyle w:val="66"/>
                    <w:kinsoku w:val="0"/>
                    <w:overflowPunct w:val="0"/>
                    <w:jc w:val="center"/>
                    <w:rPr>
                      <w:rFonts w:ascii="Times New Roman" w:hAnsi="Times New Roman" w:cs="Times New Roman"/>
                      <w:sz w:val="21"/>
                      <w:szCs w:val="21"/>
                    </w:rPr>
                  </w:pPr>
                </w:p>
              </w:tc>
              <w:tc>
                <w:tcPr>
                  <w:tcW w:w="1674" w:type="dxa"/>
                  <w:vMerge w:val="continue"/>
                  <w:vAlign w:val="center"/>
                </w:tcPr>
                <w:p w14:paraId="6519F314">
                  <w:pPr>
                    <w:pStyle w:val="66"/>
                    <w:kinsoku w:val="0"/>
                    <w:overflowPunct w:val="0"/>
                    <w:jc w:val="center"/>
                    <w:rPr>
                      <w:rFonts w:ascii="Times New Roman" w:hAnsi="Times New Roman" w:cs="Times New Roman"/>
                      <w:sz w:val="21"/>
                      <w:szCs w:val="21"/>
                    </w:rPr>
                  </w:pPr>
                </w:p>
              </w:tc>
              <w:tc>
                <w:tcPr>
                  <w:tcW w:w="3086" w:type="dxa"/>
                  <w:vMerge w:val="continue"/>
                  <w:vAlign w:val="center"/>
                </w:tcPr>
                <w:p w14:paraId="7ECA3462">
                  <w:pPr>
                    <w:pStyle w:val="66"/>
                    <w:kinsoku w:val="0"/>
                    <w:overflowPunct w:val="0"/>
                    <w:jc w:val="center"/>
                    <w:rPr>
                      <w:rFonts w:ascii="Times New Roman" w:hAnsi="Times New Roman" w:cs="Times New Roman"/>
                      <w:sz w:val="21"/>
                      <w:szCs w:val="21"/>
                    </w:rPr>
                  </w:pPr>
                </w:p>
              </w:tc>
            </w:tr>
            <w:tr w14:paraId="228D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Merge w:val="continue"/>
                  <w:vAlign w:val="center"/>
                </w:tcPr>
                <w:p w14:paraId="5BE5CFCF">
                  <w:pPr>
                    <w:pStyle w:val="66"/>
                    <w:kinsoku w:val="0"/>
                    <w:overflowPunct w:val="0"/>
                    <w:jc w:val="center"/>
                    <w:rPr>
                      <w:rFonts w:ascii="Times New Roman" w:hAnsi="Times New Roman" w:cs="Times New Roman"/>
                      <w:sz w:val="21"/>
                      <w:szCs w:val="21"/>
                    </w:rPr>
                  </w:pPr>
                </w:p>
              </w:tc>
              <w:tc>
                <w:tcPr>
                  <w:tcW w:w="748" w:type="dxa"/>
                  <w:vMerge w:val="continue"/>
                  <w:vAlign w:val="center"/>
                </w:tcPr>
                <w:p w14:paraId="5B5C4870">
                  <w:pPr>
                    <w:pStyle w:val="66"/>
                    <w:kinsoku w:val="0"/>
                    <w:overflowPunct w:val="0"/>
                    <w:jc w:val="center"/>
                    <w:rPr>
                      <w:rFonts w:ascii="Times New Roman" w:hAnsi="Times New Roman" w:cs="Times New Roman"/>
                      <w:sz w:val="21"/>
                      <w:szCs w:val="21"/>
                    </w:rPr>
                  </w:pPr>
                </w:p>
              </w:tc>
              <w:tc>
                <w:tcPr>
                  <w:tcW w:w="791" w:type="dxa"/>
                  <w:vAlign w:val="center"/>
                </w:tcPr>
                <w:p w14:paraId="57EE1518">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氟化物</w:t>
                  </w:r>
                </w:p>
              </w:tc>
              <w:tc>
                <w:tcPr>
                  <w:tcW w:w="809" w:type="dxa"/>
                  <w:vAlign w:val="center"/>
                </w:tcPr>
                <w:p w14:paraId="38002B11">
                  <w:pPr>
                    <w:pStyle w:val="66"/>
                    <w:kinsoku w:val="0"/>
                    <w:overflowPunct w:val="0"/>
                    <w:jc w:val="center"/>
                    <w:rPr>
                      <w:rFonts w:ascii="Times New Roman" w:hAnsi="Times New Roman" w:cs="Times New Roman"/>
                      <w:sz w:val="21"/>
                      <w:szCs w:val="21"/>
                    </w:rPr>
                  </w:pPr>
                  <w:r>
                    <w:rPr>
                      <w:rFonts w:ascii="Times New Roman" w:hAnsi="Times New Roman" w:cs="Times New Roman"/>
                      <w:snapToGrid w:val="0"/>
                      <w:kern w:val="21"/>
                      <w:sz w:val="21"/>
                      <w:szCs w:val="21"/>
                    </w:rPr>
                    <w:t>0.048</w:t>
                  </w:r>
                </w:p>
              </w:tc>
              <w:tc>
                <w:tcPr>
                  <w:tcW w:w="2020" w:type="dxa"/>
                  <w:vMerge w:val="continue"/>
                  <w:vAlign w:val="center"/>
                </w:tcPr>
                <w:p w14:paraId="6F3D1B8D">
                  <w:pPr>
                    <w:pStyle w:val="66"/>
                    <w:kinsoku w:val="0"/>
                    <w:overflowPunct w:val="0"/>
                    <w:jc w:val="center"/>
                    <w:rPr>
                      <w:rFonts w:ascii="Times New Roman" w:hAnsi="Times New Roman" w:cs="Times New Roman"/>
                      <w:sz w:val="21"/>
                      <w:szCs w:val="21"/>
                    </w:rPr>
                  </w:pPr>
                </w:p>
              </w:tc>
              <w:tc>
                <w:tcPr>
                  <w:tcW w:w="1674" w:type="dxa"/>
                  <w:vMerge w:val="continue"/>
                  <w:vAlign w:val="center"/>
                </w:tcPr>
                <w:p w14:paraId="344090C4">
                  <w:pPr>
                    <w:pStyle w:val="66"/>
                    <w:kinsoku w:val="0"/>
                    <w:overflowPunct w:val="0"/>
                    <w:jc w:val="center"/>
                    <w:rPr>
                      <w:rFonts w:ascii="Times New Roman" w:hAnsi="Times New Roman" w:cs="Times New Roman"/>
                      <w:sz w:val="21"/>
                      <w:szCs w:val="21"/>
                    </w:rPr>
                  </w:pPr>
                </w:p>
              </w:tc>
              <w:tc>
                <w:tcPr>
                  <w:tcW w:w="3086" w:type="dxa"/>
                  <w:vMerge w:val="continue"/>
                  <w:vAlign w:val="center"/>
                </w:tcPr>
                <w:p w14:paraId="1F081BD1">
                  <w:pPr>
                    <w:pStyle w:val="66"/>
                    <w:kinsoku w:val="0"/>
                    <w:overflowPunct w:val="0"/>
                    <w:jc w:val="center"/>
                    <w:rPr>
                      <w:rFonts w:ascii="Times New Roman" w:hAnsi="Times New Roman" w:cs="Times New Roman"/>
                      <w:sz w:val="21"/>
                      <w:szCs w:val="21"/>
                    </w:rPr>
                  </w:pPr>
                </w:p>
              </w:tc>
            </w:tr>
            <w:tr w14:paraId="10FE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Align w:val="center"/>
                </w:tcPr>
                <w:p w14:paraId="2148F59C">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噪声</w:t>
                  </w:r>
                </w:p>
              </w:tc>
              <w:tc>
                <w:tcPr>
                  <w:tcW w:w="2348" w:type="dxa"/>
                  <w:gridSpan w:val="3"/>
                  <w:vAlign w:val="center"/>
                </w:tcPr>
                <w:p w14:paraId="3A70C5F0">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设备及运输噪声</w:t>
                  </w:r>
                </w:p>
              </w:tc>
              <w:tc>
                <w:tcPr>
                  <w:tcW w:w="2020" w:type="dxa"/>
                  <w:vAlign w:val="center"/>
                </w:tcPr>
                <w:p w14:paraId="670CB65D">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基础减振、吸声、距离衰减等措施</w:t>
                  </w:r>
                </w:p>
              </w:tc>
              <w:tc>
                <w:tcPr>
                  <w:tcW w:w="1674" w:type="dxa"/>
                  <w:vAlign w:val="center"/>
                </w:tcPr>
                <w:p w14:paraId="0B85635A">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满足要求</w:t>
                  </w:r>
                </w:p>
              </w:tc>
              <w:tc>
                <w:tcPr>
                  <w:tcW w:w="3086" w:type="dxa"/>
                  <w:vAlign w:val="center"/>
                </w:tcPr>
                <w:p w14:paraId="6348E74E">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w:t>
                  </w:r>
                </w:p>
              </w:tc>
            </w:tr>
            <w:tr w14:paraId="2EB2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Merge w:val="restart"/>
                  <w:vAlign w:val="center"/>
                </w:tcPr>
                <w:p w14:paraId="3BA6F604">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固体废弃物</w:t>
                  </w:r>
                </w:p>
              </w:tc>
              <w:tc>
                <w:tcPr>
                  <w:tcW w:w="1539" w:type="dxa"/>
                  <w:gridSpan w:val="2"/>
                  <w:vAlign w:val="center"/>
                </w:tcPr>
                <w:p w14:paraId="5571A428">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rPr>
                    <w:t>生活垃圾</w:t>
                  </w:r>
                </w:p>
              </w:tc>
              <w:tc>
                <w:tcPr>
                  <w:tcW w:w="809" w:type="dxa"/>
                  <w:vAlign w:val="center"/>
                </w:tcPr>
                <w:p w14:paraId="2C029DB3">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w:t>
                  </w:r>
                </w:p>
              </w:tc>
              <w:tc>
                <w:tcPr>
                  <w:tcW w:w="2020" w:type="dxa"/>
                  <w:vAlign w:val="center"/>
                </w:tcPr>
                <w:p w14:paraId="0AD5E80C">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清运至最近垃圾收集点</w:t>
                  </w:r>
                </w:p>
              </w:tc>
              <w:tc>
                <w:tcPr>
                  <w:tcW w:w="1674" w:type="dxa"/>
                  <w:vAlign w:val="center"/>
                </w:tcPr>
                <w:p w14:paraId="7C91F426">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满足要求</w:t>
                  </w:r>
                </w:p>
              </w:tc>
              <w:tc>
                <w:tcPr>
                  <w:tcW w:w="3086" w:type="dxa"/>
                  <w:vAlign w:val="center"/>
                </w:tcPr>
                <w:p w14:paraId="630C5954">
                  <w:pPr>
                    <w:pStyle w:val="66"/>
                    <w:kinsoku w:val="0"/>
                    <w:overflowPunct w:val="0"/>
                    <w:jc w:val="center"/>
                    <w:rPr>
                      <w:rFonts w:ascii="Times New Roman" w:hAnsi="Times New Roman" w:cs="Times New Roman"/>
                      <w:sz w:val="21"/>
                      <w:szCs w:val="21"/>
                    </w:rPr>
                  </w:pPr>
                  <w:r>
                    <w:rPr>
                      <w:rFonts w:hint="eastAsia" w:ascii="Times New Roman" w:hAnsi="Times New Roman" w:cs="Times New Roman"/>
                      <w:sz w:val="21"/>
                      <w:szCs w:val="21"/>
                      <w:lang w:eastAsia="zh-CN"/>
                    </w:rPr>
                    <w:t>/</w:t>
                  </w:r>
                </w:p>
              </w:tc>
            </w:tr>
            <w:tr w14:paraId="455C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Merge w:val="continue"/>
                  <w:vAlign w:val="center"/>
                </w:tcPr>
                <w:p w14:paraId="72098365">
                  <w:pPr>
                    <w:pStyle w:val="66"/>
                    <w:kinsoku w:val="0"/>
                    <w:overflowPunct w:val="0"/>
                    <w:rPr>
                      <w:rFonts w:ascii="Times New Roman" w:hAnsi="Times New Roman" w:cs="Times New Roman"/>
                      <w:sz w:val="21"/>
                      <w:szCs w:val="21"/>
                    </w:rPr>
                  </w:pPr>
                </w:p>
              </w:tc>
              <w:tc>
                <w:tcPr>
                  <w:tcW w:w="1539" w:type="dxa"/>
                  <w:gridSpan w:val="2"/>
                  <w:vAlign w:val="center"/>
                </w:tcPr>
                <w:p w14:paraId="57908BE8">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rPr>
                    <w:t>一般固废</w:t>
                  </w:r>
                </w:p>
              </w:tc>
              <w:tc>
                <w:tcPr>
                  <w:tcW w:w="809" w:type="dxa"/>
                  <w:vAlign w:val="center"/>
                </w:tcPr>
                <w:p w14:paraId="3420BE18">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w:t>
                  </w:r>
                </w:p>
              </w:tc>
              <w:tc>
                <w:tcPr>
                  <w:tcW w:w="2020" w:type="dxa"/>
                  <w:vAlign w:val="center"/>
                </w:tcPr>
                <w:p w14:paraId="4AEFE822">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bCs/>
                      <w:sz w:val="21"/>
                      <w:szCs w:val="21"/>
                      <w:lang w:eastAsia="zh-CN"/>
                    </w:rPr>
                    <w:t>设置一般固废堆存处</w:t>
                  </w:r>
                </w:p>
              </w:tc>
              <w:tc>
                <w:tcPr>
                  <w:tcW w:w="1674" w:type="dxa"/>
                  <w:vAlign w:val="center"/>
                </w:tcPr>
                <w:p w14:paraId="4861D600">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不满足要求</w:t>
                  </w:r>
                </w:p>
              </w:tc>
              <w:tc>
                <w:tcPr>
                  <w:tcW w:w="3086" w:type="dxa"/>
                  <w:vAlign w:val="center"/>
                </w:tcPr>
                <w:p w14:paraId="5BF9758A">
                  <w:pPr>
                    <w:pStyle w:val="66"/>
                    <w:kinsoku w:val="0"/>
                    <w:overflowPunct w:val="0"/>
                    <w:rPr>
                      <w:rFonts w:ascii="Times New Roman" w:hAnsi="Times New Roman" w:cs="Times New Roman"/>
                      <w:sz w:val="21"/>
                      <w:szCs w:val="21"/>
                      <w:lang w:eastAsia="zh-CN"/>
                    </w:rPr>
                  </w:pPr>
                  <w:r>
                    <w:rPr>
                      <w:rFonts w:ascii="Times New Roman" w:hAnsi="Times New Roman" w:cs="Times New Roman"/>
                      <w:sz w:val="21"/>
                      <w:szCs w:val="21"/>
                      <w:lang w:eastAsia="zh-CN"/>
                    </w:rPr>
                    <w:t>1、增加标识标牌及台账；</w:t>
                  </w:r>
                </w:p>
                <w:p w14:paraId="21E06F1D">
                  <w:pPr>
                    <w:pStyle w:val="66"/>
                    <w:kinsoku w:val="0"/>
                    <w:overflowPunct w:val="0"/>
                    <w:rPr>
                      <w:rFonts w:ascii="Times New Roman" w:hAnsi="Times New Roman" w:cs="Times New Roman"/>
                      <w:sz w:val="21"/>
                      <w:szCs w:val="21"/>
                      <w:lang w:eastAsia="zh-CN"/>
                    </w:rPr>
                  </w:pPr>
                  <w:r>
                    <w:rPr>
                      <w:rFonts w:ascii="Times New Roman" w:hAnsi="Times New Roman" w:cs="Times New Roman"/>
                      <w:sz w:val="21"/>
                      <w:szCs w:val="21"/>
                      <w:lang w:eastAsia="zh-CN"/>
                    </w:rPr>
                    <w:t>2、产能增加，需增加暂存区面积，提升暂存量。</w:t>
                  </w:r>
                </w:p>
              </w:tc>
            </w:tr>
            <w:tr w14:paraId="2EB6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4" w:type="dxa"/>
                  <w:vMerge w:val="continue"/>
                  <w:vAlign w:val="center"/>
                </w:tcPr>
                <w:p w14:paraId="378AFA5D">
                  <w:pPr>
                    <w:pStyle w:val="66"/>
                    <w:kinsoku w:val="0"/>
                    <w:overflowPunct w:val="0"/>
                    <w:rPr>
                      <w:rFonts w:ascii="Times New Roman" w:hAnsi="Times New Roman" w:cs="Times New Roman"/>
                      <w:sz w:val="21"/>
                      <w:szCs w:val="21"/>
                      <w:lang w:eastAsia="zh-CN"/>
                    </w:rPr>
                  </w:pPr>
                </w:p>
              </w:tc>
              <w:tc>
                <w:tcPr>
                  <w:tcW w:w="1539" w:type="dxa"/>
                  <w:gridSpan w:val="2"/>
                  <w:vAlign w:val="center"/>
                </w:tcPr>
                <w:p w14:paraId="0BB08019">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危险废物</w:t>
                  </w:r>
                </w:p>
              </w:tc>
              <w:tc>
                <w:tcPr>
                  <w:tcW w:w="809" w:type="dxa"/>
                  <w:vAlign w:val="center"/>
                </w:tcPr>
                <w:p w14:paraId="462A1176">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w:t>
                  </w:r>
                </w:p>
              </w:tc>
              <w:tc>
                <w:tcPr>
                  <w:tcW w:w="2020" w:type="dxa"/>
                  <w:vAlign w:val="center"/>
                </w:tcPr>
                <w:p w14:paraId="5DF23121">
                  <w:pPr>
                    <w:pStyle w:val="66"/>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收集后，用于厂区设备润滑</w:t>
                  </w:r>
                </w:p>
              </w:tc>
              <w:tc>
                <w:tcPr>
                  <w:tcW w:w="1674" w:type="dxa"/>
                  <w:vAlign w:val="center"/>
                </w:tcPr>
                <w:p w14:paraId="3B19C0D1">
                  <w:pPr>
                    <w:pStyle w:val="66"/>
                    <w:kinsoku w:val="0"/>
                    <w:overflowPunct w:val="0"/>
                    <w:jc w:val="center"/>
                    <w:rPr>
                      <w:rFonts w:ascii="Times New Roman" w:hAnsi="Times New Roman" w:cs="Times New Roman"/>
                      <w:sz w:val="21"/>
                      <w:szCs w:val="21"/>
                    </w:rPr>
                  </w:pPr>
                  <w:r>
                    <w:rPr>
                      <w:rFonts w:ascii="Times New Roman" w:hAnsi="Times New Roman" w:cs="Times New Roman"/>
                      <w:sz w:val="21"/>
                      <w:szCs w:val="21"/>
                      <w:lang w:eastAsia="zh-CN"/>
                    </w:rPr>
                    <w:t>不</w:t>
                  </w:r>
                  <w:r>
                    <w:rPr>
                      <w:rFonts w:ascii="Times New Roman" w:hAnsi="Times New Roman" w:cs="Times New Roman"/>
                      <w:sz w:val="21"/>
                      <w:szCs w:val="21"/>
                    </w:rPr>
                    <w:t>满足要求</w:t>
                  </w:r>
                </w:p>
              </w:tc>
              <w:tc>
                <w:tcPr>
                  <w:tcW w:w="3086" w:type="dxa"/>
                  <w:vAlign w:val="center"/>
                </w:tcPr>
                <w:p w14:paraId="15CC96D5">
                  <w:pPr>
                    <w:pStyle w:val="66"/>
                    <w:kinsoku w:val="0"/>
                    <w:overflowPunct w:val="0"/>
                    <w:rPr>
                      <w:rFonts w:ascii="Times New Roman" w:hAnsi="Times New Roman" w:cs="Times New Roman"/>
                      <w:sz w:val="21"/>
                      <w:szCs w:val="21"/>
                      <w:lang w:eastAsia="zh-CN"/>
                    </w:rPr>
                  </w:pPr>
                  <w:r>
                    <w:rPr>
                      <w:rFonts w:ascii="Times New Roman" w:hAnsi="Times New Roman" w:cs="Times New Roman"/>
                      <w:sz w:val="21"/>
                      <w:szCs w:val="21"/>
                      <w:lang w:eastAsia="zh-CN"/>
                    </w:rPr>
                    <w:t>增加台账。</w:t>
                  </w:r>
                </w:p>
                <w:p w14:paraId="09E4C8C7">
                  <w:pPr>
                    <w:pStyle w:val="66"/>
                    <w:kinsoku w:val="0"/>
                    <w:overflowPunct w:val="0"/>
                    <w:rPr>
                      <w:rFonts w:ascii="Times New Roman" w:hAnsi="Times New Roman" w:cs="Times New Roman"/>
                      <w:sz w:val="21"/>
                      <w:szCs w:val="21"/>
                      <w:lang w:eastAsia="zh-CN"/>
                    </w:rPr>
                  </w:pPr>
                </w:p>
              </w:tc>
            </w:tr>
          </w:tbl>
          <w:p w14:paraId="24224674">
            <w:pPr>
              <w:pStyle w:val="23"/>
              <w:ind w:firstLine="240"/>
            </w:pPr>
          </w:p>
          <w:p w14:paraId="78D3C49B"/>
          <w:p w14:paraId="0987DBC3">
            <w:pPr>
              <w:pStyle w:val="2"/>
              <w:rPr>
                <w:rFonts w:ascii="Times New Roman" w:hAnsi="Times New Roman"/>
              </w:rPr>
            </w:pPr>
          </w:p>
          <w:p w14:paraId="21CEAE8A"/>
          <w:p w14:paraId="373FDA1C">
            <w:pPr>
              <w:pStyle w:val="24"/>
              <w:spacing w:after="0" w:line="360" w:lineRule="auto"/>
              <w:ind w:left="0" w:leftChars="0" w:firstLine="480"/>
              <w:rPr>
                <w:bCs/>
                <w:sz w:val="24"/>
              </w:rPr>
            </w:pPr>
          </w:p>
        </w:tc>
      </w:tr>
    </w:tbl>
    <w:p w14:paraId="65059A7F">
      <w:pPr>
        <w:pStyle w:val="20"/>
        <w:spacing w:before="0" w:beforeAutospacing="0" w:after="0" w:afterAutospacing="0"/>
        <w:jc w:val="center"/>
        <w:outlineLvl w:val="0"/>
        <w:rPr>
          <w:rFonts w:ascii="Times New Roman" w:hAnsi="Times New Roman"/>
          <w:b/>
          <w:bCs/>
          <w:snapToGrid w:val="0"/>
          <w:sz w:val="32"/>
          <w:szCs w:val="32"/>
        </w:rPr>
      </w:pPr>
      <w:bookmarkStart w:id="12" w:name="_Toc26230"/>
      <w:r>
        <w:rPr>
          <w:rFonts w:ascii="Times New Roman" w:hAnsi="Times New Roman"/>
          <w:b/>
          <w:bCs/>
          <w:snapToGrid w:val="0"/>
          <w:sz w:val="32"/>
          <w:szCs w:val="32"/>
        </w:rPr>
        <w:br w:type="page"/>
      </w:r>
      <w:bookmarkStart w:id="13" w:name="_Toc101052710"/>
      <w:r>
        <w:rPr>
          <w:rFonts w:ascii="Times New Roman" w:hAnsi="Times New Roman"/>
          <w:b/>
          <w:bCs/>
          <w:snapToGrid w:val="0"/>
          <w:sz w:val="32"/>
          <w:szCs w:val="32"/>
        </w:rPr>
        <w:t>三、区域环境质量现状、环境保护目标及评价标准</w:t>
      </w:r>
      <w:bookmarkEnd w:id="12"/>
      <w:bookmarkEnd w:id="13"/>
    </w:p>
    <w:tbl>
      <w:tblPr>
        <w:tblStyle w:val="25"/>
        <w:tblW w:w="98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9398"/>
      </w:tblGrid>
      <w:tr w14:paraId="0B83A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457" w:type="dxa"/>
            <w:vAlign w:val="center"/>
          </w:tcPr>
          <w:p w14:paraId="3B52D7A6">
            <w:pPr>
              <w:adjustRightInd w:val="0"/>
              <w:snapToGrid w:val="0"/>
              <w:jc w:val="center"/>
              <w:rPr>
                <w:b/>
                <w:bCs/>
                <w:kern w:val="0"/>
                <w:sz w:val="24"/>
              </w:rPr>
            </w:pPr>
            <w:r>
              <w:rPr>
                <w:b/>
                <w:bCs/>
                <w:kern w:val="0"/>
                <w:sz w:val="24"/>
              </w:rPr>
              <w:t>区域环境质量现状</w:t>
            </w:r>
          </w:p>
        </w:tc>
        <w:tc>
          <w:tcPr>
            <w:tcW w:w="9398" w:type="dxa"/>
            <w:vAlign w:val="center"/>
          </w:tcPr>
          <w:p w14:paraId="1DE925F9">
            <w:pPr>
              <w:adjustRightInd w:val="0"/>
              <w:snapToGrid w:val="0"/>
              <w:spacing w:line="360" w:lineRule="auto"/>
              <w:ind w:firstLine="482" w:firstLineChars="200"/>
              <w:rPr>
                <w:b/>
                <w:bCs/>
                <w:sz w:val="24"/>
              </w:rPr>
            </w:pPr>
            <w:r>
              <w:rPr>
                <w:b/>
                <w:bCs/>
                <w:sz w:val="24"/>
              </w:rPr>
              <w:t>1、大气环境质量现状</w:t>
            </w:r>
          </w:p>
          <w:p w14:paraId="18727284">
            <w:pPr>
              <w:adjustRightInd w:val="0"/>
              <w:spacing w:line="360" w:lineRule="auto"/>
              <w:ind w:firstLine="482" w:firstLineChars="200"/>
              <w:rPr>
                <w:b/>
                <w:bCs/>
                <w:sz w:val="24"/>
              </w:rPr>
            </w:pPr>
            <w:r>
              <w:rPr>
                <w:b/>
                <w:bCs/>
                <w:sz w:val="24"/>
              </w:rPr>
              <w:t>（1）基本污染物区域达标判定</w:t>
            </w:r>
          </w:p>
          <w:p w14:paraId="783289AA">
            <w:pPr>
              <w:adjustRightInd w:val="0"/>
              <w:spacing w:line="360" w:lineRule="auto"/>
              <w:ind w:firstLine="480" w:firstLineChars="200"/>
              <w:rPr>
                <w:snapToGrid w:val="0"/>
                <w:kern w:val="0"/>
                <w:sz w:val="24"/>
                <w:szCs w:val="20"/>
              </w:rPr>
            </w:pPr>
            <w:r>
              <w:rPr>
                <w:sz w:val="24"/>
              </w:rPr>
              <w:t>本项目位于云南省德宏州芒市风平镇帕底村委会南相章村民小组，</w:t>
            </w:r>
            <w:r>
              <w:rPr>
                <w:snapToGrid w:val="0"/>
                <w:kern w:val="0"/>
                <w:sz w:val="24"/>
                <w:szCs w:val="20"/>
              </w:rPr>
              <w:t>环境空气质量功能区划为二类区，执行《环境空气质量标准》（GB3095-2012）二级标准。</w:t>
            </w:r>
          </w:p>
          <w:p w14:paraId="1B174234">
            <w:pPr>
              <w:adjustRightInd w:val="0"/>
              <w:snapToGrid w:val="0"/>
              <w:spacing w:line="360" w:lineRule="auto"/>
              <w:ind w:firstLine="480" w:firstLineChars="200"/>
              <w:rPr>
                <w:snapToGrid w:val="0"/>
                <w:kern w:val="0"/>
                <w:sz w:val="24"/>
                <w:szCs w:val="20"/>
              </w:rPr>
            </w:pPr>
            <w:r>
              <w:rPr>
                <w:snapToGrid w:val="0"/>
                <w:kern w:val="0"/>
                <w:sz w:val="24"/>
                <w:szCs w:val="20"/>
              </w:rPr>
              <w:t>根据《环境影响评价技术导则 大气环境》（HJ2.2-2018）中的基本污染物环境质量现状数据来源，“项目所在区域达标判定，优先采用国家或地方生态环境主管部门公开发布的评价基准年环境质量公告或环境质量报告中的数据或结论。”；</w:t>
            </w:r>
          </w:p>
          <w:p w14:paraId="7DF13806">
            <w:pPr>
              <w:tabs>
                <w:tab w:val="left" w:pos="6153"/>
              </w:tabs>
              <w:adjustRightInd w:val="0"/>
              <w:snapToGrid w:val="0"/>
              <w:spacing w:line="360" w:lineRule="auto"/>
              <w:ind w:firstLine="480" w:firstLineChars="200"/>
              <w:rPr>
                <w:snapToGrid w:val="0"/>
                <w:sz w:val="24"/>
              </w:rPr>
            </w:pPr>
            <w:r>
              <w:rPr>
                <w:snapToGrid w:val="0"/>
                <w:kern w:val="0"/>
                <w:sz w:val="24"/>
              </w:rPr>
              <w:t>根据《德宏州2020年环境质量状况公报》，芒市有效监测天数359天，优235天，良121天，轻度污染3天。按空气质量指数（AQI）评价，优良率为99.2%，与2019年相比下降0.8%。污染发生的时间为3~4月份。首要污染物为可吸入颗粒物、细颗粒物和臭氧。年度综合评价，芒市环境空气质量达到二级标准，环境空气质量综合指数为2.83。各指标监测数据如下表所示</w:t>
            </w:r>
            <w:r>
              <w:rPr>
                <w:snapToGrid w:val="0"/>
                <w:sz w:val="24"/>
              </w:rPr>
              <w:t>。</w:t>
            </w:r>
          </w:p>
          <w:p w14:paraId="77692B7D">
            <w:pPr>
              <w:widowControl/>
              <w:ind w:firstLine="482"/>
              <w:jc w:val="center"/>
              <w:rPr>
                <w:b/>
                <w:bCs/>
                <w:snapToGrid w:val="0"/>
                <w:kern w:val="0"/>
                <w:sz w:val="24"/>
              </w:rPr>
            </w:pPr>
            <w:r>
              <w:rPr>
                <w:b/>
                <w:bCs/>
                <w:snapToGrid w:val="0"/>
                <w:kern w:val="0"/>
                <w:sz w:val="24"/>
              </w:rPr>
              <w:t>表3-1  2020年芒市</w:t>
            </w:r>
            <w:r>
              <w:rPr>
                <w:b/>
                <w:bCs/>
                <w:sz w:val="24"/>
              </w:rPr>
              <w:t>环境空气质量监测指标达标情况</w:t>
            </w:r>
          </w:p>
          <w:tbl>
            <w:tblPr>
              <w:tblStyle w:val="25"/>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5"/>
              <w:gridCol w:w="2502"/>
              <w:gridCol w:w="2505"/>
              <w:gridCol w:w="1296"/>
            </w:tblGrid>
            <w:tr w14:paraId="2D74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vAlign w:val="center"/>
                </w:tcPr>
                <w:p w14:paraId="2F57F731">
                  <w:pPr>
                    <w:jc w:val="center"/>
                    <w:rPr>
                      <w:snapToGrid w:val="0"/>
                      <w:kern w:val="0"/>
                      <w:szCs w:val="21"/>
                    </w:rPr>
                  </w:pPr>
                  <w:r>
                    <w:rPr>
                      <w:b/>
                      <w:bCs/>
                      <w:snapToGrid w:val="0"/>
                      <w:kern w:val="0"/>
                      <w:szCs w:val="21"/>
                    </w:rPr>
                    <w:t>监测指标</w:t>
                  </w:r>
                </w:p>
              </w:tc>
              <w:tc>
                <w:tcPr>
                  <w:tcW w:w="2502" w:type="dxa"/>
                  <w:tcBorders>
                    <w:top w:val="single" w:color="auto" w:sz="4" w:space="0"/>
                    <w:left w:val="single" w:color="auto" w:sz="4" w:space="0"/>
                    <w:bottom w:val="single" w:color="auto" w:sz="4" w:space="0"/>
                    <w:right w:val="single" w:color="auto" w:sz="4" w:space="0"/>
                  </w:tcBorders>
                  <w:vAlign w:val="center"/>
                </w:tcPr>
                <w:p w14:paraId="5459C8C5">
                  <w:pPr>
                    <w:jc w:val="center"/>
                    <w:rPr>
                      <w:snapToGrid w:val="0"/>
                      <w:kern w:val="0"/>
                      <w:szCs w:val="21"/>
                    </w:rPr>
                  </w:pPr>
                  <w:r>
                    <w:rPr>
                      <w:b/>
                      <w:bCs/>
                      <w:snapToGrid w:val="0"/>
                      <w:kern w:val="0"/>
                      <w:szCs w:val="21"/>
                    </w:rPr>
                    <w:t>年均浓度（μg/m³）</w:t>
                  </w:r>
                </w:p>
              </w:tc>
              <w:tc>
                <w:tcPr>
                  <w:tcW w:w="2505" w:type="dxa"/>
                  <w:tcBorders>
                    <w:top w:val="single" w:color="auto" w:sz="4" w:space="0"/>
                    <w:left w:val="single" w:color="auto" w:sz="4" w:space="0"/>
                    <w:bottom w:val="single" w:color="auto" w:sz="4" w:space="0"/>
                    <w:right w:val="single" w:color="auto" w:sz="4" w:space="0"/>
                  </w:tcBorders>
                  <w:vAlign w:val="center"/>
                </w:tcPr>
                <w:p w14:paraId="30AF73C5">
                  <w:pPr>
                    <w:jc w:val="center"/>
                    <w:rPr>
                      <w:snapToGrid w:val="0"/>
                      <w:kern w:val="0"/>
                      <w:szCs w:val="21"/>
                    </w:rPr>
                  </w:pPr>
                  <w:r>
                    <w:rPr>
                      <w:b/>
                      <w:bCs/>
                      <w:snapToGrid w:val="0"/>
                      <w:kern w:val="0"/>
                      <w:szCs w:val="21"/>
                    </w:rPr>
                    <w:t>二级标准（μg/m³）</w:t>
                  </w:r>
                </w:p>
              </w:tc>
              <w:tc>
                <w:tcPr>
                  <w:tcW w:w="1296" w:type="dxa"/>
                  <w:tcBorders>
                    <w:top w:val="single" w:color="auto" w:sz="4" w:space="0"/>
                    <w:left w:val="single" w:color="auto" w:sz="4" w:space="0"/>
                    <w:bottom w:val="single" w:color="auto" w:sz="4" w:space="0"/>
                    <w:right w:val="single" w:color="auto" w:sz="4" w:space="0"/>
                  </w:tcBorders>
                  <w:vAlign w:val="center"/>
                </w:tcPr>
                <w:p w14:paraId="0FDA696C">
                  <w:pPr>
                    <w:jc w:val="center"/>
                    <w:rPr>
                      <w:snapToGrid w:val="0"/>
                      <w:kern w:val="0"/>
                      <w:szCs w:val="21"/>
                    </w:rPr>
                  </w:pPr>
                  <w:r>
                    <w:rPr>
                      <w:b/>
                      <w:bCs/>
                      <w:snapToGrid w:val="0"/>
                      <w:kern w:val="0"/>
                      <w:szCs w:val="21"/>
                    </w:rPr>
                    <w:t>达标情况</w:t>
                  </w:r>
                </w:p>
              </w:tc>
            </w:tr>
            <w:tr w14:paraId="7046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vAlign w:val="center"/>
                </w:tcPr>
                <w:p w14:paraId="40BA8764">
                  <w:pPr>
                    <w:jc w:val="center"/>
                    <w:rPr>
                      <w:snapToGrid w:val="0"/>
                      <w:kern w:val="0"/>
                      <w:szCs w:val="21"/>
                    </w:rPr>
                  </w:pPr>
                  <w:r>
                    <w:rPr>
                      <w:snapToGrid w:val="0"/>
                      <w:kern w:val="0"/>
                      <w:szCs w:val="21"/>
                    </w:rPr>
                    <w:t>二氧化硫（</w:t>
                  </w:r>
                  <w:r>
                    <w:rPr>
                      <w:szCs w:val="21"/>
                    </w:rPr>
                    <w:t>SO</w:t>
                  </w:r>
                  <w:r>
                    <w:rPr>
                      <w:szCs w:val="21"/>
                      <w:vertAlign w:val="subscript"/>
                    </w:rPr>
                    <w:t>2</w:t>
                  </w:r>
                  <w:r>
                    <w:rPr>
                      <w:szCs w:val="21"/>
                    </w:rPr>
                    <w:t>）</w:t>
                  </w:r>
                </w:p>
              </w:tc>
              <w:tc>
                <w:tcPr>
                  <w:tcW w:w="2502" w:type="dxa"/>
                  <w:tcBorders>
                    <w:top w:val="single" w:color="auto" w:sz="4" w:space="0"/>
                    <w:left w:val="single" w:color="auto" w:sz="4" w:space="0"/>
                    <w:bottom w:val="single" w:color="auto" w:sz="4" w:space="0"/>
                    <w:right w:val="single" w:color="auto" w:sz="4" w:space="0"/>
                  </w:tcBorders>
                  <w:vAlign w:val="center"/>
                </w:tcPr>
                <w:p w14:paraId="1D350F39">
                  <w:pPr>
                    <w:widowControl/>
                    <w:jc w:val="center"/>
                    <w:rPr>
                      <w:snapToGrid w:val="0"/>
                      <w:kern w:val="0"/>
                      <w:szCs w:val="21"/>
                    </w:rPr>
                  </w:pPr>
                  <w:r>
                    <w:rPr>
                      <w:snapToGrid w:val="0"/>
                      <w:kern w:val="0"/>
                      <w:szCs w:val="21"/>
                    </w:rPr>
                    <w:t>9</w:t>
                  </w:r>
                </w:p>
              </w:tc>
              <w:tc>
                <w:tcPr>
                  <w:tcW w:w="2505" w:type="dxa"/>
                  <w:tcBorders>
                    <w:top w:val="single" w:color="auto" w:sz="4" w:space="0"/>
                    <w:left w:val="single" w:color="auto" w:sz="4" w:space="0"/>
                    <w:bottom w:val="single" w:color="auto" w:sz="4" w:space="0"/>
                    <w:right w:val="single" w:color="auto" w:sz="4" w:space="0"/>
                  </w:tcBorders>
                  <w:vAlign w:val="center"/>
                </w:tcPr>
                <w:p w14:paraId="07E644C8">
                  <w:pPr>
                    <w:jc w:val="center"/>
                    <w:rPr>
                      <w:snapToGrid w:val="0"/>
                      <w:kern w:val="0"/>
                      <w:szCs w:val="21"/>
                    </w:rPr>
                  </w:pPr>
                  <w:r>
                    <w:rPr>
                      <w:snapToGrid w:val="0"/>
                      <w:kern w:val="0"/>
                      <w:szCs w:val="21"/>
                    </w:rPr>
                    <w:t>60</w:t>
                  </w:r>
                </w:p>
              </w:tc>
              <w:tc>
                <w:tcPr>
                  <w:tcW w:w="1296" w:type="dxa"/>
                  <w:tcBorders>
                    <w:top w:val="single" w:color="auto" w:sz="4" w:space="0"/>
                    <w:left w:val="single" w:color="auto" w:sz="4" w:space="0"/>
                    <w:bottom w:val="single" w:color="auto" w:sz="4" w:space="0"/>
                    <w:right w:val="single" w:color="auto" w:sz="4" w:space="0"/>
                  </w:tcBorders>
                  <w:vAlign w:val="center"/>
                </w:tcPr>
                <w:p w14:paraId="167F4F13">
                  <w:pPr>
                    <w:widowControl/>
                    <w:jc w:val="center"/>
                    <w:rPr>
                      <w:snapToGrid w:val="0"/>
                      <w:kern w:val="0"/>
                      <w:szCs w:val="21"/>
                    </w:rPr>
                  </w:pPr>
                  <w:r>
                    <w:rPr>
                      <w:snapToGrid w:val="0"/>
                      <w:kern w:val="0"/>
                      <w:szCs w:val="21"/>
                    </w:rPr>
                    <w:t>达标</w:t>
                  </w:r>
                </w:p>
              </w:tc>
            </w:tr>
            <w:tr w14:paraId="7731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vAlign w:val="center"/>
                </w:tcPr>
                <w:p w14:paraId="587FF52E">
                  <w:pPr>
                    <w:jc w:val="center"/>
                    <w:rPr>
                      <w:snapToGrid w:val="0"/>
                      <w:kern w:val="0"/>
                      <w:szCs w:val="21"/>
                    </w:rPr>
                  </w:pPr>
                  <w:r>
                    <w:rPr>
                      <w:snapToGrid w:val="0"/>
                      <w:kern w:val="0"/>
                      <w:szCs w:val="21"/>
                    </w:rPr>
                    <w:t>二氧化氮（</w:t>
                  </w:r>
                  <w:r>
                    <w:rPr>
                      <w:szCs w:val="21"/>
                    </w:rPr>
                    <w:t>NO</w:t>
                  </w:r>
                  <w:r>
                    <w:rPr>
                      <w:szCs w:val="21"/>
                      <w:vertAlign w:val="subscript"/>
                    </w:rPr>
                    <w:t>2</w:t>
                  </w:r>
                  <w:r>
                    <w:rPr>
                      <w:snapToGrid w:val="0"/>
                      <w:kern w:val="0"/>
                      <w:szCs w:val="21"/>
                    </w:rPr>
                    <w:t>）</w:t>
                  </w:r>
                </w:p>
              </w:tc>
              <w:tc>
                <w:tcPr>
                  <w:tcW w:w="2502" w:type="dxa"/>
                  <w:tcBorders>
                    <w:top w:val="single" w:color="auto" w:sz="4" w:space="0"/>
                    <w:left w:val="single" w:color="auto" w:sz="4" w:space="0"/>
                    <w:bottom w:val="single" w:color="auto" w:sz="4" w:space="0"/>
                    <w:right w:val="single" w:color="auto" w:sz="4" w:space="0"/>
                  </w:tcBorders>
                  <w:vAlign w:val="center"/>
                </w:tcPr>
                <w:p w14:paraId="0DF1618A">
                  <w:pPr>
                    <w:widowControl/>
                    <w:jc w:val="center"/>
                    <w:rPr>
                      <w:snapToGrid w:val="0"/>
                      <w:kern w:val="0"/>
                      <w:szCs w:val="21"/>
                    </w:rPr>
                  </w:pPr>
                  <w:r>
                    <w:rPr>
                      <w:snapToGrid w:val="0"/>
                      <w:kern w:val="0"/>
                      <w:szCs w:val="21"/>
                    </w:rPr>
                    <w:t>19</w:t>
                  </w:r>
                </w:p>
              </w:tc>
              <w:tc>
                <w:tcPr>
                  <w:tcW w:w="2505" w:type="dxa"/>
                  <w:tcBorders>
                    <w:top w:val="single" w:color="auto" w:sz="4" w:space="0"/>
                    <w:left w:val="single" w:color="auto" w:sz="4" w:space="0"/>
                    <w:bottom w:val="single" w:color="auto" w:sz="4" w:space="0"/>
                    <w:right w:val="single" w:color="auto" w:sz="4" w:space="0"/>
                  </w:tcBorders>
                  <w:vAlign w:val="center"/>
                </w:tcPr>
                <w:p w14:paraId="3DE0FD62">
                  <w:pPr>
                    <w:jc w:val="center"/>
                    <w:rPr>
                      <w:snapToGrid w:val="0"/>
                      <w:kern w:val="0"/>
                      <w:szCs w:val="21"/>
                    </w:rPr>
                  </w:pPr>
                  <w:r>
                    <w:rPr>
                      <w:snapToGrid w:val="0"/>
                      <w:kern w:val="0"/>
                      <w:szCs w:val="21"/>
                    </w:rPr>
                    <w:t>40</w:t>
                  </w:r>
                </w:p>
              </w:tc>
              <w:tc>
                <w:tcPr>
                  <w:tcW w:w="1296" w:type="dxa"/>
                  <w:tcBorders>
                    <w:top w:val="single" w:color="auto" w:sz="4" w:space="0"/>
                    <w:left w:val="single" w:color="auto" w:sz="4" w:space="0"/>
                    <w:bottom w:val="single" w:color="auto" w:sz="4" w:space="0"/>
                    <w:right w:val="single" w:color="auto" w:sz="4" w:space="0"/>
                  </w:tcBorders>
                  <w:vAlign w:val="center"/>
                </w:tcPr>
                <w:p w14:paraId="29BB1A10">
                  <w:pPr>
                    <w:widowControl/>
                    <w:jc w:val="center"/>
                    <w:rPr>
                      <w:snapToGrid w:val="0"/>
                      <w:kern w:val="0"/>
                      <w:szCs w:val="21"/>
                    </w:rPr>
                  </w:pPr>
                  <w:r>
                    <w:rPr>
                      <w:snapToGrid w:val="0"/>
                      <w:kern w:val="0"/>
                      <w:szCs w:val="21"/>
                    </w:rPr>
                    <w:t>达标</w:t>
                  </w:r>
                </w:p>
              </w:tc>
            </w:tr>
            <w:tr w14:paraId="6114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vAlign w:val="center"/>
                </w:tcPr>
                <w:p w14:paraId="477F9D3D">
                  <w:pPr>
                    <w:jc w:val="center"/>
                    <w:rPr>
                      <w:snapToGrid w:val="0"/>
                      <w:kern w:val="0"/>
                      <w:szCs w:val="21"/>
                    </w:rPr>
                  </w:pPr>
                  <w:r>
                    <w:rPr>
                      <w:snapToGrid w:val="0"/>
                      <w:kern w:val="0"/>
                      <w:szCs w:val="21"/>
                    </w:rPr>
                    <w:t>可吸入颗粒物（PM</w:t>
                  </w:r>
                  <w:r>
                    <w:rPr>
                      <w:snapToGrid w:val="0"/>
                      <w:kern w:val="0"/>
                      <w:szCs w:val="21"/>
                      <w:vertAlign w:val="subscript"/>
                    </w:rPr>
                    <w:t>10</w:t>
                  </w:r>
                  <w:r>
                    <w:rPr>
                      <w:snapToGrid w:val="0"/>
                      <w:kern w:val="0"/>
                      <w:szCs w:val="21"/>
                    </w:rPr>
                    <w:t>）</w:t>
                  </w:r>
                </w:p>
              </w:tc>
              <w:tc>
                <w:tcPr>
                  <w:tcW w:w="2502" w:type="dxa"/>
                  <w:tcBorders>
                    <w:top w:val="single" w:color="auto" w:sz="4" w:space="0"/>
                    <w:left w:val="single" w:color="auto" w:sz="4" w:space="0"/>
                    <w:bottom w:val="single" w:color="auto" w:sz="4" w:space="0"/>
                    <w:right w:val="single" w:color="auto" w:sz="4" w:space="0"/>
                  </w:tcBorders>
                  <w:vAlign w:val="center"/>
                </w:tcPr>
                <w:p w14:paraId="4F93D260">
                  <w:pPr>
                    <w:widowControl/>
                    <w:jc w:val="center"/>
                    <w:rPr>
                      <w:snapToGrid w:val="0"/>
                      <w:kern w:val="0"/>
                      <w:szCs w:val="21"/>
                    </w:rPr>
                  </w:pPr>
                  <w:r>
                    <w:rPr>
                      <w:snapToGrid w:val="0"/>
                      <w:kern w:val="0"/>
                      <w:szCs w:val="21"/>
                    </w:rPr>
                    <w:t>42</w:t>
                  </w:r>
                </w:p>
              </w:tc>
              <w:tc>
                <w:tcPr>
                  <w:tcW w:w="2505" w:type="dxa"/>
                  <w:tcBorders>
                    <w:top w:val="single" w:color="auto" w:sz="4" w:space="0"/>
                    <w:left w:val="single" w:color="auto" w:sz="4" w:space="0"/>
                    <w:bottom w:val="single" w:color="auto" w:sz="4" w:space="0"/>
                    <w:right w:val="single" w:color="auto" w:sz="4" w:space="0"/>
                  </w:tcBorders>
                  <w:vAlign w:val="center"/>
                </w:tcPr>
                <w:p w14:paraId="3121BCDD">
                  <w:pPr>
                    <w:jc w:val="center"/>
                    <w:rPr>
                      <w:snapToGrid w:val="0"/>
                      <w:kern w:val="0"/>
                      <w:szCs w:val="21"/>
                    </w:rPr>
                  </w:pPr>
                  <w:r>
                    <w:rPr>
                      <w:snapToGrid w:val="0"/>
                      <w:kern w:val="0"/>
                      <w:szCs w:val="21"/>
                    </w:rPr>
                    <w:t>70</w:t>
                  </w:r>
                </w:p>
              </w:tc>
              <w:tc>
                <w:tcPr>
                  <w:tcW w:w="1296" w:type="dxa"/>
                  <w:tcBorders>
                    <w:top w:val="single" w:color="auto" w:sz="4" w:space="0"/>
                    <w:left w:val="single" w:color="auto" w:sz="4" w:space="0"/>
                    <w:bottom w:val="single" w:color="auto" w:sz="4" w:space="0"/>
                    <w:right w:val="single" w:color="auto" w:sz="4" w:space="0"/>
                  </w:tcBorders>
                  <w:vAlign w:val="center"/>
                </w:tcPr>
                <w:p w14:paraId="3F64E463">
                  <w:pPr>
                    <w:widowControl/>
                    <w:jc w:val="center"/>
                    <w:rPr>
                      <w:snapToGrid w:val="0"/>
                      <w:kern w:val="0"/>
                      <w:szCs w:val="21"/>
                    </w:rPr>
                  </w:pPr>
                  <w:r>
                    <w:rPr>
                      <w:snapToGrid w:val="0"/>
                      <w:kern w:val="0"/>
                      <w:szCs w:val="21"/>
                    </w:rPr>
                    <w:t>达标</w:t>
                  </w:r>
                </w:p>
              </w:tc>
            </w:tr>
            <w:tr w14:paraId="5990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vAlign w:val="center"/>
                </w:tcPr>
                <w:p w14:paraId="0CD95E76">
                  <w:pPr>
                    <w:jc w:val="center"/>
                    <w:rPr>
                      <w:snapToGrid w:val="0"/>
                      <w:kern w:val="0"/>
                      <w:szCs w:val="21"/>
                    </w:rPr>
                  </w:pPr>
                  <w:r>
                    <w:rPr>
                      <w:snapToGrid w:val="0"/>
                      <w:kern w:val="0"/>
                      <w:szCs w:val="21"/>
                    </w:rPr>
                    <w:t>细颗粒物（PM</w:t>
                  </w:r>
                  <w:r>
                    <w:rPr>
                      <w:snapToGrid w:val="0"/>
                      <w:kern w:val="0"/>
                      <w:szCs w:val="21"/>
                      <w:vertAlign w:val="subscript"/>
                    </w:rPr>
                    <w:t>2..5</w:t>
                  </w:r>
                  <w:r>
                    <w:rPr>
                      <w:snapToGrid w:val="0"/>
                      <w:kern w:val="0"/>
                      <w:szCs w:val="21"/>
                    </w:rPr>
                    <w:t>）</w:t>
                  </w:r>
                </w:p>
              </w:tc>
              <w:tc>
                <w:tcPr>
                  <w:tcW w:w="2502" w:type="dxa"/>
                  <w:tcBorders>
                    <w:top w:val="single" w:color="auto" w:sz="4" w:space="0"/>
                    <w:left w:val="single" w:color="auto" w:sz="4" w:space="0"/>
                    <w:bottom w:val="single" w:color="auto" w:sz="4" w:space="0"/>
                    <w:right w:val="single" w:color="auto" w:sz="4" w:space="0"/>
                  </w:tcBorders>
                  <w:vAlign w:val="center"/>
                </w:tcPr>
                <w:p w14:paraId="59181623">
                  <w:pPr>
                    <w:widowControl/>
                    <w:jc w:val="center"/>
                    <w:rPr>
                      <w:snapToGrid w:val="0"/>
                      <w:kern w:val="0"/>
                      <w:szCs w:val="21"/>
                    </w:rPr>
                  </w:pPr>
                  <w:r>
                    <w:rPr>
                      <w:snapToGrid w:val="0"/>
                      <w:kern w:val="0"/>
                      <w:szCs w:val="21"/>
                    </w:rPr>
                    <w:t>22</w:t>
                  </w:r>
                </w:p>
              </w:tc>
              <w:tc>
                <w:tcPr>
                  <w:tcW w:w="2505" w:type="dxa"/>
                  <w:tcBorders>
                    <w:top w:val="single" w:color="auto" w:sz="4" w:space="0"/>
                    <w:left w:val="single" w:color="auto" w:sz="4" w:space="0"/>
                    <w:bottom w:val="single" w:color="auto" w:sz="4" w:space="0"/>
                    <w:right w:val="single" w:color="auto" w:sz="4" w:space="0"/>
                  </w:tcBorders>
                  <w:vAlign w:val="center"/>
                </w:tcPr>
                <w:p w14:paraId="740C9A7A">
                  <w:pPr>
                    <w:jc w:val="center"/>
                    <w:rPr>
                      <w:snapToGrid w:val="0"/>
                      <w:kern w:val="0"/>
                      <w:szCs w:val="21"/>
                    </w:rPr>
                  </w:pPr>
                  <w:r>
                    <w:rPr>
                      <w:snapToGrid w:val="0"/>
                      <w:kern w:val="0"/>
                      <w:szCs w:val="21"/>
                    </w:rPr>
                    <w:t>35</w:t>
                  </w:r>
                </w:p>
              </w:tc>
              <w:tc>
                <w:tcPr>
                  <w:tcW w:w="1296" w:type="dxa"/>
                  <w:tcBorders>
                    <w:top w:val="single" w:color="auto" w:sz="4" w:space="0"/>
                    <w:left w:val="single" w:color="auto" w:sz="4" w:space="0"/>
                    <w:bottom w:val="single" w:color="auto" w:sz="4" w:space="0"/>
                    <w:right w:val="single" w:color="auto" w:sz="4" w:space="0"/>
                  </w:tcBorders>
                  <w:vAlign w:val="center"/>
                </w:tcPr>
                <w:p w14:paraId="4BD371E0">
                  <w:pPr>
                    <w:widowControl/>
                    <w:jc w:val="center"/>
                    <w:rPr>
                      <w:snapToGrid w:val="0"/>
                      <w:kern w:val="0"/>
                      <w:szCs w:val="21"/>
                    </w:rPr>
                  </w:pPr>
                  <w:r>
                    <w:rPr>
                      <w:snapToGrid w:val="0"/>
                      <w:kern w:val="0"/>
                      <w:szCs w:val="21"/>
                    </w:rPr>
                    <w:t>达标</w:t>
                  </w:r>
                </w:p>
              </w:tc>
            </w:tr>
            <w:tr w14:paraId="189F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vAlign w:val="center"/>
                </w:tcPr>
                <w:p w14:paraId="76C93B08">
                  <w:pPr>
                    <w:jc w:val="center"/>
                    <w:rPr>
                      <w:snapToGrid w:val="0"/>
                      <w:kern w:val="0"/>
                      <w:szCs w:val="21"/>
                    </w:rPr>
                  </w:pPr>
                  <w:r>
                    <w:rPr>
                      <w:snapToGrid w:val="0"/>
                      <w:kern w:val="0"/>
                      <w:szCs w:val="21"/>
                    </w:rPr>
                    <w:t>一氧化碳（CO）</w:t>
                  </w:r>
                </w:p>
              </w:tc>
              <w:tc>
                <w:tcPr>
                  <w:tcW w:w="2502" w:type="dxa"/>
                  <w:tcBorders>
                    <w:top w:val="single" w:color="auto" w:sz="4" w:space="0"/>
                    <w:left w:val="single" w:color="auto" w:sz="4" w:space="0"/>
                    <w:bottom w:val="single" w:color="auto" w:sz="4" w:space="0"/>
                    <w:right w:val="single" w:color="auto" w:sz="4" w:space="0"/>
                  </w:tcBorders>
                  <w:vAlign w:val="center"/>
                </w:tcPr>
                <w:p w14:paraId="0B5987F7">
                  <w:pPr>
                    <w:widowControl/>
                    <w:jc w:val="center"/>
                    <w:rPr>
                      <w:snapToGrid w:val="0"/>
                      <w:kern w:val="0"/>
                      <w:szCs w:val="21"/>
                    </w:rPr>
                  </w:pPr>
                  <w:r>
                    <w:rPr>
                      <w:snapToGrid w:val="0"/>
                      <w:kern w:val="0"/>
                      <w:szCs w:val="21"/>
                    </w:rPr>
                    <w:t>800</w:t>
                  </w:r>
                </w:p>
              </w:tc>
              <w:tc>
                <w:tcPr>
                  <w:tcW w:w="2505" w:type="dxa"/>
                  <w:tcBorders>
                    <w:top w:val="single" w:color="auto" w:sz="4" w:space="0"/>
                    <w:left w:val="single" w:color="auto" w:sz="4" w:space="0"/>
                    <w:bottom w:val="single" w:color="auto" w:sz="4" w:space="0"/>
                    <w:right w:val="single" w:color="auto" w:sz="4" w:space="0"/>
                  </w:tcBorders>
                  <w:vAlign w:val="center"/>
                </w:tcPr>
                <w:p w14:paraId="28BBC264">
                  <w:pPr>
                    <w:jc w:val="center"/>
                    <w:rPr>
                      <w:snapToGrid w:val="0"/>
                      <w:kern w:val="0"/>
                      <w:szCs w:val="21"/>
                    </w:rPr>
                  </w:pPr>
                  <w:r>
                    <w:rPr>
                      <w:snapToGrid w:val="0"/>
                      <w:kern w:val="0"/>
                      <w:szCs w:val="21"/>
                    </w:rPr>
                    <w:t>4000</w:t>
                  </w:r>
                </w:p>
              </w:tc>
              <w:tc>
                <w:tcPr>
                  <w:tcW w:w="1296" w:type="dxa"/>
                  <w:tcBorders>
                    <w:top w:val="single" w:color="auto" w:sz="4" w:space="0"/>
                    <w:left w:val="single" w:color="auto" w:sz="4" w:space="0"/>
                    <w:bottom w:val="single" w:color="auto" w:sz="4" w:space="0"/>
                    <w:right w:val="single" w:color="auto" w:sz="4" w:space="0"/>
                  </w:tcBorders>
                  <w:vAlign w:val="center"/>
                </w:tcPr>
                <w:p w14:paraId="651AEF00">
                  <w:pPr>
                    <w:widowControl/>
                    <w:jc w:val="center"/>
                    <w:rPr>
                      <w:snapToGrid w:val="0"/>
                      <w:kern w:val="0"/>
                      <w:szCs w:val="21"/>
                    </w:rPr>
                  </w:pPr>
                  <w:r>
                    <w:rPr>
                      <w:snapToGrid w:val="0"/>
                      <w:kern w:val="0"/>
                      <w:szCs w:val="21"/>
                    </w:rPr>
                    <w:t>达标</w:t>
                  </w:r>
                </w:p>
              </w:tc>
            </w:tr>
            <w:tr w14:paraId="7E7F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vAlign w:val="center"/>
                </w:tcPr>
                <w:p w14:paraId="5432E0E2">
                  <w:pPr>
                    <w:jc w:val="center"/>
                    <w:rPr>
                      <w:snapToGrid w:val="0"/>
                      <w:kern w:val="0"/>
                      <w:szCs w:val="21"/>
                    </w:rPr>
                  </w:pPr>
                  <w:r>
                    <w:rPr>
                      <w:snapToGrid w:val="0"/>
                      <w:kern w:val="0"/>
                      <w:szCs w:val="21"/>
                    </w:rPr>
                    <w:t>臭氧（O</w:t>
                  </w:r>
                  <w:r>
                    <w:rPr>
                      <w:snapToGrid w:val="0"/>
                      <w:kern w:val="0"/>
                      <w:szCs w:val="21"/>
                      <w:vertAlign w:val="subscript"/>
                    </w:rPr>
                    <w:t>3</w:t>
                  </w:r>
                  <w:r>
                    <w:rPr>
                      <w:snapToGrid w:val="0"/>
                      <w:kern w:val="0"/>
                      <w:szCs w:val="21"/>
                    </w:rPr>
                    <w:t>）</w:t>
                  </w:r>
                </w:p>
              </w:tc>
              <w:tc>
                <w:tcPr>
                  <w:tcW w:w="2502" w:type="dxa"/>
                  <w:tcBorders>
                    <w:top w:val="single" w:color="auto" w:sz="4" w:space="0"/>
                    <w:left w:val="single" w:color="auto" w:sz="4" w:space="0"/>
                    <w:bottom w:val="single" w:color="auto" w:sz="4" w:space="0"/>
                    <w:right w:val="single" w:color="auto" w:sz="4" w:space="0"/>
                  </w:tcBorders>
                  <w:vAlign w:val="center"/>
                </w:tcPr>
                <w:p w14:paraId="7101FDC3">
                  <w:pPr>
                    <w:widowControl/>
                    <w:jc w:val="center"/>
                    <w:rPr>
                      <w:snapToGrid w:val="0"/>
                      <w:kern w:val="0"/>
                      <w:szCs w:val="21"/>
                    </w:rPr>
                  </w:pPr>
                  <w:r>
                    <w:rPr>
                      <w:snapToGrid w:val="0"/>
                      <w:kern w:val="0"/>
                      <w:szCs w:val="21"/>
                    </w:rPr>
                    <w:t>71</w:t>
                  </w:r>
                </w:p>
              </w:tc>
              <w:tc>
                <w:tcPr>
                  <w:tcW w:w="2505" w:type="dxa"/>
                  <w:tcBorders>
                    <w:top w:val="single" w:color="auto" w:sz="4" w:space="0"/>
                    <w:left w:val="single" w:color="auto" w:sz="4" w:space="0"/>
                    <w:bottom w:val="single" w:color="auto" w:sz="4" w:space="0"/>
                    <w:right w:val="single" w:color="auto" w:sz="4" w:space="0"/>
                  </w:tcBorders>
                  <w:vAlign w:val="center"/>
                </w:tcPr>
                <w:p w14:paraId="44177E38">
                  <w:pPr>
                    <w:jc w:val="center"/>
                    <w:rPr>
                      <w:snapToGrid w:val="0"/>
                      <w:kern w:val="0"/>
                      <w:szCs w:val="21"/>
                    </w:rPr>
                  </w:pPr>
                  <w:r>
                    <w:rPr>
                      <w:snapToGrid w:val="0"/>
                      <w:kern w:val="0"/>
                      <w:szCs w:val="21"/>
                    </w:rPr>
                    <w:t>160</w:t>
                  </w:r>
                </w:p>
              </w:tc>
              <w:tc>
                <w:tcPr>
                  <w:tcW w:w="1296" w:type="dxa"/>
                  <w:tcBorders>
                    <w:top w:val="single" w:color="auto" w:sz="4" w:space="0"/>
                    <w:left w:val="single" w:color="auto" w:sz="4" w:space="0"/>
                    <w:bottom w:val="single" w:color="auto" w:sz="4" w:space="0"/>
                    <w:right w:val="single" w:color="auto" w:sz="4" w:space="0"/>
                  </w:tcBorders>
                  <w:vAlign w:val="center"/>
                </w:tcPr>
                <w:p w14:paraId="47AD2C88">
                  <w:pPr>
                    <w:widowControl/>
                    <w:jc w:val="center"/>
                    <w:rPr>
                      <w:snapToGrid w:val="0"/>
                      <w:kern w:val="0"/>
                      <w:szCs w:val="21"/>
                    </w:rPr>
                  </w:pPr>
                  <w:r>
                    <w:rPr>
                      <w:snapToGrid w:val="0"/>
                      <w:kern w:val="0"/>
                      <w:szCs w:val="21"/>
                    </w:rPr>
                    <w:t>达标</w:t>
                  </w:r>
                </w:p>
              </w:tc>
            </w:tr>
          </w:tbl>
          <w:p w14:paraId="0248FC10">
            <w:pPr>
              <w:adjustRightInd w:val="0"/>
              <w:snapToGrid w:val="0"/>
              <w:spacing w:line="360" w:lineRule="auto"/>
              <w:ind w:firstLine="480" w:firstLineChars="200"/>
              <w:rPr>
                <w:bCs/>
                <w:kern w:val="0"/>
                <w:sz w:val="24"/>
              </w:rPr>
            </w:pPr>
            <w:r>
              <w:rPr>
                <w:bCs/>
                <w:kern w:val="0"/>
                <w:sz w:val="24"/>
                <w:lang w:bidi="ar"/>
              </w:rPr>
              <w:t>由上表可知：各指标浓度满足</w:t>
            </w:r>
            <w:r>
              <w:rPr>
                <w:bCs/>
                <w:sz w:val="24"/>
              </w:rPr>
              <w:t>《环境空气质量标准》（GB3095-2012）中</w:t>
            </w:r>
            <w:r>
              <w:rPr>
                <w:bCs/>
                <w:kern w:val="0"/>
                <w:sz w:val="24"/>
                <w:lang w:bidi="ar"/>
              </w:rPr>
              <w:t>二级标准的要求</w:t>
            </w:r>
            <w:r>
              <w:rPr>
                <w:bCs/>
                <w:kern w:val="0"/>
                <w:sz w:val="24"/>
              </w:rPr>
              <w:t>。</w:t>
            </w:r>
            <w:r>
              <w:rPr>
                <w:sz w:val="24"/>
              </w:rPr>
              <w:t>根据现场踏勘，项目位于农村区域，周边区域主要为村庄、耕地及林地，无其他工业大气污染源存在。因此判定项目所在区域属于达标区。</w:t>
            </w:r>
          </w:p>
          <w:p w14:paraId="63A775BC">
            <w:pPr>
              <w:adjustRightInd w:val="0"/>
              <w:snapToGrid w:val="0"/>
              <w:spacing w:line="360" w:lineRule="auto"/>
              <w:ind w:firstLine="482" w:firstLineChars="200"/>
              <w:rPr>
                <w:b/>
                <w:bCs/>
                <w:sz w:val="24"/>
              </w:rPr>
            </w:pPr>
            <w:r>
              <w:rPr>
                <w:b/>
                <w:bCs/>
                <w:sz w:val="24"/>
              </w:rPr>
              <w:t>（2）特征污染物补充监测</w:t>
            </w:r>
          </w:p>
          <w:p w14:paraId="567CF71D">
            <w:pPr>
              <w:pStyle w:val="23"/>
              <w:spacing w:before="0" w:after="0"/>
              <w:ind w:right="0" w:firstLine="480" w:firstLineChars="200"/>
              <w:rPr>
                <w:szCs w:val="24"/>
                <w:lang w:bidi="ar"/>
              </w:rPr>
            </w:pPr>
            <w:r>
              <w:rPr>
                <w:szCs w:val="24"/>
                <w:lang w:bidi="ar"/>
              </w:rPr>
              <w:t>为了解项目区特征污染物达标情况，本次环评对项目大气排放特征因子进行了补充监测，监测因子为：TSP、氮氧化物、氟化物，监测点位基本信息如下。</w:t>
            </w:r>
          </w:p>
          <w:p w14:paraId="3BE7F97B">
            <w:pPr>
              <w:widowControl/>
              <w:jc w:val="center"/>
              <w:rPr>
                <w:b/>
                <w:bCs/>
                <w:sz w:val="24"/>
              </w:rPr>
            </w:pPr>
            <w:r>
              <w:rPr>
                <w:b/>
                <w:bCs/>
                <w:kern w:val="0"/>
                <w:sz w:val="24"/>
                <w:lang w:bidi="ar"/>
              </w:rPr>
              <w:t>表3-2 补充监测点位基本信息表</w:t>
            </w:r>
          </w:p>
          <w:tbl>
            <w:tblPr>
              <w:tblStyle w:val="26"/>
              <w:tblW w:w="9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4164"/>
              <w:gridCol w:w="2711"/>
            </w:tblGrid>
            <w:tr w14:paraId="6A41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vAlign w:val="center"/>
                </w:tcPr>
                <w:p w14:paraId="6C328CC6">
                  <w:pPr>
                    <w:widowControl/>
                    <w:jc w:val="center"/>
                    <w:rPr>
                      <w:b/>
                      <w:bCs/>
                      <w:szCs w:val="21"/>
                    </w:rPr>
                  </w:pPr>
                  <w:r>
                    <w:rPr>
                      <w:b/>
                      <w:bCs/>
                      <w:szCs w:val="21"/>
                    </w:rPr>
                    <w:t>监测点名称</w:t>
                  </w:r>
                </w:p>
              </w:tc>
              <w:tc>
                <w:tcPr>
                  <w:tcW w:w="4164" w:type="dxa"/>
                  <w:vAlign w:val="center"/>
                </w:tcPr>
                <w:p w14:paraId="5B7C5476">
                  <w:pPr>
                    <w:widowControl/>
                    <w:jc w:val="center"/>
                    <w:rPr>
                      <w:b/>
                      <w:bCs/>
                      <w:szCs w:val="21"/>
                    </w:rPr>
                  </w:pPr>
                  <w:r>
                    <w:rPr>
                      <w:b/>
                      <w:bCs/>
                      <w:szCs w:val="21"/>
                    </w:rPr>
                    <w:t>监测因子</w:t>
                  </w:r>
                </w:p>
              </w:tc>
              <w:tc>
                <w:tcPr>
                  <w:tcW w:w="2711" w:type="dxa"/>
                  <w:vAlign w:val="center"/>
                </w:tcPr>
                <w:p w14:paraId="3FB7FF87">
                  <w:pPr>
                    <w:widowControl/>
                    <w:jc w:val="center"/>
                    <w:rPr>
                      <w:b/>
                      <w:bCs/>
                      <w:szCs w:val="21"/>
                    </w:rPr>
                  </w:pPr>
                  <w:r>
                    <w:rPr>
                      <w:b/>
                      <w:bCs/>
                      <w:szCs w:val="21"/>
                    </w:rPr>
                    <w:t>监测频次</w:t>
                  </w:r>
                </w:p>
              </w:tc>
            </w:tr>
            <w:tr w14:paraId="03B4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97" w:type="dxa"/>
                  <w:vAlign w:val="center"/>
                </w:tcPr>
                <w:p w14:paraId="30E802E8">
                  <w:pPr>
                    <w:widowControl/>
                    <w:jc w:val="center"/>
                    <w:rPr>
                      <w:b/>
                      <w:bCs/>
                      <w:szCs w:val="21"/>
                    </w:rPr>
                  </w:pPr>
                  <w:r>
                    <w:rPr>
                      <w:b/>
                      <w:bCs/>
                      <w:szCs w:val="21"/>
                    </w:rPr>
                    <w:t>项目区</w:t>
                  </w:r>
                </w:p>
              </w:tc>
              <w:tc>
                <w:tcPr>
                  <w:tcW w:w="4164" w:type="dxa"/>
                  <w:vAlign w:val="center"/>
                </w:tcPr>
                <w:p w14:paraId="4E1A4D66">
                  <w:pPr>
                    <w:widowControl/>
                    <w:jc w:val="center"/>
                    <w:rPr>
                      <w:b/>
                      <w:bCs/>
                      <w:szCs w:val="21"/>
                    </w:rPr>
                  </w:pPr>
                  <w:r>
                    <w:rPr>
                      <w:szCs w:val="21"/>
                    </w:rPr>
                    <w:t>TSP、氮氧化物、氟化物</w:t>
                  </w:r>
                </w:p>
              </w:tc>
              <w:tc>
                <w:tcPr>
                  <w:tcW w:w="2711" w:type="dxa"/>
                  <w:vAlign w:val="center"/>
                </w:tcPr>
                <w:p w14:paraId="0DA249E2">
                  <w:pPr>
                    <w:widowControl/>
                    <w:jc w:val="center"/>
                    <w:rPr>
                      <w:b/>
                      <w:bCs/>
                      <w:szCs w:val="21"/>
                    </w:rPr>
                  </w:pPr>
                  <w:r>
                    <w:rPr>
                      <w:b/>
                      <w:bCs/>
                      <w:szCs w:val="21"/>
                    </w:rPr>
                    <w:t>3天，日均值、小时值</w:t>
                  </w:r>
                </w:p>
              </w:tc>
            </w:tr>
          </w:tbl>
          <w:p w14:paraId="0BDEFBEB">
            <w:pPr>
              <w:widowControl/>
              <w:jc w:val="center"/>
              <w:rPr>
                <w:b/>
                <w:bCs/>
                <w:sz w:val="24"/>
              </w:rPr>
            </w:pPr>
            <w:r>
              <w:rPr>
                <w:b/>
                <w:bCs/>
                <w:kern w:val="0"/>
                <w:sz w:val="24"/>
                <w:lang w:bidi="ar"/>
              </w:rPr>
              <w:t>表3-3 特征污染物日均值监测结果</w:t>
            </w:r>
          </w:p>
          <w:tbl>
            <w:tblPr>
              <w:tblStyle w:val="25"/>
              <w:tblW w:w="9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687"/>
              <w:gridCol w:w="2409"/>
              <w:gridCol w:w="1277"/>
              <w:gridCol w:w="1306"/>
              <w:gridCol w:w="802"/>
            </w:tblGrid>
            <w:tr w14:paraId="64BE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1" w:type="dxa"/>
                  <w:vAlign w:val="center"/>
                </w:tcPr>
                <w:p w14:paraId="7A817434">
                  <w:pPr>
                    <w:jc w:val="center"/>
                    <w:rPr>
                      <w:b/>
                      <w:bCs/>
                      <w:szCs w:val="21"/>
                    </w:rPr>
                  </w:pPr>
                  <w:r>
                    <w:rPr>
                      <w:b/>
                      <w:bCs/>
                      <w:szCs w:val="21"/>
                    </w:rPr>
                    <w:t>检测项目</w:t>
                  </w:r>
                </w:p>
              </w:tc>
              <w:tc>
                <w:tcPr>
                  <w:tcW w:w="2687" w:type="dxa"/>
                  <w:vAlign w:val="center"/>
                </w:tcPr>
                <w:p w14:paraId="1B0C9349">
                  <w:pPr>
                    <w:jc w:val="center"/>
                    <w:rPr>
                      <w:b/>
                      <w:bCs/>
                      <w:szCs w:val="21"/>
                    </w:rPr>
                  </w:pPr>
                  <w:r>
                    <w:rPr>
                      <w:b/>
                      <w:bCs/>
                      <w:szCs w:val="21"/>
                    </w:rPr>
                    <w:t>采样日期</w:t>
                  </w:r>
                </w:p>
              </w:tc>
              <w:tc>
                <w:tcPr>
                  <w:tcW w:w="2409" w:type="dxa"/>
                  <w:vAlign w:val="center"/>
                </w:tcPr>
                <w:p w14:paraId="296D62C3">
                  <w:pPr>
                    <w:jc w:val="center"/>
                    <w:rPr>
                      <w:b/>
                      <w:bCs/>
                      <w:szCs w:val="21"/>
                    </w:rPr>
                  </w:pPr>
                  <w:r>
                    <w:rPr>
                      <w:b/>
                      <w:bCs/>
                      <w:szCs w:val="21"/>
                    </w:rPr>
                    <w:t>采样时段</w:t>
                  </w:r>
                </w:p>
              </w:tc>
              <w:tc>
                <w:tcPr>
                  <w:tcW w:w="1277" w:type="dxa"/>
                  <w:vAlign w:val="center"/>
                </w:tcPr>
                <w:p w14:paraId="3D127E39">
                  <w:pPr>
                    <w:jc w:val="center"/>
                    <w:rPr>
                      <w:b/>
                      <w:bCs/>
                      <w:szCs w:val="21"/>
                    </w:rPr>
                  </w:pPr>
                  <w:r>
                    <w:rPr>
                      <w:b/>
                      <w:bCs/>
                      <w:szCs w:val="21"/>
                    </w:rPr>
                    <w:t>检测结果</w:t>
                  </w:r>
                </w:p>
                <w:p w14:paraId="7B1CBCD6">
                  <w:pPr>
                    <w:jc w:val="center"/>
                    <w:rPr>
                      <w:b/>
                      <w:bCs/>
                      <w:szCs w:val="21"/>
                    </w:rPr>
                  </w:pPr>
                  <w:r>
                    <w:rPr>
                      <w:b/>
                      <w:bCs/>
                      <w:szCs w:val="21"/>
                    </w:rPr>
                    <w:t>（μg/m</w:t>
                  </w:r>
                  <w:r>
                    <w:rPr>
                      <w:b/>
                      <w:bCs/>
                      <w:szCs w:val="21"/>
                      <w:vertAlign w:val="superscript"/>
                    </w:rPr>
                    <w:t>3</w:t>
                  </w:r>
                  <w:r>
                    <w:rPr>
                      <w:b/>
                      <w:bCs/>
                      <w:szCs w:val="21"/>
                    </w:rPr>
                    <w:t>）</w:t>
                  </w:r>
                </w:p>
              </w:tc>
              <w:tc>
                <w:tcPr>
                  <w:tcW w:w="1306" w:type="dxa"/>
                </w:tcPr>
                <w:p w14:paraId="79DBADCC">
                  <w:pPr>
                    <w:jc w:val="center"/>
                    <w:rPr>
                      <w:b/>
                      <w:bCs/>
                      <w:szCs w:val="21"/>
                    </w:rPr>
                  </w:pPr>
                  <w:r>
                    <w:rPr>
                      <w:b/>
                      <w:bCs/>
                      <w:szCs w:val="21"/>
                    </w:rPr>
                    <w:t>标准值</w:t>
                  </w:r>
                </w:p>
                <w:p w14:paraId="4757AB28">
                  <w:pPr>
                    <w:pStyle w:val="2"/>
                    <w:rPr>
                      <w:rFonts w:ascii="Times New Roman" w:hAnsi="Times New Roman"/>
                      <w:sz w:val="21"/>
                      <w:szCs w:val="21"/>
                    </w:rPr>
                  </w:pPr>
                  <w:r>
                    <w:rPr>
                      <w:rFonts w:ascii="Times New Roman" w:hAnsi="Times New Roman"/>
                      <w:b/>
                      <w:bCs/>
                      <w:sz w:val="21"/>
                      <w:szCs w:val="21"/>
                    </w:rPr>
                    <w:t>（μg/m</w:t>
                  </w:r>
                  <w:r>
                    <w:rPr>
                      <w:rFonts w:ascii="Times New Roman" w:hAnsi="Times New Roman"/>
                      <w:b/>
                      <w:bCs/>
                      <w:sz w:val="21"/>
                      <w:szCs w:val="21"/>
                      <w:vertAlign w:val="superscript"/>
                    </w:rPr>
                    <w:t>3</w:t>
                  </w:r>
                  <w:r>
                    <w:rPr>
                      <w:rFonts w:ascii="Times New Roman" w:hAnsi="Times New Roman"/>
                      <w:b/>
                      <w:bCs/>
                      <w:sz w:val="21"/>
                      <w:szCs w:val="21"/>
                    </w:rPr>
                    <w:t>）</w:t>
                  </w:r>
                </w:p>
              </w:tc>
              <w:tc>
                <w:tcPr>
                  <w:tcW w:w="802" w:type="dxa"/>
                </w:tcPr>
                <w:p w14:paraId="7A3A5B21">
                  <w:pPr>
                    <w:jc w:val="center"/>
                    <w:rPr>
                      <w:b/>
                      <w:bCs/>
                      <w:szCs w:val="21"/>
                    </w:rPr>
                  </w:pPr>
                  <w:r>
                    <w:rPr>
                      <w:b/>
                      <w:bCs/>
                      <w:szCs w:val="21"/>
                    </w:rPr>
                    <w:t>达标情况</w:t>
                  </w:r>
                </w:p>
              </w:tc>
            </w:tr>
            <w:tr w14:paraId="7570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1" w:type="dxa"/>
                  <w:vMerge w:val="restart"/>
                  <w:vAlign w:val="center"/>
                </w:tcPr>
                <w:p w14:paraId="14F8A1DF">
                  <w:pPr>
                    <w:jc w:val="center"/>
                    <w:rPr>
                      <w:bCs/>
                      <w:szCs w:val="21"/>
                    </w:rPr>
                  </w:pPr>
                  <w:r>
                    <w:rPr>
                      <w:bCs/>
                      <w:szCs w:val="21"/>
                    </w:rPr>
                    <w:t>TSP</w:t>
                  </w:r>
                </w:p>
              </w:tc>
              <w:tc>
                <w:tcPr>
                  <w:tcW w:w="2687" w:type="dxa"/>
                  <w:vAlign w:val="center"/>
                </w:tcPr>
                <w:p w14:paraId="64C20B24">
                  <w:pPr>
                    <w:widowControl/>
                    <w:jc w:val="center"/>
                    <w:textAlignment w:val="center"/>
                    <w:rPr>
                      <w:szCs w:val="21"/>
                    </w:rPr>
                  </w:pPr>
                  <w:r>
                    <w:rPr>
                      <w:spacing w:val="-6"/>
                      <w:szCs w:val="21"/>
                    </w:rPr>
                    <w:t>2022/6/9</w:t>
                  </w:r>
                </w:p>
              </w:tc>
              <w:tc>
                <w:tcPr>
                  <w:tcW w:w="2409" w:type="dxa"/>
                  <w:vAlign w:val="center"/>
                </w:tcPr>
                <w:p w14:paraId="4353A04A">
                  <w:pPr>
                    <w:jc w:val="center"/>
                    <w:rPr>
                      <w:szCs w:val="21"/>
                    </w:rPr>
                  </w:pPr>
                  <w:r>
                    <w:rPr>
                      <w:bCs/>
                      <w:spacing w:val="-6"/>
                      <w:szCs w:val="21"/>
                    </w:rPr>
                    <w:t>08:00</w:t>
                  </w:r>
                  <w:r>
                    <w:rPr>
                      <w:spacing w:val="-6"/>
                      <w:szCs w:val="21"/>
                    </w:rPr>
                    <w:t>-</w:t>
                  </w:r>
                  <w:r>
                    <w:rPr>
                      <w:bCs/>
                      <w:spacing w:val="-6"/>
                      <w:szCs w:val="21"/>
                    </w:rPr>
                    <w:t>次日08:00</w:t>
                  </w:r>
                </w:p>
              </w:tc>
              <w:tc>
                <w:tcPr>
                  <w:tcW w:w="1277" w:type="dxa"/>
                  <w:vAlign w:val="center"/>
                </w:tcPr>
                <w:p w14:paraId="6BC25A8A">
                  <w:pPr>
                    <w:widowControl/>
                    <w:jc w:val="center"/>
                    <w:textAlignment w:val="center"/>
                    <w:rPr>
                      <w:szCs w:val="21"/>
                    </w:rPr>
                  </w:pPr>
                  <w:r>
                    <w:rPr>
                      <w:bCs/>
                      <w:spacing w:val="-6"/>
                      <w:szCs w:val="21"/>
                    </w:rPr>
                    <w:t>208</w:t>
                  </w:r>
                </w:p>
              </w:tc>
              <w:tc>
                <w:tcPr>
                  <w:tcW w:w="1306" w:type="dxa"/>
                </w:tcPr>
                <w:p w14:paraId="1BC8240F">
                  <w:pPr>
                    <w:widowControl/>
                    <w:jc w:val="center"/>
                    <w:textAlignment w:val="center"/>
                    <w:rPr>
                      <w:szCs w:val="21"/>
                    </w:rPr>
                  </w:pPr>
                  <w:r>
                    <w:rPr>
                      <w:szCs w:val="21"/>
                    </w:rPr>
                    <w:t>300</w:t>
                  </w:r>
                </w:p>
              </w:tc>
              <w:tc>
                <w:tcPr>
                  <w:tcW w:w="802" w:type="dxa"/>
                </w:tcPr>
                <w:p w14:paraId="078AE362">
                  <w:pPr>
                    <w:widowControl/>
                    <w:jc w:val="center"/>
                    <w:textAlignment w:val="center"/>
                    <w:rPr>
                      <w:szCs w:val="21"/>
                    </w:rPr>
                  </w:pPr>
                  <w:r>
                    <w:rPr>
                      <w:szCs w:val="21"/>
                    </w:rPr>
                    <w:t>达标</w:t>
                  </w:r>
                </w:p>
              </w:tc>
            </w:tr>
            <w:tr w14:paraId="1D9F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1" w:type="dxa"/>
                  <w:vMerge w:val="continue"/>
                  <w:vAlign w:val="center"/>
                </w:tcPr>
                <w:p w14:paraId="1D826324">
                  <w:pPr>
                    <w:jc w:val="center"/>
                    <w:rPr>
                      <w:bCs/>
                      <w:szCs w:val="21"/>
                    </w:rPr>
                  </w:pPr>
                </w:p>
              </w:tc>
              <w:tc>
                <w:tcPr>
                  <w:tcW w:w="2687" w:type="dxa"/>
                  <w:vAlign w:val="center"/>
                </w:tcPr>
                <w:p w14:paraId="6F8E84D2">
                  <w:pPr>
                    <w:widowControl/>
                    <w:jc w:val="center"/>
                    <w:textAlignment w:val="center"/>
                    <w:rPr>
                      <w:szCs w:val="21"/>
                    </w:rPr>
                  </w:pPr>
                  <w:r>
                    <w:rPr>
                      <w:spacing w:val="-6"/>
                      <w:szCs w:val="21"/>
                    </w:rPr>
                    <w:t>2022/6/10</w:t>
                  </w:r>
                </w:p>
              </w:tc>
              <w:tc>
                <w:tcPr>
                  <w:tcW w:w="2409" w:type="dxa"/>
                  <w:vAlign w:val="center"/>
                </w:tcPr>
                <w:p w14:paraId="01E1DC6E">
                  <w:pPr>
                    <w:widowControl/>
                    <w:jc w:val="center"/>
                    <w:textAlignment w:val="center"/>
                    <w:rPr>
                      <w:szCs w:val="21"/>
                    </w:rPr>
                  </w:pPr>
                  <w:r>
                    <w:rPr>
                      <w:bCs/>
                      <w:spacing w:val="-6"/>
                      <w:szCs w:val="21"/>
                    </w:rPr>
                    <w:t>08:13</w:t>
                  </w:r>
                  <w:r>
                    <w:rPr>
                      <w:spacing w:val="-6"/>
                      <w:szCs w:val="21"/>
                    </w:rPr>
                    <w:t>-</w:t>
                  </w:r>
                  <w:r>
                    <w:rPr>
                      <w:bCs/>
                      <w:spacing w:val="-6"/>
                      <w:szCs w:val="21"/>
                    </w:rPr>
                    <w:t>次日08:13</w:t>
                  </w:r>
                </w:p>
              </w:tc>
              <w:tc>
                <w:tcPr>
                  <w:tcW w:w="1277" w:type="dxa"/>
                  <w:vAlign w:val="center"/>
                </w:tcPr>
                <w:p w14:paraId="1AFA5E31">
                  <w:pPr>
                    <w:widowControl/>
                    <w:jc w:val="center"/>
                    <w:textAlignment w:val="center"/>
                    <w:rPr>
                      <w:szCs w:val="21"/>
                    </w:rPr>
                  </w:pPr>
                  <w:r>
                    <w:rPr>
                      <w:bCs/>
                      <w:spacing w:val="-6"/>
                      <w:szCs w:val="21"/>
                    </w:rPr>
                    <w:t>216</w:t>
                  </w:r>
                </w:p>
              </w:tc>
              <w:tc>
                <w:tcPr>
                  <w:tcW w:w="1306" w:type="dxa"/>
                </w:tcPr>
                <w:p w14:paraId="227EFCC6">
                  <w:pPr>
                    <w:widowControl/>
                    <w:jc w:val="center"/>
                    <w:textAlignment w:val="center"/>
                    <w:rPr>
                      <w:szCs w:val="21"/>
                    </w:rPr>
                  </w:pPr>
                  <w:r>
                    <w:rPr>
                      <w:szCs w:val="21"/>
                    </w:rPr>
                    <w:t>300</w:t>
                  </w:r>
                </w:p>
              </w:tc>
              <w:tc>
                <w:tcPr>
                  <w:tcW w:w="802" w:type="dxa"/>
                </w:tcPr>
                <w:p w14:paraId="084E5F18">
                  <w:pPr>
                    <w:widowControl/>
                    <w:jc w:val="center"/>
                    <w:textAlignment w:val="center"/>
                    <w:rPr>
                      <w:szCs w:val="21"/>
                    </w:rPr>
                  </w:pPr>
                  <w:r>
                    <w:rPr>
                      <w:szCs w:val="21"/>
                    </w:rPr>
                    <w:t>达标</w:t>
                  </w:r>
                </w:p>
              </w:tc>
            </w:tr>
            <w:tr w14:paraId="6A1E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1" w:type="dxa"/>
                  <w:vMerge w:val="continue"/>
                  <w:vAlign w:val="center"/>
                </w:tcPr>
                <w:p w14:paraId="15466AEE">
                  <w:pPr>
                    <w:jc w:val="center"/>
                    <w:rPr>
                      <w:bCs/>
                      <w:szCs w:val="21"/>
                    </w:rPr>
                  </w:pPr>
                </w:p>
              </w:tc>
              <w:tc>
                <w:tcPr>
                  <w:tcW w:w="2687" w:type="dxa"/>
                  <w:vAlign w:val="center"/>
                </w:tcPr>
                <w:p w14:paraId="50EF9E54">
                  <w:pPr>
                    <w:widowControl/>
                    <w:jc w:val="center"/>
                    <w:textAlignment w:val="center"/>
                    <w:rPr>
                      <w:szCs w:val="21"/>
                    </w:rPr>
                  </w:pPr>
                  <w:r>
                    <w:rPr>
                      <w:spacing w:val="-6"/>
                      <w:szCs w:val="21"/>
                    </w:rPr>
                    <w:t>2022/6/11</w:t>
                  </w:r>
                </w:p>
              </w:tc>
              <w:tc>
                <w:tcPr>
                  <w:tcW w:w="2409" w:type="dxa"/>
                  <w:vAlign w:val="center"/>
                </w:tcPr>
                <w:p w14:paraId="038E6803">
                  <w:pPr>
                    <w:jc w:val="center"/>
                    <w:rPr>
                      <w:szCs w:val="21"/>
                    </w:rPr>
                  </w:pPr>
                  <w:r>
                    <w:rPr>
                      <w:bCs/>
                      <w:spacing w:val="-6"/>
                      <w:szCs w:val="21"/>
                    </w:rPr>
                    <w:t>08:16</w:t>
                  </w:r>
                  <w:r>
                    <w:rPr>
                      <w:spacing w:val="-6"/>
                      <w:szCs w:val="21"/>
                    </w:rPr>
                    <w:t>-</w:t>
                  </w:r>
                  <w:r>
                    <w:rPr>
                      <w:bCs/>
                      <w:spacing w:val="-6"/>
                      <w:szCs w:val="21"/>
                    </w:rPr>
                    <w:t>次日08:16</w:t>
                  </w:r>
                </w:p>
              </w:tc>
              <w:tc>
                <w:tcPr>
                  <w:tcW w:w="1277" w:type="dxa"/>
                  <w:vAlign w:val="center"/>
                </w:tcPr>
                <w:p w14:paraId="4D506220">
                  <w:pPr>
                    <w:widowControl/>
                    <w:jc w:val="center"/>
                    <w:textAlignment w:val="center"/>
                    <w:rPr>
                      <w:szCs w:val="21"/>
                    </w:rPr>
                  </w:pPr>
                  <w:r>
                    <w:rPr>
                      <w:bCs/>
                      <w:spacing w:val="-6"/>
                      <w:szCs w:val="21"/>
                    </w:rPr>
                    <w:t>213</w:t>
                  </w:r>
                </w:p>
              </w:tc>
              <w:tc>
                <w:tcPr>
                  <w:tcW w:w="1306" w:type="dxa"/>
                </w:tcPr>
                <w:p w14:paraId="1B7240EF">
                  <w:pPr>
                    <w:widowControl/>
                    <w:jc w:val="center"/>
                    <w:textAlignment w:val="center"/>
                    <w:rPr>
                      <w:szCs w:val="21"/>
                    </w:rPr>
                  </w:pPr>
                  <w:r>
                    <w:rPr>
                      <w:szCs w:val="21"/>
                    </w:rPr>
                    <w:t>300</w:t>
                  </w:r>
                </w:p>
              </w:tc>
              <w:tc>
                <w:tcPr>
                  <w:tcW w:w="802" w:type="dxa"/>
                </w:tcPr>
                <w:p w14:paraId="31AE0392">
                  <w:pPr>
                    <w:widowControl/>
                    <w:jc w:val="center"/>
                    <w:textAlignment w:val="center"/>
                    <w:rPr>
                      <w:szCs w:val="21"/>
                    </w:rPr>
                  </w:pPr>
                  <w:r>
                    <w:rPr>
                      <w:szCs w:val="21"/>
                    </w:rPr>
                    <w:t>达标</w:t>
                  </w:r>
                </w:p>
              </w:tc>
            </w:tr>
            <w:tr w14:paraId="5466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1" w:type="dxa"/>
                  <w:vMerge w:val="restart"/>
                  <w:vAlign w:val="center"/>
                </w:tcPr>
                <w:p w14:paraId="18C09817">
                  <w:pPr>
                    <w:jc w:val="center"/>
                    <w:rPr>
                      <w:szCs w:val="21"/>
                    </w:rPr>
                  </w:pPr>
                  <w:r>
                    <w:rPr>
                      <w:bCs/>
                      <w:szCs w:val="21"/>
                    </w:rPr>
                    <w:t>氮氧化物</w:t>
                  </w:r>
                </w:p>
              </w:tc>
              <w:tc>
                <w:tcPr>
                  <w:tcW w:w="2687" w:type="dxa"/>
                  <w:vAlign w:val="center"/>
                </w:tcPr>
                <w:p w14:paraId="2577BA33">
                  <w:pPr>
                    <w:widowControl/>
                    <w:jc w:val="center"/>
                    <w:textAlignment w:val="center"/>
                    <w:rPr>
                      <w:szCs w:val="21"/>
                    </w:rPr>
                  </w:pPr>
                  <w:r>
                    <w:rPr>
                      <w:spacing w:val="-6"/>
                      <w:szCs w:val="21"/>
                    </w:rPr>
                    <w:t>2022/6/9</w:t>
                  </w:r>
                </w:p>
              </w:tc>
              <w:tc>
                <w:tcPr>
                  <w:tcW w:w="2409" w:type="dxa"/>
                  <w:vAlign w:val="center"/>
                </w:tcPr>
                <w:p w14:paraId="5EC669CB">
                  <w:pPr>
                    <w:jc w:val="center"/>
                    <w:rPr>
                      <w:szCs w:val="21"/>
                    </w:rPr>
                  </w:pPr>
                  <w:r>
                    <w:rPr>
                      <w:bCs/>
                      <w:spacing w:val="-6"/>
                      <w:szCs w:val="21"/>
                    </w:rPr>
                    <w:t>08:00</w:t>
                  </w:r>
                  <w:r>
                    <w:rPr>
                      <w:spacing w:val="-6"/>
                      <w:szCs w:val="21"/>
                    </w:rPr>
                    <w:t>-</w:t>
                  </w:r>
                  <w:r>
                    <w:rPr>
                      <w:bCs/>
                      <w:spacing w:val="-6"/>
                      <w:szCs w:val="21"/>
                    </w:rPr>
                    <w:t>次日08:00</w:t>
                  </w:r>
                </w:p>
              </w:tc>
              <w:tc>
                <w:tcPr>
                  <w:tcW w:w="1277" w:type="dxa"/>
                  <w:vAlign w:val="center"/>
                </w:tcPr>
                <w:p w14:paraId="488AA859">
                  <w:pPr>
                    <w:widowControl/>
                    <w:jc w:val="center"/>
                    <w:textAlignment w:val="center"/>
                    <w:rPr>
                      <w:szCs w:val="21"/>
                    </w:rPr>
                  </w:pPr>
                  <w:r>
                    <w:rPr>
                      <w:bCs/>
                      <w:spacing w:val="-6"/>
                      <w:szCs w:val="21"/>
                    </w:rPr>
                    <w:t>17</w:t>
                  </w:r>
                </w:p>
              </w:tc>
              <w:tc>
                <w:tcPr>
                  <w:tcW w:w="1306" w:type="dxa"/>
                </w:tcPr>
                <w:p w14:paraId="65E62565">
                  <w:pPr>
                    <w:widowControl/>
                    <w:jc w:val="center"/>
                    <w:textAlignment w:val="center"/>
                    <w:rPr>
                      <w:szCs w:val="21"/>
                    </w:rPr>
                  </w:pPr>
                  <w:r>
                    <w:rPr>
                      <w:szCs w:val="21"/>
                    </w:rPr>
                    <w:t>100</w:t>
                  </w:r>
                </w:p>
              </w:tc>
              <w:tc>
                <w:tcPr>
                  <w:tcW w:w="802" w:type="dxa"/>
                </w:tcPr>
                <w:p w14:paraId="1B9FC249">
                  <w:pPr>
                    <w:widowControl/>
                    <w:jc w:val="center"/>
                    <w:textAlignment w:val="center"/>
                    <w:rPr>
                      <w:szCs w:val="21"/>
                    </w:rPr>
                  </w:pPr>
                  <w:r>
                    <w:rPr>
                      <w:szCs w:val="21"/>
                    </w:rPr>
                    <w:t>达标</w:t>
                  </w:r>
                </w:p>
              </w:tc>
            </w:tr>
            <w:tr w14:paraId="4452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1" w:type="dxa"/>
                  <w:vMerge w:val="continue"/>
                  <w:vAlign w:val="center"/>
                </w:tcPr>
                <w:p w14:paraId="5CFEA1ED">
                  <w:pPr>
                    <w:jc w:val="center"/>
                    <w:rPr>
                      <w:b/>
                      <w:bCs/>
                      <w:szCs w:val="21"/>
                    </w:rPr>
                  </w:pPr>
                </w:p>
              </w:tc>
              <w:tc>
                <w:tcPr>
                  <w:tcW w:w="2687" w:type="dxa"/>
                  <w:vAlign w:val="center"/>
                </w:tcPr>
                <w:p w14:paraId="551ECFC1">
                  <w:pPr>
                    <w:widowControl/>
                    <w:jc w:val="center"/>
                    <w:textAlignment w:val="center"/>
                    <w:rPr>
                      <w:szCs w:val="21"/>
                    </w:rPr>
                  </w:pPr>
                  <w:r>
                    <w:rPr>
                      <w:spacing w:val="-6"/>
                      <w:szCs w:val="21"/>
                    </w:rPr>
                    <w:t>2022/6/10</w:t>
                  </w:r>
                </w:p>
              </w:tc>
              <w:tc>
                <w:tcPr>
                  <w:tcW w:w="2409" w:type="dxa"/>
                  <w:vAlign w:val="center"/>
                </w:tcPr>
                <w:p w14:paraId="09941EED">
                  <w:pPr>
                    <w:widowControl/>
                    <w:jc w:val="center"/>
                    <w:textAlignment w:val="center"/>
                    <w:rPr>
                      <w:szCs w:val="21"/>
                    </w:rPr>
                  </w:pPr>
                  <w:r>
                    <w:rPr>
                      <w:bCs/>
                      <w:spacing w:val="-6"/>
                      <w:szCs w:val="21"/>
                    </w:rPr>
                    <w:t>08:13</w:t>
                  </w:r>
                  <w:r>
                    <w:rPr>
                      <w:spacing w:val="-6"/>
                      <w:szCs w:val="21"/>
                    </w:rPr>
                    <w:t>-</w:t>
                  </w:r>
                  <w:r>
                    <w:rPr>
                      <w:bCs/>
                      <w:spacing w:val="-6"/>
                      <w:szCs w:val="21"/>
                    </w:rPr>
                    <w:t>次日08:13</w:t>
                  </w:r>
                </w:p>
              </w:tc>
              <w:tc>
                <w:tcPr>
                  <w:tcW w:w="1277" w:type="dxa"/>
                  <w:vAlign w:val="center"/>
                </w:tcPr>
                <w:p w14:paraId="18C74784">
                  <w:pPr>
                    <w:widowControl/>
                    <w:jc w:val="center"/>
                    <w:textAlignment w:val="center"/>
                    <w:rPr>
                      <w:szCs w:val="21"/>
                    </w:rPr>
                  </w:pPr>
                  <w:r>
                    <w:rPr>
                      <w:bCs/>
                      <w:spacing w:val="-6"/>
                      <w:szCs w:val="21"/>
                    </w:rPr>
                    <w:t>18</w:t>
                  </w:r>
                </w:p>
              </w:tc>
              <w:tc>
                <w:tcPr>
                  <w:tcW w:w="1306" w:type="dxa"/>
                </w:tcPr>
                <w:p w14:paraId="50A5C887">
                  <w:pPr>
                    <w:widowControl/>
                    <w:jc w:val="center"/>
                    <w:textAlignment w:val="center"/>
                    <w:rPr>
                      <w:szCs w:val="21"/>
                    </w:rPr>
                  </w:pPr>
                  <w:r>
                    <w:rPr>
                      <w:szCs w:val="21"/>
                    </w:rPr>
                    <w:t>100</w:t>
                  </w:r>
                </w:p>
              </w:tc>
              <w:tc>
                <w:tcPr>
                  <w:tcW w:w="802" w:type="dxa"/>
                </w:tcPr>
                <w:p w14:paraId="6E669051">
                  <w:pPr>
                    <w:widowControl/>
                    <w:jc w:val="center"/>
                    <w:textAlignment w:val="center"/>
                    <w:rPr>
                      <w:szCs w:val="21"/>
                    </w:rPr>
                  </w:pPr>
                  <w:r>
                    <w:rPr>
                      <w:szCs w:val="21"/>
                    </w:rPr>
                    <w:t>达标</w:t>
                  </w:r>
                </w:p>
              </w:tc>
            </w:tr>
            <w:tr w14:paraId="280D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1" w:type="dxa"/>
                  <w:vMerge w:val="continue"/>
                  <w:vAlign w:val="center"/>
                </w:tcPr>
                <w:p w14:paraId="400DA352">
                  <w:pPr>
                    <w:jc w:val="center"/>
                    <w:rPr>
                      <w:szCs w:val="21"/>
                    </w:rPr>
                  </w:pPr>
                </w:p>
              </w:tc>
              <w:tc>
                <w:tcPr>
                  <w:tcW w:w="2687" w:type="dxa"/>
                  <w:vAlign w:val="center"/>
                </w:tcPr>
                <w:p w14:paraId="52121516">
                  <w:pPr>
                    <w:widowControl/>
                    <w:jc w:val="center"/>
                    <w:textAlignment w:val="center"/>
                    <w:rPr>
                      <w:szCs w:val="21"/>
                    </w:rPr>
                  </w:pPr>
                  <w:r>
                    <w:rPr>
                      <w:spacing w:val="-6"/>
                      <w:szCs w:val="21"/>
                    </w:rPr>
                    <w:t>2022/6/11</w:t>
                  </w:r>
                </w:p>
              </w:tc>
              <w:tc>
                <w:tcPr>
                  <w:tcW w:w="2409" w:type="dxa"/>
                  <w:vAlign w:val="center"/>
                </w:tcPr>
                <w:p w14:paraId="76033C83">
                  <w:pPr>
                    <w:jc w:val="center"/>
                    <w:rPr>
                      <w:szCs w:val="21"/>
                    </w:rPr>
                  </w:pPr>
                  <w:r>
                    <w:rPr>
                      <w:bCs/>
                      <w:spacing w:val="-6"/>
                      <w:szCs w:val="21"/>
                    </w:rPr>
                    <w:t>08:16</w:t>
                  </w:r>
                  <w:r>
                    <w:rPr>
                      <w:spacing w:val="-6"/>
                      <w:szCs w:val="21"/>
                    </w:rPr>
                    <w:t>-</w:t>
                  </w:r>
                  <w:r>
                    <w:rPr>
                      <w:bCs/>
                      <w:spacing w:val="-6"/>
                      <w:szCs w:val="21"/>
                    </w:rPr>
                    <w:t>次日08:16</w:t>
                  </w:r>
                </w:p>
              </w:tc>
              <w:tc>
                <w:tcPr>
                  <w:tcW w:w="1277" w:type="dxa"/>
                  <w:vAlign w:val="center"/>
                </w:tcPr>
                <w:p w14:paraId="11D2FBEE">
                  <w:pPr>
                    <w:widowControl/>
                    <w:jc w:val="center"/>
                    <w:textAlignment w:val="center"/>
                    <w:rPr>
                      <w:szCs w:val="21"/>
                    </w:rPr>
                  </w:pPr>
                  <w:r>
                    <w:rPr>
                      <w:bCs/>
                      <w:spacing w:val="-6"/>
                      <w:szCs w:val="21"/>
                    </w:rPr>
                    <w:t>21</w:t>
                  </w:r>
                </w:p>
              </w:tc>
              <w:tc>
                <w:tcPr>
                  <w:tcW w:w="1306" w:type="dxa"/>
                </w:tcPr>
                <w:p w14:paraId="75625083">
                  <w:pPr>
                    <w:widowControl/>
                    <w:jc w:val="center"/>
                    <w:textAlignment w:val="center"/>
                    <w:rPr>
                      <w:szCs w:val="21"/>
                    </w:rPr>
                  </w:pPr>
                  <w:r>
                    <w:rPr>
                      <w:szCs w:val="21"/>
                    </w:rPr>
                    <w:t>100</w:t>
                  </w:r>
                </w:p>
              </w:tc>
              <w:tc>
                <w:tcPr>
                  <w:tcW w:w="802" w:type="dxa"/>
                </w:tcPr>
                <w:p w14:paraId="2D821D76">
                  <w:pPr>
                    <w:widowControl/>
                    <w:jc w:val="center"/>
                    <w:textAlignment w:val="center"/>
                    <w:rPr>
                      <w:szCs w:val="21"/>
                    </w:rPr>
                  </w:pPr>
                  <w:r>
                    <w:rPr>
                      <w:szCs w:val="21"/>
                    </w:rPr>
                    <w:t>达标</w:t>
                  </w:r>
                </w:p>
              </w:tc>
            </w:tr>
            <w:tr w14:paraId="2A02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1" w:type="dxa"/>
                  <w:vMerge w:val="restart"/>
                  <w:vAlign w:val="center"/>
                </w:tcPr>
                <w:p w14:paraId="1EE3E241">
                  <w:pPr>
                    <w:jc w:val="center"/>
                    <w:rPr>
                      <w:szCs w:val="21"/>
                    </w:rPr>
                  </w:pPr>
                  <w:r>
                    <w:rPr>
                      <w:szCs w:val="21"/>
                    </w:rPr>
                    <w:t>氟化物</w:t>
                  </w:r>
                </w:p>
              </w:tc>
              <w:tc>
                <w:tcPr>
                  <w:tcW w:w="2687" w:type="dxa"/>
                  <w:vAlign w:val="center"/>
                </w:tcPr>
                <w:p w14:paraId="58DC7971">
                  <w:pPr>
                    <w:widowControl/>
                    <w:jc w:val="center"/>
                    <w:textAlignment w:val="center"/>
                    <w:rPr>
                      <w:szCs w:val="21"/>
                    </w:rPr>
                  </w:pPr>
                  <w:r>
                    <w:rPr>
                      <w:spacing w:val="-6"/>
                      <w:szCs w:val="21"/>
                    </w:rPr>
                    <w:t>2022/6/9</w:t>
                  </w:r>
                </w:p>
              </w:tc>
              <w:tc>
                <w:tcPr>
                  <w:tcW w:w="2409" w:type="dxa"/>
                  <w:vAlign w:val="center"/>
                </w:tcPr>
                <w:p w14:paraId="12D4552B">
                  <w:pPr>
                    <w:jc w:val="center"/>
                    <w:rPr>
                      <w:szCs w:val="21"/>
                    </w:rPr>
                  </w:pPr>
                  <w:r>
                    <w:rPr>
                      <w:bCs/>
                      <w:spacing w:val="-6"/>
                      <w:szCs w:val="21"/>
                    </w:rPr>
                    <w:t>08:00</w:t>
                  </w:r>
                  <w:r>
                    <w:rPr>
                      <w:spacing w:val="-6"/>
                      <w:szCs w:val="21"/>
                    </w:rPr>
                    <w:t>-</w:t>
                  </w:r>
                  <w:r>
                    <w:rPr>
                      <w:bCs/>
                      <w:spacing w:val="-6"/>
                      <w:szCs w:val="21"/>
                    </w:rPr>
                    <w:t>次日08:00</w:t>
                  </w:r>
                </w:p>
              </w:tc>
              <w:tc>
                <w:tcPr>
                  <w:tcW w:w="1277" w:type="dxa"/>
                  <w:vAlign w:val="center"/>
                </w:tcPr>
                <w:p w14:paraId="09108B70">
                  <w:pPr>
                    <w:widowControl/>
                    <w:jc w:val="center"/>
                    <w:textAlignment w:val="center"/>
                    <w:rPr>
                      <w:szCs w:val="21"/>
                    </w:rPr>
                  </w:pPr>
                  <w:r>
                    <w:rPr>
                      <w:bCs/>
                      <w:spacing w:val="-6"/>
                      <w:szCs w:val="21"/>
                    </w:rPr>
                    <w:t>1.7</w:t>
                  </w:r>
                </w:p>
              </w:tc>
              <w:tc>
                <w:tcPr>
                  <w:tcW w:w="1306" w:type="dxa"/>
                </w:tcPr>
                <w:p w14:paraId="4D273A4A">
                  <w:pPr>
                    <w:widowControl/>
                    <w:jc w:val="center"/>
                    <w:textAlignment w:val="center"/>
                    <w:rPr>
                      <w:szCs w:val="21"/>
                    </w:rPr>
                  </w:pPr>
                  <w:r>
                    <w:rPr>
                      <w:szCs w:val="21"/>
                    </w:rPr>
                    <w:t>7</w:t>
                  </w:r>
                </w:p>
              </w:tc>
              <w:tc>
                <w:tcPr>
                  <w:tcW w:w="802" w:type="dxa"/>
                </w:tcPr>
                <w:p w14:paraId="6152E370">
                  <w:pPr>
                    <w:widowControl/>
                    <w:jc w:val="center"/>
                    <w:textAlignment w:val="center"/>
                    <w:rPr>
                      <w:szCs w:val="21"/>
                    </w:rPr>
                  </w:pPr>
                  <w:r>
                    <w:rPr>
                      <w:szCs w:val="21"/>
                    </w:rPr>
                    <w:t>达标</w:t>
                  </w:r>
                </w:p>
              </w:tc>
            </w:tr>
            <w:tr w14:paraId="6557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1" w:type="dxa"/>
                  <w:vMerge w:val="continue"/>
                  <w:vAlign w:val="center"/>
                </w:tcPr>
                <w:p w14:paraId="341CDB93">
                  <w:pPr>
                    <w:jc w:val="center"/>
                    <w:rPr>
                      <w:b/>
                      <w:bCs/>
                      <w:szCs w:val="21"/>
                    </w:rPr>
                  </w:pPr>
                </w:p>
              </w:tc>
              <w:tc>
                <w:tcPr>
                  <w:tcW w:w="2687" w:type="dxa"/>
                  <w:vAlign w:val="center"/>
                </w:tcPr>
                <w:p w14:paraId="43807972">
                  <w:pPr>
                    <w:widowControl/>
                    <w:jc w:val="center"/>
                    <w:textAlignment w:val="center"/>
                    <w:rPr>
                      <w:szCs w:val="21"/>
                    </w:rPr>
                  </w:pPr>
                  <w:r>
                    <w:rPr>
                      <w:spacing w:val="-6"/>
                      <w:szCs w:val="21"/>
                    </w:rPr>
                    <w:t>2022/6/10</w:t>
                  </w:r>
                </w:p>
              </w:tc>
              <w:tc>
                <w:tcPr>
                  <w:tcW w:w="2409" w:type="dxa"/>
                  <w:vAlign w:val="center"/>
                </w:tcPr>
                <w:p w14:paraId="25C5FDC3">
                  <w:pPr>
                    <w:widowControl/>
                    <w:jc w:val="center"/>
                    <w:textAlignment w:val="center"/>
                    <w:rPr>
                      <w:szCs w:val="21"/>
                    </w:rPr>
                  </w:pPr>
                  <w:r>
                    <w:rPr>
                      <w:bCs/>
                      <w:spacing w:val="-6"/>
                      <w:szCs w:val="21"/>
                    </w:rPr>
                    <w:t>08:13</w:t>
                  </w:r>
                  <w:r>
                    <w:rPr>
                      <w:spacing w:val="-6"/>
                      <w:szCs w:val="21"/>
                    </w:rPr>
                    <w:t>-</w:t>
                  </w:r>
                  <w:r>
                    <w:rPr>
                      <w:bCs/>
                      <w:spacing w:val="-6"/>
                      <w:szCs w:val="21"/>
                    </w:rPr>
                    <w:t>次日08:13</w:t>
                  </w:r>
                </w:p>
              </w:tc>
              <w:tc>
                <w:tcPr>
                  <w:tcW w:w="1277" w:type="dxa"/>
                  <w:vAlign w:val="center"/>
                </w:tcPr>
                <w:p w14:paraId="13A945C2">
                  <w:pPr>
                    <w:widowControl/>
                    <w:jc w:val="center"/>
                    <w:textAlignment w:val="center"/>
                    <w:rPr>
                      <w:szCs w:val="21"/>
                    </w:rPr>
                  </w:pPr>
                  <w:r>
                    <w:rPr>
                      <w:bCs/>
                      <w:spacing w:val="-6"/>
                      <w:szCs w:val="21"/>
                    </w:rPr>
                    <w:t>1.6</w:t>
                  </w:r>
                </w:p>
              </w:tc>
              <w:tc>
                <w:tcPr>
                  <w:tcW w:w="1306" w:type="dxa"/>
                </w:tcPr>
                <w:p w14:paraId="42C74F90">
                  <w:pPr>
                    <w:widowControl/>
                    <w:jc w:val="center"/>
                    <w:textAlignment w:val="center"/>
                    <w:rPr>
                      <w:szCs w:val="21"/>
                    </w:rPr>
                  </w:pPr>
                  <w:r>
                    <w:rPr>
                      <w:szCs w:val="21"/>
                    </w:rPr>
                    <w:t>7</w:t>
                  </w:r>
                </w:p>
              </w:tc>
              <w:tc>
                <w:tcPr>
                  <w:tcW w:w="802" w:type="dxa"/>
                </w:tcPr>
                <w:p w14:paraId="154FF20F">
                  <w:pPr>
                    <w:widowControl/>
                    <w:jc w:val="center"/>
                    <w:textAlignment w:val="center"/>
                    <w:rPr>
                      <w:szCs w:val="21"/>
                    </w:rPr>
                  </w:pPr>
                  <w:r>
                    <w:rPr>
                      <w:szCs w:val="21"/>
                    </w:rPr>
                    <w:t>达标</w:t>
                  </w:r>
                </w:p>
              </w:tc>
            </w:tr>
            <w:tr w14:paraId="5E4E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1" w:type="dxa"/>
                  <w:vMerge w:val="continue"/>
                  <w:vAlign w:val="center"/>
                </w:tcPr>
                <w:p w14:paraId="412A4C68">
                  <w:pPr>
                    <w:jc w:val="center"/>
                    <w:rPr>
                      <w:szCs w:val="21"/>
                    </w:rPr>
                  </w:pPr>
                </w:p>
              </w:tc>
              <w:tc>
                <w:tcPr>
                  <w:tcW w:w="2687" w:type="dxa"/>
                  <w:vAlign w:val="center"/>
                </w:tcPr>
                <w:p w14:paraId="45F4C17C">
                  <w:pPr>
                    <w:widowControl/>
                    <w:jc w:val="center"/>
                    <w:textAlignment w:val="center"/>
                    <w:rPr>
                      <w:szCs w:val="21"/>
                    </w:rPr>
                  </w:pPr>
                  <w:r>
                    <w:rPr>
                      <w:spacing w:val="-6"/>
                      <w:szCs w:val="21"/>
                    </w:rPr>
                    <w:t>2022/6/11</w:t>
                  </w:r>
                </w:p>
              </w:tc>
              <w:tc>
                <w:tcPr>
                  <w:tcW w:w="2409" w:type="dxa"/>
                  <w:vAlign w:val="center"/>
                </w:tcPr>
                <w:p w14:paraId="74A4715B">
                  <w:pPr>
                    <w:jc w:val="center"/>
                    <w:rPr>
                      <w:szCs w:val="21"/>
                    </w:rPr>
                  </w:pPr>
                  <w:r>
                    <w:rPr>
                      <w:bCs/>
                      <w:spacing w:val="-6"/>
                      <w:szCs w:val="21"/>
                    </w:rPr>
                    <w:t>08:16</w:t>
                  </w:r>
                  <w:r>
                    <w:rPr>
                      <w:spacing w:val="-6"/>
                      <w:szCs w:val="21"/>
                    </w:rPr>
                    <w:t>-</w:t>
                  </w:r>
                  <w:r>
                    <w:rPr>
                      <w:bCs/>
                      <w:spacing w:val="-6"/>
                      <w:szCs w:val="21"/>
                    </w:rPr>
                    <w:t>次日08:16</w:t>
                  </w:r>
                </w:p>
              </w:tc>
              <w:tc>
                <w:tcPr>
                  <w:tcW w:w="1277" w:type="dxa"/>
                  <w:vAlign w:val="center"/>
                </w:tcPr>
                <w:p w14:paraId="15E2B135">
                  <w:pPr>
                    <w:widowControl/>
                    <w:jc w:val="center"/>
                    <w:textAlignment w:val="center"/>
                    <w:rPr>
                      <w:szCs w:val="21"/>
                    </w:rPr>
                  </w:pPr>
                  <w:r>
                    <w:rPr>
                      <w:bCs/>
                      <w:spacing w:val="-6"/>
                      <w:szCs w:val="21"/>
                    </w:rPr>
                    <w:t>2.1</w:t>
                  </w:r>
                </w:p>
              </w:tc>
              <w:tc>
                <w:tcPr>
                  <w:tcW w:w="1306" w:type="dxa"/>
                </w:tcPr>
                <w:p w14:paraId="19389382">
                  <w:pPr>
                    <w:widowControl/>
                    <w:jc w:val="center"/>
                    <w:textAlignment w:val="center"/>
                    <w:rPr>
                      <w:szCs w:val="21"/>
                    </w:rPr>
                  </w:pPr>
                  <w:r>
                    <w:rPr>
                      <w:szCs w:val="21"/>
                    </w:rPr>
                    <w:t>7</w:t>
                  </w:r>
                </w:p>
              </w:tc>
              <w:tc>
                <w:tcPr>
                  <w:tcW w:w="802" w:type="dxa"/>
                </w:tcPr>
                <w:p w14:paraId="77C7EBDE">
                  <w:pPr>
                    <w:widowControl/>
                    <w:jc w:val="center"/>
                    <w:textAlignment w:val="center"/>
                    <w:rPr>
                      <w:szCs w:val="21"/>
                    </w:rPr>
                  </w:pPr>
                  <w:r>
                    <w:rPr>
                      <w:szCs w:val="21"/>
                    </w:rPr>
                    <w:t>达标</w:t>
                  </w:r>
                </w:p>
              </w:tc>
            </w:tr>
          </w:tbl>
          <w:p w14:paraId="775A3001">
            <w:pPr>
              <w:pStyle w:val="2"/>
              <w:jc w:val="center"/>
              <w:rPr>
                <w:rFonts w:ascii="Times New Roman" w:hAnsi="Times New Roman"/>
                <w:b/>
                <w:bCs/>
                <w:kern w:val="0"/>
                <w:sz w:val="24"/>
                <w:lang w:bidi="ar"/>
              </w:rPr>
            </w:pPr>
          </w:p>
          <w:p w14:paraId="1BE14614">
            <w:pPr>
              <w:pStyle w:val="2"/>
              <w:jc w:val="center"/>
              <w:rPr>
                <w:rFonts w:ascii="Times New Roman" w:hAnsi="Times New Roman"/>
                <w:b/>
                <w:bCs/>
                <w:kern w:val="0"/>
                <w:sz w:val="24"/>
                <w:lang w:bidi="ar"/>
              </w:rPr>
            </w:pPr>
            <w:r>
              <w:rPr>
                <w:rFonts w:ascii="Times New Roman" w:hAnsi="Times New Roman"/>
                <w:b/>
                <w:bCs/>
                <w:kern w:val="0"/>
                <w:sz w:val="24"/>
                <w:lang w:bidi="ar"/>
              </w:rPr>
              <w:t>表3-4  特征污染物小时值监测结果</w:t>
            </w:r>
          </w:p>
          <w:tbl>
            <w:tblPr>
              <w:tblStyle w:val="25"/>
              <w:tblW w:w="9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991"/>
              <w:gridCol w:w="1567"/>
              <w:gridCol w:w="1379"/>
              <w:gridCol w:w="29"/>
              <w:gridCol w:w="1427"/>
              <w:gridCol w:w="1416"/>
              <w:gridCol w:w="1220"/>
              <w:gridCol w:w="20"/>
            </w:tblGrid>
            <w:tr w14:paraId="589F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Align w:val="center"/>
                </w:tcPr>
                <w:p w14:paraId="42B1484F">
                  <w:pPr>
                    <w:jc w:val="center"/>
                    <w:rPr>
                      <w:b/>
                      <w:bCs/>
                      <w:szCs w:val="21"/>
                    </w:rPr>
                  </w:pPr>
                  <w:r>
                    <w:rPr>
                      <w:b/>
                      <w:bCs/>
                      <w:szCs w:val="21"/>
                    </w:rPr>
                    <w:t>检测项目</w:t>
                  </w:r>
                </w:p>
              </w:tc>
              <w:tc>
                <w:tcPr>
                  <w:tcW w:w="991" w:type="dxa"/>
                  <w:vAlign w:val="center"/>
                </w:tcPr>
                <w:p w14:paraId="64DD8A8E">
                  <w:pPr>
                    <w:jc w:val="center"/>
                    <w:rPr>
                      <w:b/>
                      <w:bCs/>
                      <w:szCs w:val="21"/>
                    </w:rPr>
                  </w:pPr>
                  <w:r>
                    <w:rPr>
                      <w:b/>
                      <w:bCs/>
                      <w:szCs w:val="21"/>
                    </w:rPr>
                    <w:t>检测点位</w:t>
                  </w:r>
                </w:p>
              </w:tc>
              <w:tc>
                <w:tcPr>
                  <w:tcW w:w="1567" w:type="dxa"/>
                  <w:vAlign w:val="center"/>
                </w:tcPr>
                <w:p w14:paraId="0A166A3C">
                  <w:pPr>
                    <w:jc w:val="center"/>
                    <w:rPr>
                      <w:b/>
                      <w:bCs/>
                      <w:szCs w:val="21"/>
                    </w:rPr>
                  </w:pPr>
                  <w:r>
                    <w:rPr>
                      <w:b/>
                      <w:bCs/>
                      <w:szCs w:val="21"/>
                    </w:rPr>
                    <w:t>采样日期</w:t>
                  </w:r>
                </w:p>
              </w:tc>
              <w:tc>
                <w:tcPr>
                  <w:tcW w:w="1408" w:type="dxa"/>
                  <w:gridSpan w:val="2"/>
                  <w:vAlign w:val="center"/>
                </w:tcPr>
                <w:p w14:paraId="0D0D5DF0">
                  <w:pPr>
                    <w:jc w:val="center"/>
                    <w:rPr>
                      <w:b/>
                      <w:bCs/>
                      <w:szCs w:val="21"/>
                    </w:rPr>
                  </w:pPr>
                  <w:r>
                    <w:rPr>
                      <w:b/>
                      <w:bCs/>
                      <w:szCs w:val="21"/>
                    </w:rPr>
                    <w:t>采样时段</w:t>
                  </w:r>
                </w:p>
              </w:tc>
              <w:tc>
                <w:tcPr>
                  <w:tcW w:w="1427" w:type="dxa"/>
                  <w:vAlign w:val="center"/>
                </w:tcPr>
                <w:p w14:paraId="1F36405C">
                  <w:pPr>
                    <w:jc w:val="center"/>
                    <w:rPr>
                      <w:b/>
                      <w:bCs/>
                      <w:szCs w:val="21"/>
                    </w:rPr>
                  </w:pPr>
                  <w:r>
                    <w:rPr>
                      <w:b/>
                      <w:bCs/>
                      <w:szCs w:val="21"/>
                    </w:rPr>
                    <w:t>检测结果</w:t>
                  </w:r>
                </w:p>
                <w:p w14:paraId="1E0D751B">
                  <w:pPr>
                    <w:jc w:val="center"/>
                    <w:rPr>
                      <w:b/>
                      <w:bCs/>
                      <w:szCs w:val="21"/>
                    </w:rPr>
                  </w:pPr>
                  <w:r>
                    <w:rPr>
                      <w:b/>
                      <w:bCs/>
                      <w:szCs w:val="21"/>
                    </w:rPr>
                    <w:t>（μg/m</w:t>
                  </w:r>
                  <w:r>
                    <w:rPr>
                      <w:b/>
                      <w:bCs/>
                      <w:szCs w:val="21"/>
                      <w:vertAlign w:val="superscript"/>
                    </w:rPr>
                    <w:t>3</w:t>
                  </w:r>
                  <w:r>
                    <w:rPr>
                      <w:b/>
                      <w:bCs/>
                      <w:szCs w:val="21"/>
                    </w:rPr>
                    <w:t>）</w:t>
                  </w:r>
                </w:p>
              </w:tc>
              <w:tc>
                <w:tcPr>
                  <w:tcW w:w="1416" w:type="dxa"/>
                </w:tcPr>
                <w:p w14:paraId="2F755A87">
                  <w:pPr>
                    <w:jc w:val="center"/>
                    <w:rPr>
                      <w:b/>
                      <w:bCs/>
                      <w:szCs w:val="21"/>
                    </w:rPr>
                  </w:pPr>
                  <w:r>
                    <w:rPr>
                      <w:b/>
                      <w:bCs/>
                      <w:szCs w:val="21"/>
                    </w:rPr>
                    <w:t>标准值（μg/m</w:t>
                  </w:r>
                  <w:r>
                    <w:rPr>
                      <w:b/>
                      <w:bCs/>
                      <w:szCs w:val="21"/>
                      <w:vertAlign w:val="superscript"/>
                    </w:rPr>
                    <w:t>3</w:t>
                  </w:r>
                  <w:r>
                    <w:rPr>
                      <w:b/>
                      <w:bCs/>
                      <w:szCs w:val="21"/>
                    </w:rPr>
                    <w:t>）</w:t>
                  </w:r>
                </w:p>
              </w:tc>
              <w:tc>
                <w:tcPr>
                  <w:tcW w:w="1240" w:type="dxa"/>
                  <w:gridSpan w:val="2"/>
                </w:tcPr>
                <w:p w14:paraId="53AA0112">
                  <w:pPr>
                    <w:jc w:val="center"/>
                    <w:rPr>
                      <w:b/>
                      <w:bCs/>
                      <w:szCs w:val="21"/>
                    </w:rPr>
                  </w:pPr>
                  <w:r>
                    <w:rPr>
                      <w:b/>
                      <w:bCs/>
                      <w:szCs w:val="21"/>
                    </w:rPr>
                    <w:t>达标情况</w:t>
                  </w:r>
                </w:p>
              </w:tc>
            </w:tr>
            <w:tr w14:paraId="715E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restart"/>
                  <w:vAlign w:val="center"/>
                </w:tcPr>
                <w:p w14:paraId="68910879">
                  <w:pPr>
                    <w:jc w:val="center"/>
                    <w:rPr>
                      <w:b/>
                      <w:bCs/>
                      <w:szCs w:val="21"/>
                    </w:rPr>
                  </w:pPr>
                  <w:r>
                    <w:rPr>
                      <w:szCs w:val="21"/>
                    </w:rPr>
                    <w:t>氮氧化物</w:t>
                  </w:r>
                </w:p>
              </w:tc>
              <w:tc>
                <w:tcPr>
                  <w:tcW w:w="991" w:type="dxa"/>
                  <w:vMerge w:val="restart"/>
                  <w:vAlign w:val="center"/>
                </w:tcPr>
                <w:p w14:paraId="44308FA7">
                  <w:pPr>
                    <w:jc w:val="center"/>
                    <w:rPr>
                      <w:b/>
                      <w:bCs/>
                      <w:szCs w:val="21"/>
                    </w:rPr>
                  </w:pPr>
                  <w:r>
                    <w:rPr>
                      <w:szCs w:val="21"/>
                    </w:rPr>
                    <w:t>A1：项目区</w:t>
                  </w:r>
                </w:p>
              </w:tc>
              <w:tc>
                <w:tcPr>
                  <w:tcW w:w="1567" w:type="dxa"/>
                  <w:vMerge w:val="restart"/>
                  <w:vAlign w:val="center"/>
                </w:tcPr>
                <w:p w14:paraId="7E523548">
                  <w:pPr>
                    <w:widowControl/>
                    <w:jc w:val="center"/>
                    <w:textAlignment w:val="center"/>
                    <w:rPr>
                      <w:kern w:val="0"/>
                      <w:szCs w:val="21"/>
                      <w:lang w:bidi="ar"/>
                    </w:rPr>
                  </w:pPr>
                  <w:r>
                    <w:rPr>
                      <w:spacing w:val="-6"/>
                      <w:szCs w:val="21"/>
                    </w:rPr>
                    <w:t>2022/6/9</w:t>
                  </w:r>
                </w:p>
              </w:tc>
              <w:tc>
                <w:tcPr>
                  <w:tcW w:w="1408" w:type="dxa"/>
                  <w:gridSpan w:val="2"/>
                  <w:vAlign w:val="center"/>
                </w:tcPr>
                <w:p w14:paraId="0E1DEEA7">
                  <w:pPr>
                    <w:widowControl/>
                    <w:jc w:val="center"/>
                    <w:textAlignment w:val="center"/>
                    <w:rPr>
                      <w:kern w:val="0"/>
                      <w:szCs w:val="21"/>
                      <w:lang w:bidi="ar"/>
                    </w:rPr>
                  </w:pPr>
                  <w:r>
                    <w:rPr>
                      <w:kern w:val="0"/>
                      <w:szCs w:val="21"/>
                      <w:lang w:bidi="ar"/>
                    </w:rPr>
                    <w:t>02:00-03:00</w:t>
                  </w:r>
                </w:p>
              </w:tc>
              <w:tc>
                <w:tcPr>
                  <w:tcW w:w="1427" w:type="dxa"/>
                  <w:vAlign w:val="center"/>
                </w:tcPr>
                <w:p w14:paraId="1407F7CD">
                  <w:pPr>
                    <w:widowControl/>
                    <w:jc w:val="center"/>
                    <w:textAlignment w:val="center"/>
                    <w:rPr>
                      <w:szCs w:val="21"/>
                    </w:rPr>
                  </w:pPr>
                  <w:r>
                    <w:rPr>
                      <w:bCs/>
                      <w:spacing w:val="-6"/>
                      <w:szCs w:val="21"/>
                    </w:rPr>
                    <w:t>12</w:t>
                  </w:r>
                </w:p>
              </w:tc>
              <w:tc>
                <w:tcPr>
                  <w:tcW w:w="1416" w:type="dxa"/>
                </w:tcPr>
                <w:p w14:paraId="70A7B20C">
                  <w:pPr>
                    <w:widowControl/>
                    <w:jc w:val="center"/>
                    <w:textAlignment w:val="center"/>
                    <w:rPr>
                      <w:szCs w:val="21"/>
                    </w:rPr>
                  </w:pPr>
                  <w:r>
                    <w:rPr>
                      <w:szCs w:val="21"/>
                    </w:rPr>
                    <w:t>250</w:t>
                  </w:r>
                </w:p>
              </w:tc>
              <w:tc>
                <w:tcPr>
                  <w:tcW w:w="1240" w:type="dxa"/>
                  <w:gridSpan w:val="2"/>
                </w:tcPr>
                <w:p w14:paraId="20726F9A">
                  <w:pPr>
                    <w:widowControl/>
                    <w:jc w:val="center"/>
                    <w:textAlignment w:val="center"/>
                    <w:rPr>
                      <w:szCs w:val="21"/>
                    </w:rPr>
                  </w:pPr>
                  <w:r>
                    <w:rPr>
                      <w:szCs w:val="21"/>
                    </w:rPr>
                    <w:t>达标</w:t>
                  </w:r>
                </w:p>
              </w:tc>
            </w:tr>
            <w:tr w14:paraId="32E6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continue"/>
                  <w:vAlign w:val="center"/>
                </w:tcPr>
                <w:p w14:paraId="376C8863">
                  <w:pPr>
                    <w:jc w:val="center"/>
                    <w:rPr>
                      <w:b/>
                      <w:bCs/>
                      <w:szCs w:val="21"/>
                    </w:rPr>
                  </w:pPr>
                </w:p>
              </w:tc>
              <w:tc>
                <w:tcPr>
                  <w:tcW w:w="991" w:type="dxa"/>
                  <w:vMerge w:val="continue"/>
                  <w:vAlign w:val="center"/>
                </w:tcPr>
                <w:p w14:paraId="58812C39">
                  <w:pPr>
                    <w:jc w:val="center"/>
                    <w:rPr>
                      <w:b/>
                      <w:bCs/>
                      <w:szCs w:val="21"/>
                    </w:rPr>
                  </w:pPr>
                </w:p>
              </w:tc>
              <w:tc>
                <w:tcPr>
                  <w:tcW w:w="1567" w:type="dxa"/>
                  <w:vMerge w:val="continue"/>
                  <w:vAlign w:val="center"/>
                </w:tcPr>
                <w:p w14:paraId="4B6DF071">
                  <w:pPr>
                    <w:widowControl/>
                    <w:jc w:val="center"/>
                    <w:textAlignment w:val="center"/>
                    <w:rPr>
                      <w:kern w:val="0"/>
                      <w:szCs w:val="21"/>
                      <w:lang w:bidi="ar"/>
                    </w:rPr>
                  </w:pPr>
                </w:p>
              </w:tc>
              <w:tc>
                <w:tcPr>
                  <w:tcW w:w="1408" w:type="dxa"/>
                  <w:gridSpan w:val="2"/>
                  <w:vAlign w:val="center"/>
                </w:tcPr>
                <w:p w14:paraId="7BCF15C3">
                  <w:pPr>
                    <w:widowControl/>
                    <w:jc w:val="center"/>
                    <w:textAlignment w:val="center"/>
                    <w:rPr>
                      <w:kern w:val="0"/>
                      <w:szCs w:val="21"/>
                      <w:lang w:bidi="ar"/>
                    </w:rPr>
                  </w:pPr>
                  <w:r>
                    <w:rPr>
                      <w:kern w:val="0"/>
                      <w:szCs w:val="21"/>
                      <w:lang w:bidi="ar"/>
                    </w:rPr>
                    <w:t>08:00-09:00</w:t>
                  </w:r>
                </w:p>
              </w:tc>
              <w:tc>
                <w:tcPr>
                  <w:tcW w:w="1427" w:type="dxa"/>
                  <w:vAlign w:val="center"/>
                </w:tcPr>
                <w:p w14:paraId="3CCC1AB8">
                  <w:pPr>
                    <w:widowControl/>
                    <w:jc w:val="center"/>
                    <w:textAlignment w:val="center"/>
                    <w:rPr>
                      <w:szCs w:val="21"/>
                    </w:rPr>
                  </w:pPr>
                  <w:r>
                    <w:rPr>
                      <w:bCs/>
                      <w:spacing w:val="-6"/>
                      <w:szCs w:val="21"/>
                    </w:rPr>
                    <w:t>18</w:t>
                  </w:r>
                </w:p>
              </w:tc>
              <w:tc>
                <w:tcPr>
                  <w:tcW w:w="1416" w:type="dxa"/>
                </w:tcPr>
                <w:p w14:paraId="0B1CF56C">
                  <w:pPr>
                    <w:widowControl/>
                    <w:jc w:val="center"/>
                    <w:textAlignment w:val="center"/>
                    <w:rPr>
                      <w:szCs w:val="21"/>
                    </w:rPr>
                  </w:pPr>
                  <w:r>
                    <w:rPr>
                      <w:szCs w:val="21"/>
                    </w:rPr>
                    <w:t>250</w:t>
                  </w:r>
                </w:p>
              </w:tc>
              <w:tc>
                <w:tcPr>
                  <w:tcW w:w="1240" w:type="dxa"/>
                  <w:gridSpan w:val="2"/>
                </w:tcPr>
                <w:p w14:paraId="26C5DD8A">
                  <w:pPr>
                    <w:widowControl/>
                    <w:jc w:val="center"/>
                    <w:textAlignment w:val="center"/>
                    <w:rPr>
                      <w:szCs w:val="21"/>
                    </w:rPr>
                  </w:pPr>
                  <w:r>
                    <w:rPr>
                      <w:szCs w:val="21"/>
                    </w:rPr>
                    <w:t>达标</w:t>
                  </w:r>
                </w:p>
              </w:tc>
            </w:tr>
            <w:tr w14:paraId="32F1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continue"/>
                  <w:vAlign w:val="center"/>
                </w:tcPr>
                <w:p w14:paraId="78D991BE">
                  <w:pPr>
                    <w:jc w:val="center"/>
                    <w:rPr>
                      <w:b/>
                      <w:bCs/>
                      <w:szCs w:val="21"/>
                    </w:rPr>
                  </w:pPr>
                </w:p>
              </w:tc>
              <w:tc>
                <w:tcPr>
                  <w:tcW w:w="991" w:type="dxa"/>
                  <w:vMerge w:val="continue"/>
                  <w:vAlign w:val="center"/>
                </w:tcPr>
                <w:p w14:paraId="5FC96829">
                  <w:pPr>
                    <w:jc w:val="center"/>
                    <w:rPr>
                      <w:b/>
                      <w:bCs/>
                      <w:szCs w:val="21"/>
                    </w:rPr>
                  </w:pPr>
                </w:p>
              </w:tc>
              <w:tc>
                <w:tcPr>
                  <w:tcW w:w="1567" w:type="dxa"/>
                  <w:vMerge w:val="continue"/>
                  <w:vAlign w:val="center"/>
                </w:tcPr>
                <w:p w14:paraId="22C43C61">
                  <w:pPr>
                    <w:widowControl/>
                    <w:jc w:val="center"/>
                    <w:textAlignment w:val="center"/>
                    <w:rPr>
                      <w:kern w:val="0"/>
                      <w:szCs w:val="21"/>
                      <w:lang w:bidi="ar"/>
                    </w:rPr>
                  </w:pPr>
                </w:p>
              </w:tc>
              <w:tc>
                <w:tcPr>
                  <w:tcW w:w="1408" w:type="dxa"/>
                  <w:gridSpan w:val="2"/>
                  <w:vAlign w:val="center"/>
                </w:tcPr>
                <w:p w14:paraId="759C4262">
                  <w:pPr>
                    <w:widowControl/>
                    <w:jc w:val="center"/>
                    <w:textAlignment w:val="center"/>
                    <w:rPr>
                      <w:kern w:val="0"/>
                      <w:szCs w:val="21"/>
                      <w:lang w:bidi="ar"/>
                    </w:rPr>
                  </w:pPr>
                  <w:r>
                    <w:rPr>
                      <w:kern w:val="0"/>
                      <w:szCs w:val="21"/>
                      <w:lang w:bidi="ar"/>
                    </w:rPr>
                    <w:t>14:00-15:00</w:t>
                  </w:r>
                </w:p>
              </w:tc>
              <w:tc>
                <w:tcPr>
                  <w:tcW w:w="1427" w:type="dxa"/>
                  <w:vAlign w:val="center"/>
                </w:tcPr>
                <w:p w14:paraId="29DBDE6B">
                  <w:pPr>
                    <w:widowControl/>
                    <w:jc w:val="center"/>
                    <w:textAlignment w:val="center"/>
                    <w:rPr>
                      <w:szCs w:val="21"/>
                    </w:rPr>
                  </w:pPr>
                  <w:r>
                    <w:rPr>
                      <w:bCs/>
                      <w:spacing w:val="-6"/>
                      <w:szCs w:val="21"/>
                    </w:rPr>
                    <w:t>15</w:t>
                  </w:r>
                </w:p>
              </w:tc>
              <w:tc>
                <w:tcPr>
                  <w:tcW w:w="1416" w:type="dxa"/>
                </w:tcPr>
                <w:p w14:paraId="51C7BF59">
                  <w:pPr>
                    <w:widowControl/>
                    <w:jc w:val="center"/>
                    <w:textAlignment w:val="center"/>
                    <w:rPr>
                      <w:szCs w:val="21"/>
                    </w:rPr>
                  </w:pPr>
                  <w:r>
                    <w:rPr>
                      <w:szCs w:val="21"/>
                    </w:rPr>
                    <w:t>250</w:t>
                  </w:r>
                </w:p>
              </w:tc>
              <w:tc>
                <w:tcPr>
                  <w:tcW w:w="1240" w:type="dxa"/>
                  <w:gridSpan w:val="2"/>
                </w:tcPr>
                <w:p w14:paraId="404B2EBE">
                  <w:pPr>
                    <w:widowControl/>
                    <w:jc w:val="center"/>
                    <w:textAlignment w:val="center"/>
                    <w:rPr>
                      <w:szCs w:val="21"/>
                    </w:rPr>
                  </w:pPr>
                  <w:r>
                    <w:rPr>
                      <w:szCs w:val="21"/>
                    </w:rPr>
                    <w:t>达标</w:t>
                  </w:r>
                </w:p>
              </w:tc>
            </w:tr>
            <w:tr w14:paraId="5B0D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continue"/>
                  <w:vAlign w:val="center"/>
                </w:tcPr>
                <w:p w14:paraId="6D36FEF1">
                  <w:pPr>
                    <w:jc w:val="center"/>
                    <w:rPr>
                      <w:b/>
                      <w:bCs/>
                      <w:szCs w:val="21"/>
                    </w:rPr>
                  </w:pPr>
                </w:p>
              </w:tc>
              <w:tc>
                <w:tcPr>
                  <w:tcW w:w="991" w:type="dxa"/>
                  <w:vMerge w:val="continue"/>
                  <w:vAlign w:val="center"/>
                </w:tcPr>
                <w:p w14:paraId="5370D416">
                  <w:pPr>
                    <w:jc w:val="center"/>
                    <w:rPr>
                      <w:b/>
                      <w:bCs/>
                      <w:szCs w:val="21"/>
                    </w:rPr>
                  </w:pPr>
                </w:p>
              </w:tc>
              <w:tc>
                <w:tcPr>
                  <w:tcW w:w="1567" w:type="dxa"/>
                  <w:vMerge w:val="continue"/>
                  <w:vAlign w:val="center"/>
                </w:tcPr>
                <w:p w14:paraId="1F2798BA">
                  <w:pPr>
                    <w:widowControl/>
                    <w:jc w:val="center"/>
                    <w:textAlignment w:val="center"/>
                    <w:rPr>
                      <w:kern w:val="0"/>
                      <w:szCs w:val="21"/>
                      <w:lang w:bidi="ar"/>
                    </w:rPr>
                  </w:pPr>
                </w:p>
              </w:tc>
              <w:tc>
                <w:tcPr>
                  <w:tcW w:w="1408" w:type="dxa"/>
                  <w:gridSpan w:val="2"/>
                  <w:vAlign w:val="center"/>
                </w:tcPr>
                <w:p w14:paraId="0669B8B2">
                  <w:pPr>
                    <w:widowControl/>
                    <w:jc w:val="center"/>
                    <w:textAlignment w:val="center"/>
                    <w:rPr>
                      <w:kern w:val="0"/>
                      <w:szCs w:val="21"/>
                      <w:lang w:bidi="ar"/>
                    </w:rPr>
                  </w:pPr>
                  <w:r>
                    <w:rPr>
                      <w:kern w:val="0"/>
                      <w:szCs w:val="21"/>
                      <w:lang w:bidi="ar"/>
                    </w:rPr>
                    <w:t>20:00-21:00</w:t>
                  </w:r>
                </w:p>
              </w:tc>
              <w:tc>
                <w:tcPr>
                  <w:tcW w:w="1427" w:type="dxa"/>
                  <w:vAlign w:val="center"/>
                </w:tcPr>
                <w:p w14:paraId="77E26CAB">
                  <w:pPr>
                    <w:widowControl/>
                    <w:jc w:val="center"/>
                    <w:textAlignment w:val="center"/>
                    <w:rPr>
                      <w:szCs w:val="21"/>
                    </w:rPr>
                  </w:pPr>
                  <w:r>
                    <w:rPr>
                      <w:bCs/>
                      <w:spacing w:val="-6"/>
                      <w:szCs w:val="21"/>
                    </w:rPr>
                    <w:t>20</w:t>
                  </w:r>
                </w:p>
              </w:tc>
              <w:tc>
                <w:tcPr>
                  <w:tcW w:w="1416" w:type="dxa"/>
                </w:tcPr>
                <w:p w14:paraId="66F7B8D0">
                  <w:pPr>
                    <w:widowControl/>
                    <w:jc w:val="center"/>
                    <w:textAlignment w:val="center"/>
                    <w:rPr>
                      <w:szCs w:val="21"/>
                    </w:rPr>
                  </w:pPr>
                  <w:r>
                    <w:rPr>
                      <w:szCs w:val="21"/>
                    </w:rPr>
                    <w:t>250</w:t>
                  </w:r>
                </w:p>
              </w:tc>
              <w:tc>
                <w:tcPr>
                  <w:tcW w:w="1240" w:type="dxa"/>
                  <w:gridSpan w:val="2"/>
                </w:tcPr>
                <w:p w14:paraId="7F53E1FF">
                  <w:pPr>
                    <w:widowControl/>
                    <w:jc w:val="center"/>
                    <w:textAlignment w:val="center"/>
                    <w:rPr>
                      <w:szCs w:val="21"/>
                    </w:rPr>
                  </w:pPr>
                  <w:r>
                    <w:rPr>
                      <w:szCs w:val="21"/>
                    </w:rPr>
                    <w:t>达标</w:t>
                  </w:r>
                </w:p>
              </w:tc>
            </w:tr>
            <w:tr w14:paraId="7A0A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continue"/>
                  <w:vAlign w:val="center"/>
                </w:tcPr>
                <w:p w14:paraId="3C9052E2">
                  <w:pPr>
                    <w:jc w:val="center"/>
                    <w:rPr>
                      <w:b/>
                      <w:bCs/>
                      <w:szCs w:val="21"/>
                    </w:rPr>
                  </w:pPr>
                </w:p>
              </w:tc>
              <w:tc>
                <w:tcPr>
                  <w:tcW w:w="991" w:type="dxa"/>
                  <w:vMerge w:val="continue"/>
                  <w:vAlign w:val="center"/>
                </w:tcPr>
                <w:p w14:paraId="07BC0D47">
                  <w:pPr>
                    <w:jc w:val="center"/>
                    <w:rPr>
                      <w:b/>
                      <w:bCs/>
                      <w:szCs w:val="21"/>
                    </w:rPr>
                  </w:pPr>
                </w:p>
              </w:tc>
              <w:tc>
                <w:tcPr>
                  <w:tcW w:w="1567" w:type="dxa"/>
                  <w:vMerge w:val="restart"/>
                  <w:vAlign w:val="center"/>
                </w:tcPr>
                <w:p w14:paraId="15590673">
                  <w:pPr>
                    <w:widowControl/>
                    <w:jc w:val="center"/>
                    <w:textAlignment w:val="center"/>
                    <w:rPr>
                      <w:kern w:val="0"/>
                      <w:szCs w:val="21"/>
                      <w:lang w:bidi="ar"/>
                    </w:rPr>
                  </w:pPr>
                  <w:r>
                    <w:rPr>
                      <w:spacing w:val="-6"/>
                      <w:szCs w:val="21"/>
                    </w:rPr>
                    <w:t>2022/6/10</w:t>
                  </w:r>
                </w:p>
              </w:tc>
              <w:tc>
                <w:tcPr>
                  <w:tcW w:w="1408" w:type="dxa"/>
                  <w:gridSpan w:val="2"/>
                  <w:vAlign w:val="center"/>
                </w:tcPr>
                <w:p w14:paraId="52F6F37C">
                  <w:pPr>
                    <w:widowControl/>
                    <w:jc w:val="center"/>
                    <w:textAlignment w:val="center"/>
                    <w:rPr>
                      <w:kern w:val="0"/>
                      <w:szCs w:val="21"/>
                      <w:lang w:bidi="ar"/>
                    </w:rPr>
                  </w:pPr>
                  <w:r>
                    <w:rPr>
                      <w:kern w:val="0"/>
                      <w:szCs w:val="21"/>
                      <w:lang w:bidi="ar"/>
                    </w:rPr>
                    <w:t>02:00-03:00</w:t>
                  </w:r>
                </w:p>
              </w:tc>
              <w:tc>
                <w:tcPr>
                  <w:tcW w:w="1427" w:type="dxa"/>
                  <w:vAlign w:val="center"/>
                </w:tcPr>
                <w:p w14:paraId="136735CB">
                  <w:pPr>
                    <w:widowControl/>
                    <w:jc w:val="center"/>
                    <w:textAlignment w:val="center"/>
                    <w:rPr>
                      <w:szCs w:val="21"/>
                    </w:rPr>
                  </w:pPr>
                  <w:r>
                    <w:rPr>
                      <w:bCs/>
                      <w:spacing w:val="-6"/>
                      <w:szCs w:val="21"/>
                    </w:rPr>
                    <w:t>10</w:t>
                  </w:r>
                </w:p>
              </w:tc>
              <w:tc>
                <w:tcPr>
                  <w:tcW w:w="1416" w:type="dxa"/>
                </w:tcPr>
                <w:p w14:paraId="22228F1A">
                  <w:pPr>
                    <w:widowControl/>
                    <w:jc w:val="center"/>
                    <w:textAlignment w:val="center"/>
                    <w:rPr>
                      <w:szCs w:val="21"/>
                    </w:rPr>
                  </w:pPr>
                  <w:r>
                    <w:rPr>
                      <w:szCs w:val="21"/>
                    </w:rPr>
                    <w:t>250</w:t>
                  </w:r>
                </w:p>
              </w:tc>
              <w:tc>
                <w:tcPr>
                  <w:tcW w:w="1240" w:type="dxa"/>
                  <w:gridSpan w:val="2"/>
                </w:tcPr>
                <w:p w14:paraId="60559671">
                  <w:pPr>
                    <w:widowControl/>
                    <w:jc w:val="center"/>
                    <w:textAlignment w:val="center"/>
                    <w:rPr>
                      <w:szCs w:val="21"/>
                    </w:rPr>
                  </w:pPr>
                  <w:r>
                    <w:rPr>
                      <w:szCs w:val="21"/>
                    </w:rPr>
                    <w:t>达标</w:t>
                  </w:r>
                </w:p>
              </w:tc>
            </w:tr>
            <w:tr w14:paraId="2AC6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continue"/>
                  <w:vAlign w:val="center"/>
                </w:tcPr>
                <w:p w14:paraId="3850777A">
                  <w:pPr>
                    <w:jc w:val="center"/>
                    <w:rPr>
                      <w:b/>
                      <w:bCs/>
                      <w:szCs w:val="21"/>
                    </w:rPr>
                  </w:pPr>
                </w:p>
              </w:tc>
              <w:tc>
                <w:tcPr>
                  <w:tcW w:w="991" w:type="dxa"/>
                  <w:vMerge w:val="continue"/>
                  <w:vAlign w:val="center"/>
                </w:tcPr>
                <w:p w14:paraId="14C89359">
                  <w:pPr>
                    <w:jc w:val="center"/>
                    <w:rPr>
                      <w:b/>
                      <w:bCs/>
                      <w:szCs w:val="21"/>
                    </w:rPr>
                  </w:pPr>
                </w:p>
              </w:tc>
              <w:tc>
                <w:tcPr>
                  <w:tcW w:w="1567" w:type="dxa"/>
                  <w:vMerge w:val="continue"/>
                  <w:vAlign w:val="center"/>
                </w:tcPr>
                <w:p w14:paraId="619340EB">
                  <w:pPr>
                    <w:widowControl/>
                    <w:jc w:val="center"/>
                    <w:textAlignment w:val="center"/>
                    <w:rPr>
                      <w:kern w:val="0"/>
                      <w:szCs w:val="21"/>
                      <w:lang w:bidi="ar"/>
                    </w:rPr>
                  </w:pPr>
                </w:p>
              </w:tc>
              <w:tc>
                <w:tcPr>
                  <w:tcW w:w="1408" w:type="dxa"/>
                  <w:gridSpan w:val="2"/>
                  <w:vAlign w:val="center"/>
                </w:tcPr>
                <w:p w14:paraId="16B3ED01">
                  <w:pPr>
                    <w:widowControl/>
                    <w:jc w:val="center"/>
                    <w:textAlignment w:val="center"/>
                    <w:rPr>
                      <w:kern w:val="0"/>
                      <w:szCs w:val="21"/>
                      <w:lang w:bidi="ar"/>
                    </w:rPr>
                  </w:pPr>
                  <w:r>
                    <w:rPr>
                      <w:kern w:val="0"/>
                      <w:szCs w:val="21"/>
                      <w:lang w:bidi="ar"/>
                    </w:rPr>
                    <w:t>08:00-09:00</w:t>
                  </w:r>
                </w:p>
              </w:tc>
              <w:tc>
                <w:tcPr>
                  <w:tcW w:w="1427" w:type="dxa"/>
                  <w:vAlign w:val="center"/>
                </w:tcPr>
                <w:p w14:paraId="6F746D7D">
                  <w:pPr>
                    <w:widowControl/>
                    <w:jc w:val="center"/>
                    <w:textAlignment w:val="center"/>
                    <w:rPr>
                      <w:szCs w:val="21"/>
                    </w:rPr>
                  </w:pPr>
                  <w:r>
                    <w:rPr>
                      <w:bCs/>
                      <w:spacing w:val="-6"/>
                      <w:szCs w:val="21"/>
                    </w:rPr>
                    <w:t>19</w:t>
                  </w:r>
                </w:p>
              </w:tc>
              <w:tc>
                <w:tcPr>
                  <w:tcW w:w="1416" w:type="dxa"/>
                </w:tcPr>
                <w:p w14:paraId="646C4E7A">
                  <w:pPr>
                    <w:widowControl/>
                    <w:jc w:val="center"/>
                    <w:textAlignment w:val="center"/>
                    <w:rPr>
                      <w:szCs w:val="21"/>
                    </w:rPr>
                  </w:pPr>
                  <w:r>
                    <w:rPr>
                      <w:szCs w:val="21"/>
                    </w:rPr>
                    <w:t>250</w:t>
                  </w:r>
                </w:p>
              </w:tc>
              <w:tc>
                <w:tcPr>
                  <w:tcW w:w="1240" w:type="dxa"/>
                  <w:gridSpan w:val="2"/>
                </w:tcPr>
                <w:p w14:paraId="4C4DC1DB">
                  <w:pPr>
                    <w:widowControl/>
                    <w:jc w:val="center"/>
                    <w:textAlignment w:val="center"/>
                    <w:rPr>
                      <w:szCs w:val="21"/>
                    </w:rPr>
                  </w:pPr>
                  <w:r>
                    <w:rPr>
                      <w:szCs w:val="21"/>
                    </w:rPr>
                    <w:t>达标</w:t>
                  </w:r>
                </w:p>
              </w:tc>
            </w:tr>
            <w:tr w14:paraId="5CBC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continue"/>
                  <w:vAlign w:val="center"/>
                </w:tcPr>
                <w:p w14:paraId="0FCA0858">
                  <w:pPr>
                    <w:jc w:val="center"/>
                    <w:rPr>
                      <w:b/>
                      <w:bCs/>
                      <w:szCs w:val="21"/>
                    </w:rPr>
                  </w:pPr>
                </w:p>
              </w:tc>
              <w:tc>
                <w:tcPr>
                  <w:tcW w:w="991" w:type="dxa"/>
                  <w:vMerge w:val="continue"/>
                  <w:vAlign w:val="center"/>
                </w:tcPr>
                <w:p w14:paraId="5733E0DC">
                  <w:pPr>
                    <w:jc w:val="center"/>
                    <w:rPr>
                      <w:b/>
                      <w:bCs/>
                      <w:szCs w:val="21"/>
                    </w:rPr>
                  </w:pPr>
                </w:p>
              </w:tc>
              <w:tc>
                <w:tcPr>
                  <w:tcW w:w="1567" w:type="dxa"/>
                  <w:vMerge w:val="continue"/>
                  <w:vAlign w:val="center"/>
                </w:tcPr>
                <w:p w14:paraId="71C094E3">
                  <w:pPr>
                    <w:widowControl/>
                    <w:jc w:val="center"/>
                    <w:textAlignment w:val="center"/>
                    <w:rPr>
                      <w:kern w:val="0"/>
                      <w:szCs w:val="21"/>
                      <w:lang w:bidi="ar"/>
                    </w:rPr>
                  </w:pPr>
                </w:p>
              </w:tc>
              <w:tc>
                <w:tcPr>
                  <w:tcW w:w="1408" w:type="dxa"/>
                  <w:gridSpan w:val="2"/>
                  <w:vAlign w:val="center"/>
                </w:tcPr>
                <w:p w14:paraId="58E09A43">
                  <w:pPr>
                    <w:widowControl/>
                    <w:jc w:val="center"/>
                    <w:textAlignment w:val="center"/>
                    <w:rPr>
                      <w:kern w:val="0"/>
                      <w:szCs w:val="21"/>
                      <w:lang w:bidi="ar"/>
                    </w:rPr>
                  </w:pPr>
                  <w:r>
                    <w:rPr>
                      <w:kern w:val="0"/>
                      <w:szCs w:val="21"/>
                      <w:lang w:bidi="ar"/>
                    </w:rPr>
                    <w:t>14:00-15:00</w:t>
                  </w:r>
                </w:p>
              </w:tc>
              <w:tc>
                <w:tcPr>
                  <w:tcW w:w="1427" w:type="dxa"/>
                  <w:vAlign w:val="center"/>
                </w:tcPr>
                <w:p w14:paraId="6FDE9153">
                  <w:pPr>
                    <w:widowControl/>
                    <w:jc w:val="center"/>
                    <w:textAlignment w:val="center"/>
                    <w:rPr>
                      <w:szCs w:val="21"/>
                    </w:rPr>
                  </w:pPr>
                  <w:r>
                    <w:rPr>
                      <w:bCs/>
                      <w:spacing w:val="-6"/>
                      <w:szCs w:val="21"/>
                    </w:rPr>
                    <w:t>16</w:t>
                  </w:r>
                </w:p>
              </w:tc>
              <w:tc>
                <w:tcPr>
                  <w:tcW w:w="1416" w:type="dxa"/>
                </w:tcPr>
                <w:p w14:paraId="3BE41813">
                  <w:pPr>
                    <w:widowControl/>
                    <w:jc w:val="center"/>
                    <w:textAlignment w:val="center"/>
                    <w:rPr>
                      <w:szCs w:val="21"/>
                    </w:rPr>
                  </w:pPr>
                  <w:r>
                    <w:rPr>
                      <w:szCs w:val="21"/>
                    </w:rPr>
                    <w:t>250</w:t>
                  </w:r>
                </w:p>
              </w:tc>
              <w:tc>
                <w:tcPr>
                  <w:tcW w:w="1240" w:type="dxa"/>
                  <w:gridSpan w:val="2"/>
                </w:tcPr>
                <w:p w14:paraId="6F15A8E6">
                  <w:pPr>
                    <w:widowControl/>
                    <w:jc w:val="center"/>
                    <w:textAlignment w:val="center"/>
                    <w:rPr>
                      <w:szCs w:val="21"/>
                    </w:rPr>
                  </w:pPr>
                  <w:r>
                    <w:rPr>
                      <w:szCs w:val="21"/>
                    </w:rPr>
                    <w:t>达标</w:t>
                  </w:r>
                </w:p>
              </w:tc>
            </w:tr>
            <w:tr w14:paraId="37EC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continue"/>
                  <w:vAlign w:val="center"/>
                </w:tcPr>
                <w:p w14:paraId="63304BD5">
                  <w:pPr>
                    <w:jc w:val="center"/>
                    <w:rPr>
                      <w:b/>
                      <w:bCs/>
                      <w:szCs w:val="21"/>
                    </w:rPr>
                  </w:pPr>
                </w:p>
              </w:tc>
              <w:tc>
                <w:tcPr>
                  <w:tcW w:w="991" w:type="dxa"/>
                  <w:vMerge w:val="continue"/>
                  <w:vAlign w:val="center"/>
                </w:tcPr>
                <w:p w14:paraId="7CA06449">
                  <w:pPr>
                    <w:jc w:val="center"/>
                    <w:rPr>
                      <w:b/>
                      <w:bCs/>
                      <w:szCs w:val="21"/>
                    </w:rPr>
                  </w:pPr>
                </w:p>
              </w:tc>
              <w:tc>
                <w:tcPr>
                  <w:tcW w:w="1567" w:type="dxa"/>
                  <w:vMerge w:val="continue"/>
                  <w:vAlign w:val="center"/>
                </w:tcPr>
                <w:p w14:paraId="34A18C61">
                  <w:pPr>
                    <w:jc w:val="center"/>
                    <w:rPr>
                      <w:szCs w:val="21"/>
                    </w:rPr>
                  </w:pPr>
                </w:p>
              </w:tc>
              <w:tc>
                <w:tcPr>
                  <w:tcW w:w="1408" w:type="dxa"/>
                  <w:gridSpan w:val="2"/>
                  <w:vAlign w:val="center"/>
                </w:tcPr>
                <w:p w14:paraId="4DCE1D9C">
                  <w:pPr>
                    <w:widowControl/>
                    <w:jc w:val="center"/>
                    <w:textAlignment w:val="center"/>
                    <w:rPr>
                      <w:szCs w:val="21"/>
                    </w:rPr>
                  </w:pPr>
                  <w:r>
                    <w:rPr>
                      <w:kern w:val="0"/>
                      <w:szCs w:val="21"/>
                      <w:lang w:bidi="ar"/>
                    </w:rPr>
                    <w:t>20:00-21:00</w:t>
                  </w:r>
                </w:p>
              </w:tc>
              <w:tc>
                <w:tcPr>
                  <w:tcW w:w="1427" w:type="dxa"/>
                  <w:vAlign w:val="center"/>
                </w:tcPr>
                <w:p w14:paraId="6DBBE4F8">
                  <w:pPr>
                    <w:widowControl/>
                    <w:jc w:val="center"/>
                    <w:textAlignment w:val="center"/>
                    <w:rPr>
                      <w:szCs w:val="21"/>
                    </w:rPr>
                  </w:pPr>
                  <w:r>
                    <w:rPr>
                      <w:bCs/>
                      <w:spacing w:val="-6"/>
                      <w:szCs w:val="21"/>
                    </w:rPr>
                    <w:t>21</w:t>
                  </w:r>
                </w:p>
              </w:tc>
              <w:tc>
                <w:tcPr>
                  <w:tcW w:w="1416" w:type="dxa"/>
                </w:tcPr>
                <w:p w14:paraId="39CF8699">
                  <w:pPr>
                    <w:widowControl/>
                    <w:jc w:val="center"/>
                    <w:textAlignment w:val="center"/>
                    <w:rPr>
                      <w:szCs w:val="21"/>
                    </w:rPr>
                  </w:pPr>
                  <w:r>
                    <w:rPr>
                      <w:szCs w:val="21"/>
                    </w:rPr>
                    <w:t>250</w:t>
                  </w:r>
                </w:p>
              </w:tc>
              <w:tc>
                <w:tcPr>
                  <w:tcW w:w="1240" w:type="dxa"/>
                  <w:gridSpan w:val="2"/>
                </w:tcPr>
                <w:p w14:paraId="1CAE3E25">
                  <w:pPr>
                    <w:widowControl/>
                    <w:jc w:val="center"/>
                    <w:textAlignment w:val="center"/>
                    <w:rPr>
                      <w:szCs w:val="21"/>
                    </w:rPr>
                  </w:pPr>
                  <w:r>
                    <w:rPr>
                      <w:szCs w:val="21"/>
                    </w:rPr>
                    <w:t>达标</w:t>
                  </w:r>
                </w:p>
              </w:tc>
            </w:tr>
            <w:tr w14:paraId="0FF4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continue"/>
                  <w:vAlign w:val="center"/>
                </w:tcPr>
                <w:p w14:paraId="7BFFD13E">
                  <w:pPr>
                    <w:jc w:val="center"/>
                    <w:rPr>
                      <w:b/>
                      <w:bCs/>
                      <w:szCs w:val="21"/>
                    </w:rPr>
                  </w:pPr>
                </w:p>
              </w:tc>
              <w:tc>
                <w:tcPr>
                  <w:tcW w:w="991" w:type="dxa"/>
                  <w:vMerge w:val="continue"/>
                  <w:vAlign w:val="center"/>
                </w:tcPr>
                <w:p w14:paraId="7697408A">
                  <w:pPr>
                    <w:jc w:val="center"/>
                    <w:rPr>
                      <w:b/>
                      <w:bCs/>
                      <w:szCs w:val="21"/>
                    </w:rPr>
                  </w:pPr>
                </w:p>
              </w:tc>
              <w:tc>
                <w:tcPr>
                  <w:tcW w:w="1567" w:type="dxa"/>
                  <w:vMerge w:val="restart"/>
                  <w:vAlign w:val="center"/>
                </w:tcPr>
                <w:p w14:paraId="6932DEB4">
                  <w:pPr>
                    <w:widowControl/>
                    <w:jc w:val="center"/>
                    <w:textAlignment w:val="center"/>
                    <w:rPr>
                      <w:szCs w:val="21"/>
                    </w:rPr>
                  </w:pPr>
                  <w:r>
                    <w:rPr>
                      <w:spacing w:val="-6"/>
                      <w:szCs w:val="21"/>
                    </w:rPr>
                    <w:t>2022/6/11</w:t>
                  </w:r>
                </w:p>
              </w:tc>
              <w:tc>
                <w:tcPr>
                  <w:tcW w:w="1408" w:type="dxa"/>
                  <w:gridSpan w:val="2"/>
                  <w:vAlign w:val="center"/>
                </w:tcPr>
                <w:p w14:paraId="7370E820">
                  <w:pPr>
                    <w:widowControl/>
                    <w:jc w:val="center"/>
                    <w:textAlignment w:val="center"/>
                    <w:rPr>
                      <w:kern w:val="0"/>
                      <w:szCs w:val="21"/>
                      <w:lang w:bidi="ar"/>
                    </w:rPr>
                  </w:pPr>
                  <w:r>
                    <w:rPr>
                      <w:kern w:val="0"/>
                      <w:szCs w:val="21"/>
                      <w:lang w:bidi="ar"/>
                    </w:rPr>
                    <w:t>02:00-03:00</w:t>
                  </w:r>
                </w:p>
              </w:tc>
              <w:tc>
                <w:tcPr>
                  <w:tcW w:w="1427" w:type="dxa"/>
                  <w:vAlign w:val="center"/>
                </w:tcPr>
                <w:p w14:paraId="5211DE25">
                  <w:pPr>
                    <w:widowControl/>
                    <w:jc w:val="center"/>
                    <w:textAlignment w:val="center"/>
                    <w:rPr>
                      <w:szCs w:val="21"/>
                    </w:rPr>
                  </w:pPr>
                  <w:r>
                    <w:rPr>
                      <w:bCs/>
                      <w:spacing w:val="-6"/>
                      <w:szCs w:val="21"/>
                    </w:rPr>
                    <w:t>13</w:t>
                  </w:r>
                </w:p>
              </w:tc>
              <w:tc>
                <w:tcPr>
                  <w:tcW w:w="1416" w:type="dxa"/>
                </w:tcPr>
                <w:p w14:paraId="489BBEE4">
                  <w:pPr>
                    <w:widowControl/>
                    <w:jc w:val="center"/>
                    <w:textAlignment w:val="center"/>
                    <w:rPr>
                      <w:szCs w:val="21"/>
                    </w:rPr>
                  </w:pPr>
                  <w:r>
                    <w:rPr>
                      <w:szCs w:val="21"/>
                    </w:rPr>
                    <w:t>250</w:t>
                  </w:r>
                </w:p>
              </w:tc>
              <w:tc>
                <w:tcPr>
                  <w:tcW w:w="1240" w:type="dxa"/>
                  <w:gridSpan w:val="2"/>
                </w:tcPr>
                <w:p w14:paraId="15D533C6">
                  <w:pPr>
                    <w:widowControl/>
                    <w:jc w:val="center"/>
                    <w:textAlignment w:val="center"/>
                    <w:rPr>
                      <w:szCs w:val="21"/>
                    </w:rPr>
                  </w:pPr>
                  <w:r>
                    <w:rPr>
                      <w:szCs w:val="21"/>
                    </w:rPr>
                    <w:t>达标</w:t>
                  </w:r>
                </w:p>
              </w:tc>
            </w:tr>
            <w:tr w14:paraId="768C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continue"/>
                  <w:vAlign w:val="center"/>
                </w:tcPr>
                <w:p w14:paraId="2617FDA0">
                  <w:pPr>
                    <w:jc w:val="center"/>
                    <w:rPr>
                      <w:b/>
                      <w:bCs/>
                      <w:szCs w:val="21"/>
                    </w:rPr>
                  </w:pPr>
                </w:p>
              </w:tc>
              <w:tc>
                <w:tcPr>
                  <w:tcW w:w="991" w:type="dxa"/>
                  <w:vMerge w:val="continue"/>
                  <w:vAlign w:val="center"/>
                </w:tcPr>
                <w:p w14:paraId="4BF261DF">
                  <w:pPr>
                    <w:jc w:val="center"/>
                    <w:rPr>
                      <w:b/>
                      <w:bCs/>
                      <w:szCs w:val="21"/>
                    </w:rPr>
                  </w:pPr>
                </w:p>
              </w:tc>
              <w:tc>
                <w:tcPr>
                  <w:tcW w:w="1567" w:type="dxa"/>
                  <w:vMerge w:val="continue"/>
                  <w:vAlign w:val="center"/>
                </w:tcPr>
                <w:p w14:paraId="3BDF4170">
                  <w:pPr>
                    <w:jc w:val="center"/>
                    <w:rPr>
                      <w:szCs w:val="21"/>
                    </w:rPr>
                  </w:pPr>
                </w:p>
              </w:tc>
              <w:tc>
                <w:tcPr>
                  <w:tcW w:w="1408" w:type="dxa"/>
                  <w:gridSpan w:val="2"/>
                  <w:vAlign w:val="center"/>
                </w:tcPr>
                <w:p w14:paraId="58FF0DA0">
                  <w:pPr>
                    <w:widowControl/>
                    <w:jc w:val="center"/>
                    <w:textAlignment w:val="center"/>
                    <w:rPr>
                      <w:kern w:val="0"/>
                      <w:szCs w:val="21"/>
                      <w:lang w:bidi="ar"/>
                    </w:rPr>
                  </w:pPr>
                  <w:r>
                    <w:rPr>
                      <w:kern w:val="0"/>
                      <w:szCs w:val="21"/>
                      <w:lang w:bidi="ar"/>
                    </w:rPr>
                    <w:t>08:00-09:00</w:t>
                  </w:r>
                </w:p>
              </w:tc>
              <w:tc>
                <w:tcPr>
                  <w:tcW w:w="1427" w:type="dxa"/>
                  <w:vAlign w:val="center"/>
                </w:tcPr>
                <w:p w14:paraId="3812ACC0">
                  <w:pPr>
                    <w:widowControl/>
                    <w:jc w:val="center"/>
                    <w:textAlignment w:val="center"/>
                    <w:rPr>
                      <w:szCs w:val="21"/>
                    </w:rPr>
                  </w:pPr>
                  <w:r>
                    <w:rPr>
                      <w:bCs/>
                      <w:spacing w:val="-6"/>
                      <w:szCs w:val="21"/>
                    </w:rPr>
                    <w:t>23</w:t>
                  </w:r>
                </w:p>
              </w:tc>
              <w:tc>
                <w:tcPr>
                  <w:tcW w:w="1416" w:type="dxa"/>
                </w:tcPr>
                <w:p w14:paraId="13CC783D">
                  <w:pPr>
                    <w:widowControl/>
                    <w:jc w:val="center"/>
                    <w:textAlignment w:val="center"/>
                    <w:rPr>
                      <w:szCs w:val="21"/>
                    </w:rPr>
                  </w:pPr>
                  <w:r>
                    <w:rPr>
                      <w:szCs w:val="21"/>
                    </w:rPr>
                    <w:t>250</w:t>
                  </w:r>
                </w:p>
              </w:tc>
              <w:tc>
                <w:tcPr>
                  <w:tcW w:w="1240" w:type="dxa"/>
                  <w:gridSpan w:val="2"/>
                </w:tcPr>
                <w:p w14:paraId="4017C6A8">
                  <w:pPr>
                    <w:widowControl/>
                    <w:jc w:val="center"/>
                    <w:textAlignment w:val="center"/>
                    <w:rPr>
                      <w:szCs w:val="21"/>
                    </w:rPr>
                  </w:pPr>
                  <w:r>
                    <w:rPr>
                      <w:szCs w:val="21"/>
                    </w:rPr>
                    <w:t>达标</w:t>
                  </w:r>
                </w:p>
              </w:tc>
            </w:tr>
            <w:tr w14:paraId="06D7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continue"/>
                  <w:vAlign w:val="center"/>
                </w:tcPr>
                <w:p w14:paraId="571AD230">
                  <w:pPr>
                    <w:jc w:val="center"/>
                    <w:rPr>
                      <w:b/>
                      <w:bCs/>
                      <w:szCs w:val="21"/>
                    </w:rPr>
                  </w:pPr>
                </w:p>
              </w:tc>
              <w:tc>
                <w:tcPr>
                  <w:tcW w:w="991" w:type="dxa"/>
                  <w:vMerge w:val="continue"/>
                  <w:vAlign w:val="center"/>
                </w:tcPr>
                <w:p w14:paraId="6E14D546">
                  <w:pPr>
                    <w:jc w:val="center"/>
                    <w:rPr>
                      <w:b/>
                      <w:bCs/>
                      <w:szCs w:val="21"/>
                    </w:rPr>
                  </w:pPr>
                </w:p>
              </w:tc>
              <w:tc>
                <w:tcPr>
                  <w:tcW w:w="1567" w:type="dxa"/>
                  <w:vMerge w:val="continue"/>
                  <w:vAlign w:val="center"/>
                </w:tcPr>
                <w:p w14:paraId="47436C9E">
                  <w:pPr>
                    <w:jc w:val="center"/>
                    <w:rPr>
                      <w:szCs w:val="21"/>
                    </w:rPr>
                  </w:pPr>
                </w:p>
              </w:tc>
              <w:tc>
                <w:tcPr>
                  <w:tcW w:w="1408" w:type="dxa"/>
                  <w:gridSpan w:val="2"/>
                  <w:vAlign w:val="center"/>
                </w:tcPr>
                <w:p w14:paraId="4C316532">
                  <w:pPr>
                    <w:widowControl/>
                    <w:jc w:val="center"/>
                    <w:textAlignment w:val="center"/>
                    <w:rPr>
                      <w:kern w:val="0"/>
                      <w:szCs w:val="21"/>
                      <w:lang w:bidi="ar"/>
                    </w:rPr>
                  </w:pPr>
                  <w:r>
                    <w:rPr>
                      <w:kern w:val="0"/>
                      <w:szCs w:val="21"/>
                      <w:lang w:bidi="ar"/>
                    </w:rPr>
                    <w:t>14:00-15:00</w:t>
                  </w:r>
                </w:p>
              </w:tc>
              <w:tc>
                <w:tcPr>
                  <w:tcW w:w="1427" w:type="dxa"/>
                  <w:vAlign w:val="center"/>
                </w:tcPr>
                <w:p w14:paraId="75380FF1">
                  <w:pPr>
                    <w:widowControl/>
                    <w:jc w:val="center"/>
                    <w:textAlignment w:val="center"/>
                    <w:rPr>
                      <w:szCs w:val="21"/>
                    </w:rPr>
                  </w:pPr>
                  <w:r>
                    <w:rPr>
                      <w:bCs/>
                      <w:spacing w:val="-6"/>
                      <w:szCs w:val="21"/>
                    </w:rPr>
                    <w:t>17</w:t>
                  </w:r>
                </w:p>
              </w:tc>
              <w:tc>
                <w:tcPr>
                  <w:tcW w:w="1416" w:type="dxa"/>
                </w:tcPr>
                <w:p w14:paraId="2F197AFD">
                  <w:pPr>
                    <w:widowControl/>
                    <w:jc w:val="center"/>
                    <w:textAlignment w:val="center"/>
                    <w:rPr>
                      <w:szCs w:val="21"/>
                    </w:rPr>
                  </w:pPr>
                  <w:r>
                    <w:rPr>
                      <w:szCs w:val="21"/>
                    </w:rPr>
                    <w:t>250</w:t>
                  </w:r>
                </w:p>
              </w:tc>
              <w:tc>
                <w:tcPr>
                  <w:tcW w:w="1240" w:type="dxa"/>
                  <w:gridSpan w:val="2"/>
                </w:tcPr>
                <w:p w14:paraId="3FA70A5A">
                  <w:pPr>
                    <w:widowControl/>
                    <w:jc w:val="center"/>
                    <w:textAlignment w:val="center"/>
                    <w:rPr>
                      <w:szCs w:val="21"/>
                    </w:rPr>
                  </w:pPr>
                  <w:r>
                    <w:rPr>
                      <w:szCs w:val="21"/>
                    </w:rPr>
                    <w:t>达标</w:t>
                  </w:r>
                </w:p>
              </w:tc>
            </w:tr>
            <w:tr w14:paraId="1AC3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3" w:type="dxa"/>
                  <w:vMerge w:val="continue"/>
                  <w:vAlign w:val="center"/>
                </w:tcPr>
                <w:p w14:paraId="5B22AB8C">
                  <w:pPr>
                    <w:jc w:val="center"/>
                    <w:rPr>
                      <w:b/>
                      <w:bCs/>
                      <w:szCs w:val="21"/>
                    </w:rPr>
                  </w:pPr>
                </w:p>
              </w:tc>
              <w:tc>
                <w:tcPr>
                  <w:tcW w:w="991" w:type="dxa"/>
                  <w:vMerge w:val="continue"/>
                  <w:vAlign w:val="center"/>
                </w:tcPr>
                <w:p w14:paraId="5E87C891">
                  <w:pPr>
                    <w:jc w:val="center"/>
                    <w:rPr>
                      <w:b/>
                      <w:bCs/>
                      <w:szCs w:val="21"/>
                    </w:rPr>
                  </w:pPr>
                </w:p>
              </w:tc>
              <w:tc>
                <w:tcPr>
                  <w:tcW w:w="1567" w:type="dxa"/>
                  <w:vMerge w:val="continue"/>
                  <w:vAlign w:val="center"/>
                </w:tcPr>
                <w:p w14:paraId="154B414F">
                  <w:pPr>
                    <w:jc w:val="center"/>
                    <w:rPr>
                      <w:szCs w:val="21"/>
                    </w:rPr>
                  </w:pPr>
                </w:p>
              </w:tc>
              <w:tc>
                <w:tcPr>
                  <w:tcW w:w="1408" w:type="dxa"/>
                  <w:gridSpan w:val="2"/>
                  <w:vAlign w:val="center"/>
                </w:tcPr>
                <w:p w14:paraId="6E7988EC">
                  <w:pPr>
                    <w:widowControl/>
                    <w:jc w:val="center"/>
                    <w:textAlignment w:val="center"/>
                    <w:rPr>
                      <w:szCs w:val="21"/>
                    </w:rPr>
                  </w:pPr>
                  <w:r>
                    <w:rPr>
                      <w:kern w:val="0"/>
                      <w:szCs w:val="21"/>
                      <w:lang w:bidi="ar"/>
                    </w:rPr>
                    <w:t>20:00-21:00</w:t>
                  </w:r>
                </w:p>
              </w:tc>
              <w:tc>
                <w:tcPr>
                  <w:tcW w:w="1427" w:type="dxa"/>
                  <w:vAlign w:val="center"/>
                </w:tcPr>
                <w:p w14:paraId="04D4BA58">
                  <w:pPr>
                    <w:widowControl/>
                    <w:jc w:val="center"/>
                    <w:textAlignment w:val="center"/>
                    <w:rPr>
                      <w:szCs w:val="21"/>
                    </w:rPr>
                  </w:pPr>
                  <w:r>
                    <w:rPr>
                      <w:bCs/>
                      <w:spacing w:val="-6"/>
                      <w:szCs w:val="21"/>
                    </w:rPr>
                    <w:t>24</w:t>
                  </w:r>
                </w:p>
              </w:tc>
              <w:tc>
                <w:tcPr>
                  <w:tcW w:w="1416" w:type="dxa"/>
                </w:tcPr>
                <w:p w14:paraId="03B50E14">
                  <w:pPr>
                    <w:widowControl/>
                    <w:jc w:val="center"/>
                    <w:textAlignment w:val="center"/>
                    <w:rPr>
                      <w:szCs w:val="21"/>
                    </w:rPr>
                  </w:pPr>
                  <w:r>
                    <w:rPr>
                      <w:szCs w:val="21"/>
                    </w:rPr>
                    <w:t>250</w:t>
                  </w:r>
                </w:p>
              </w:tc>
              <w:tc>
                <w:tcPr>
                  <w:tcW w:w="1240" w:type="dxa"/>
                  <w:gridSpan w:val="2"/>
                </w:tcPr>
                <w:p w14:paraId="1A90457C">
                  <w:pPr>
                    <w:widowControl/>
                    <w:jc w:val="center"/>
                    <w:textAlignment w:val="center"/>
                    <w:rPr>
                      <w:szCs w:val="21"/>
                    </w:rPr>
                  </w:pPr>
                  <w:r>
                    <w:rPr>
                      <w:szCs w:val="21"/>
                    </w:rPr>
                    <w:t>达标</w:t>
                  </w:r>
                </w:p>
              </w:tc>
            </w:tr>
            <w:tr w14:paraId="5301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Align w:val="center"/>
                </w:tcPr>
                <w:p w14:paraId="277BBBBD">
                  <w:pPr>
                    <w:jc w:val="center"/>
                    <w:rPr>
                      <w:b/>
                      <w:bCs/>
                      <w:szCs w:val="21"/>
                    </w:rPr>
                  </w:pPr>
                  <w:r>
                    <w:rPr>
                      <w:b/>
                      <w:bCs/>
                      <w:szCs w:val="21"/>
                    </w:rPr>
                    <w:t>检测项目</w:t>
                  </w:r>
                </w:p>
              </w:tc>
              <w:tc>
                <w:tcPr>
                  <w:tcW w:w="991" w:type="dxa"/>
                  <w:vAlign w:val="center"/>
                </w:tcPr>
                <w:p w14:paraId="7D9356B3">
                  <w:pPr>
                    <w:jc w:val="center"/>
                    <w:rPr>
                      <w:b/>
                      <w:bCs/>
                      <w:szCs w:val="21"/>
                    </w:rPr>
                  </w:pPr>
                  <w:r>
                    <w:rPr>
                      <w:b/>
                      <w:bCs/>
                      <w:szCs w:val="21"/>
                    </w:rPr>
                    <w:t>检测点位</w:t>
                  </w:r>
                </w:p>
              </w:tc>
              <w:tc>
                <w:tcPr>
                  <w:tcW w:w="1567" w:type="dxa"/>
                  <w:vAlign w:val="center"/>
                </w:tcPr>
                <w:p w14:paraId="59057F55">
                  <w:pPr>
                    <w:jc w:val="center"/>
                    <w:rPr>
                      <w:b/>
                      <w:bCs/>
                      <w:szCs w:val="21"/>
                    </w:rPr>
                  </w:pPr>
                  <w:r>
                    <w:rPr>
                      <w:b/>
                      <w:bCs/>
                      <w:szCs w:val="21"/>
                    </w:rPr>
                    <w:t>采样日期</w:t>
                  </w:r>
                </w:p>
              </w:tc>
              <w:tc>
                <w:tcPr>
                  <w:tcW w:w="1379" w:type="dxa"/>
                  <w:vAlign w:val="center"/>
                </w:tcPr>
                <w:p w14:paraId="6CEAFEB5">
                  <w:pPr>
                    <w:jc w:val="center"/>
                    <w:rPr>
                      <w:b/>
                      <w:bCs/>
                      <w:szCs w:val="21"/>
                    </w:rPr>
                  </w:pPr>
                  <w:r>
                    <w:rPr>
                      <w:b/>
                      <w:bCs/>
                      <w:szCs w:val="21"/>
                    </w:rPr>
                    <w:t>采样时段</w:t>
                  </w:r>
                </w:p>
              </w:tc>
              <w:tc>
                <w:tcPr>
                  <w:tcW w:w="1456" w:type="dxa"/>
                  <w:gridSpan w:val="2"/>
                  <w:vAlign w:val="center"/>
                </w:tcPr>
                <w:p w14:paraId="6AD7F326">
                  <w:pPr>
                    <w:jc w:val="center"/>
                    <w:rPr>
                      <w:b/>
                      <w:bCs/>
                      <w:szCs w:val="21"/>
                    </w:rPr>
                  </w:pPr>
                  <w:r>
                    <w:rPr>
                      <w:b/>
                      <w:bCs/>
                      <w:szCs w:val="21"/>
                    </w:rPr>
                    <w:t>检测结果</w:t>
                  </w:r>
                </w:p>
                <w:p w14:paraId="31806638">
                  <w:pPr>
                    <w:jc w:val="center"/>
                    <w:rPr>
                      <w:b/>
                      <w:bCs/>
                      <w:szCs w:val="21"/>
                    </w:rPr>
                  </w:pPr>
                  <w:r>
                    <w:rPr>
                      <w:b/>
                      <w:bCs/>
                      <w:szCs w:val="21"/>
                    </w:rPr>
                    <w:t>（mg/m</w:t>
                  </w:r>
                  <w:r>
                    <w:rPr>
                      <w:b/>
                      <w:bCs/>
                      <w:szCs w:val="21"/>
                      <w:vertAlign w:val="superscript"/>
                    </w:rPr>
                    <w:t>3</w:t>
                  </w:r>
                  <w:r>
                    <w:rPr>
                      <w:b/>
                      <w:bCs/>
                      <w:szCs w:val="21"/>
                    </w:rPr>
                    <w:t>）</w:t>
                  </w:r>
                </w:p>
              </w:tc>
              <w:tc>
                <w:tcPr>
                  <w:tcW w:w="1416" w:type="dxa"/>
                </w:tcPr>
                <w:p w14:paraId="1C424399">
                  <w:pPr>
                    <w:jc w:val="center"/>
                    <w:rPr>
                      <w:b/>
                      <w:bCs/>
                      <w:szCs w:val="21"/>
                    </w:rPr>
                  </w:pPr>
                  <w:r>
                    <w:rPr>
                      <w:b/>
                      <w:bCs/>
                      <w:szCs w:val="21"/>
                    </w:rPr>
                    <w:t>标准值（μg/m</w:t>
                  </w:r>
                  <w:r>
                    <w:rPr>
                      <w:b/>
                      <w:bCs/>
                      <w:szCs w:val="21"/>
                      <w:vertAlign w:val="superscript"/>
                    </w:rPr>
                    <w:t>3</w:t>
                  </w:r>
                  <w:r>
                    <w:rPr>
                      <w:b/>
                      <w:bCs/>
                      <w:szCs w:val="21"/>
                    </w:rPr>
                    <w:t>）</w:t>
                  </w:r>
                </w:p>
              </w:tc>
              <w:tc>
                <w:tcPr>
                  <w:tcW w:w="1220" w:type="dxa"/>
                </w:tcPr>
                <w:p w14:paraId="2B92A6D9">
                  <w:pPr>
                    <w:jc w:val="center"/>
                    <w:rPr>
                      <w:b/>
                      <w:bCs/>
                      <w:szCs w:val="21"/>
                    </w:rPr>
                  </w:pPr>
                  <w:r>
                    <w:rPr>
                      <w:b/>
                      <w:bCs/>
                      <w:szCs w:val="21"/>
                    </w:rPr>
                    <w:t>达标情况</w:t>
                  </w:r>
                </w:p>
              </w:tc>
            </w:tr>
            <w:tr w14:paraId="02FE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restart"/>
                  <w:vAlign w:val="center"/>
                </w:tcPr>
                <w:p w14:paraId="2B2E7617">
                  <w:pPr>
                    <w:jc w:val="center"/>
                    <w:rPr>
                      <w:b/>
                      <w:bCs/>
                      <w:szCs w:val="21"/>
                    </w:rPr>
                  </w:pPr>
                  <w:r>
                    <w:rPr>
                      <w:b/>
                      <w:bCs/>
                      <w:szCs w:val="21"/>
                    </w:rPr>
                    <w:t>氟化物</w:t>
                  </w:r>
                </w:p>
              </w:tc>
              <w:tc>
                <w:tcPr>
                  <w:tcW w:w="991" w:type="dxa"/>
                  <w:vMerge w:val="restart"/>
                  <w:vAlign w:val="center"/>
                </w:tcPr>
                <w:p w14:paraId="4282AE3C">
                  <w:pPr>
                    <w:jc w:val="center"/>
                    <w:rPr>
                      <w:b/>
                      <w:bCs/>
                      <w:szCs w:val="21"/>
                    </w:rPr>
                  </w:pPr>
                  <w:r>
                    <w:rPr>
                      <w:szCs w:val="21"/>
                    </w:rPr>
                    <w:t>A1：项目区</w:t>
                  </w:r>
                </w:p>
              </w:tc>
              <w:tc>
                <w:tcPr>
                  <w:tcW w:w="1567" w:type="dxa"/>
                  <w:vMerge w:val="restart"/>
                  <w:vAlign w:val="center"/>
                </w:tcPr>
                <w:p w14:paraId="62429DAF">
                  <w:pPr>
                    <w:widowControl/>
                    <w:jc w:val="center"/>
                    <w:textAlignment w:val="center"/>
                    <w:rPr>
                      <w:kern w:val="0"/>
                      <w:szCs w:val="21"/>
                      <w:lang w:bidi="ar"/>
                    </w:rPr>
                  </w:pPr>
                  <w:r>
                    <w:rPr>
                      <w:spacing w:val="-6"/>
                      <w:szCs w:val="21"/>
                    </w:rPr>
                    <w:t>2022/6/9</w:t>
                  </w:r>
                </w:p>
              </w:tc>
              <w:tc>
                <w:tcPr>
                  <w:tcW w:w="1379" w:type="dxa"/>
                  <w:vAlign w:val="center"/>
                </w:tcPr>
                <w:p w14:paraId="51469224">
                  <w:pPr>
                    <w:widowControl/>
                    <w:jc w:val="center"/>
                    <w:textAlignment w:val="center"/>
                    <w:rPr>
                      <w:kern w:val="0"/>
                      <w:szCs w:val="21"/>
                      <w:lang w:bidi="ar"/>
                    </w:rPr>
                  </w:pPr>
                  <w:r>
                    <w:rPr>
                      <w:kern w:val="0"/>
                      <w:szCs w:val="21"/>
                      <w:lang w:bidi="ar"/>
                    </w:rPr>
                    <w:t>02:00-03:00</w:t>
                  </w:r>
                </w:p>
              </w:tc>
              <w:tc>
                <w:tcPr>
                  <w:tcW w:w="1456" w:type="dxa"/>
                  <w:gridSpan w:val="2"/>
                  <w:vAlign w:val="center"/>
                </w:tcPr>
                <w:p w14:paraId="3D652F72">
                  <w:pPr>
                    <w:widowControl/>
                    <w:jc w:val="center"/>
                    <w:textAlignment w:val="center"/>
                    <w:rPr>
                      <w:szCs w:val="21"/>
                    </w:rPr>
                  </w:pPr>
                  <w:r>
                    <w:rPr>
                      <w:bCs/>
                      <w:spacing w:val="-6"/>
                      <w:szCs w:val="21"/>
                    </w:rPr>
                    <w:t xml:space="preserve">2.0 </w:t>
                  </w:r>
                </w:p>
              </w:tc>
              <w:tc>
                <w:tcPr>
                  <w:tcW w:w="1416" w:type="dxa"/>
                </w:tcPr>
                <w:p w14:paraId="12AFE9CE">
                  <w:pPr>
                    <w:widowControl/>
                    <w:jc w:val="center"/>
                    <w:textAlignment w:val="center"/>
                    <w:rPr>
                      <w:bCs/>
                      <w:szCs w:val="21"/>
                    </w:rPr>
                  </w:pPr>
                  <w:r>
                    <w:rPr>
                      <w:bCs/>
                      <w:szCs w:val="21"/>
                    </w:rPr>
                    <w:t>20</w:t>
                  </w:r>
                </w:p>
              </w:tc>
              <w:tc>
                <w:tcPr>
                  <w:tcW w:w="1220" w:type="dxa"/>
                </w:tcPr>
                <w:p w14:paraId="737748AB">
                  <w:pPr>
                    <w:widowControl/>
                    <w:jc w:val="center"/>
                    <w:textAlignment w:val="center"/>
                    <w:rPr>
                      <w:bCs/>
                      <w:szCs w:val="21"/>
                    </w:rPr>
                  </w:pPr>
                  <w:r>
                    <w:rPr>
                      <w:bCs/>
                      <w:szCs w:val="21"/>
                    </w:rPr>
                    <w:t>达标</w:t>
                  </w:r>
                </w:p>
              </w:tc>
            </w:tr>
            <w:tr w14:paraId="67B8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continue"/>
                  <w:vAlign w:val="center"/>
                </w:tcPr>
                <w:p w14:paraId="7C88D3B3">
                  <w:pPr>
                    <w:jc w:val="center"/>
                    <w:rPr>
                      <w:b/>
                      <w:bCs/>
                      <w:szCs w:val="21"/>
                    </w:rPr>
                  </w:pPr>
                </w:p>
              </w:tc>
              <w:tc>
                <w:tcPr>
                  <w:tcW w:w="991" w:type="dxa"/>
                  <w:vMerge w:val="continue"/>
                  <w:vAlign w:val="center"/>
                </w:tcPr>
                <w:p w14:paraId="1BAD5435">
                  <w:pPr>
                    <w:jc w:val="center"/>
                    <w:rPr>
                      <w:b/>
                      <w:bCs/>
                      <w:szCs w:val="21"/>
                    </w:rPr>
                  </w:pPr>
                </w:p>
              </w:tc>
              <w:tc>
                <w:tcPr>
                  <w:tcW w:w="1567" w:type="dxa"/>
                  <w:vMerge w:val="continue"/>
                  <w:vAlign w:val="center"/>
                </w:tcPr>
                <w:p w14:paraId="1FFBF333">
                  <w:pPr>
                    <w:widowControl/>
                    <w:jc w:val="center"/>
                    <w:textAlignment w:val="center"/>
                    <w:rPr>
                      <w:kern w:val="0"/>
                      <w:szCs w:val="21"/>
                      <w:lang w:bidi="ar"/>
                    </w:rPr>
                  </w:pPr>
                </w:p>
              </w:tc>
              <w:tc>
                <w:tcPr>
                  <w:tcW w:w="1379" w:type="dxa"/>
                  <w:vAlign w:val="center"/>
                </w:tcPr>
                <w:p w14:paraId="7B96DF79">
                  <w:pPr>
                    <w:widowControl/>
                    <w:jc w:val="center"/>
                    <w:textAlignment w:val="center"/>
                    <w:rPr>
                      <w:kern w:val="0"/>
                      <w:szCs w:val="21"/>
                      <w:lang w:bidi="ar"/>
                    </w:rPr>
                  </w:pPr>
                  <w:r>
                    <w:rPr>
                      <w:kern w:val="0"/>
                      <w:szCs w:val="21"/>
                      <w:lang w:bidi="ar"/>
                    </w:rPr>
                    <w:t>08:00-09:00</w:t>
                  </w:r>
                </w:p>
              </w:tc>
              <w:tc>
                <w:tcPr>
                  <w:tcW w:w="1456" w:type="dxa"/>
                  <w:gridSpan w:val="2"/>
                  <w:vAlign w:val="center"/>
                </w:tcPr>
                <w:p w14:paraId="69AFB6E8">
                  <w:pPr>
                    <w:widowControl/>
                    <w:jc w:val="center"/>
                    <w:textAlignment w:val="center"/>
                    <w:rPr>
                      <w:szCs w:val="21"/>
                    </w:rPr>
                  </w:pPr>
                  <w:r>
                    <w:rPr>
                      <w:bCs/>
                      <w:spacing w:val="-6"/>
                      <w:szCs w:val="21"/>
                    </w:rPr>
                    <w:t xml:space="preserve">1.9 </w:t>
                  </w:r>
                </w:p>
              </w:tc>
              <w:tc>
                <w:tcPr>
                  <w:tcW w:w="1416" w:type="dxa"/>
                </w:tcPr>
                <w:p w14:paraId="2E2B3A62">
                  <w:pPr>
                    <w:widowControl/>
                    <w:jc w:val="center"/>
                    <w:textAlignment w:val="center"/>
                    <w:rPr>
                      <w:bCs/>
                      <w:szCs w:val="21"/>
                    </w:rPr>
                  </w:pPr>
                  <w:r>
                    <w:rPr>
                      <w:bCs/>
                      <w:szCs w:val="21"/>
                    </w:rPr>
                    <w:t>20</w:t>
                  </w:r>
                </w:p>
              </w:tc>
              <w:tc>
                <w:tcPr>
                  <w:tcW w:w="1220" w:type="dxa"/>
                </w:tcPr>
                <w:p w14:paraId="19889091">
                  <w:pPr>
                    <w:widowControl/>
                    <w:jc w:val="center"/>
                    <w:textAlignment w:val="center"/>
                    <w:rPr>
                      <w:bCs/>
                      <w:szCs w:val="21"/>
                    </w:rPr>
                  </w:pPr>
                  <w:r>
                    <w:rPr>
                      <w:bCs/>
                      <w:szCs w:val="21"/>
                    </w:rPr>
                    <w:t>达标</w:t>
                  </w:r>
                </w:p>
              </w:tc>
            </w:tr>
            <w:tr w14:paraId="133E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continue"/>
                  <w:vAlign w:val="center"/>
                </w:tcPr>
                <w:p w14:paraId="35CD154F">
                  <w:pPr>
                    <w:jc w:val="center"/>
                    <w:rPr>
                      <w:b/>
                      <w:bCs/>
                      <w:szCs w:val="21"/>
                    </w:rPr>
                  </w:pPr>
                </w:p>
              </w:tc>
              <w:tc>
                <w:tcPr>
                  <w:tcW w:w="991" w:type="dxa"/>
                  <w:vMerge w:val="continue"/>
                  <w:vAlign w:val="center"/>
                </w:tcPr>
                <w:p w14:paraId="3E995196">
                  <w:pPr>
                    <w:jc w:val="center"/>
                    <w:rPr>
                      <w:b/>
                      <w:bCs/>
                      <w:szCs w:val="21"/>
                    </w:rPr>
                  </w:pPr>
                </w:p>
              </w:tc>
              <w:tc>
                <w:tcPr>
                  <w:tcW w:w="1567" w:type="dxa"/>
                  <w:vMerge w:val="continue"/>
                  <w:vAlign w:val="center"/>
                </w:tcPr>
                <w:p w14:paraId="7769310E">
                  <w:pPr>
                    <w:widowControl/>
                    <w:jc w:val="center"/>
                    <w:textAlignment w:val="center"/>
                    <w:rPr>
                      <w:kern w:val="0"/>
                      <w:szCs w:val="21"/>
                      <w:lang w:bidi="ar"/>
                    </w:rPr>
                  </w:pPr>
                </w:p>
              </w:tc>
              <w:tc>
                <w:tcPr>
                  <w:tcW w:w="1379" w:type="dxa"/>
                  <w:vAlign w:val="center"/>
                </w:tcPr>
                <w:p w14:paraId="640BFFCB">
                  <w:pPr>
                    <w:widowControl/>
                    <w:jc w:val="center"/>
                    <w:textAlignment w:val="center"/>
                    <w:rPr>
                      <w:kern w:val="0"/>
                      <w:szCs w:val="21"/>
                      <w:lang w:bidi="ar"/>
                    </w:rPr>
                  </w:pPr>
                  <w:r>
                    <w:rPr>
                      <w:kern w:val="0"/>
                      <w:szCs w:val="21"/>
                      <w:lang w:bidi="ar"/>
                    </w:rPr>
                    <w:t>14:00-15:00</w:t>
                  </w:r>
                </w:p>
              </w:tc>
              <w:tc>
                <w:tcPr>
                  <w:tcW w:w="1456" w:type="dxa"/>
                  <w:gridSpan w:val="2"/>
                  <w:vAlign w:val="center"/>
                </w:tcPr>
                <w:p w14:paraId="6D606086">
                  <w:pPr>
                    <w:widowControl/>
                    <w:jc w:val="center"/>
                    <w:textAlignment w:val="center"/>
                    <w:rPr>
                      <w:szCs w:val="21"/>
                    </w:rPr>
                  </w:pPr>
                  <w:r>
                    <w:rPr>
                      <w:bCs/>
                      <w:spacing w:val="-6"/>
                      <w:szCs w:val="21"/>
                    </w:rPr>
                    <w:t xml:space="preserve">1.7 </w:t>
                  </w:r>
                </w:p>
              </w:tc>
              <w:tc>
                <w:tcPr>
                  <w:tcW w:w="1416" w:type="dxa"/>
                </w:tcPr>
                <w:p w14:paraId="19AE80E4">
                  <w:pPr>
                    <w:widowControl/>
                    <w:jc w:val="center"/>
                    <w:textAlignment w:val="center"/>
                    <w:rPr>
                      <w:bCs/>
                      <w:szCs w:val="21"/>
                    </w:rPr>
                  </w:pPr>
                  <w:r>
                    <w:rPr>
                      <w:bCs/>
                      <w:szCs w:val="21"/>
                    </w:rPr>
                    <w:t>20</w:t>
                  </w:r>
                </w:p>
              </w:tc>
              <w:tc>
                <w:tcPr>
                  <w:tcW w:w="1220" w:type="dxa"/>
                </w:tcPr>
                <w:p w14:paraId="5DDADFBF">
                  <w:pPr>
                    <w:widowControl/>
                    <w:jc w:val="center"/>
                    <w:textAlignment w:val="center"/>
                    <w:rPr>
                      <w:bCs/>
                      <w:szCs w:val="21"/>
                    </w:rPr>
                  </w:pPr>
                  <w:r>
                    <w:rPr>
                      <w:bCs/>
                      <w:szCs w:val="21"/>
                    </w:rPr>
                    <w:t>达标</w:t>
                  </w:r>
                </w:p>
              </w:tc>
            </w:tr>
            <w:tr w14:paraId="122C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continue"/>
                  <w:vAlign w:val="center"/>
                </w:tcPr>
                <w:p w14:paraId="4FAA0B4D">
                  <w:pPr>
                    <w:jc w:val="center"/>
                    <w:rPr>
                      <w:b/>
                      <w:bCs/>
                      <w:szCs w:val="21"/>
                    </w:rPr>
                  </w:pPr>
                </w:p>
              </w:tc>
              <w:tc>
                <w:tcPr>
                  <w:tcW w:w="991" w:type="dxa"/>
                  <w:vMerge w:val="continue"/>
                  <w:vAlign w:val="center"/>
                </w:tcPr>
                <w:p w14:paraId="2411C708">
                  <w:pPr>
                    <w:jc w:val="center"/>
                    <w:rPr>
                      <w:b/>
                      <w:bCs/>
                      <w:szCs w:val="21"/>
                    </w:rPr>
                  </w:pPr>
                </w:p>
              </w:tc>
              <w:tc>
                <w:tcPr>
                  <w:tcW w:w="1567" w:type="dxa"/>
                  <w:vMerge w:val="continue"/>
                  <w:vAlign w:val="center"/>
                </w:tcPr>
                <w:p w14:paraId="71A8D0BA">
                  <w:pPr>
                    <w:widowControl/>
                    <w:jc w:val="center"/>
                    <w:textAlignment w:val="center"/>
                    <w:rPr>
                      <w:kern w:val="0"/>
                      <w:szCs w:val="21"/>
                      <w:lang w:bidi="ar"/>
                    </w:rPr>
                  </w:pPr>
                </w:p>
              </w:tc>
              <w:tc>
                <w:tcPr>
                  <w:tcW w:w="1379" w:type="dxa"/>
                  <w:vAlign w:val="center"/>
                </w:tcPr>
                <w:p w14:paraId="7666338F">
                  <w:pPr>
                    <w:widowControl/>
                    <w:jc w:val="center"/>
                    <w:textAlignment w:val="center"/>
                    <w:rPr>
                      <w:kern w:val="0"/>
                      <w:szCs w:val="21"/>
                      <w:lang w:bidi="ar"/>
                    </w:rPr>
                  </w:pPr>
                  <w:r>
                    <w:rPr>
                      <w:kern w:val="0"/>
                      <w:szCs w:val="21"/>
                      <w:lang w:bidi="ar"/>
                    </w:rPr>
                    <w:t>20:00-21:00</w:t>
                  </w:r>
                </w:p>
              </w:tc>
              <w:tc>
                <w:tcPr>
                  <w:tcW w:w="1456" w:type="dxa"/>
                  <w:gridSpan w:val="2"/>
                  <w:vAlign w:val="center"/>
                </w:tcPr>
                <w:p w14:paraId="308417CE">
                  <w:pPr>
                    <w:widowControl/>
                    <w:jc w:val="center"/>
                    <w:textAlignment w:val="center"/>
                    <w:rPr>
                      <w:szCs w:val="21"/>
                    </w:rPr>
                  </w:pPr>
                  <w:r>
                    <w:rPr>
                      <w:bCs/>
                      <w:spacing w:val="-6"/>
                      <w:szCs w:val="21"/>
                    </w:rPr>
                    <w:t xml:space="preserve">2.0 </w:t>
                  </w:r>
                </w:p>
              </w:tc>
              <w:tc>
                <w:tcPr>
                  <w:tcW w:w="1416" w:type="dxa"/>
                </w:tcPr>
                <w:p w14:paraId="3A74860E">
                  <w:pPr>
                    <w:widowControl/>
                    <w:jc w:val="center"/>
                    <w:textAlignment w:val="center"/>
                    <w:rPr>
                      <w:bCs/>
                      <w:szCs w:val="21"/>
                    </w:rPr>
                  </w:pPr>
                  <w:r>
                    <w:rPr>
                      <w:bCs/>
                      <w:szCs w:val="21"/>
                    </w:rPr>
                    <w:t>20</w:t>
                  </w:r>
                </w:p>
              </w:tc>
              <w:tc>
                <w:tcPr>
                  <w:tcW w:w="1220" w:type="dxa"/>
                </w:tcPr>
                <w:p w14:paraId="1B403A4B">
                  <w:pPr>
                    <w:widowControl/>
                    <w:jc w:val="center"/>
                    <w:textAlignment w:val="center"/>
                    <w:rPr>
                      <w:bCs/>
                      <w:szCs w:val="21"/>
                    </w:rPr>
                  </w:pPr>
                  <w:r>
                    <w:rPr>
                      <w:bCs/>
                      <w:szCs w:val="21"/>
                    </w:rPr>
                    <w:t>达标</w:t>
                  </w:r>
                </w:p>
              </w:tc>
            </w:tr>
            <w:tr w14:paraId="0D42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continue"/>
                  <w:vAlign w:val="center"/>
                </w:tcPr>
                <w:p w14:paraId="6D8692D0">
                  <w:pPr>
                    <w:jc w:val="center"/>
                    <w:rPr>
                      <w:b/>
                      <w:bCs/>
                      <w:szCs w:val="21"/>
                    </w:rPr>
                  </w:pPr>
                </w:p>
              </w:tc>
              <w:tc>
                <w:tcPr>
                  <w:tcW w:w="991" w:type="dxa"/>
                  <w:vMerge w:val="continue"/>
                  <w:vAlign w:val="center"/>
                </w:tcPr>
                <w:p w14:paraId="05E6AC56">
                  <w:pPr>
                    <w:jc w:val="center"/>
                    <w:rPr>
                      <w:b/>
                      <w:bCs/>
                      <w:szCs w:val="21"/>
                    </w:rPr>
                  </w:pPr>
                </w:p>
              </w:tc>
              <w:tc>
                <w:tcPr>
                  <w:tcW w:w="1567" w:type="dxa"/>
                  <w:vMerge w:val="restart"/>
                  <w:vAlign w:val="center"/>
                </w:tcPr>
                <w:p w14:paraId="14EE3EB2">
                  <w:pPr>
                    <w:widowControl/>
                    <w:jc w:val="center"/>
                    <w:textAlignment w:val="center"/>
                    <w:rPr>
                      <w:kern w:val="0"/>
                      <w:szCs w:val="21"/>
                      <w:lang w:bidi="ar"/>
                    </w:rPr>
                  </w:pPr>
                  <w:r>
                    <w:rPr>
                      <w:spacing w:val="-6"/>
                      <w:szCs w:val="21"/>
                    </w:rPr>
                    <w:t>2022/6/10</w:t>
                  </w:r>
                </w:p>
              </w:tc>
              <w:tc>
                <w:tcPr>
                  <w:tcW w:w="1379" w:type="dxa"/>
                  <w:vAlign w:val="center"/>
                </w:tcPr>
                <w:p w14:paraId="2D9CBA4A">
                  <w:pPr>
                    <w:widowControl/>
                    <w:jc w:val="center"/>
                    <w:textAlignment w:val="center"/>
                    <w:rPr>
                      <w:kern w:val="0"/>
                      <w:szCs w:val="21"/>
                      <w:lang w:bidi="ar"/>
                    </w:rPr>
                  </w:pPr>
                  <w:r>
                    <w:rPr>
                      <w:kern w:val="0"/>
                      <w:szCs w:val="21"/>
                      <w:lang w:bidi="ar"/>
                    </w:rPr>
                    <w:t>02:00-03:00</w:t>
                  </w:r>
                </w:p>
              </w:tc>
              <w:tc>
                <w:tcPr>
                  <w:tcW w:w="1456" w:type="dxa"/>
                  <w:gridSpan w:val="2"/>
                  <w:vAlign w:val="center"/>
                </w:tcPr>
                <w:p w14:paraId="0787EFD6">
                  <w:pPr>
                    <w:widowControl/>
                    <w:jc w:val="center"/>
                    <w:textAlignment w:val="center"/>
                    <w:rPr>
                      <w:szCs w:val="21"/>
                    </w:rPr>
                  </w:pPr>
                  <w:r>
                    <w:rPr>
                      <w:bCs/>
                      <w:spacing w:val="-6"/>
                      <w:szCs w:val="21"/>
                    </w:rPr>
                    <w:t xml:space="preserve">1.5 </w:t>
                  </w:r>
                </w:p>
              </w:tc>
              <w:tc>
                <w:tcPr>
                  <w:tcW w:w="1416" w:type="dxa"/>
                </w:tcPr>
                <w:p w14:paraId="6F2247D4">
                  <w:pPr>
                    <w:widowControl/>
                    <w:jc w:val="center"/>
                    <w:textAlignment w:val="center"/>
                    <w:rPr>
                      <w:bCs/>
                      <w:szCs w:val="21"/>
                    </w:rPr>
                  </w:pPr>
                  <w:r>
                    <w:rPr>
                      <w:bCs/>
                      <w:szCs w:val="21"/>
                    </w:rPr>
                    <w:t>20</w:t>
                  </w:r>
                </w:p>
              </w:tc>
              <w:tc>
                <w:tcPr>
                  <w:tcW w:w="1220" w:type="dxa"/>
                </w:tcPr>
                <w:p w14:paraId="1C395368">
                  <w:pPr>
                    <w:widowControl/>
                    <w:jc w:val="center"/>
                    <w:textAlignment w:val="center"/>
                    <w:rPr>
                      <w:bCs/>
                      <w:szCs w:val="21"/>
                    </w:rPr>
                  </w:pPr>
                  <w:r>
                    <w:rPr>
                      <w:bCs/>
                      <w:szCs w:val="21"/>
                    </w:rPr>
                    <w:t>达标</w:t>
                  </w:r>
                </w:p>
              </w:tc>
            </w:tr>
            <w:tr w14:paraId="6584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continue"/>
                  <w:vAlign w:val="center"/>
                </w:tcPr>
                <w:p w14:paraId="18AC586D">
                  <w:pPr>
                    <w:jc w:val="center"/>
                    <w:rPr>
                      <w:b/>
                      <w:bCs/>
                      <w:szCs w:val="21"/>
                    </w:rPr>
                  </w:pPr>
                </w:p>
              </w:tc>
              <w:tc>
                <w:tcPr>
                  <w:tcW w:w="991" w:type="dxa"/>
                  <w:vMerge w:val="continue"/>
                  <w:vAlign w:val="center"/>
                </w:tcPr>
                <w:p w14:paraId="1A98DDA1">
                  <w:pPr>
                    <w:jc w:val="center"/>
                    <w:rPr>
                      <w:b/>
                      <w:bCs/>
                      <w:szCs w:val="21"/>
                    </w:rPr>
                  </w:pPr>
                </w:p>
              </w:tc>
              <w:tc>
                <w:tcPr>
                  <w:tcW w:w="1567" w:type="dxa"/>
                  <w:vMerge w:val="continue"/>
                  <w:vAlign w:val="center"/>
                </w:tcPr>
                <w:p w14:paraId="4A6C16D8">
                  <w:pPr>
                    <w:widowControl/>
                    <w:jc w:val="center"/>
                    <w:textAlignment w:val="center"/>
                    <w:rPr>
                      <w:kern w:val="0"/>
                      <w:szCs w:val="21"/>
                      <w:lang w:bidi="ar"/>
                    </w:rPr>
                  </w:pPr>
                </w:p>
              </w:tc>
              <w:tc>
                <w:tcPr>
                  <w:tcW w:w="1379" w:type="dxa"/>
                  <w:vAlign w:val="center"/>
                </w:tcPr>
                <w:p w14:paraId="139A2AB8">
                  <w:pPr>
                    <w:widowControl/>
                    <w:jc w:val="center"/>
                    <w:textAlignment w:val="center"/>
                    <w:rPr>
                      <w:kern w:val="0"/>
                      <w:szCs w:val="21"/>
                      <w:lang w:bidi="ar"/>
                    </w:rPr>
                  </w:pPr>
                  <w:r>
                    <w:rPr>
                      <w:kern w:val="0"/>
                      <w:szCs w:val="21"/>
                      <w:lang w:bidi="ar"/>
                    </w:rPr>
                    <w:t>08:00-09:00</w:t>
                  </w:r>
                </w:p>
              </w:tc>
              <w:tc>
                <w:tcPr>
                  <w:tcW w:w="1456" w:type="dxa"/>
                  <w:gridSpan w:val="2"/>
                  <w:vAlign w:val="center"/>
                </w:tcPr>
                <w:p w14:paraId="337B0897">
                  <w:pPr>
                    <w:widowControl/>
                    <w:jc w:val="center"/>
                    <w:textAlignment w:val="center"/>
                    <w:rPr>
                      <w:szCs w:val="21"/>
                    </w:rPr>
                  </w:pPr>
                  <w:r>
                    <w:rPr>
                      <w:bCs/>
                      <w:spacing w:val="-6"/>
                      <w:szCs w:val="21"/>
                    </w:rPr>
                    <w:t xml:space="preserve">1.4 </w:t>
                  </w:r>
                </w:p>
              </w:tc>
              <w:tc>
                <w:tcPr>
                  <w:tcW w:w="1416" w:type="dxa"/>
                </w:tcPr>
                <w:p w14:paraId="59271DB4">
                  <w:pPr>
                    <w:widowControl/>
                    <w:jc w:val="center"/>
                    <w:textAlignment w:val="center"/>
                    <w:rPr>
                      <w:bCs/>
                      <w:szCs w:val="21"/>
                    </w:rPr>
                  </w:pPr>
                  <w:r>
                    <w:rPr>
                      <w:bCs/>
                      <w:szCs w:val="21"/>
                    </w:rPr>
                    <w:t>20</w:t>
                  </w:r>
                </w:p>
              </w:tc>
              <w:tc>
                <w:tcPr>
                  <w:tcW w:w="1220" w:type="dxa"/>
                </w:tcPr>
                <w:p w14:paraId="3D1024F3">
                  <w:pPr>
                    <w:widowControl/>
                    <w:jc w:val="center"/>
                    <w:textAlignment w:val="center"/>
                    <w:rPr>
                      <w:bCs/>
                      <w:szCs w:val="21"/>
                    </w:rPr>
                  </w:pPr>
                  <w:r>
                    <w:rPr>
                      <w:bCs/>
                      <w:szCs w:val="21"/>
                    </w:rPr>
                    <w:t>达标</w:t>
                  </w:r>
                </w:p>
              </w:tc>
            </w:tr>
            <w:tr w14:paraId="4A2C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continue"/>
                  <w:vAlign w:val="center"/>
                </w:tcPr>
                <w:p w14:paraId="6961FF01">
                  <w:pPr>
                    <w:jc w:val="center"/>
                    <w:rPr>
                      <w:b/>
                      <w:bCs/>
                      <w:szCs w:val="21"/>
                    </w:rPr>
                  </w:pPr>
                </w:p>
              </w:tc>
              <w:tc>
                <w:tcPr>
                  <w:tcW w:w="991" w:type="dxa"/>
                  <w:vMerge w:val="continue"/>
                  <w:vAlign w:val="center"/>
                </w:tcPr>
                <w:p w14:paraId="799E7716">
                  <w:pPr>
                    <w:jc w:val="center"/>
                    <w:rPr>
                      <w:b/>
                      <w:bCs/>
                      <w:szCs w:val="21"/>
                    </w:rPr>
                  </w:pPr>
                </w:p>
              </w:tc>
              <w:tc>
                <w:tcPr>
                  <w:tcW w:w="1567" w:type="dxa"/>
                  <w:vMerge w:val="continue"/>
                  <w:vAlign w:val="center"/>
                </w:tcPr>
                <w:p w14:paraId="760D789C">
                  <w:pPr>
                    <w:widowControl/>
                    <w:jc w:val="center"/>
                    <w:textAlignment w:val="center"/>
                    <w:rPr>
                      <w:kern w:val="0"/>
                      <w:szCs w:val="21"/>
                      <w:lang w:bidi="ar"/>
                    </w:rPr>
                  </w:pPr>
                </w:p>
              </w:tc>
              <w:tc>
                <w:tcPr>
                  <w:tcW w:w="1379" w:type="dxa"/>
                  <w:vAlign w:val="center"/>
                </w:tcPr>
                <w:p w14:paraId="04209C35">
                  <w:pPr>
                    <w:widowControl/>
                    <w:jc w:val="center"/>
                    <w:textAlignment w:val="center"/>
                    <w:rPr>
                      <w:kern w:val="0"/>
                      <w:szCs w:val="21"/>
                      <w:lang w:bidi="ar"/>
                    </w:rPr>
                  </w:pPr>
                  <w:r>
                    <w:rPr>
                      <w:kern w:val="0"/>
                      <w:szCs w:val="21"/>
                      <w:lang w:bidi="ar"/>
                    </w:rPr>
                    <w:t>14:00-15:00</w:t>
                  </w:r>
                </w:p>
              </w:tc>
              <w:tc>
                <w:tcPr>
                  <w:tcW w:w="1456" w:type="dxa"/>
                  <w:gridSpan w:val="2"/>
                  <w:vAlign w:val="center"/>
                </w:tcPr>
                <w:p w14:paraId="273DEA39">
                  <w:pPr>
                    <w:widowControl/>
                    <w:jc w:val="center"/>
                    <w:textAlignment w:val="center"/>
                    <w:rPr>
                      <w:szCs w:val="21"/>
                    </w:rPr>
                  </w:pPr>
                  <w:r>
                    <w:rPr>
                      <w:bCs/>
                      <w:spacing w:val="-6"/>
                      <w:szCs w:val="21"/>
                    </w:rPr>
                    <w:t xml:space="preserve">1.6 </w:t>
                  </w:r>
                </w:p>
              </w:tc>
              <w:tc>
                <w:tcPr>
                  <w:tcW w:w="1416" w:type="dxa"/>
                </w:tcPr>
                <w:p w14:paraId="630D4AB3">
                  <w:pPr>
                    <w:widowControl/>
                    <w:jc w:val="center"/>
                    <w:textAlignment w:val="center"/>
                    <w:rPr>
                      <w:bCs/>
                      <w:szCs w:val="21"/>
                    </w:rPr>
                  </w:pPr>
                  <w:r>
                    <w:rPr>
                      <w:bCs/>
                      <w:szCs w:val="21"/>
                    </w:rPr>
                    <w:t>20</w:t>
                  </w:r>
                </w:p>
              </w:tc>
              <w:tc>
                <w:tcPr>
                  <w:tcW w:w="1220" w:type="dxa"/>
                </w:tcPr>
                <w:p w14:paraId="587B835F">
                  <w:pPr>
                    <w:widowControl/>
                    <w:jc w:val="center"/>
                    <w:textAlignment w:val="center"/>
                    <w:rPr>
                      <w:bCs/>
                      <w:szCs w:val="21"/>
                    </w:rPr>
                  </w:pPr>
                  <w:r>
                    <w:rPr>
                      <w:bCs/>
                      <w:szCs w:val="21"/>
                    </w:rPr>
                    <w:t>达标</w:t>
                  </w:r>
                </w:p>
              </w:tc>
            </w:tr>
            <w:tr w14:paraId="255A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continue"/>
                  <w:vAlign w:val="center"/>
                </w:tcPr>
                <w:p w14:paraId="2ABCD791">
                  <w:pPr>
                    <w:jc w:val="center"/>
                    <w:rPr>
                      <w:b/>
                      <w:bCs/>
                      <w:szCs w:val="21"/>
                    </w:rPr>
                  </w:pPr>
                </w:p>
              </w:tc>
              <w:tc>
                <w:tcPr>
                  <w:tcW w:w="991" w:type="dxa"/>
                  <w:vMerge w:val="continue"/>
                  <w:vAlign w:val="center"/>
                </w:tcPr>
                <w:p w14:paraId="05507D13">
                  <w:pPr>
                    <w:jc w:val="center"/>
                    <w:rPr>
                      <w:b/>
                      <w:bCs/>
                      <w:szCs w:val="21"/>
                    </w:rPr>
                  </w:pPr>
                </w:p>
              </w:tc>
              <w:tc>
                <w:tcPr>
                  <w:tcW w:w="1567" w:type="dxa"/>
                  <w:vMerge w:val="continue"/>
                  <w:vAlign w:val="center"/>
                </w:tcPr>
                <w:p w14:paraId="7ADCCAAF">
                  <w:pPr>
                    <w:jc w:val="center"/>
                    <w:rPr>
                      <w:szCs w:val="21"/>
                    </w:rPr>
                  </w:pPr>
                </w:p>
              </w:tc>
              <w:tc>
                <w:tcPr>
                  <w:tcW w:w="1379" w:type="dxa"/>
                  <w:vAlign w:val="center"/>
                </w:tcPr>
                <w:p w14:paraId="2AB10A38">
                  <w:pPr>
                    <w:widowControl/>
                    <w:jc w:val="center"/>
                    <w:textAlignment w:val="center"/>
                    <w:rPr>
                      <w:szCs w:val="21"/>
                    </w:rPr>
                  </w:pPr>
                  <w:r>
                    <w:rPr>
                      <w:kern w:val="0"/>
                      <w:szCs w:val="21"/>
                      <w:lang w:bidi="ar"/>
                    </w:rPr>
                    <w:t>20:00-21:00</w:t>
                  </w:r>
                </w:p>
              </w:tc>
              <w:tc>
                <w:tcPr>
                  <w:tcW w:w="1456" w:type="dxa"/>
                  <w:gridSpan w:val="2"/>
                  <w:vAlign w:val="center"/>
                </w:tcPr>
                <w:p w14:paraId="37FFEFC3">
                  <w:pPr>
                    <w:widowControl/>
                    <w:jc w:val="center"/>
                    <w:textAlignment w:val="center"/>
                    <w:rPr>
                      <w:szCs w:val="21"/>
                    </w:rPr>
                  </w:pPr>
                  <w:r>
                    <w:rPr>
                      <w:bCs/>
                      <w:spacing w:val="-6"/>
                      <w:szCs w:val="21"/>
                    </w:rPr>
                    <w:t xml:space="preserve">1.7 </w:t>
                  </w:r>
                </w:p>
              </w:tc>
              <w:tc>
                <w:tcPr>
                  <w:tcW w:w="1416" w:type="dxa"/>
                </w:tcPr>
                <w:p w14:paraId="4CF332D3">
                  <w:pPr>
                    <w:widowControl/>
                    <w:jc w:val="center"/>
                    <w:textAlignment w:val="center"/>
                    <w:rPr>
                      <w:bCs/>
                      <w:szCs w:val="21"/>
                    </w:rPr>
                  </w:pPr>
                  <w:r>
                    <w:rPr>
                      <w:bCs/>
                      <w:szCs w:val="21"/>
                    </w:rPr>
                    <w:t>20</w:t>
                  </w:r>
                </w:p>
              </w:tc>
              <w:tc>
                <w:tcPr>
                  <w:tcW w:w="1220" w:type="dxa"/>
                </w:tcPr>
                <w:p w14:paraId="6E7737C2">
                  <w:pPr>
                    <w:widowControl/>
                    <w:jc w:val="center"/>
                    <w:textAlignment w:val="center"/>
                    <w:rPr>
                      <w:bCs/>
                      <w:szCs w:val="21"/>
                    </w:rPr>
                  </w:pPr>
                  <w:r>
                    <w:rPr>
                      <w:bCs/>
                      <w:szCs w:val="21"/>
                    </w:rPr>
                    <w:t>达标</w:t>
                  </w:r>
                </w:p>
              </w:tc>
            </w:tr>
            <w:tr w14:paraId="664B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continue"/>
                  <w:vAlign w:val="center"/>
                </w:tcPr>
                <w:p w14:paraId="0ED92DEF">
                  <w:pPr>
                    <w:jc w:val="center"/>
                    <w:rPr>
                      <w:b/>
                      <w:bCs/>
                      <w:szCs w:val="21"/>
                    </w:rPr>
                  </w:pPr>
                </w:p>
              </w:tc>
              <w:tc>
                <w:tcPr>
                  <w:tcW w:w="991" w:type="dxa"/>
                  <w:vMerge w:val="continue"/>
                  <w:vAlign w:val="center"/>
                </w:tcPr>
                <w:p w14:paraId="3678EED3">
                  <w:pPr>
                    <w:jc w:val="center"/>
                    <w:rPr>
                      <w:b/>
                      <w:bCs/>
                      <w:szCs w:val="21"/>
                    </w:rPr>
                  </w:pPr>
                </w:p>
              </w:tc>
              <w:tc>
                <w:tcPr>
                  <w:tcW w:w="1567" w:type="dxa"/>
                  <w:vMerge w:val="restart"/>
                  <w:vAlign w:val="center"/>
                </w:tcPr>
                <w:p w14:paraId="55282EC4">
                  <w:pPr>
                    <w:widowControl/>
                    <w:jc w:val="center"/>
                    <w:textAlignment w:val="center"/>
                    <w:rPr>
                      <w:szCs w:val="21"/>
                    </w:rPr>
                  </w:pPr>
                  <w:r>
                    <w:rPr>
                      <w:spacing w:val="-6"/>
                      <w:szCs w:val="21"/>
                    </w:rPr>
                    <w:t>2022/6/11</w:t>
                  </w:r>
                </w:p>
              </w:tc>
              <w:tc>
                <w:tcPr>
                  <w:tcW w:w="1379" w:type="dxa"/>
                  <w:vAlign w:val="center"/>
                </w:tcPr>
                <w:p w14:paraId="2ACDC172">
                  <w:pPr>
                    <w:widowControl/>
                    <w:jc w:val="center"/>
                    <w:textAlignment w:val="center"/>
                    <w:rPr>
                      <w:kern w:val="0"/>
                      <w:szCs w:val="21"/>
                      <w:lang w:bidi="ar"/>
                    </w:rPr>
                  </w:pPr>
                  <w:r>
                    <w:rPr>
                      <w:kern w:val="0"/>
                      <w:szCs w:val="21"/>
                      <w:lang w:bidi="ar"/>
                    </w:rPr>
                    <w:t>02:00-03:00</w:t>
                  </w:r>
                </w:p>
              </w:tc>
              <w:tc>
                <w:tcPr>
                  <w:tcW w:w="1456" w:type="dxa"/>
                  <w:gridSpan w:val="2"/>
                  <w:vAlign w:val="center"/>
                </w:tcPr>
                <w:p w14:paraId="3F6D3670">
                  <w:pPr>
                    <w:widowControl/>
                    <w:jc w:val="center"/>
                    <w:textAlignment w:val="center"/>
                    <w:rPr>
                      <w:szCs w:val="21"/>
                    </w:rPr>
                  </w:pPr>
                  <w:r>
                    <w:rPr>
                      <w:bCs/>
                      <w:spacing w:val="-6"/>
                      <w:szCs w:val="21"/>
                    </w:rPr>
                    <w:t xml:space="preserve">2.1 </w:t>
                  </w:r>
                </w:p>
              </w:tc>
              <w:tc>
                <w:tcPr>
                  <w:tcW w:w="1416" w:type="dxa"/>
                </w:tcPr>
                <w:p w14:paraId="0EC928AB">
                  <w:pPr>
                    <w:widowControl/>
                    <w:jc w:val="center"/>
                    <w:textAlignment w:val="center"/>
                    <w:rPr>
                      <w:bCs/>
                      <w:szCs w:val="21"/>
                    </w:rPr>
                  </w:pPr>
                  <w:r>
                    <w:rPr>
                      <w:bCs/>
                      <w:szCs w:val="21"/>
                    </w:rPr>
                    <w:t>20</w:t>
                  </w:r>
                </w:p>
              </w:tc>
              <w:tc>
                <w:tcPr>
                  <w:tcW w:w="1220" w:type="dxa"/>
                </w:tcPr>
                <w:p w14:paraId="562DE065">
                  <w:pPr>
                    <w:widowControl/>
                    <w:jc w:val="center"/>
                    <w:textAlignment w:val="center"/>
                    <w:rPr>
                      <w:bCs/>
                      <w:szCs w:val="21"/>
                    </w:rPr>
                  </w:pPr>
                  <w:r>
                    <w:rPr>
                      <w:bCs/>
                      <w:szCs w:val="21"/>
                    </w:rPr>
                    <w:t>达标</w:t>
                  </w:r>
                </w:p>
              </w:tc>
            </w:tr>
            <w:tr w14:paraId="56A6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continue"/>
                  <w:vAlign w:val="center"/>
                </w:tcPr>
                <w:p w14:paraId="1C4E7FC1">
                  <w:pPr>
                    <w:jc w:val="center"/>
                    <w:rPr>
                      <w:b/>
                      <w:bCs/>
                      <w:szCs w:val="21"/>
                    </w:rPr>
                  </w:pPr>
                </w:p>
              </w:tc>
              <w:tc>
                <w:tcPr>
                  <w:tcW w:w="991" w:type="dxa"/>
                  <w:vMerge w:val="continue"/>
                  <w:vAlign w:val="center"/>
                </w:tcPr>
                <w:p w14:paraId="11BBB155">
                  <w:pPr>
                    <w:jc w:val="center"/>
                    <w:rPr>
                      <w:b/>
                      <w:bCs/>
                      <w:szCs w:val="21"/>
                    </w:rPr>
                  </w:pPr>
                </w:p>
              </w:tc>
              <w:tc>
                <w:tcPr>
                  <w:tcW w:w="1567" w:type="dxa"/>
                  <w:vMerge w:val="continue"/>
                  <w:vAlign w:val="center"/>
                </w:tcPr>
                <w:p w14:paraId="174A75BD">
                  <w:pPr>
                    <w:jc w:val="center"/>
                    <w:rPr>
                      <w:szCs w:val="21"/>
                    </w:rPr>
                  </w:pPr>
                </w:p>
              </w:tc>
              <w:tc>
                <w:tcPr>
                  <w:tcW w:w="1379" w:type="dxa"/>
                  <w:vAlign w:val="center"/>
                </w:tcPr>
                <w:p w14:paraId="75C79A5D">
                  <w:pPr>
                    <w:widowControl/>
                    <w:jc w:val="center"/>
                    <w:textAlignment w:val="center"/>
                    <w:rPr>
                      <w:kern w:val="0"/>
                      <w:szCs w:val="21"/>
                      <w:lang w:bidi="ar"/>
                    </w:rPr>
                  </w:pPr>
                  <w:r>
                    <w:rPr>
                      <w:kern w:val="0"/>
                      <w:szCs w:val="21"/>
                      <w:lang w:bidi="ar"/>
                    </w:rPr>
                    <w:t>08:00-09:00</w:t>
                  </w:r>
                </w:p>
              </w:tc>
              <w:tc>
                <w:tcPr>
                  <w:tcW w:w="1456" w:type="dxa"/>
                  <w:gridSpan w:val="2"/>
                  <w:vAlign w:val="center"/>
                </w:tcPr>
                <w:p w14:paraId="311E8914">
                  <w:pPr>
                    <w:widowControl/>
                    <w:jc w:val="center"/>
                    <w:textAlignment w:val="center"/>
                    <w:rPr>
                      <w:szCs w:val="21"/>
                    </w:rPr>
                  </w:pPr>
                  <w:r>
                    <w:rPr>
                      <w:bCs/>
                      <w:spacing w:val="-6"/>
                      <w:szCs w:val="21"/>
                    </w:rPr>
                    <w:t xml:space="preserve">2.2 </w:t>
                  </w:r>
                </w:p>
              </w:tc>
              <w:tc>
                <w:tcPr>
                  <w:tcW w:w="1416" w:type="dxa"/>
                </w:tcPr>
                <w:p w14:paraId="6A62147D">
                  <w:pPr>
                    <w:widowControl/>
                    <w:jc w:val="center"/>
                    <w:textAlignment w:val="center"/>
                    <w:rPr>
                      <w:bCs/>
                      <w:szCs w:val="21"/>
                    </w:rPr>
                  </w:pPr>
                  <w:r>
                    <w:rPr>
                      <w:bCs/>
                      <w:szCs w:val="21"/>
                    </w:rPr>
                    <w:t>20</w:t>
                  </w:r>
                </w:p>
              </w:tc>
              <w:tc>
                <w:tcPr>
                  <w:tcW w:w="1220" w:type="dxa"/>
                </w:tcPr>
                <w:p w14:paraId="19C99BCA">
                  <w:pPr>
                    <w:widowControl/>
                    <w:jc w:val="center"/>
                    <w:textAlignment w:val="center"/>
                    <w:rPr>
                      <w:bCs/>
                      <w:szCs w:val="21"/>
                    </w:rPr>
                  </w:pPr>
                  <w:r>
                    <w:rPr>
                      <w:bCs/>
                      <w:szCs w:val="21"/>
                    </w:rPr>
                    <w:t>达标</w:t>
                  </w:r>
                </w:p>
              </w:tc>
            </w:tr>
            <w:tr w14:paraId="4619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continue"/>
                  <w:vAlign w:val="center"/>
                </w:tcPr>
                <w:p w14:paraId="642CF8BD">
                  <w:pPr>
                    <w:jc w:val="center"/>
                    <w:rPr>
                      <w:b/>
                      <w:bCs/>
                      <w:szCs w:val="21"/>
                    </w:rPr>
                  </w:pPr>
                </w:p>
              </w:tc>
              <w:tc>
                <w:tcPr>
                  <w:tcW w:w="991" w:type="dxa"/>
                  <w:vMerge w:val="continue"/>
                  <w:vAlign w:val="center"/>
                </w:tcPr>
                <w:p w14:paraId="567C7ED1">
                  <w:pPr>
                    <w:jc w:val="center"/>
                    <w:rPr>
                      <w:b/>
                      <w:bCs/>
                      <w:szCs w:val="21"/>
                    </w:rPr>
                  </w:pPr>
                </w:p>
              </w:tc>
              <w:tc>
                <w:tcPr>
                  <w:tcW w:w="1567" w:type="dxa"/>
                  <w:vMerge w:val="continue"/>
                  <w:vAlign w:val="center"/>
                </w:tcPr>
                <w:p w14:paraId="59266EDA">
                  <w:pPr>
                    <w:jc w:val="center"/>
                    <w:rPr>
                      <w:szCs w:val="21"/>
                    </w:rPr>
                  </w:pPr>
                </w:p>
              </w:tc>
              <w:tc>
                <w:tcPr>
                  <w:tcW w:w="1379" w:type="dxa"/>
                  <w:vAlign w:val="center"/>
                </w:tcPr>
                <w:p w14:paraId="1BEB1A24">
                  <w:pPr>
                    <w:widowControl/>
                    <w:jc w:val="center"/>
                    <w:textAlignment w:val="center"/>
                    <w:rPr>
                      <w:kern w:val="0"/>
                      <w:szCs w:val="21"/>
                      <w:lang w:bidi="ar"/>
                    </w:rPr>
                  </w:pPr>
                  <w:r>
                    <w:rPr>
                      <w:kern w:val="0"/>
                      <w:szCs w:val="21"/>
                      <w:lang w:bidi="ar"/>
                    </w:rPr>
                    <w:t>14:00-15:00</w:t>
                  </w:r>
                </w:p>
              </w:tc>
              <w:tc>
                <w:tcPr>
                  <w:tcW w:w="1456" w:type="dxa"/>
                  <w:gridSpan w:val="2"/>
                  <w:vAlign w:val="center"/>
                </w:tcPr>
                <w:p w14:paraId="68176AF9">
                  <w:pPr>
                    <w:widowControl/>
                    <w:jc w:val="center"/>
                    <w:textAlignment w:val="center"/>
                    <w:rPr>
                      <w:szCs w:val="21"/>
                    </w:rPr>
                  </w:pPr>
                  <w:r>
                    <w:rPr>
                      <w:bCs/>
                      <w:spacing w:val="-6"/>
                      <w:szCs w:val="21"/>
                    </w:rPr>
                    <w:t xml:space="preserve">2.0 </w:t>
                  </w:r>
                </w:p>
              </w:tc>
              <w:tc>
                <w:tcPr>
                  <w:tcW w:w="1416" w:type="dxa"/>
                </w:tcPr>
                <w:p w14:paraId="467671F5">
                  <w:pPr>
                    <w:widowControl/>
                    <w:jc w:val="center"/>
                    <w:textAlignment w:val="center"/>
                    <w:rPr>
                      <w:bCs/>
                      <w:szCs w:val="21"/>
                    </w:rPr>
                  </w:pPr>
                  <w:r>
                    <w:rPr>
                      <w:bCs/>
                      <w:szCs w:val="21"/>
                    </w:rPr>
                    <w:t>20</w:t>
                  </w:r>
                </w:p>
              </w:tc>
              <w:tc>
                <w:tcPr>
                  <w:tcW w:w="1220" w:type="dxa"/>
                </w:tcPr>
                <w:p w14:paraId="004748D9">
                  <w:pPr>
                    <w:widowControl/>
                    <w:jc w:val="center"/>
                    <w:textAlignment w:val="center"/>
                    <w:rPr>
                      <w:bCs/>
                      <w:szCs w:val="21"/>
                    </w:rPr>
                  </w:pPr>
                  <w:r>
                    <w:rPr>
                      <w:bCs/>
                      <w:szCs w:val="21"/>
                    </w:rPr>
                    <w:t>达标</w:t>
                  </w:r>
                </w:p>
              </w:tc>
            </w:tr>
            <w:tr w14:paraId="3C96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1123" w:type="dxa"/>
                  <w:vMerge w:val="continue"/>
                  <w:vAlign w:val="center"/>
                </w:tcPr>
                <w:p w14:paraId="3A9AE787">
                  <w:pPr>
                    <w:jc w:val="center"/>
                    <w:rPr>
                      <w:b/>
                      <w:bCs/>
                      <w:szCs w:val="21"/>
                    </w:rPr>
                  </w:pPr>
                </w:p>
              </w:tc>
              <w:tc>
                <w:tcPr>
                  <w:tcW w:w="991" w:type="dxa"/>
                  <w:vMerge w:val="continue"/>
                  <w:vAlign w:val="center"/>
                </w:tcPr>
                <w:p w14:paraId="5DCF79C8">
                  <w:pPr>
                    <w:jc w:val="center"/>
                    <w:rPr>
                      <w:b/>
                      <w:bCs/>
                      <w:szCs w:val="21"/>
                    </w:rPr>
                  </w:pPr>
                </w:p>
              </w:tc>
              <w:tc>
                <w:tcPr>
                  <w:tcW w:w="1567" w:type="dxa"/>
                  <w:vMerge w:val="continue"/>
                  <w:vAlign w:val="center"/>
                </w:tcPr>
                <w:p w14:paraId="37285A86">
                  <w:pPr>
                    <w:jc w:val="center"/>
                    <w:rPr>
                      <w:szCs w:val="21"/>
                    </w:rPr>
                  </w:pPr>
                </w:p>
              </w:tc>
              <w:tc>
                <w:tcPr>
                  <w:tcW w:w="1379" w:type="dxa"/>
                  <w:vAlign w:val="center"/>
                </w:tcPr>
                <w:p w14:paraId="266DA46E">
                  <w:pPr>
                    <w:widowControl/>
                    <w:jc w:val="center"/>
                    <w:textAlignment w:val="center"/>
                    <w:rPr>
                      <w:szCs w:val="21"/>
                    </w:rPr>
                  </w:pPr>
                  <w:r>
                    <w:rPr>
                      <w:kern w:val="0"/>
                      <w:szCs w:val="21"/>
                      <w:lang w:bidi="ar"/>
                    </w:rPr>
                    <w:t>20:00-21:00</w:t>
                  </w:r>
                </w:p>
              </w:tc>
              <w:tc>
                <w:tcPr>
                  <w:tcW w:w="1456" w:type="dxa"/>
                  <w:gridSpan w:val="2"/>
                  <w:vAlign w:val="center"/>
                </w:tcPr>
                <w:p w14:paraId="645B1CEA">
                  <w:pPr>
                    <w:widowControl/>
                    <w:jc w:val="center"/>
                    <w:textAlignment w:val="center"/>
                    <w:rPr>
                      <w:szCs w:val="21"/>
                    </w:rPr>
                  </w:pPr>
                  <w:r>
                    <w:rPr>
                      <w:bCs/>
                      <w:spacing w:val="-6"/>
                      <w:szCs w:val="21"/>
                    </w:rPr>
                    <w:t xml:space="preserve">1.9 </w:t>
                  </w:r>
                </w:p>
              </w:tc>
              <w:tc>
                <w:tcPr>
                  <w:tcW w:w="1416" w:type="dxa"/>
                </w:tcPr>
                <w:p w14:paraId="064D7BF0">
                  <w:pPr>
                    <w:widowControl/>
                    <w:jc w:val="center"/>
                    <w:textAlignment w:val="center"/>
                    <w:rPr>
                      <w:bCs/>
                      <w:szCs w:val="21"/>
                    </w:rPr>
                  </w:pPr>
                  <w:r>
                    <w:rPr>
                      <w:bCs/>
                      <w:szCs w:val="21"/>
                    </w:rPr>
                    <w:t>20</w:t>
                  </w:r>
                </w:p>
              </w:tc>
              <w:tc>
                <w:tcPr>
                  <w:tcW w:w="1220" w:type="dxa"/>
                </w:tcPr>
                <w:p w14:paraId="76E5FBF8">
                  <w:pPr>
                    <w:widowControl/>
                    <w:jc w:val="center"/>
                    <w:textAlignment w:val="center"/>
                    <w:rPr>
                      <w:bCs/>
                      <w:szCs w:val="21"/>
                    </w:rPr>
                  </w:pPr>
                  <w:r>
                    <w:rPr>
                      <w:bCs/>
                      <w:szCs w:val="21"/>
                    </w:rPr>
                    <w:t>达标</w:t>
                  </w:r>
                </w:p>
              </w:tc>
            </w:tr>
          </w:tbl>
          <w:p w14:paraId="191B64AB">
            <w:pPr>
              <w:tabs>
                <w:tab w:val="left" w:pos="5255"/>
              </w:tabs>
              <w:autoSpaceDE w:val="0"/>
              <w:autoSpaceDN w:val="0"/>
              <w:spacing w:line="360" w:lineRule="auto"/>
              <w:ind w:firstLine="480" w:firstLineChars="200"/>
              <w:jc w:val="left"/>
              <w:rPr>
                <w:kern w:val="0"/>
                <w:sz w:val="24"/>
              </w:rPr>
            </w:pPr>
            <w:r>
              <w:rPr>
                <w:kern w:val="0"/>
                <w:sz w:val="24"/>
              </w:rPr>
              <w:t>通过监测结果可知，评价区域内TSP日均浓度、NOx小时浓度、NOx日均浓度、氟化物满足《环境空气质量标准》（GB3095-2012）二级标准。</w:t>
            </w:r>
          </w:p>
          <w:p w14:paraId="69ED8AA1">
            <w:pPr>
              <w:autoSpaceDE w:val="0"/>
              <w:autoSpaceDN w:val="0"/>
              <w:spacing w:line="360" w:lineRule="auto"/>
              <w:ind w:firstLine="480" w:firstLineChars="200"/>
              <w:jc w:val="left"/>
              <w:rPr>
                <w:kern w:val="0"/>
                <w:sz w:val="24"/>
              </w:rPr>
            </w:pPr>
            <w:r>
              <w:rPr>
                <w:kern w:val="0"/>
                <w:sz w:val="24"/>
              </w:rPr>
              <w:t>区域空气环境质量良好。</w:t>
            </w:r>
          </w:p>
          <w:p w14:paraId="5354F354"/>
          <w:p w14:paraId="761FAC47">
            <w:pPr>
              <w:adjustRightInd w:val="0"/>
              <w:snapToGrid w:val="0"/>
              <w:spacing w:line="360" w:lineRule="auto"/>
              <w:ind w:firstLine="482" w:firstLineChars="200"/>
              <w:rPr>
                <w:b/>
                <w:bCs/>
                <w:sz w:val="24"/>
              </w:rPr>
            </w:pPr>
            <w:r>
              <w:rPr>
                <w:b/>
                <w:bCs/>
                <w:sz w:val="24"/>
              </w:rPr>
              <w:t>2、地表水环境质量现状</w:t>
            </w:r>
          </w:p>
          <w:p w14:paraId="4B070428">
            <w:pPr>
              <w:pStyle w:val="69"/>
              <w:spacing w:line="360" w:lineRule="auto"/>
              <w:ind w:firstLineChars="200"/>
              <w:jc w:val="both"/>
              <w:rPr>
                <w:bCs/>
                <w:kern w:val="2"/>
                <w:sz w:val="24"/>
              </w:rPr>
            </w:pPr>
            <w:r>
              <w:rPr>
                <w:snapToGrid w:val="0"/>
                <w:sz w:val="24"/>
              </w:rPr>
              <w:t>根据现场勘查，项目区最近地表水主要为芒市大河。</w:t>
            </w:r>
          </w:p>
          <w:p w14:paraId="27618772">
            <w:pPr>
              <w:pStyle w:val="69"/>
              <w:spacing w:line="360" w:lineRule="auto"/>
              <w:ind w:firstLineChars="200"/>
              <w:jc w:val="both"/>
              <w:rPr>
                <w:bCs/>
                <w:kern w:val="2"/>
                <w:sz w:val="24"/>
              </w:rPr>
            </w:pPr>
            <w:r>
              <w:rPr>
                <w:bCs/>
                <w:kern w:val="2"/>
                <w:sz w:val="24"/>
              </w:rPr>
              <w:t>根据《云南省水功能区划（2014版）》，</w:t>
            </w:r>
            <w:r>
              <w:rPr>
                <w:b/>
                <w:kern w:val="2"/>
                <w:sz w:val="24"/>
              </w:rPr>
              <w:t>芒市大河</w:t>
            </w:r>
            <w:r>
              <w:rPr>
                <w:bCs/>
                <w:kern w:val="2"/>
                <w:sz w:val="24"/>
              </w:rPr>
              <w:t>（木康水文站—遮放团结）2020年、2030年水质目标为Ⅲ类，执行《地表水环境质量标准》（GB3838-2002）Ⅲ类要求。</w:t>
            </w:r>
          </w:p>
          <w:p w14:paraId="66C06D79">
            <w:pPr>
              <w:adjustRightInd w:val="0"/>
              <w:spacing w:line="360" w:lineRule="auto"/>
              <w:ind w:firstLine="480" w:firstLineChars="200"/>
              <w:rPr>
                <w:snapToGrid w:val="0"/>
                <w:kern w:val="0"/>
                <w:sz w:val="24"/>
              </w:rPr>
            </w:pPr>
            <w:r>
              <w:rPr>
                <w:snapToGrid w:val="0"/>
                <w:kern w:val="0"/>
                <w:sz w:val="24"/>
              </w:rPr>
              <w:t>根据《德宏州2020年环境质量公报》，2020年芒市大河</w:t>
            </w:r>
            <w:r>
              <w:rPr>
                <w:bCs/>
                <w:sz w:val="24"/>
              </w:rPr>
              <w:t>（木康断面—入瑞丽江口）</w:t>
            </w:r>
            <w:r>
              <w:rPr>
                <w:snapToGrid w:val="0"/>
                <w:kern w:val="0"/>
                <w:sz w:val="24"/>
              </w:rPr>
              <w:t>满足</w:t>
            </w:r>
            <w:r>
              <w:rPr>
                <w:sz w:val="24"/>
              </w:rPr>
              <w:t>《地表水环境质量标准》（GB3838-2002）中Ⅲ类水质标准</w:t>
            </w:r>
            <w:r>
              <w:rPr>
                <w:snapToGrid w:val="0"/>
                <w:kern w:val="0"/>
                <w:sz w:val="24"/>
              </w:rPr>
              <w:t>要求，属达标区。</w:t>
            </w:r>
          </w:p>
          <w:p w14:paraId="02783D25">
            <w:pPr>
              <w:adjustRightInd w:val="0"/>
              <w:snapToGrid w:val="0"/>
              <w:spacing w:line="360" w:lineRule="auto"/>
              <w:ind w:firstLine="480" w:firstLineChars="200"/>
              <w:rPr>
                <w:sz w:val="24"/>
              </w:rPr>
            </w:pPr>
            <w:r>
              <w:rPr>
                <w:snapToGrid w:val="0"/>
                <w:sz w:val="24"/>
              </w:rPr>
              <w:t>综上，项目区河段水环境功能良好，能满足《地表水环境质量标准》（GB3838-2002）中</w:t>
            </w:r>
            <w:r>
              <w:rPr>
                <w:snapToGrid w:val="0"/>
                <w:sz w:val="24"/>
                <w:lang w:val="zh-CN"/>
              </w:rPr>
              <w:t>Ⅲ</w:t>
            </w:r>
            <w:r>
              <w:rPr>
                <w:snapToGrid w:val="0"/>
                <w:sz w:val="24"/>
              </w:rPr>
              <w:t>类水质要求。</w:t>
            </w:r>
          </w:p>
          <w:p w14:paraId="62FD6A9D">
            <w:pPr>
              <w:adjustRightInd w:val="0"/>
              <w:snapToGrid w:val="0"/>
              <w:spacing w:line="360" w:lineRule="auto"/>
              <w:ind w:firstLine="482" w:firstLineChars="200"/>
              <w:rPr>
                <w:b/>
                <w:bCs/>
                <w:sz w:val="24"/>
              </w:rPr>
            </w:pPr>
            <w:r>
              <w:rPr>
                <w:b/>
                <w:bCs/>
                <w:sz w:val="24"/>
              </w:rPr>
              <w:t>3、声环境质量现状</w:t>
            </w:r>
          </w:p>
          <w:p w14:paraId="4DEC50AF">
            <w:pPr>
              <w:pStyle w:val="44"/>
              <w:snapToGrid w:val="0"/>
              <w:spacing w:line="360" w:lineRule="auto"/>
              <w:ind w:firstLineChars="200"/>
              <w:rPr>
                <w:rFonts w:ascii="Times New Roman" w:hAnsi="Times New Roman" w:cs="Times New Roman"/>
                <w:color w:val="auto"/>
              </w:rPr>
            </w:pPr>
            <w:r>
              <w:rPr>
                <w:rFonts w:ascii="Times New Roman" w:hAnsi="Times New Roman" w:cs="Times New Roman"/>
                <w:color w:val="auto"/>
              </w:rPr>
              <w:t>本项目位于云南省德宏州芒市风平镇帕底村委会南相章村民小组，根据《声环境质量标准》（GB3096-2008），建设项目所在地噪声功能区划为声环境2类区，执行《声环境质量标准》（GB3096-2008）2类标准。</w:t>
            </w:r>
          </w:p>
          <w:p w14:paraId="4E9B7C4E">
            <w:pPr>
              <w:spacing w:line="360" w:lineRule="auto"/>
              <w:ind w:firstLine="480" w:firstLineChars="200"/>
              <w:rPr>
                <w:sz w:val="24"/>
              </w:rPr>
            </w:pPr>
            <w:r>
              <w:rPr>
                <w:sz w:val="24"/>
              </w:rPr>
              <w:t>根据现场踏勘，本项目厂界外周边50米范围内无声环境保护目标，项目所在地四周200m范围内主要为荒地，周边无明显噪声源。</w:t>
            </w:r>
          </w:p>
          <w:p w14:paraId="44602442">
            <w:pPr>
              <w:adjustRightInd w:val="0"/>
              <w:snapToGrid w:val="0"/>
              <w:spacing w:line="360" w:lineRule="auto"/>
              <w:ind w:firstLine="482" w:firstLineChars="200"/>
              <w:rPr>
                <w:b/>
                <w:bCs/>
                <w:sz w:val="24"/>
              </w:rPr>
            </w:pPr>
            <w:r>
              <w:rPr>
                <w:b/>
                <w:bCs/>
                <w:sz w:val="24"/>
              </w:rPr>
              <w:t>4、生态环境现状</w:t>
            </w:r>
          </w:p>
          <w:p w14:paraId="2558456D">
            <w:pPr>
              <w:adjustRightInd w:val="0"/>
              <w:spacing w:line="360" w:lineRule="auto"/>
              <w:ind w:firstLine="480" w:firstLineChars="200"/>
              <w:rPr>
                <w:snapToGrid w:val="0"/>
                <w:kern w:val="0"/>
                <w:sz w:val="24"/>
                <w:szCs w:val="20"/>
              </w:rPr>
            </w:pPr>
            <w:r>
              <w:rPr>
                <w:snapToGrid w:val="0"/>
                <w:kern w:val="0"/>
                <w:sz w:val="24"/>
                <w:szCs w:val="20"/>
              </w:rPr>
              <w:t>根据《环境影响评价技术导则 生态影响》（HJ19-2022），“符合生态环境分区管控要求且位于原厂界（或永久用地）范围内的污染影响类改扩建项目，于已批准规划环评的产业园区内且符合规划环评要求、不涉及生态敏感区的污染影响类建设项目，可不确定评价等级，直接进行生态影响简单分析”。</w:t>
            </w:r>
          </w:p>
          <w:p w14:paraId="4F716619">
            <w:pPr>
              <w:adjustRightInd w:val="0"/>
              <w:spacing w:line="360" w:lineRule="auto"/>
              <w:ind w:firstLine="480" w:firstLineChars="200"/>
              <w:rPr>
                <w:snapToGrid w:val="0"/>
                <w:kern w:val="0"/>
                <w:sz w:val="24"/>
                <w:szCs w:val="20"/>
              </w:rPr>
            </w:pPr>
            <w:r>
              <w:rPr>
                <w:snapToGrid w:val="0"/>
                <w:kern w:val="0"/>
                <w:sz w:val="24"/>
                <w:szCs w:val="20"/>
              </w:rPr>
              <w:t>本项目位于云南省德宏州芒市风平镇帕底村委会南相章村民小组</w:t>
            </w:r>
            <w:r>
              <w:rPr>
                <w:bCs/>
                <w:snapToGrid w:val="0"/>
                <w:kern w:val="0"/>
                <w:sz w:val="24"/>
                <w:szCs w:val="20"/>
              </w:rPr>
              <w:t>，不新增用地，</w:t>
            </w:r>
            <w:r>
              <w:rPr>
                <w:snapToGrid w:val="0"/>
                <w:kern w:val="0"/>
                <w:sz w:val="24"/>
                <w:szCs w:val="20"/>
              </w:rPr>
              <w:t>项目区不涉及自然保护区、世界文化和自然遗产地等特殊生态敏感区。</w:t>
            </w:r>
          </w:p>
          <w:p w14:paraId="00E07ABB">
            <w:pPr>
              <w:adjustRightInd w:val="0"/>
              <w:spacing w:line="360" w:lineRule="auto"/>
              <w:ind w:firstLine="480" w:firstLineChars="200"/>
              <w:rPr>
                <w:snapToGrid w:val="0"/>
                <w:kern w:val="0"/>
                <w:sz w:val="24"/>
                <w:szCs w:val="20"/>
              </w:rPr>
            </w:pPr>
            <w:r>
              <w:rPr>
                <w:snapToGrid w:val="0"/>
                <w:kern w:val="0"/>
                <w:sz w:val="24"/>
                <w:szCs w:val="20"/>
              </w:rPr>
              <w:t>通过实地调查和走访询问，本项目所在区域土地开发利用程度较高，建设利用已建多年的厂房进行改造，原生植被基本破坏殆尽。由于受到人为活动的长期影响，主要是农业生产及生活的影响，项目区周边的植被类型是以人工植被为主的区域，如各种农作物、荒草地等，无需要保护的国家级和云南省重点保护种类植物分布，无古树名木分布。</w:t>
            </w:r>
          </w:p>
          <w:p w14:paraId="3EE12095">
            <w:pPr>
              <w:adjustRightInd w:val="0"/>
              <w:snapToGrid w:val="0"/>
              <w:spacing w:line="360" w:lineRule="auto"/>
              <w:ind w:firstLine="480" w:firstLineChars="200"/>
              <w:rPr>
                <w:sz w:val="24"/>
              </w:rPr>
            </w:pPr>
            <w:r>
              <w:rPr>
                <w:snapToGrid w:val="0"/>
                <w:kern w:val="0"/>
                <w:sz w:val="24"/>
                <w:szCs w:val="20"/>
              </w:rPr>
              <w:t>本项目建设区均为人为活动频繁区域，区内及周边野生动物较少，均属常见种类，无国家保护的野生动物，多为当地常见的、游动性较强、适应人类活动的小型啮齿目哺乳类动物和鸟类，如家鼠、麻雀等。调查期间未发现国家级、省级重点保护野生动物。</w:t>
            </w:r>
          </w:p>
          <w:p w14:paraId="747B32C7">
            <w:pPr>
              <w:adjustRightInd w:val="0"/>
              <w:snapToGrid w:val="0"/>
              <w:spacing w:line="360" w:lineRule="auto"/>
              <w:ind w:firstLine="482" w:firstLineChars="200"/>
              <w:rPr>
                <w:b/>
                <w:bCs/>
                <w:sz w:val="24"/>
              </w:rPr>
            </w:pPr>
            <w:r>
              <w:rPr>
                <w:b/>
                <w:bCs/>
                <w:sz w:val="24"/>
              </w:rPr>
              <w:t>5、电磁辐射</w:t>
            </w:r>
          </w:p>
          <w:p w14:paraId="1C7C2200">
            <w:pPr>
              <w:adjustRightInd w:val="0"/>
              <w:snapToGrid w:val="0"/>
              <w:spacing w:line="360" w:lineRule="auto"/>
              <w:ind w:firstLine="480" w:firstLineChars="200"/>
              <w:rPr>
                <w:sz w:val="24"/>
              </w:rPr>
            </w:pPr>
            <w:r>
              <w:rPr>
                <w:sz w:val="24"/>
              </w:rPr>
              <w:t>项目不属于新建或改建、新建广播电台、差转台、电视塔台、卫星地球上行站、雷达等电磁辐射类项目，无需对电磁辐射现状开展监测与评价。</w:t>
            </w:r>
          </w:p>
          <w:p w14:paraId="2D1FDFD5">
            <w:pPr>
              <w:adjustRightInd w:val="0"/>
              <w:snapToGrid w:val="0"/>
              <w:spacing w:line="360" w:lineRule="auto"/>
              <w:ind w:firstLine="482" w:firstLineChars="200"/>
              <w:rPr>
                <w:b/>
                <w:bCs/>
                <w:sz w:val="24"/>
              </w:rPr>
            </w:pPr>
          </w:p>
          <w:p w14:paraId="1C28CA74">
            <w:pPr>
              <w:adjustRightInd w:val="0"/>
              <w:snapToGrid w:val="0"/>
              <w:spacing w:line="360" w:lineRule="auto"/>
              <w:ind w:firstLine="480" w:firstLineChars="200"/>
              <w:rPr>
                <w:kern w:val="0"/>
                <w:sz w:val="24"/>
              </w:rPr>
            </w:pPr>
          </w:p>
        </w:tc>
      </w:tr>
      <w:tr w14:paraId="71A04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77" w:hRule="atLeast"/>
          <w:jc w:val="center"/>
        </w:trPr>
        <w:tc>
          <w:tcPr>
            <w:tcW w:w="457" w:type="dxa"/>
            <w:vAlign w:val="center"/>
          </w:tcPr>
          <w:p w14:paraId="0643D782">
            <w:pPr>
              <w:adjustRightInd w:val="0"/>
              <w:snapToGrid w:val="0"/>
              <w:jc w:val="center"/>
              <w:rPr>
                <w:b/>
                <w:bCs/>
                <w:kern w:val="0"/>
                <w:sz w:val="24"/>
              </w:rPr>
            </w:pPr>
            <w:r>
              <w:rPr>
                <w:b/>
                <w:bCs/>
                <w:kern w:val="0"/>
                <w:sz w:val="24"/>
              </w:rPr>
              <w:t>环境保护目标</w:t>
            </w:r>
          </w:p>
        </w:tc>
        <w:tc>
          <w:tcPr>
            <w:tcW w:w="9398" w:type="dxa"/>
            <w:vAlign w:val="center"/>
          </w:tcPr>
          <w:p w14:paraId="2F942F9C">
            <w:pPr>
              <w:adjustRightInd w:val="0"/>
              <w:snapToGrid w:val="0"/>
              <w:spacing w:line="360" w:lineRule="auto"/>
              <w:ind w:firstLine="482" w:firstLineChars="200"/>
              <w:rPr>
                <w:b/>
                <w:bCs/>
                <w:kern w:val="0"/>
                <w:sz w:val="24"/>
              </w:rPr>
            </w:pPr>
            <w:r>
              <w:rPr>
                <w:b/>
                <w:bCs/>
                <w:kern w:val="0"/>
                <w:sz w:val="24"/>
              </w:rPr>
              <w:t>1、大气环境保护目标</w:t>
            </w:r>
          </w:p>
          <w:p w14:paraId="1139D342">
            <w:pPr>
              <w:adjustRightInd w:val="0"/>
              <w:snapToGrid w:val="0"/>
              <w:spacing w:line="360" w:lineRule="auto"/>
              <w:ind w:firstLine="480" w:firstLineChars="200"/>
              <w:rPr>
                <w:kern w:val="0"/>
                <w:sz w:val="24"/>
              </w:rPr>
            </w:pPr>
            <w:r>
              <w:rPr>
                <w:kern w:val="0"/>
                <w:sz w:val="24"/>
              </w:rPr>
              <w:t>根据导则要求，本项目厂界外0.5km矩形范围内大气环境保护目标。</w:t>
            </w:r>
          </w:p>
          <w:p w14:paraId="09D31A0F">
            <w:pPr>
              <w:adjustRightInd w:val="0"/>
              <w:snapToGrid w:val="0"/>
              <w:spacing w:line="360" w:lineRule="auto"/>
              <w:ind w:firstLine="482" w:firstLineChars="200"/>
              <w:rPr>
                <w:b/>
                <w:bCs/>
                <w:kern w:val="0"/>
                <w:sz w:val="24"/>
              </w:rPr>
            </w:pPr>
            <w:r>
              <w:rPr>
                <w:b/>
                <w:bCs/>
                <w:kern w:val="0"/>
                <w:sz w:val="24"/>
              </w:rPr>
              <w:t>2、声环境保护目标</w:t>
            </w:r>
          </w:p>
          <w:p w14:paraId="59E836F6">
            <w:pPr>
              <w:adjustRightInd w:val="0"/>
              <w:snapToGrid w:val="0"/>
              <w:spacing w:line="360" w:lineRule="auto"/>
              <w:ind w:firstLine="480" w:firstLineChars="200"/>
              <w:rPr>
                <w:kern w:val="0"/>
                <w:sz w:val="24"/>
              </w:rPr>
            </w:pPr>
            <w:r>
              <w:rPr>
                <w:kern w:val="0"/>
                <w:sz w:val="24"/>
              </w:rPr>
              <w:t>根据生态环境部办公厅印发的“《建设项目环境影响报告表》内容、格式及编制技术指南的通知”（环办环评[2020]33号）关于声环境保护目标的规定：声环境保护目标调查厂界周边50m范围内噪声敏感点。根据调查，本项目厂界外50米范围内无声环境保护目标。</w:t>
            </w:r>
          </w:p>
          <w:p w14:paraId="0EEAAE91">
            <w:pPr>
              <w:adjustRightInd w:val="0"/>
              <w:snapToGrid w:val="0"/>
              <w:spacing w:line="360" w:lineRule="auto"/>
              <w:ind w:firstLine="482" w:firstLineChars="200"/>
              <w:rPr>
                <w:b/>
                <w:bCs/>
                <w:kern w:val="0"/>
                <w:sz w:val="24"/>
              </w:rPr>
            </w:pPr>
            <w:r>
              <w:rPr>
                <w:b/>
                <w:bCs/>
                <w:kern w:val="0"/>
                <w:sz w:val="24"/>
              </w:rPr>
              <w:t>3、地下水环境保护目标</w:t>
            </w:r>
          </w:p>
          <w:p w14:paraId="7F26E0BF">
            <w:pPr>
              <w:adjustRightInd w:val="0"/>
              <w:snapToGrid w:val="0"/>
              <w:spacing w:line="360" w:lineRule="auto"/>
              <w:ind w:firstLine="480" w:firstLineChars="200"/>
              <w:rPr>
                <w:kern w:val="0"/>
                <w:sz w:val="24"/>
              </w:rPr>
            </w:pPr>
            <w:r>
              <w:rPr>
                <w:kern w:val="0"/>
                <w:sz w:val="24"/>
              </w:rPr>
              <w:t>根据生态环境部办公厅印发的“《建设项目环境影响报告表》内容、格式及编制技术指南的通知”（环办环评[2020]33号）关于地下水环境保护目标的规定：明确厂界外500米范围内的地下水集中式饮用水水源和热水、矿泉水、温泉等特殊地下水资源。根据现场勘察，距离项目厂界500m范围内没有地下水集中式饮用水水源和热水、矿泉水、温泉等特殊地下水资源，即本项目不涉及地下水环境保护目标。</w:t>
            </w:r>
          </w:p>
          <w:p w14:paraId="226CA8F8">
            <w:pPr>
              <w:adjustRightInd w:val="0"/>
              <w:snapToGrid w:val="0"/>
              <w:spacing w:line="360" w:lineRule="auto"/>
              <w:ind w:firstLine="482" w:firstLineChars="200"/>
              <w:rPr>
                <w:b/>
                <w:bCs/>
                <w:kern w:val="0"/>
                <w:sz w:val="24"/>
              </w:rPr>
            </w:pPr>
            <w:r>
              <w:rPr>
                <w:b/>
                <w:bCs/>
                <w:kern w:val="0"/>
                <w:sz w:val="24"/>
              </w:rPr>
              <w:t>4、地表水环境保护目标</w:t>
            </w:r>
          </w:p>
          <w:p w14:paraId="1B259530">
            <w:pPr>
              <w:adjustRightInd w:val="0"/>
              <w:snapToGrid w:val="0"/>
              <w:spacing w:line="360" w:lineRule="auto"/>
              <w:ind w:firstLine="480" w:firstLineChars="200"/>
              <w:rPr>
                <w:kern w:val="0"/>
                <w:sz w:val="24"/>
              </w:rPr>
            </w:pPr>
            <w:r>
              <w:rPr>
                <w:kern w:val="0"/>
                <w:sz w:val="24"/>
              </w:rPr>
              <w:t>根据生态环境部办公厅印发的“《建设项目环境影响报告表》内容、格式及编制技术指南的通知”（环办环评[2020]33号）关于地表水环境保护目标的规定：废水不外排，无需调查水环境保护目标。</w:t>
            </w:r>
          </w:p>
          <w:p w14:paraId="31173A22">
            <w:pPr>
              <w:adjustRightInd w:val="0"/>
              <w:snapToGrid w:val="0"/>
              <w:spacing w:line="360" w:lineRule="auto"/>
              <w:ind w:firstLine="482" w:firstLineChars="200"/>
              <w:rPr>
                <w:b/>
                <w:bCs/>
                <w:kern w:val="0"/>
                <w:sz w:val="24"/>
              </w:rPr>
            </w:pPr>
            <w:r>
              <w:rPr>
                <w:b/>
                <w:bCs/>
                <w:kern w:val="0"/>
                <w:sz w:val="24"/>
              </w:rPr>
              <w:t>5、生态环境保护目标</w:t>
            </w:r>
          </w:p>
          <w:p w14:paraId="1FA2642A">
            <w:pPr>
              <w:adjustRightInd w:val="0"/>
              <w:snapToGrid w:val="0"/>
              <w:spacing w:line="360" w:lineRule="auto"/>
              <w:ind w:firstLine="480" w:firstLineChars="200"/>
              <w:rPr>
                <w:kern w:val="0"/>
                <w:sz w:val="24"/>
              </w:rPr>
            </w:pPr>
            <w:r>
              <w:rPr>
                <w:kern w:val="0"/>
                <w:sz w:val="24"/>
              </w:rPr>
              <w:t>本项目位于云南省德宏州芒市风平镇帕底村委会南相章村民小组，在原有占地范围及厂房内建设，用地范围内不涉及生态环境保护目标。本项目主要保护目标情况见下表。</w:t>
            </w:r>
          </w:p>
          <w:p w14:paraId="45EBF4C1">
            <w:pPr>
              <w:adjustRightInd w:val="0"/>
              <w:snapToGrid w:val="0"/>
              <w:jc w:val="center"/>
              <w:rPr>
                <w:kern w:val="0"/>
                <w:sz w:val="24"/>
              </w:rPr>
            </w:pPr>
            <w:r>
              <w:rPr>
                <w:b/>
                <w:bCs/>
                <w:snapToGrid w:val="0"/>
                <w:kern w:val="0"/>
                <w:sz w:val="24"/>
              </w:rPr>
              <w:t>表3-8  项目主要保护目标及保护级别一览表</w:t>
            </w:r>
            <w:r>
              <w:rPr>
                <w:kern w:val="0"/>
                <w:sz w:val="24"/>
              </w:rPr>
              <w:t xml:space="preserve"> </w:t>
            </w:r>
          </w:p>
          <w:tbl>
            <w:tblPr>
              <w:tblStyle w:val="25"/>
              <w:tblW w:w="9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970"/>
              <w:gridCol w:w="881"/>
              <w:gridCol w:w="910"/>
              <w:gridCol w:w="1178"/>
              <w:gridCol w:w="851"/>
              <w:gridCol w:w="948"/>
              <w:gridCol w:w="1036"/>
              <w:gridCol w:w="1535"/>
            </w:tblGrid>
            <w:tr w14:paraId="5BFE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vMerge w:val="restart"/>
                  <w:vAlign w:val="center"/>
                </w:tcPr>
                <w:p w14:paraId="1C0F37FB">
                  <w:pPr>
                    <w:autoSpaceDE w:val="0"/>
                    <w:autoSpaceDN w:val="0"/>
                    <w:adjustRightInd w:val="0"/>
                    <w:jc w:val="center"/>
                    <w:rPr>
                      <w:szCs w:val="21"/>
                    </w:rPr>
                  </w:pPr>
                  <w:r>
                    <w:rPr>
                      <w:b/>
                      <w:spacing w:val="-10"/>
                      <w:szCs w:val="21"/>
                    </w:rPr>
                    <w:t>环境要素</w:t>
                  </w:r>
                </w:p>
              </w:tc>
              <w:tc>
                <w:tcPr>
                  <w:tcW w:w="970" w:type="dxa"/>
                  <w:vMerge w:val="restart"/>
                  <w:vAlign w:val="center"/>
                </w:tcPr>
                <w:p w14:paraId="0894661A">
                  <w:pPr>
                    <w:autoSpaceDE w:val="0"/>
                    <w:autoSpaceDN w:val="0"/>
                    <w:adjustRightInd w:val="0"/>
                    <w:jc w:val="center"/>
                    <w:rPr>
                      <w:szCs w:val="21"/>
                    </w:rPr>
                  </w:pPr>
                  <w:r>
                    <w:rPr>
                      <w:b/>
                      <w:spacing w:val="-10"/>
                      <w:szCs w:val="21"/>
                    </w:rPr>
                    <w:t>名称</w:t>
                  </w:r>
                </w:p>
              </w:tc>
              <w:tc>
                <w:tcPr>
                  <w:tcW w:w="1791" w:type="dxa"/>
                  <w:gridSpan w:val="2"/>
                  <w:vAlign w:val="center"/>
                </w:tcPr>
                <w:p w14:paraId="16AEC82F">
                  <w:pPr>
                    <w:jc w:val="center"/>
                    <w:rPr>
                      <w:b/>
                      <w:spacing w:val="-10"/>
                      <w:szCs w:val="21"/>
                    </w:rPr>
                  </w:pPr>
                  <w:r>
                    <w:rPr>
                      <w:b/>
                      <w:snapToGrid w:val="0"/>
                      <w:kern w:val="0"/>
                      <w:szCs w:val="21"/>
                    </w:rPr>
                    <w:t>经纬度</w:t>
                  </w:r>
                </w:p>
              </w:tc>
              <w:tc>
                <w:tcPr>
                  <w:tcW w:w="1178" w:type="dxa"/>
                  <w:vMerge w:val="restart"/>
                  <w:vAlign w:val="center"/>
                </w:tcPr>
                <w:p w14:paraId="0FFDB754">
                  <w:pPr>
                    <w:autoSpaceDE w:val="0"/>
                    <w:autoSpaceDN w:val="0"/>
                    <w:adjustRightInd w:val="0"/>
                    <w:jc w:val="center"/>
                    <w:rPr>
                      <w:b/>
                      <w:bCs/>
                      <w:szCs w:val="21"/>
                    </w:rPr>
                  </w:pPr>
                  <w:r>
                    <w:rPr>
                      <w:b/>
                      <w:bCs/>
                      <w:szCs w:val="21"/>
                    </w:rPr>
                    <w:t>保护</w:t>
                  </w:r>
                </w:p>
                <w:p w14:paraId="038F1B19">
                  <w:pPr>
                    <w:autoSpaceDE w:val="0"/>
                    <w:autoSpaceDN w:val="0"/>
                    <w:adjustRightInd w:val="0"/>
                    <w:jc w:val="center"/>
                    <w:rPr>
                      <w:szCs w:val="21"/>
                    </w:rPr>
                  </w:pPr>
                  <w:r>
                    <w:rPr>
                      <w:b/>
                      <w:bCs/>
                      <w:szCs w:val="21"/>
                    </w:rPr>
                    <w:t>内容</w:t>
                  </w:r>
                </w:p>
              </w:tc>
              <w:tc>
                <w:tcPr>
                  <w:tcW w:w="851" w:type="dxa"/>
                  <w:vMerge w:val="restart"/>
                  <w:vAlign w:val="center"/>
                </w:tcPr>
                <w:p w14:paraId="4CBF7E62">
                  <w:pPr>
                    <w:autoSpaceDE w:val="0"/>
                    <w:autoSpaceDN w:val="0"/>
                    <w:adjustRightInd w:val="0"/>
                    <w:jc w:val="center"/>
                    <w:rPr>
                      <w:b/>
                      <w:spacing w:val="-10"/>
                      <w:szCs w:val="21"/>
                    </w:rPr>
                  </w:pPr>
                  <w:r>
                    <w:rPr>
                      <w:b/>
                      <w:spacing w:val="-10"/>
                      <w:szCs w:val="21"/>
                    </w:rPr>
                    <w:t>保护</w:t>
                  </w:r>
                </w:p>
                <w:p w14:paraId="32B5D518">
                  <w:pPr>
                    <w:autoSpaceDE w:val="0"/>
                    <w:autoSpaceDN w:val="0"/>
                    <w:adjustRightInd w:val="0"/>
                    <w:jc w:val="center"/>
                    <w:rPr>
                      <w:szCs w:val="21"/>
                    </w:rPr>
                  </w:pPr>
                  <w:r>
                    <w:rPr>
                      <w:b/>
                      <w:spacing w:val="-10"/>
                      <w:szCs w:val="21"/>
                    </w:rPr>
                    <w:t>对象</w:t>
                  </w:r>
                </w:p>
              </w:tc>
              <w:tc>
                <w:tcPr>
                  <w:tcW w:w="948" w:type="dxa"/>
                  <w:vMerge w:val="restart"/>
                  <w:vAlign w:val="center"/>
                </w:tcPr>
                <w:p w14:paraId="5ADD297C">
                  <w:pPr>
                    <w:autoSpaceDE w:val="0"/>
                    <w:autoSpaceDN w:val="0"/>
                    <w:adjustRightInd w:val="0"/>
                    <w:jc w:val="center"/>
                    <w:rPr>
                      <w:szCs w:val="21"/>
                    </w:rPr>
                  </w:pPr>
                  <w:r>
                    <w:rPr>
                      <w:b/>
                      <w:spacing w:val="-10"/>
                      <w:szCs w:val="21"/>
                    </w:rPr>
                    <w:t>相对厂址方向</w:t>
                  </w:r>
                </w:p>
              </w:tc>
              <w:tc>
                <w:tcPr>
                  <w:tcW w:w="1036" w:type="dxa"/>
                  <w:vMerge w:val="restart"/>
                  <w:vAlign w:val="center"/>
                </w:tcPr>
                <w:p w14:paraId="2746CD98">
                  <w:pPr>
                    <w:autoSpaceDE w:val="0"/>
                    <w:autoSpaceDN w:val="0"/>
                    <w:adjustRightInd w:val="0"/>
                    <w:jc w:val="center"/>
                    <w:rPr>
                      <w:b/>
                      <w:spacing w:val="-10"/>
                      <w:szCs w:val="21"/>
                    </w:rPr>
                  </w:pPr>
                  <w:r>
                    <w:rPr>
                      <w:b/>
                      <w:spacing w:val="-10"/>
                      <w:szCs w:val="21"/>
                    </w:rPr>
                    <w:t>相对厂界距离/m</w:t>
                  </w:r>
                </w:p>
              </w:tc>
              <w:tc>
                <w:tcPr>
                  <w:tcW w:w="1535" w:type="dxa"/>
                  <w:vMerge w:val="restart"/>
                  <w:vAlign w:val="center"/>
                </w:tcPr>
                <w:p w14:paraId="6BE96DC5">
                  <w:pPr>
                    <w:autoSpaceDE w:val="0"/>
                    <w:autoSpaceDN w:val="0"/>
                    <w:adjustRightInd w:val="0"/>
                    <w:jc w:val="center"/>
                    <w:rPr>
                      <w:b/>
                      <w:spacing w:val="-10"/>
                      <w:szCs w:val="21"/>
                    </w:rPr>
                  </w:pPr>
                  <w:r>
                    <w:rPr>
                      <w:b/>
                      <w:spacing w:val="-10"/>
                      <w:szCs w:val="21"/>
                    </w:rPr>
                    <w:t>保护级别</w:t>
                  </w:r>
                </w:p>
              </w:tc>
            </w:tr>
            <w:tr w14:paraId="5C91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vMerge w:val="continue"/>
                  <w:vAlign w:val="center"/>
                </w:tcPr>
                <w:p w14:paraId="1768A6A5">
                  <w:pPr>
                    <w:autoSpaceDE w:val="0"/>
                    <w:autoSpaceDN w:val="0"/>
                    <w:adjustRightInd w:val="0"/>
                    <w:jc w:val="center"/>
                    <w:rPr>
                      <w:szCs w:val="21"/>
                    </w:rPr>
                  </w:pPr>
                </w:p>
              </w:tc>
              <w:tc>
                <w:tcPr>
                  <w:tcW w:w="970" w:type="dxa"/>
                  <w:vMerge w:val="continue"/>
                  <w:vAlign w:val="center"/>
                </w:tcPr>
                <w:p w14:paraId="3C099A2C">
                  <w:pPr>
                    <w:autoSpaceDE w:val="0"/>
                    <w:autoSpaceDN w:val="0"/>
                    <w:adjustRightInd w:val="0"/>
                    <w:jc w:val="center"/>
                    <w:rPr>
                      <w:szCs w:val="21"/>
                    </w:rPr>
                  </w:pPr>
                </w:p>
              </w:tc>
              <w:tc>
                <w:tcPr>
                  <w:tcW w:w="881" w:type="dxa"/>
                  <w:vAlign w:val="center"/>
                </w:tcPr>
                <w:p w14:paraId="403F23FC">
                  <w:pPr>
                    <w:jc w:val="center"/>
                    <w:rPr>
                      <w:b/>
                      <w:i/>
                      <w:iCs/>
                      <w:spacing w:val="-10"/>
                      <w:szCs w:val="21"/>
                    </w:rPr>
                  </w:pPr>
                  <w:r>
                    <w:rPr>
                      <w:b/>
                      <w:snapToGrid w:val="0"/>
                      <w:kern w:val="0"/>
                      <w:szCs w:val="21"/>
                    </w:rPr>
                    <w:t>经度</w:t>
                  </w:r>
                </w:p>
              </w:tc>
              <w:tc>
                <w:tcPr>
                  <w:tcW w:w="910" w:type="dxa"/>
                  <w:vAlign w:val="center"/>
                </w:tcPr>
                <w:p w14:paraId="3DB2E198">
                  <w:pPr>
                    <w:jc w:val="center"/>
                    <w:rPr>
                      <w:b/>
                      <w:i/>
                      <w:iCs/>
                      <w:spacing w:val="-10"/>
                      <w:szCs w:val="21"/>
                    </w:rPr>
                  </w:pPr>
                  <w:r>
                    <w:rPr>
                      <w:b/>
                      <w:snapToGrid w:val="0"/>
                      <w:kern w:val="0"/>
                      <w:szCs w:val="21"/>
                    </w:rPr>
                    <w:t>纬度</w:t>
                  </w:r>
                </w:p>
              </w:tc>
              <w:tc>
                <w:tcPr>
                  <w:tcW w:w="1178" w:type="dxa"/>
                  <w:vMerge w:val="continue"/>
                  <w:vAlign w:val="center"/>
                </w:tcPr>
                <w:p w14:paraId="678E8B45">
                  <w:pPr>
                    <w:autoSpaceDE w:val="0"/>
                    <w:autoSpaceDN w:val="0"/>
                    <w:adjustRightInd w:val="0"/>
                    <w:jc w:val="center"/>
                    <w:rPr>
                      <w:b/>
                      <w:spacing w:val="-10"/>
                      <w:szCs w:val="21"/>
                    </w:rPr>
                  </w:pPr>
                </w:p>
              </w:tc>
              <w:tc>
                <w:tcPr>
                  <w:tcW w:w="851" w:type="dxa"/>
                  <w:vMerge w:val="continue"/>
                  <w:vAlign w:val="center"/>
                </w:tcPr>
                <w:p w14:paraId="39845EAF">
                  <w:pPr>
                    <w:autoSpaceDE w:val="0"/>
                    <w:autoSpaceDN w:val="0"/>
                    <w:adjustRightInd w:val="0"/>
                    <w:jc w:val="center"/>
                    <w:rPr>
                      <w:b/>
                      <w:spacing w:val="-10"/>
                      <w:szCs w:val="21"/>
                    </w:rPr>
                  </w:pPr>
                </w:p>
              </w:tc>
              <w:tc>
                <w:tcPr>
                  <w:tcW w:w="948" w:type="dxa"/>
                  <w:vMerge w:val="continue"/>
                  <w:vAlign w:val="center"/>
                </w:tcPr>
                <w:p w14:paraId="6794EF36">
                  <w:pPr>
                    <w:autoSpaceDE w:val="0"/>
                    <w:autoSpaceDN w:val="0"/>
                    <w:adjustRightInd w:val="0"/>
                    <w:jc w:val="center"/>
                    <w:rPr>
                      <w:b/>
                      <w:spacing w:val="-10"/>
                      <w:szCs w:val="21"/>
                    </w:rPr>
                  </w:pPr>
                </w:p>
              </w:tc>
              <w:tc>
                <w:tcPr>
                  <w:tcW w:w="1036" w:type="dxa"/>
                  <w:vMerge w:val="continue"/>
                  <w:vAlign w:val="center"/>
                </w:tcPr>
                <w:p w14:paraId="1B00402C">
                  <w:pPr>
                    <w:autoSpaceDE w:val="0"/>
                    <w:autoSpaceDN w:val="0"/>
                    <w:adjustRightInd w:val="0"/>
                    <w:jc w:val="center"/>
                    <w:rPr>
                      <w:b/>
                      <w:spacing w:val="-10"/>
                      <w:szCs w:val="21"/>
                    </w:rPr>
                  </w:pPr>
                </w:p>
              </w:tc>
              <w:tc>
                <w:tcPr>
                  <w:tcW w:w="1535" w:type="dxa"/>
                  <w:vMerge w:val="continue"/>
                  <w:vAlign w:val="center"/>
                </w:tcPr>
                <w:p w14:paraId="7392AEE5">
                  <w:pPr>
                    <w:autoSpaceDE w:val="0"/>
                    <w:autoSpaceDN w:val="0"/>
                    <w:adjustRightInd w:val="0"/>
                    <w:jc w:val="center"/>
                    <w:rPr>
                      <w:b/>
                      <w:spacing w:val="-10"/>
                      <w:szCs w:val="21"/>
                    </w:rPr>
                  </w:pPr>
                </w:p>
              </w:tc>
            </w:tr>
            <w:tr w14:paraId="2FB9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863" w:type="dxa"/>
                  <w:vAlign w:val="center"/>
                </w:tcPr>
                <w:p w14:paraId="24D50FA4">
                  <w:pPr>
                    <w:autoSpaceDE w:val="0"/>
                    <w:autoSpaceDN w:val="0"/>
                    <w:adjustRightInd w:val="0"/>
                    <w:jc w:val="center"/>
                    <w:rPr>
                      <w:spacing w:val="-10"/>
                      <w:szCs w:val="21"/>
                    </w:rPr>
                  </w:pPr>
                  <w:r>
                    <w:rPr>
                      <w:spacing w:val="-10"/>
                      <w:szCs w:val="21"/>
                    </w:rPr>
                    <w:t>大气环境</w:t>
                  </w:r>
                </w:p>
              </w:tc>
              <w:tc>
                <w:tcPr>
                  <w:tcW w:w="970" w:type="dxa"/>
                  <w:vAlign w:val="center"/>
                </w:tcPr>
                <w:p w14:paraId="0115833C">
                  <w:pPr>
                    <w:jc w:val="center"/>
                    <w:rPr>
                      <w:spacing w:val="-10"/>
                      <w:szCs w:val="21"/>
                    </w:rPr>
                  </w:pPr>
                  <w:r>
                    <w:rPr>
                      <w:snapToGrid w:val="0"/>
                      <w:kern w:val="0"/>
                      <w:szCs w:val="21"/>
                    </w:rPr>
                    <w:t>南相章村</w:t>
                  </w:r>
                </w:p>
              </w:tc>
              <w:tc>
                <w:tcPr>
                  <w:tcW w:w="881" w:type="dxa"/>
                  <w:vAlign w:val="center"/>
                </w:tcPr>
                <w:p w14:paraId="702AD6F8">
                  <w:pPr>
                    <w:jc w:val="center"/>
                  </w:pPr>
                  <w:r>
                    <w:t>98°28'</w:t>
                  </w:r>
                </w:p>
                <w:p w14:paraId="6B518FBF">
                  <w:pPr>
                    <w:jc w:val="center"/>
                    <w:rPr>
                      <w:spacing w:val="-10"/>
                      <w:szCs w:val="21"/>
                    </w:rPr>
                  </w:pPr>
                  <w:r>
                    <w:t>35.912"</w:t>
                  </w:r>
                </w:p>
              </w:tc>
              <w:tc>
                <w:tcPr>
                  <w:tcW w:w="910" w:type="dxa"/>
                  <w:vAlign w:val="center"/>
                </w:tcPr>
                <w:p w14:paraId="1F6E7889">
                  <w:pPr>
                    <w:jc w:val="center"/>
                    <w:rPr>
                      <w:spacing w:val="-10"/>
                      <w:szCs w:val="21"/>
                    </w:rPr>
                  </w:pPr>
                  <w:r>
                    <w:rPr>
                      <w:spacing w:val="-10"/>
                      <w:szCs w:val="21"/>
                    </w:rPr>
                    <w:t>24°20'</w:t>
                  </w:r>
                </w:p>
                <w:p w14:paraId="0A1A3562">
                  <w:pPr>
                    <w:jc w:val="center"/>
                    <w:rPr>
                      <w:spacing w:val="-10"/>
                      <w:szCs w:val="21"/>
                    </w:rPr>
                  </w:pPr>
                  <w:r>
                    <w:rPr>
                      <w:spacing w:val="-10"/>
                      <w:szCs w:val="21"/>
                    </w:rPr>
                    <w:t>24.543"</w:t>
                  </w:r>
                </w:p>
              </w:tc>
              <w:tc>
                <w:tcPr>
                  <w:tcW w:w="1178" w:type="dxa"/>
                  <w:vAlign w:val="center"/>
                </w:tcPr>
                <w:p w14:paraId="3A13F072">
                  <w:pPr>
                    <w:jc w:val="center"/>
                    <w:rPr>
                      <w:spacing w:val="-10"/>
                      <w:szCs w:val="21"/>
                    </w:rPr>
                  </w:pPr>
                  <w:r>
                    <w:rPr>
                      <w:spacing w:val="-10"/>
                      <w:szCs w:val="21"/>
                    </w:rPr>
                    <w:t>居民区</w:t>
                  </w:r>
                </w:p>
              </w:tc>
              <w:tc>
                <w:tcPr>
                  <w:tcW w:w="851" w:type="dxa"/>
                  <w:vAlign w:val="center"/>
                </w:tcPr>
                <w:p w14:paraId="11E54D00">
                  <w:pPr>
                    <w:jc w:val="center"/>
                    <w:rPr>
                      <w:spacing w:val="-10"/>
                      <w:szCs w:val="21"/>
                    </w:rPr>
                  </w:pPr>
                  <w:r>
                    <w:rPr>
                      <w:spacing w:val="-10"/>
                      <w:szCs w:val="21"/>
                    </w:rPr>
                    <w:t>220人</w:t>
                  </w:r>
                </w:p>
              </w:tc>
              <w:tc>
                <w:tcPr>
                  <w:tcW w:w="948" w:type="dxa"/>
                  <w:vAlign w:val="center"/>
                </w:tcPr>
                <w:p w14:paraId="2EB69F57">
                  <w:pPr>
                    <w:jc w:val="center"/>
                    <w:rPr>
                      <w:spacing w:val="-10"/>
                      <w:szCs w:val="21"/>
                    </w:rPr>
                  </w:pPr>
                  <w:r>
                    <w:rPr>
                      <w:snapToGrid w:val="0"/>
                      <w:kern w:val="0"/>
                      <w:szCs w:val="21"/>
                    </w:rPr>
                    <w:t>南侧</w:t>
                  </w:r>
                </w:p>
              </w:tc>
              <w:tc>
                <w:tcPr>
                  <w:tcW w:w="1036" w:type="dxa"/>
                  <w:vAlign w:val="center"/>
                </w:tcPr>
                <w:p w14:paraId="442DD218">
                  <w:pPr>
                    <w:jc w:val="center"/>
                    <w:rPr>
                      <w:spacing w:val="-10"/>
                      <w:szCs w:val="21"/>
                    </w:rPr>
                  </w:pPr>
                  <w:r>
                    <w:rPr>
                      <w:snapToGrid w:val="0"/>
                      <w:kern w:val="0"/>
                      <w:szCs w:val="21"/>
                    </w:rPr>
                    <w:t>218</w:t>
                  </w:r>
                </w:p>
              </w:tc>
              <w:tc>
                <w:tcPr>
                  <w:tcW w:w="1535" w:type="dxa"/>
                  <w:vAlign w:val="center"/>
                </w:tcPr>
                <w:p w14:paraId="231AC066">
                  <w:pPr>
                    <w:jc w:val="center"/>
                    <w:rPr>
                      <w:spacing w:val="-10"/>
                      <w:szCs w:val="21"/>
                    </w:rPr>
                  </w:pPr>
                  <w:r>
                    <w:rPr>
                      <w:spacing w:val="-10"/>
                      <w:szCs w:val="21"/>
                    </w:rPr>
                    <w:t>《环境空气质量标准》（GB3095-2012） 中的二级标准</w:t>
                  </w:r>
                </w:p>
              </w:tc>
            </w:tr>
            <w:tr w14:paraId="701A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863" w:type="dxa"/>
                  <w:vAlign w:val="center"/>
                </w:tcPr>
                <w:p w14:paraId="61D3BF61">
                  <w:pPr>
                    <w:jc w:val="center"/>
                    <w:rPr>
                      <w:spacing w:val="-10"/>
                      <w:szCs w:val="21"/>
                    </w:rPr>
                  </w:pPr>
                  <w:r>
                    <w:rPr>
                      <w:spacing w:val="-10"/>
                      <w:szCs w:val="21"/>
                    </w:rPr>
                    <w:t>地表水环境</w:t>
                  </w:r>
                </w:p>
              </w:tc>
              <w:tc>
                <w:tcPr>
                  <w:tcW w:w="970" w:type="dxa"/>
                  <w:vAlign w:val="center"/>
                </w:tcPr>
                <w:p w14:paraId="7540CD4D">
                  <w:pPr>
                    <w:jc w:val="center"/>
                    <w:rPr>
                      <w:spacing w:val="-10"/>
                      <w:szCs w:val="21"/>
                    </w:rPr>
                  </w:pPr>
                  <w:r>
                    <w:rPr>
                      <w:spacing w:val="-10"/>
                      <w:szCs w:val="21"/>
                    </w:rPr>
                    <w:t>芒市大河</w:t>
                  </w:r>
                </w:p>
              </w:tc>
              <w:tc>
                <w:tcPr>
                  <w:tcW w:w="881" w:type="dxa"/>
                  <w:vAlign w:val="center"/>
                </w:tcPr>
                <w:p w14:paraId="6F68B6DD">
                  <w:pPr>
                    <w:jc w:val="center"/>
                    <w:rPr>
                      <w:szCs w:val="21"/>
                    </w:rPr>
                  </w:pPr>
                  <w:r>
                    <w:rPr>
                      <w:snapToGrid w:val="0"/>
                      <w:kern w:val="0"/>
                      <w:szCs w:val="21"/>
                    </w:rPr>
                    <w:t>/</w:t>
                  </w:r>
                </w:p>
              </w:tc>
              <w:tc>
                <w:tcPr>
                  <w:tcW w:w="910" w:type="dxa"/>
                  <w:vAlign w:val="center"/>
                </w:tcPr>
                <w:p w14:paraId="434F0B51">
                  <w:pPr>
                    <w:jc w:val="center"/>
                    <w:rPr>
                      <w:szCs w:val="21"/>
                    </w:rPr>
                  </w:pPr>
                  <w:r>
                    <w:rPr>
                      <w:snapToGrid w:val="0"/>
                      <w:kern w:val="0"/>
                      <w:szCs w:val="21"/>
                    </w:rPr>
                    <w:t>/</w:t>
                  </w:r>
                </w:p>
              </w:tc>
              <w:tc>
                <w:tcPr>
                  <w:tcW w:w="1178" w:type="dxa"/>
                  <w:vAlign w:val="center"/>
                </w:tcPr>
                <w:p w14:paraId="7BA9009E">
                  <w:pPr>
                    <w:jc w:val="center"/>
                    <w:rPr>
                      <w:szCs w:val="21"/>
                    </w:rPr>
                  </w:pPr>
                  <w:r>
                    <w:rPr>
                      <w:szCs w:val="21"/>
                    </w:rPr>
                    <w:t>地表水</w:t>
                  </w:r>
                </w:p>
              </w:tc>
              <w:tc>
                <w:tcPr>
                  <w:tcW w:w="851" w:type="dxa"/>
                  <w:vAlign w:val="center"/>
                </w:tcPr>
                <w:p w14:paraId="36D21F66">
                  <w:pPr>
                    <w:autoSpaceDE w:val="0"/>
                    <w:autoSpaceDN w:val="0"/>
                    <w:adjustRightInd w:val="0"/>
                    <w:jc w:val="center"/>
                    <w:rPr>
                      <w:spacing w:val="-10"/>
                      <w:szCs w:val="21"/>
                    </w:rPr>
                  </w:pPr>
                  <w:r>
                    <w:rPr>
                      <w:spacing w:val="-10"/>
                      <w:szCs w:val="21"/>
                    </w:rPr>
                    <w:t>河流</w:t>
                  </w:r>
                </w:p>
              </w:tc>
              <w:tc>
                <w:tcPr>
                  <w:tcW w:w="948" w:type="dxa"/>
                  <w:vAlign w:val="center"/>
                </w:tcPr>
                <w:p w14:paraId="5CF6F09C">
                  <w:pPr>
                    <w:jc w:val="center"/>
                    <w:rPr>
                      <w:snapToGrid w:val="0"/>
                      <w:kern w:val="0"/>
                      <w:szCs w:val="21"/>
                    </w:rPr>
                  </w:pPr>
                  <w:r>
                    <w:rPr>
                      <w:snapToGrid w:val="0"/>
                      <w:kern w:val="0"/>
                      <w:szCs w:val="21"/>
                    </w:rPr>
                    <w:t>北侧</w:t>
                  </w:r>
                </w:p>
              </w:tc>
              <w:tc>
                <w:tcPr>
                  <w:tcW w:w="1036" w:type="dxa"/>
                  <w:vAlign w:val="center"/>
                </w:tcPr>
                <w:p w14:paraId="613F6A45">
                  <w:pPr>
                    <w:jc w:val="center"/>
                    <w:rPr>
                      <w:snapToGrid w:val="0"/>
                      <w:kern w:val="0"/>
                      <w:szCs w:val="21"/>
                    </w:rPr>
                  </w:pPr>
                  <w:r>
                    <w:rPr>
                      <w:snapToGrid w:val="0"/>
                      <w:kern w:val="0"/>
                      <w:szCs w:val="21"/>
                    </w:rPr>
                    <w:t>4700</w:t>
                  </w:r>
                </w:p>
              </w:tc>
              <w:tc>
                <w:tcPr>
                  <w:tcW w:w="1535" w:type="dxa"/>
                  <w:vAlign w:val="center"/>
                </w:tcPr>
                <w:p w14:paraId="4F8D33CF">
                  <w:pPr>
                    <w:jc w:val="center"/>
                    <w:rPr>
                      <w:spacing w:val="-10"/>
                      <w:szCs w:val="21"/>
                    </w:rPr>
                  </w:pPr>
                  <w:r>
                    <w:rPr>
                      <w:szCs w:val="21"/>
                    </w:rPr>
                    <w:t>GB3838-2002《地表水环境质量》III类标准</w:t>
                  </w:r>
                </w:p>
              </w:tc>
            </w:tr>
            <w:tr w14:paraId="303F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vAlign w:val="center"/>
                </w:tcPr>
                <w:p w14:paraId="16DB4446">
                  <w:pPr>
                    <w:autoSpaceDE w:val="0"/>
                    <w:autoSpaceDN w:val="0"/>
                    <w:adjustRightInd w:val="0"/>
                    <w:jc w:val="center"/>
                    <w:rPr>
                      <w:spacing w:val="-10"/>
                      <w:szCs w:val="21"/>
                    </w:rPr>
                  </w:pPr>
                  <w:r>
                    <w:rPr>
                      <w:spacing w:val="-10"/>
                      <w:szCs w:val="21"/>
                    </w:rPr>
                    <w:t>声环境</w:t>
                  </w:r>
                </w:p>
              </w:tc>
              <w:tc>
                <w:tcPr>
                  <w:tcW w:w="8309" w:type="dxa"/>
                  <w:gridSpan w:val="8"/>
                  <w:vAlign w:val="center"/>
                </w:tcPr>
                <w:p w14:paraId="02D1FE9F">
                  <w:pPr>
                    <w:jc w:val="center"/>
                    <w:rPr>
                      <w:spacing w:val="-10"/>
                      <w:szCs w:val="21"/>
                    </w:rPr>
                  </w:pPr>
                  <w:r>
                    <w:rPr>
                      <w:spacing w:val="-10"/>
                      <w:szCs w:val="21"/>
                    </w:rPr>
                    <w:t>本项目厂界50m范围内无声环境保护目标</w:t>
                  </w:r>
                </w:p>
              </w:tc>
            </w:tr>
            <w:tr w14:paraId="1A7B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vAlign w:val="center"/>
                </w:tcPr>
                <w:p w14:paraId="2E87D1DB">
                  <w:pPr>
                    <w:autoSpaceDE w:val="0"/>
                    <w:autoSpaceDN w:val="0"/>
                    <w:adjustRightInd w:val="0"/>
                    <w:jc w:val="center"/>
                    <w:rPr>
                      <w:spacing w:val="-10"/>
                      <w:szCs w:val="21"/>
                    </w:rPr>
                  </w:pPr>
                  <w:r>
                    <w:rPr>
                      <w:spacing w:val="-10"/>
                      <w:szCs w:val="21"/>
                    </w:rPr>
                    <w:t>地下水环境</w:t>
                  </w:r>
                </w:p>
              </w:tc>
              <w:tc>
                <w:tcPr>
                  <w:tcW w:w="8309" w:type="dxa"/>
                  <w:gridSpan w:val="8"/>
                  <w:vAlign w:val="center"/>
                </w:tcPr>
                <w:p w14:paraId="6A7427EC">
                  <w:pPr>
                    <w:jc w:val="center"/>
                    <w:rPr>
                      <w:spacing w:val="-10"/>
                      <w:szCs w:val="21"/>
                    </w:rPr>
                  </w:pPr>
                  <w:r>
                    <w:rPr>
                      <w:spacing w:val="-10"/>
                      <w:szCs w:val="21"/>
                    </w:rPr>
                    <w:t>本项目厂界500米范围内无地下水集中式饮用水水源和热水、矿泉水、温泉等特殊地下水资源</w:t>
                  </w:r>
                </w:p>
              </w:tc>
            </w:tr>
            <w:tr w14:paraId="771E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vAlign w:val="center"/>
                </w:tcPr>
                <w:p w14:paraId="133301A7">
                  <w:pPr>
                    <w:autoSpaceDE w:val="0"/>
                    <w:autoSpaceDN w:val="0"/>
                    <w:adjustRightInd w:val="0"/>
                    <w:jc w:val="center"/>
                    <w:rPr>
                      <w:spacing w:val="-10"/>
                      <w:szCs w:val="21"/>
                    </w:rPr>
                  </w:pPr>
                  <w:r>
                    <w:rPr>
                      <w:spacing w:val="-10"/>
                      <w:szCs w:val="21"/>
                    </w:rPr>
                    <w:t>生态环境</w:t>
                  </w:r>
                </w:p>
              </w:tc>
              <w:tc>
                <w:tcPr>
                  <w:tcW w:w="8309" w:type="dxa"/>
                  <w:gridSpan w:val="8"/>
                  <w:vAlign w:val="center"/>
                </w:tcPr>
                <w:p w14:paraId="1CE5B345">
                  <w:pPr>
                    <w:jc w:val="center"/>
                    <w:rPr>
                      <w:spacing w:val="-10"/>
                      <w:szCs w:val="21"/>
                    </w:rPr>
                  </w:pPr>
                  <w:r>
                    <w:rPr>
                      <w:spacing w:val="-10"/>
                      <w:szCs w:val="21"/>
                    </w:rPr>
                    <w:t>在原有闲置占地范围内建设，用地范围内不涉及生态环境保护目标</w:t>
                  </w:r>
                </w:p>
              </w:tc>
            </w:tr>
          </w:tbl>
          <w:p w14:paraId="0567A65C">
            <w:pPr>
              <w:adjustRightInd w:val="0"/>
              <w:snapToGrid w:val="0"/>
              <w:spacing w:line="360" w:lineRule="auto"/>
              <w:ind w:firstLine="480" w:firstLineChars="200"/>
              <w:rPr>
                <w:kern w:val="0"/>
                <w:sz w:val="24"/>
              </w:rPr>
            </w:pPr>
          </w:p>
        </w:tc>
      </w:tr>
      <w:tr w14:paraId="4FCAE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77" w:hRule="atLeast"/>
          <w:jc w:val="center"/>
        </w:trPr>
        <w:tc>
          <w:tcPr>
            <w:tcW w:w="457" w:type="dxa"/>
            <w:vAlign w:val="center"/>
          </w:tcPr>
          <w:p w14:paraId="2D482C80">
            <w:pPr>
              <w:adjustRightInd w:val="0"/>
              <w:snapToGrid w:val="0"/>
              <w:jc w:val="center"/>
              <w:rPr>
                <w:b/>
                <w:bCs/>
                <w:kern w:val="0"/>
                <w:sz w:val="24"/>
              </w:rPr>
            </w:pPr>
            <w:r>
              <w:rPr>
                <w:b/>
                <w:bCs/>
                <w:kern w:val="0"/>
                <w:sz w:val="24"/>
              </w:rPr>
              <w:t>环境质量标准</w:t>
            </w:r>
          </w:p>
        </w:tc>
        <w:tc>
          <w:tcPr>
            <w:tcW w:w="9398" w:type="dxa"/>
            <w:vAlign w:val="center"/>
          </w:tcPr>
          <w:p w14:paraId="487CC4F5">
            <w:pPr>
              <w:spacing w:line="360" w:lineRule="auto"/>
              <w:ind w:firstLine="482" w:firstLineChars="200"/>
              <w:rPr>
                <w:b/>
                <w:sz w:val="24"/>
              </w:rPr>
            </w:pPr>
            <w:r>
              <w:rPr>
                <w:b/>
                <w:sz w:val="24"/>
              </w:rPr>
              <w:t>1、环境质量标准</w:t>
            </w:r>
          </w:p>
          <w:p w14:paraId="06BE3833">
            <w:pPr>
              <w:spacing w:line="360" w:lineRule="auto"/>
              <w:ind w:firstLine="482" w:firstLineChars="200"/>
              <w:rPr>
                <w:spacing w:val="-4"/>
                <w:sz w:val="24"/>
              </w:rPr>
            </w:pPr>
            <w:r>
              <w:rPr>
                <w:b/>
                <w:sz w:val="24"/>
              </w:rPr>
              <w:t>1.1环境空气质量标准</w:t>
            </w:r>
          </w:p>
          <w:p w14:paraId="33CC9432">
            <w:pPr>
              <w:adjustRightInd w:val="0"/>
              <w:snapToGrid w:val="0"/>
              <w:spacing w:line="360" w:lineRule="auto"/>
              <w:ind w:firstLine="480" w:firstLineChars="200"/>
              <w:jc w:val="left"/>
              <w:rPr>
                <w:sz w:val="24"/>
                <w:szCs w:val="20"/>
              </w:rPr>
            </w:pPr>
            <w:r>
              <w:rPr>
                <w:sz w:val="24"/>
                <w:szCs w:val="20"/>
              </w:rPr>
              <w:t>项目区所在地功能区划属于环境空气质量二类区，项目区所在地功能区划属于环境空气质量二类区，环境空气中 SO</w:t>
            </w:r>
            <w:r>
              <w:rPr>
                <w:sz w:val="24"/>
                <w:szCs w:val="20"/>
                <w:vertAlign w:val="subscript"/>
              </w:rPr>
              <w:t>2</w:t>
            </w:r>
            <w:r>
              <w:rPr>
                <w:sz w:val="24"/>
                <w:szCs w:val="20"/>
              </w:rPr>
              <w:t>、NO</w:t>
            </w:r>
            <w:r>
              <w:rPr>
                <w:sz w:val="24"/>
                <w:szCs w:val="20"/>
                <w:vertAlign w:val="subscript"/>
              </w:rPr>
              <w:t>2</w:t>
            </w:r>
            <w:r>
              <w:rPr>
                <w:sz w:val="24"/>
                <w:szCs w:val="20"/>
              </w:rPr>
              <w:t>、CO、O</w:t>
            </w:r>
            <w:r>
              <w:rPr>
                <w:sz w:val="24"/>
                <w:szCs w:val="20"/>
                <w:vertAlign w:val="subscript"/>
              </w:rPr>
              <w:t>3</w:t>
            </w:r>
            <w:r>
              <w:rPr>
                <w:sz w:val="24"/>
                <w:szCs w:val="20"/>
              </w:rPr>
              <w:t>、TSP、PM</w:t>
            </w:r>
            <w:r>
              <w:rPr>
                <w:sz w:val="24"/>
                <w:szCs w:val="20"/>
                <w:vertAlign w:val="subscript"/>
              </w:rPr>
              <w:t>10</w:t>
            </w:r>
            <w:r>
              <w:rPr>
                <w:sz w:val="24"/>
                <w:szCs w:val="20"/>
              </w:rPr>
              <w:t>、PM</w:t>
            </w:r>
            <w:r>
              <w:rPr>
                <w:sz w:val="24"/>
                <w:szCs w:val="20"/>
                <w:vertAlign w:val="subscript"/>
              </w:rPr>
              <w:t>2.5</w:t>
            </w:r>
            <w:r>
              <w:rPr>
                <w:sz w:val="24"/>
                <w:szCs w:val="20"/>
              </w:rPr>
              <w:t>、氟化物执行《环境空气质量标准》（GB3095-2012） 中的二级标准。</w:t>
            </w:r>
          </w:p>
          <w:p w14:paraId="7C059A39">
            <w:pPr>
              <w:tabs>
                <w:tab w:val="left" w:pos="2715"/>
                <w:tab w:val="center" w:pos="4535"/>
              </w:tabs>
              <w:adjustRightInd w:val="0"/>
              <w:snapToGrid w:val="0"/>
              <w:jc w:val="center"/>
              <w:rPr>
                <w:b/>
                <w:bCs/>
                <w:sz w:val="24"/>
              </w:rPr>
            </w:pPr>
            <w:r>
              <w:rPr>
                <w:b/>
                <w:bCs/>
                <w:sz w:val="24"/>
              </w:rPr>
              <w:t>表3-9  环境空气质量评价标准</w:t>
            </w:r>
          </w:p>
          <w:tbl>
            <w:tblPr>
              <w:tblStyle w:val="25"/>
              <w:tblW w:w="91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4"/>
              <w:gridCol w:w="1563"/>
              <w:gridCol w:w="2088"/>
              <w:gridCol w:w="2280"/>
              <w:gridCol w:w="1147"/>
            </w:tblGrid>
            <w:tr w14:paraId="45573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Align w:val="center"/>
                </w:tcPr>
                <w:p w14:paraId="573AC162">
                  <w:pPr>
                    <w:autoSpaceDE w:val="0"/>
                    <w:autoSpaceDN w:val="0"/>
                    <w:adjustRightInd w:val="0"/>
                    <w:snapToGrid w:val="0"/>
                    <w:jc w:val="center"/>
                    <w:rPr>
                      <w:bCs/>
                      <w:szCs w:val="21"/>
                      <w:lang w:eastAsia="en-US"/>
                    </w:rPr>
                  </w:pPr>
                  <w:r>
                    <w:rPr>
                      <w:bCs/>
                      <w:szCs w:val="21"/>
                      <w:lang w:eastAsia="en-US"/>
                    </w:rPr>
                    <w:t>执行标准</w:t>
                  </w:r>
                </w:p>
              </w:tc>
              <w:tc>
                <w:tcPr>
                  <w:tcW w:w="3651" w:type="dxa"/>
                  <w:gridSpan w:val="2"/>
                  <w:vAlign w:val="center"/>
                </w:tcPr>
                <w:p w14:paraId="3BA2D370">
                  <w:pPr>
                    <w:autoSpaceDE w:val="0"/>
                    <w:autoSpaceDN w:val="0"/>
                    <w:adjustRightInd w:val="0"/>
                    <w:snapToGrid w:val="0"/>
                    <w:jc w:val="center"/>
                    <w:rPr>
                      <w:bCs/>
                      <w:szCs w:val="21"/>
                      <w:lang w:eastAsia="en-US"/>
                    </w:rPr>
                  </w:pPr>
                  <w:r>
                    <w:rPr>
                      <w:bCs/>
                      <w:szCs w:val="21"/>
                      <w:lang w:eastAsia="en-US"/>
                    </w:rPr>
                    <w:t>污染物</w:t>
                  </w:r>
                </w:p>
              </w:tc>
              <w:tc>
                <w:tcPr>
                  <w:tcW w:w="2280" w:type="dxa"/>
                  <w:vAlign w:val="center"/>
                </w:tcPr>
                <w:p w14:paraId="730EE4BB">
                  <w:pPr>
                    <w:autoSpaceDE w:val="0"/>
                    <w:autoSpaceDN w:val="0"/>
                    <w:adjustRightInd w:val="0"/>
                    <w:snapToGrid w:val="0"/>
                    <w:jc w:val="center"/>
                    <w:rPr>
                      <w:bCs/>
                      <w:szCs w:val="21"/>
                      <w:lang w:eastAsia="en-US"/>
                    </w:rPr>
                  </w:pPr>
                  <w:r>
                    <w:rPr>
                      <w:bCs/>
                      <w:szCs w:val="21"/>
                      <w:lang w:eastAsia="en-US"/>
                    </w:rPr>
                    <w:t>标准值</w:t>
                  </w:r>
                </w:p>
              </w:tc>
              <w:tc>
                <w:tcPr>
                  <w:tcW w:w="1147" w:type="dxa"/>
                  <w:vAlign w:val="center"/>
                </w:tcPr>
                <w:p w14:paraId="221F6EDE">
                  <w:pPr>
                    <w:autoSpaceDE w:val="0"/>
                    <w:autoSpaceDN w:val="0"/>
                    <w:adjustRightInd w:val="0"/>
                    <w:snapToGrid w:val="0"/>
                    <w:jc w:val="center"/>
                    <w:rPr>
                      <w:bCs/>
                      <w:szCs w:val="21"/>
                      <w:lang w:eastAsia="en-US"/>
                    </w:rPr>
                  </w:pPr>
                  <w:r>
                    <w:rPr>
                      <w:bCs/>
                      <w:szCs w:val="21"/>
                      <w:lang w:eastAsia="en-US"/>
                    </w:rPr>
                    <w:t>单位</w:t>
                  </w:r>
                </w:p>
              </w:tc>
            </w:tr>
            <w:tr w14:paraId="4EE19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restart"/>
                  <w:vAlign w:val="center"/>
                </w:tcPr>
                <w:p w14:paraId="2D473B79">
                  <w:pPr>
                    <w:autoSpaceDE w:val="0"/>
                    <w:autoSpaceDN w:val="0"/>
                    <w:adjustRightInd w:val="0"/>
                    <w:snapToGrid w:val="0"/>
                    <w:jc w:val="center"/>
                    <w:rPr>
                      <w:bCs/>
                      <w:szCs w:val="21"/>
                    </w:rPr>
                  </w:pPr>
                  <w:r>
                    <w:rPr>
                      <w:bCs/>
                      <w:szCs w:val="21"/>
                    </w:rPr>
                    <w:t>GB3095-2012</w:t>
                  </w:r>
                </w:p>
                <w:p w14:paraId="36738570">
                  <w:pPr>
                    <w:autoSpaceDE w:val="0"/>
                    <w:autoSpaceDN w:val="0"/>
                    <w:adjustRightInd w:val="0"/>
                    <w:snapToGrid w:val="0"/>
                    <w:jc w:val="center"/>
                    <w:rPr>
                      <w:bCs/>
                      <w:szCs w:val="21"/>
                    </w:rPr>
                  </w:pPr>
                  <w:r>
                    <w:rPr>
                      <w:bCs/>
                      <w:szCs w:val="21"/>
                    </w:rPr>
                    <w:t>《环境空气质量标准》二级标准</w:t>
                  </w:r>
                </w:p>
              </w:tc>
              <w:tc>
                <w:tcPr>
                  <w:tcW w:w="1563" w:type="dxa"/>
                  <w:vMerge w:val="restart"/>
                  <w:vAlign w:val="center"/>
                </w:tcPr>
                <w:p w14:paraId="4E3604C9">
                  <w:pPr>
                    <w:autoSpaceDE w:val="0"/>
                    <w:autoSpaceDN w:val="0"/>
                    <w:adjustRightInd w:val="0"/>
                    <w:snapToGrid w:val="0"/>
                    <w:jc w:val="center"/>
                    <w:rPr>
                      <w:bCs/>
                      <w:szCs w:val="21"/>
                      <w:lang w:eastAsia="en-US"/>
                    </w:rPr>
                  </w:pPr>
                  <w:r>
                    <w:rPr>
                      <w:bCs/>
                      <w:szCs w:val="21"/>
                      <w:lang w:eastAsia="en-US"/>
                    </w:rPr>
                    <w:t>二氧化硫</w:t>
                  </w:r>
                </w:p>
                <w:p w14:paraId="6E9D0B77">
                  <w:pPr>
                    <w:autoSpaceDE w:val="0"/>
                    <w:autoSpaceDN w:val="0"/>
                    <w:adjustRightInd w:val="0"/>
                    <w:snapToGrid w:val="0"/>
                    <w:jc w:val="center"/>
                    <w:rPr>
                      <w:bCs/>
                      <w:szCs w:val="21"/>
                      <w:lang w:eastAsia="en-US"/>
                    </w:rPr>
                  </w:pPr>
                  <w:r>
                    <w:rPr>
                      <w:bCs/>
                      <w:szCs w:val="21"/>
                      <w:lang w:eastAsia="en-US"/>
                    </w:rPr>
                    <w:t>（SO</w:t>
                  </w:r>
                  <w:r>
                    <w:rPr>
                      <w:bCs/>
                      <w:szCs w:val="21"/>
                      <w:vertAlign w:val="subscript"/>
                      <w:lang w:eastAsia="en-US"/>
                    </w:rPr>
                    <w:t>2</w:t>
                  </w:r>
                  <w:r>
                    <w:rPr>
                      <w:bCs/>
                      <w:szCs w:val="21"/>
                      <w:lang w:eastAsia="en-US"/>
                    </w:rPr>
                    <w:t>）</w:t>
                  </w:r>
                </w:p>
              </w:tc>
              <w:tc>
                <w:tcPr>
                  <w:tcW w:w="2088" w:type="dxa"/>
                  <w:vAlign w:val="center"/>
                </w:tcPr>
                <w:p w14:paraId="23CC516C">
                  <w:pPr>
                    <w:autoSpaceDE w:val="0"/>
                    <w:autoSpaceDN w:val="0"/>
                    <w:adjustRightInd w:val="0"/>
                    <w:snapToGrid w:val="0"/>
                    <w:jc w:val="center"/>
                    <w:rPr>
                      <w:bCs/>
                      <w:szCs w:val="21"/>
                      <w:lang w:eastAsia="en-US"/>
                    </w:rPr>
                  </w:pPr>
                  <w:r>
                    <w:rPr>
                      <w:bCs/>
                      <w:szCs w:val="21"/>
                      <w:lang w:eastAsia="en-US"/>
                    </w:rPr>
                    <w:t>年平均</w:t>
                  </w:r>
                </w:p>
              </w:tc>
              <w:tc>
                <w:tcPr>
                  <w:tcW w:w="2280" w:type="dxa"/>
                  <w:vAlign w:val="center"/>
                </w:tcPr>
                <w:p w14:paraId="2A0FEE62">
                  <w:pPr>
                    <w:autoSpaceDE w:val="0"/>
                    <w:autoSpaceDN w:val="0"/>
                    <w:adjustRightInd w:val="0"/>
                    <w:snapToGrid w:val="0"/>
                    <w:jc w:val="center"/>
                    <w:rPr>
                      <w:bCs/>
                      <w:szCs w:val="21"/>
                      <w:lang w:eastAsia="en-US"/>
                    </w:rPr>
                  </w:pPr>
                  <w:r>
                    <w:rPr>
                      <w:bCs/>
                      <w:szCs w:val="21"/>
                      <w:lang w:eastAsia="en-US"/>
                    </w:rPr>
                    <w:t>60</w:t>
                  </w:r>
                </w:p>
              </w:tc>
              <w:tc>
                <w:tcPr>
                  <w:tcW w:w="1147" w:type="dxa"/>
                  <w:vMerge w:val="restart"/>
                  <w:vAlign w:val="center"/>
                </w:tcPr>
                <w:p w14:paraId="486942B1">
                  <w:pPr>
                    <w:autoSpaceDE w:val="0"/>
                    <w:autoSpaceDN w:val="0"/>
                    <w:spacing w:before="1"/>
                    <w:ind w:left="238"/>
                    <w:jc w:val="left"/>
                    <w:rPr>
                      <w:kern w:val="0"/>
                      <w:sz w:val="13"/>
                      <w:szCs w:val="22"/>
                      <w:lang w:eastAsia="en-US"/>
                    </w:rPr>
                  </w:pPr>
                  <w:r>
                    <w:rPr>
                      <w:kern w:val="0"/>
                      <w:szCs w:val="22"/>
                      <w:lang w:eastAsia="en-US"/>
                    </w:rPr>
                    <w:t>μg/m</w:t>
                  </w:r>
                  <w:r>
                    <w:rPr>
                      <w:kern w:val="0"/>
                      <w:position w:val="7"/>
                      <w:sz w:val="13"/>
                      <w:szCs w:val="22"/>
                      <w:lang w:eastAsia="en-US"/>
                    </w:rPr>
                    <w:t>3</w:t>
                  </w:r>
                </w:p>
              </w:tc>
            </w:tr>
            <w:tr w14:paraId="04467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6A763304">
                  <w:pPr>
                    <w:autoSpaceDE w:val="0"/>
                    <w:autoSpaceDN w:val="0"/>
                    <w:adjustRightInd w:val="0"/>
                    <w:snapToGrid w:val="0"/>
                    <w:jc w:val="center"/>
                    <w:rPr>
                      <w:bCs/>
                      <w:szCs w:val="21"/>
                      <w:lang w:eastAsia="en-US"/>
                    </w:rPr>
                  </w:pPr>
                </w:p>
              </w:tc>
              <w:tc>
                <w:tcPr>
                  <w:tcW w:w="1563" w:type="dxa"/>
                  <w:vMerge w:val="continue"/>
                  <w:vAlign w:val="center"/>
                </w:tcPr>
                <w:p w14:paraId="5A0653B5">
                  <w:pPr>
                    <w:autoSpaceDE w:val="0"/>
                    <w:autoSpaceDN w:val="0"/>
                    <w:adjustRightInd w:val="0"/>
                    <w:snapToGrid w:val="0"/>
                    <w:jc w:val="center"/>
                    <w:rPr>
                      <w:bCs/>
                      <w:szCs w:val="21"/>
                      <w:lang w:eastAsia="en-US"/>
                    </w:rPr>
                  </w:pPr>
                </w:p>
              </w:tc>
              <w:tc>
                <w:tcPr>
                  <w:tcW w:w="2088" w:type="dxa"/>
                  <w:vAlign w:val="center"/>
                </w:tcPr>
                <w:p w14:paraId="58C033E8">
                  <w:pPr>
                    <w:autoSpaceDE w:val="0"/>
                    <w:autoSpaceDN w:val="0"/>
                    <w:adjustRightInd w:val="0"/>
                    <w:snapToGrid w:val="0"/>
                    <w:ind w:left="104" w:right="105"/>
                    <w:jc w:val="center"/>
                    <w:rPr>
                      <w:bCs/>
                      <w:szCs w:val="21"/>
                    </w:rPr>
                  </w:pPr>
                  <w:r>
                    <w:rPr>
                      <w:bCs/>
                      <w:szCs w:val="21"/>
                    </w:rPr>
                    <w:t>24 小时平均</w:t>
                  </w:r>
                </w:p>
              </w:tc>
              <w:tc>
                <w:tcPr>
                  <w:tcW w:w="2280" w:type="dxa"/>
                  <w:vAlign w:val="center"/>
                </w:tcPr>
                <w:p w14:paraId="3F36DBC8">
                  <w:pPr>
                    <w:autoSpaceDE w:val="0"/>
                    <w:autoSpaceDN w:val="0"/>
                    <w:adjustRightInd w:val="0"/>
                    <w:snapToGrid w:val="0"/>
                    <w:spacing w:before="14"/>
                    <w:ind w:left="763" w:right="763"/>
                    <w:jc w:val="center"/>
                    <w:rPr>
                      <w:bCs/>
                      <w:szCs w:val="21"/>
                    </w:rPr>
                  </w:pPr>
                  <w:r>
                    <w:rPr>
                      <w:bCs/>
                      <w:szCs w:val="21"/>
                    </w:rPr>
                    <w:t>150</w:t>
                  </w:r>
                </w:p>
              </w:tc>
              <w:tc>
                <w:tcPr>
                  <w:tcW w:w="1147" w:type="dxa"/>
                  <w:vMerge w:val="continue"/>
                  <w:vAlign w:val="center"/>
                </w:tcPr>
                <w:p w14:paraId="285FCC3B">
                  <w:pPr>
                    <w:autoSpaceDE w:val="0"/>
                    <w:autoSpaceDN w:val="0"/>
                    <w:rPr>
                      <w:kern w:val="0"/>
                      <w:sz w:val="22"/>
                      <w:lang w:eastAsia="en-US"/>
                    </w:rPr>
                  </w:pPr>
                </w:p>
              </w:tc>
            </w:tr>
            <w:tr w14:paraId="38537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2604EBDA">
                  <w:pPr>
                    <w:autoSpaceDE w:val="0"/>
                    <w:autoSpaceDN w:val="0"/>
                    <w:adjustRightInd w:val="0"/>
                    <w:snapToGrid w:val="0"/>
                    <w:jc w:val="center"/>
                    <w:rPr>
                      <w:bCs/>
                      <w:szCs w:val="21"/>
                      <w:lang w:eastAsia="en-US"/>
                    </w:rPr>
                  </w:pPr>
                </w:p>
              </w:tc>
              <w:tc>
                <w:tcPr>
                  <w:tcW w:w="1563" w:type="dxa"/>
                  <w:vMerge w:val="continue"/>
                  <w:vAlign w:val="center"/>
                </w:tcPr>
                <w:p w14:paraId="5EEED5AB">
                  <w:pPr>
                    <w:autoSpaceDE w:val="0"/>
                    <w:autoSpaceDN w:val="0"/>
                    <w:adjustRightInd w:val="0"/>
                    <w:snapToGrid w:val="0"/>
                    <w:jc w:val="center"/>
                    <w:rPr>
                      <w:bCs/>
                      <w:szCs w:val="21"/>
                      <w:lang w:eastAsia="en-US"/>
                    </w:rPr>
                  </w:pPr>
                </w:p>
              </w:tc>
              <w:tc>
                <w:tcPr>
                  <w:tcW w:w="2088" w:type="dxa"/>
                  <w:vAlign w:val="center"/>
                </w:tcPr>
                <w:p w14:paraId="5A084098">
                  <w:pPr>
                    <w:autoSpaceDE w:val="0"/>
                    <w:autoSpaceDN w:val="0"/>
                    <w:adjustRightInd w:val="0"/>
                    <w:snapToGrid w:val="0"/>
                    <w:ind w:left="104" w:right="106"/>
                    <w:jc w:val="center"/>
                    <w:rPr>
                      <w:bCs/>
                      <w:szCs w:val="21"/>
                    </w:rPr>
                  </w:pPr>
                  <w:r>
                    <w:rPr>
                      <w:bCs/>
                      <w:szCs w:val="21"/>
                    </w:rPr>
                    <w:t>1 小时平均</w:t>
                  </w:r>
                </w:p>
              </w:tc>
              <w:tc>
                <w:tcPr>
                  <w:tcW w:w="2280" w:type="dxa"/>
                  <w:vAlign w:val="center"/>
                </w:tcPr>
                <w:p w14:paraId="69B9EFC7">
                  <w:pPr>
                    <w:autoSpaceDE w:val="0"/>
                    <w:autoSpaceDN w:val="0"/>
                    <w:adjustRightInd w:val="0"/>
                    <w:snapToGrid w:val="0"/>
                    <w:ind w:left="763" w:right="763"/>
                    <w:jc w:val="center"/>
                    <w:rPr>
                      <w:bCs/>
                      <w:szCs w:val="21"/>
                    </w:rPr>
                  </w:pPr>
                  <w:r>
                    <w:rPr>
                      <w:bCs/>
                      <w:szCs w:val="21"/>
                    </w:rPr>
                    <w:t>500</w:t>
                  </w:r>
                </w:p>
              </w:tc>
              <w:tc>
                <w:tcPr>
                  <w:tcW w:w="1147" w:type="dxa"/>
                  <w:vMerge w:val="continue"/>
                  <w:vAlign w:val="center"/>
                </w:tcPr>
                <w:p w14:paraId="38012E5E">
                  <w:pPr>
                    <w:autoSpaceDE w:val="0"/>
                    <w:autoSpaceDN w:val="0"/>
                    <w:rPr>
                      <w:kern w:val="0"/>
                      <w:sz w:val="22"/>
                      <w:lang w:eastAsia="en-US"/>
                    </w:rPr>
                  </w:pPr>
                </w:p>
              </w:tc>
            </w:tr>
            <w:tr w14:paraId="30974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51C88122">
                  <w:pPr>
                    <w:autoSpaceDE w:val="0"/>
                    <w:autoSpaceDN w:val="0"/>
                    <w:adjustRightInd w:val="0"/>
                    <w:snapToGrid w:val="0"/>
                    <w:jc w:val="center"/>
                    <w:rPr>
                      <w:bCs/>
                      <w:szCs w:val="21"/>
                      <w:lang w:eastAsia="en-US"/>
                    </w:rPr>
                  </w:pPr>
                </w:p>
              </w:tc>
              <w:tc>
                <w:tcPr>
                  <w:tcW w:w="1563" w:type="dxa"/>
                  <w:vMerge w:val="restart"/>
                  <w:vAlign w:val="center"/>
                </w:tcPr>
                <w:p w14:paraId="05BD8E91">
                  <w:pPr>
                    <w:autoSpaceDE w:val="0"/>
                    <w:autoSpaceDN w:val="0"/>
                    <w:adjustRightInd w:val="0"/>
                    <w:snapToGrid w:val="0"/>
                    <w:jc w:val="center"/>
                    <w:rPr>
                      <w:bCs/>
                      <w:szCs w:val="21"/>
                      <w:lang w:eastAsia="en-US"/>
                    </w:rPr>
                  </w:pPr>
                  <w:r>
                    <w:rPr>
                      <w:bCs/>
                      <w:szCs w:val="21"/>
                      <w:lang w:eastAsia="en-US"/>
                    </w:rPr>
                    <w:t>二氧化氮</w:t>
                  </w:r>
                </w:p>
                <w:p w14:paraId="7F5865C7">
                  <w:pPr>
                    <w:autoSpaceDE w:val="0"/>
                    <w:autoSpaceDN w:val="0"/>
                    <w:adjustRightInd w:val="0"/>
                    <w:snapToGrid w:val="0"/>
                    <w:jc w:val="center"/>
                    <w:rPr>
                      <w:bCs/>
                      <w:szCs w:val="21"/>
                      <w:lang w:eastAsia="en-US"/>
                    </w:rPr>
                  </w:pPr>
                  <w:r>
                    <w:rPr>
                      <w:bCs/>
                      <w:szCs w:val="21"/>
                      <w:lang w:eastAsia="en-US"/>
                    </w:rPr>
                    <w:t>（NO</w:t>
                  </w:r>
                  <w:r>
                    <w:rPr>
                      <w:bCs/>
                      <w:szCs w:val="21"/>
                      <w:vertAlign w:val="subscript"/>
                      <w:lang w:eastAsia="en-US"/>
                    </w:rPr>
                    <w:t>2</w:t>
                  </w:r>
                  <w:r>
                    <w:rPr>
                      <w:bCs/>
                      <w:szCs w:val="21"/>
                      <w:lang w:eastAsia="en-US"/>
                    </w:rPr>
                    <w:t>）</w:t>
                  </w:r>
                </w:p>
              </w:tc>
              <w:tc>
                <w:tcPr>
                  <w:tcW w:w="2088" w:type="dxa"/>
                  <w:vAlign w:val="center"/>
                </w:tcPr>
                <w:p w14:paraId="3C0606E7">
                  <w:pPr>
                    <w:autoSpaceDE w:val="0"/>
                    <w:autoSpaceDN w:val="0"/>
                    <w:adjustRightInd w:val="0"/>
                    <w:snapToGrid w:val="0"/>
                    <w:jc w:val="center"/>
                    <w:rPr>
                      <w:bCs/>
                      <w:szCs w:val="21"/>
                      <w:lang w:eastAsia="en-US"/>
                    </w:rPr>
                  </w:pPr>
                  <w:r>
                    <w:rPr>
                      <w:bCs/>
                      <w:szCs w:val="21"/>
                      <w:lang w:eastAsia="en-US"/>
                    </w:rPr>
                    <w:t>年平均</w:t>
                  </w:r>
                </w:p>
              </w:tc>
              <w:tc>
                <w:tcPr>
                  <w:tcW w:w="2280" w:type="dxa"/>
                  <w:vAlign w:val="center"/>
                </w:tcPr>
                <w:p w14:paraId="3C18E99E">
                  <w:pPr>
                    <w:autoSpaceDE w:val="0"/>
                    <w:autoSpaceDN w:val="0"/>
                    <w:adjustRightInd w:val="0"/>
                    <w:snapToGrid w:val="0"/>
                    <w:jc w:val="center"/>
                    <w:rPr>
                      <w:bCs/>
                      <w:szCs w:val="21"/>
                      <w:lang w:eastAsia="en-US"/>
                    </w:rPr>
                  </w:pPr>
                  <w:r>
                    <w:rPr>
                      <w:bCs/>
                      <w:szCs w:val="21"/>
                      <w:lang w:eastAsia="en-US"/>
                    </w:rPr>
                    <w:t>40</w:t>
                  </w:r>
                </w:p>
              </w:tc>
              <w:tc>
                <w:tcPr>
                  <w:tcW w:w="1147" w:type="dxa"/>
                  <w:vMerge w:val="continue"/>
                  <w:vAlign w:val="center"/>
                </w:tcPr>
                <w:p w14:paraId="6D503125">
                  <w:pPr>
                    <w:autoSpaceDE w:val="0"/>
                    <w:autoSpaceDN w:val="0"/>
                    <w:rPr>
                      <w:kern w:val="0"/>
                      <w:sz w:val="22"/>
                      <w:lang w:eastAsia="en-US"/>
                    </w:rPr>
                  </w:pPr>
                </w:p>
              </w:tc>
            </w:tr>
            <w:tr w14:paraId="18284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585CCCF6">
                  <w:pPr>
                    <w:autoSpaceDE w:val="0"/>
                    <w:autoSpaceDN w:val="0"/>
                    <w:adjustRightInd w:val="0"/>
                    <w:snapToGrid w:val="0"/>
                    <w:jc w:val="center"/>
                    <w:rPr>
                      <w:bCs/>
                      <w:szCs w:val="21"/>
                      <w:lang w:eastAsia="en-US"/>
                    </w:rPr>
                  </w:pPr>
                </w:p>
              </w:tc>
              <w:tc>
                <w:tcPr>
                  <w:tcW w:w="1563" w:type="dxa"/>
                  <w:vMerge w:val="continue"/>
                  <w:vAlign w:val="center"/>
                </w:tcPr>
                <w:p w14:paraId="1FC6C929">
                  <w:pPr>
                    <w:autoSpaceDE w:val="0"/>
                    <w:autoSpaceDN w:val="0"/>
                    <w:adjustRightInd w:val="0"/>
                    <w:snapToGrid w:val="0"/>
                    <w:jc w:val="center"/>
                    <w:rPr>
                      <w:bCs/>
                      <w:szCs w:val="21"/>
                      <w:lang w:eastAsia="en-US"/>
                    </w:rPr>
                  </w:pPr>
                </w:p>
              </w:tc>
              <w:tc>
                <w:tcPr>
                  <w:tcW w:w="2088" w:type="dxa"/>
                  <w:vAlign w:val="center"/>
                </w:tcPr>
                <w:p w14:paraId="2B6C15DB">
                  <w:pPr>
                    <w:autoSpaceDE w:val="0"/>
                    <w:autoSpaceDN w:val="0"/>
                    <w:adjustRightInd w:val="0"/>
                    <w:snapToGrid w:val="0"/>
                    <w:ind w:left="104" w:right="105"/>
                    <w:jc w:val="center"/>
                    <w:rPr>
                      <w:bCs/>
                      <w:szCs w:val="21"/>
                    </w:rPr>
                  </w:pPr>
                  <w:r>
                    <w:rPr>
                      <w:bCs/>
                      <w:szCs w:val="21"/>
                    </w:rPr>
                    <w:t>24 小时平均</w:t>
                  </w:r>
                </w:p>
              </w:tc>
              <w:tc>
                <w:tcPr>
                  <w:tcW w:w="2280" w:type="dxa"/>
                  <w:vAlign w:val="center"/>
                </w:tcPr>
                <w:p w14:paraId="01032A96">
                  <w:pPr>
                    <w:autoSpaceDE w:val="0"/>
                    <w:autoSpaceDN w:val="0"/>
                    <w:adjustRightInd w:val="0"/>
                    <w:snapToGrid w:val="0"/>
                    <w:spacing w:before="14"/>
                    <w:ind w:left="763" w:right="763"/>
                    <w:jc w:val="center"/>
                    <w:rPr>
                      <w:bCs/>
                      <w:szCs w:val="21"/>
                    </w:rPr>
                  </w:pPr>
                  <w:r>
                    <w:rPr>
                      <w:bCs/>
                      <w:szCs w:val="21"/>
                    </w:rPr>
                    <w:t>80</w:t>
                  </w:r>
                </w:p>
              </w:tc>
              <w:tc>
                <w:tcPr>
                  <w:tcW w:w="1147" w:type="dxa"/>
                  <w:vMerge w:val="continue"/>
                  <w:vAlign w:val="center"/>
                </w:tcPr>
                <w:p w14:paraId="5F02D890">
                  <w:pPr>
                    <w:autoSpaceDE w:val="0"/>
                    <w:autoSpaceDN w:val="0"/>
                    <w:rPr>
                      <w:kern w:val="0"/>
                      <w:sz w:val="22"/>
                      <w:lang w:eastAsia="en-US"/>
                    </w:rPr>
                  </w:pPr>
                </w:p>
              </w:tc>
            </w:tr>
            <w:tr w14:paraId="7A4A2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24884F59">
                  <w:pPr>
                    <w:autoSpaceDE w:val="0"/>
                    <w:autoSpaceDN w:val="0"/>
                    <w:adjustRightInd w:val="0"/>
                    <w:snapToGrid w:val="0"/>
                    <w:jc w:val="center"/>
                    <w:rPr>
                      <w:bCs/>
                      <w:szCs w:val="21"/>
                      <w:lang w:eastAsia="en-US"/>
                    </w:rPr>
                  </w:pPr>
                </w:p>
              </w:tc>
              <w:tc>
                <w:tcPr>
                  <w:tcW w:w="1563" w:type="dxa"/>
                  <w:vMerge w:val="continue"/>
                  <w:vAlign w:val="center"/>
                </w:tcPr>
                <w:p w14:paraId="4ACA3AA5">
                  <w:pPr>
                    <w:autoSpaceDE w:val="0"/>
                    <w:autoSpaceDN w:val="0"/>
                    <w:adjustRightInd w:val="0"/>
                    <w:snapToGrid w:val="0"/>
                    <w:jc w:val="center"/>
                    <w:rPr>
                      <w:bCs/>
                      <w:szCs w:val="21"/>
                      <w:lang w:eastAsia="en-US"/>
                    </w:rPr>
                  </w:pPr>
                </w:p>
              </w:tc>
              <w:tc>
                <w:tcPr>
                  <w:tcW w:w="2088" w:type="dxa"/>
                  <w:vAlign w:val="center"/>
                </w:tcPr>
                <w:p w14:paraId="15639FE0">
                  <w:pPr>
                    <w:autoSpaceDE w:val="0"/>
                    <w:autoSpaceDN w:val="0"/>
                    <w:adjustRightInd w:val="0"/>
                    <w:snapToGrid w:val="0"/>
                    <w:ind w:left="104" w:right="106"/>
                    <w:jc w:val="center"/>
                    <w:rPr>
                      <w:bCs/>
                      <w:szCs w:val="21"/>
                    </w:rPr>
                  </w:pPr>
                  <w:r>
                    <w:rPr>
                      <w:bCs/>
                      <w:szCs w:val="21"/>
                    </w:rPr>
                    <w:t>1 小时平均</w:t>
                  </w:r>
                </w:p>
              </w:tc>
              <w:tc>
                <w:tcPr>
                  <w:tcW w:w="2280" w:type="dxa"/>
                  <w:vAlign w:val="center"/>
                </w:tcPr>
                <w:p w14:paraId="02FE722D">
                  <w:pPr>
                    <w:autoSpaceDE w:val="0"/>
                    <w:autoSpaceDN w:val="0"/>
                    <w:adjustRightInd w:val="0"/>
                    <w:snapToGrid w:val="0"/>
                    <w:spacing w:before="13"/>
                    <w:ind w:left="763" w:right="763"/>
                    <w:jc w:val="center"/>
                    <w:rPr>
                      <w:bCs/>
                      <w:szCs w:val="21"/>
                    </w:rPr>
                  </w:pPr>
                  <w:r>
                    <w:rPr>
                      <w:bCs/>
                      <w:szCs w:val="21"/>
                    </w:rPr>
                    <w:t>200</w:t>
                  </w:r>
                </w:p>
              </w:tc>
              <w:tc>
                <w:tcPr>
                  <w:tcW w:w="1147" w:type="dxa"/>
                  <w:vMerge w:val="continue"/>
                  <w:vAlign w:val="center"/>
                </w:tcPr>
                <w:p w14:paraId="544BF71F">
                  <w:pPr>
                    <w:autoSpaceDE w:val="0"/>
                    <w:autoSpaceDN w:val="0"/>
                    <w:rPr>
                      <w:kern w:val="0"/>
                      <w:sz w:val="22"/>
                      <w:lang w:eastAsia="en-US"/>
                    </w:rPr>
                  </w:pPr>
                </w:p>
              </w:tc>
            </w:tr>
            <w:tr w14:paraId="69221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584EB233">
                  <w:pPr>
                    <w:autoSpaceDE w:val="0"/>
                    <w:autoSpaceDN w:val="0"/>
                    <w:adjustRightInd w:val="0"/>
                    <w:snapToGrid w:val="0"/>
                    <w:jc w:val="center"/>
                    <w:rPr>
                      <w:bCs/>
                      <w:kern w:val="0"/>
                      <w:sz w:val="22"/>
                      <w:szCs w:val="21"/>
                      <w:lang w:eastAsia="en-US"/>
                    </w:rPr>
                  </w:pPr>
                </w:p>
              </w:tc>
              <w:tc>
                <w:tcPr>
                  <w:tcW w:w="1563" w:type="dxa"/>
                  <w:vMerge w:val="restart"/>
                  <w:vAlign w:val="center"/>
                </w:tcPr>
                <w:p w14:paraId="242A29E7">
                  <w:pPr>
                    <w:autoSpaceDE w:val="0"/>
                    <w:autoSpaceDN w:val="0"/>
                    <w:adjustRightInd w:val="0"/>
                    <w:snapToGrid w:val="0"/>
                    <w:jc w:val="center"/>
                    <w:rPr>
                      <w:bCs/>
                      <w:szCs w:val="21"/>
                      <w:lang w:eastAsia="en-US"/>
                    </w:rPr>
                  </w:pPr>
                  <w:r>
                    <w:rPr>
                      <w:bCs/>
                      <w:szCs w:val="21"/>
                      <w:lang w:eastAsia="en-US"/>
                    </w:rPr>
                    <w:t>氮氧化物</w:t>
                  </w:r>
                </w:p>
                <w:p w14:paraId="4407BF8F">
                  <w:pPr>
                    <w:autoSpaceDE w:val="0"/>
                    <w:autoSpaceDN w:val="0"/>
                    <w:adjustRightInd w:val="0"/>
                    <w:snapToGrid w:val="0"/>
                    <w:jc w:val="center"/>
                    <w:rPr>
                      <w:bCs/>
                      <w:kern w:val="0"/>
                      <w:sz w:val="22"/>
                      <w:szCs w:val="21"/>
                      <w:lang w:eastAsia="en-US"/>
                    </w:rPr>
                  </w:pPr>
                  <w:r>
                    <w:rPr>
                      <w:bCs/>
                      <w:szCs w:val="21"/>
                      <w:lang w:eastAsia="en-US"/>
                    </w:rPr>
                    <w:t>（NOx）</w:t>
                  </w:r>
                </w:p>
              </w:tc>
              <w:tc>
                <w:tcPr>
                  <w:tcW w:w="2088" w:type="dxa"/>
                  <w:vAlign w:val="center"/>
                </w:tcPr>
                <w:p w14:paraId="7C8F5D5A">
                  <w:pPr>
                    <w:autoSpaceDE w:val="0"/>
                    <w:autoSpaceDN w:val="0"/>
                    <w:adjustRightInd w:val="0"/>
                    <w:snapToGrid w:val="0"/>
                    <w:jc w:val="center"/>
                    <w:rPr>
                      <w:bCs/>
                      <w:szCs w:val="21"/>
                      <w:lang w:eastAsia="en-US"/>
                    </w:rPr>
                  </w:pPr>
                  <w:r>
                    <w:rPr>
                      <w:bCs/>
                      <w:szCs w:val="21"/>
                      <w:lang w:eastAsia="en-US"/>
                    </w:rPr>
                    <w:t>年平均</w:t>
                  </w:r>
                </w:p>
              </w:tc>
              <w:tc>
                <w:tcPr>
                  <w:tcW w:w="2280" w:type="dxa"/>
                  <w:vAlign w:val="center"/>
                </w:tcPr>
                <w:p w14:paraId="5E6EB0E9">
                  <w:pPr>
                    <w:autoSpaceDE w:val="0"/>
                    <w:autoSpaceDN w:val="0"/>
                    <w:adjustRightInd w:val="0"/>
                    <w:snapToGrid w:val="0"/>
                    <w:jc w:val="center"/>
                    <w:rPr>
                      <w:bCs/>
                      <w:szCs w:val="21"/>
                      <w:lang w:eastAsia="en-US"/>
                    </w:rPr>
                  </w:pPr>
                  <w:r>
                    <w:rPr>
                      <w:bCs/>
                      <w:szCs w:val="21"/>
                      <w:lang w:eastAsia="en-US"/>
                    </w:rPr>
                    <w:t>50</w:t>
                  </w:r>
                </w:p>
              </w:tc>
              <w:tc>
                <w:tcPr>
                  <w:tcW w:w="1147" w:type="dxa"/>
                  <w:vMerge w:val="continue"/>
                  <w:vAlign w:val="center"/>
                </w:tcPr>
                <w:p w14:paraId="72EDB766">
                  <w:pPr>
                    <w:autoSpaceDE w:val="0"/>
                    <w:autoSpaceDN w:val="0"/>
                    <w:rPr>
                      <w:kern w:val="0"/>
                      <w:sz w:val="22"/>
                      <w:lang w:eastAsia="en-US"/>
                    </w:rPr>
                  </w:pPr>
                </w:p>
              </w:tc>
            </w:tr>
            <w:tr w14:paraId="3D8CE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04ED90F6">
                  <w:pPr>
                    <w:autoSpaceDE w:val="0"/>
                    <w:autoSpaceDN w:val="0"/>
                    <w:adjustRightInd w:val="0"/>
                    <w:snapToGrid w:val="0"/>
                    <w:jc w:val="center"/>
                    <w:rPr>
                      <w:bCs/>
                      <w:kern w:val="0"/>
                      <w:sz w:val="22"/>
                      <w:szCs w:val="21"/>
                      <w:lang w:eastAsia="en-US"/>
                    </w:rPr>
                  </w:pPr>
                </w:p>
              </w:tc>
              <w:tc>
                <w:tcPr>
                  <w:tcW w:w="1563" w:type="dxa"/>
                  <w:vMerge w:val="continue"/>
                  <w:vAlign w:val="center"/>
                </w:tcPr>
                <w:p w14:paraId="217D1F0D">
                  <w:pPr>
                    <w:autoSpaceDE w:val="0"/>
                    <w:autoSpaceDN w:val="0"/>
                    <w:adjustRightInd w:val="0"/>
                    <w:snapToGrid w:val="0"/>
                    <w:jc w:val="center"/>
                    <w:rPr>
                      <w:bCs/>
                      <w:kern w:val="0"/>
                      <w:sz w:val="22"/>
                      <w:szCs w:val="21"/>
                      <w:lang w:eastAsia="en-US"/>
                    </w:rPr>
                  </w:pPr>
                </w:p>
              </w:tc>
              <w:tc>
                <w:tcPr>
                  <w:tcW w:w="2088" w:type="dxa"/>
                  <w:vAlign w:val="center"/>
                </w:tcPr>
                <w:p w14:paraId="113B37C3">
                  <w:pPr>
                    <w:autoSpaceDE w:val="0"/>
                    <w:autoSpaceDN w:val="0"/>
                    <w:adjustRightInd w:val="0"/>
                    <w:snapToGrid w:val="0"/>
                    <w:ind w:left="104" w:right="105"/>
                    <w:jc w:val="center"/>
                    <w:rPr>
                      <w:bCs/>
                      <w:szCs w:val="21"/>
                    </w:rPr>
                  </w:pPr>
                  <w:r>
                    <w:rPr>
                      <w:bCs/>
                      <w:szCs w:val="21"/>
                    </w:rPr>
                    <w:t>24 小时平均</w:t>
                  </w:r>
                </w:p>
              </w:tc>
              <w:tc>
                <w:tcPr>
                  <w:tcW w:w="2280" w:type="dxa"/>
                  <w:vAlign w:val="center"/>
                </w:tcPr>
                <w:p w14:paraId="444C04A7">
                  <w:pPr>
                    <w:autoSpaceDE w:val="0"/>
                    <w:autoSpaceDN w:val="0"/>
                    <w:adjustRightInd w:val="0"/>
                    <w:snapToGrid w:val="0"/>
                    <w:spacing w:before="14"/>
                    <w:ind w:left="763" w:right="763"/>
                    <w:jc w:val="center"/>
                    <w:rPr>
                      <w:bCs/>
                      <w:szCs w:val="21"/>
                    </w:rPr>
                  </w:pPr>
                  <w:r>
                    <w:rPr>
                      <w:bCs/>
                      <w:szCs w:val="21"/>
                    </w:rPr>
                    <w:t>100</w:t>
                  </w:r>
                </w:p>
              </w:tc>
              <w:tc>
                <w:tcPr>
                  <w:tcW w:w="1147" w:type="dxa"/>
                  <w:vMerge w:val="continue"/>
                  <w:vAlign w:val="center"/>
                </w:tcPr>
                <w:p w14:paraId="368A16CF">
                  <w:pPr>
                    <w:autoSpaceDE w:val="0"/>
                    <w:autoSpaceDN w:val="0"/>
                    <w:rPr>
                      <w:kern w:val="0"/>
                      <w:sz w:val="22"/>
                      <w:lang w:eastAsia="en-US"/>
                    </w:rPr>
                  </w:pPr>
                </w:p>
              </w:tc>
            </w:tr>
            <w:tr w14:paraId="763FC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199E5422">
                  <w:pPr>
                    <w:autoSpaceDE w:val="0"/>
                    <w:autoSpaceDN w:val="0"/>
                    <w:adjustRightInd w:val="0"/>
                    <w:snapToGrid w:val="0"/>
                    <w:jc w:val="center"/>
                    <w:rPr>
                      <w:bCs/>
                      <w:kern w:val="0"/>
                      <w:sz w:val="22"/>
                      <w:szCs w:val="21"/>
                      <w:lang w:eastAsia="en-US"/>
                    </w:rPr>
                  </w:pPr>
                </w:p>
              </w:tc>
              <w:tc>
                <w:tcPr>
                  <w:tcW w:w="1563" w:type="dxa"/>
                  <w:vMerge w:val="continue"/>
                  <w:vAlign w:val="center"/>
                </w:tcPr>
                <w:p w14:paraId="37F89951">
                  <w:pPr>
                    <w:autoSpaceDE w:val="0"/>
                    <w:autoSpaceDN w:val="0"/>
                    <w:adjustRightInd w:val="0"/>
                    <w:snapToGrid w:val="0"/>
                    <w:jc w:val="center"/>
                    <w:rPr>
                      <w:bCs/>
                      <w:kern w:val="0"/>
                      <w:sz w:val="22"/>
                      <w:szCs w:val="21"/>
                      <w:lang w:eastAsia="en-US"/>
                    </w:rPr>
                  </w:pPr>
                </w:p>
              </w:tc>
              <w:tc>
                <w:tcPr>
                  <w:tcW w:w="2088" w:type="dxa"/>
                  <w:vAlign w:val="center"/>
                </w:tcPr>
                <w:p w14:paraId="0CFD1E05">
                  <w:pPr>
                    <w:autoSpaceDE w:val="0"/>
                    <w:autoSpaceDN w:val="0"/>
                    <w:adjustRightInd w:val="0"/>
                    <w:snapToGrid w:val="0"/>
                    <w:ind w:left="104" w:right="106"/>
                    <w:jc w:val="center"/>
                    <w:rPr>
                      <w:bCs/>
                      <w:szCs w:val="21"/>
                    </w:rPr>
                  </w:pPr>
                  <w:r>
                    <w:rPr>
                      <w:bCs/>
                      <w:szCs w:val="21"/>
                    </w:rPr>
                    <w:t>1 小时平均</w:t>
                  </w:r>
                </w:p>
              </w:tc>
              <w:tc>
                <w:tcPr>
                  <w:tcW w:w="2280" w:type="dxa"/>
                  <w:vAlign w:val="center"/>
                </w:tcPr>
                <w:p w14:paraId="52048C6E">
                  <w:pPr>
                    <w:autoSpaceDE w:val="0"/>
                    <w:autoSpaceDN w:val="0"/>
                    <w:adjustRightInd w:val="0"/>
                    <w:snapToGrid w:val="0"/>
                    <w:spacing w:before="13"/>
                    <w:ind w:left="763" w:right="763"/>
                    <w:jc w:val="center"/>
                    <w:rPr>
                      <w:bCs/>
                      <w:szCs w:val="21"/>
                    </w:rPr>
                  </w:pPr>
                  <w:r>
                    <w:rPr>
                      <w:bCs/>
                      <w:szCs w:val="21"/>
                    </w:rPr>
                    <w:t>250</w:t>
                  </w:r>
                </w:p>
              </w:tc>
              <w:tc>
                <w:tcPr>
                  <w:tcW w:w="1147" w:type="dxa"/>
                  <w:vMerge w:val="continue"/>
                  <w:vAlign w:val="center"/>
                </w:tcPr>
                <w:p w14:paraId="0B03D726">
                  <w:pPr>
                    <w:autoSpaceDE w:val="0"/>
                    <w:autoSpaceDN w:val="0"/>
                    <w:rPr>
                      <w:kern w:val="0"/>
                      <w:sz w:val="22"/>
                      <w:lang w:eastAsia="en-US"/>
                    </w:rPr>
                  </w:pPr>
                </w:p>
              </w:tc>
            </w:tr>
            <w:tr w14:paraId="0FC6C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7C25146A">
                  <w:pPr>
                    <w:autoSpaceDE w:val="0"/>
                    <w:autoSpaceDN w:val="0"/>
                    <w:adjustRightInd w:val="0"/>
                    <w:snapToGrid w:val="0"/>
                    <w:jc w:val="center"/>
                    <w:rPr>
                      <w:bCs/>
                      <w:szCs w:val="21"/>
                      <w:lang w:eastAsia="en-US"/>
                    </w:rPr>
                  </w:pPr>
                </w:p>
              </w:tc>
              <w:tc>
                <w:tcPr>
                  <w:tcW w:w="1563" w:type="dxa"/>
                  <w:vMerge w:val="restart"/>
                  <w:vAlign w:val="center"/>
                </w:tcPr>
                <w:p w14:paraId="7FA3B0B4">
                  <w:pPr>
                    <w:autoSpaceDE w:val="0"/>
                    <w:autoSpaceDN w:val="0"/>
                    <w:adjustRightInd w:val="0"/>
                    <w:snapToGrid w:val="0"/>
                    <w:jc w:val="center"/>
                    <w:rPr>
                      <w:bCs/>
                      <w:szCs w:val="21"/>
                    </w:rPr>
                  </w:pPr>
                  <w:r>
                    <w:rPr>
                      <w:bCs/>
                      <w:szCs w:val="21"/>
                    </w:rPr>
                    <w:t>总悬浮颗粒</w:t>
                  </w:r>
                </w:p>
                <w:p w14:paraId="58BBE1E9">
                  <w:pPr>
                    <w:autoSpaceDE w:val="0"/>
                    <w:autoSpaceDN w:val="0"/>
                    <w:adjustRightInd w:val="0"/>
                    <w:snapToGrid w:val="0"/>
                    <w:jc w:val="center"/>
                    <w:rPr>
                      <w:bCs/>
                      <w:szCs w:val="21"/>
                    </w:rPr>
                  </w:pPr>
                  <w:r>
                    <w:rPr>
                      <w:bCs/>
                      <w:szCs w:val="21"/>
                    </w:rPr>
                    <w:t>物（TSP）</w:t>
                  </w:r>
                </w:p>
              </w:tc>
              <w:tc>
                <w:tcPr>
                  <w:tcW w:w="2088" w:type="dxa"/>
                  <w:vAlign w:val="center"/>
                </w:tcPr>
                <w:p w14:paraId="4A4C88EC">
                  <w:pPr>
                    <w:autoSpaceDE w:val="0"/>
                    <w:autoSpaceDN w:val="0"/>
                    <w:adjustRightInd w:val="0"/>
                    <w:snapToGrid w:val="0"/>
                    <w:jc w:val="center"/>
                    <w:rPr>
                      <w:bCs/>
                      <w:szCs w:val="21"/>
                    </w:rPr>
                  </w:pPr>
                  <w:r>
                    <w:rPr>
                      <w:bCs/>
                      <w:szCs w:val="21"/>
                    </w:rPr>
                    <w:t>年平均</w:t>
                  </w:r>
                </w:p>
              </w:tc>
              <w:tc>
                <w:tcPr>
                  <w:tcW w:w="2280" w:type="dxa"/>
                  <w:vAlign w:val="center"/>
                </w:tcPr>
                <w:p w14:paraId="1ED102CB">
                  <w:pPr>
                    <w:autoSpaceDE w:val="0"/>
                    <w:autoSpaceDN w:val="0"/>
                    <w:adjustRightInd w:val="0"/>
                    <w:snapToGrid w:val="0"/>
                    <w:jc w:val="center"/>
                    <w:rPr>
                      <w:bCs/>
                      <w:szCs w:val="21"/>
                    </w:rPr>
                  </w:pPr>
                  <w:r>
                    <w:rPr>
                      <w:bCs/>
                      <w:szCs w:val="21"/>
                    </w:rPr>
                    <w:t>200</w:t>
                  </w:r>
                </w:p>
              </w:tc>
              <w:tc>
                <w:tcPr>
                  <w:tcW w:w="1147" w:type="dxa"/>
                  <w:vMerge w:val="continue"/>
                  <w:vAlign w:val="center"/>
                </w:tcPr>
                <w:p w14:paraId="23E37FA9">
                  <w:pPr>
                    <w:autoSpaceDE w:val="0"/>
                    <w:autoSpaceDN w:val="0"/>
                    <w:rPr>
                      <w:kern w:val="0"/>
                      <w:sz w:val="22"/>
                    </w:rPr>
                  </w:pPr>
                </w:p>
              </w:tc>
            </w:tr>
            <w:tr w14:paraId="2FDBE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3DB8222D">
                  <w:pPr>
                    <w:autoSpaceDE w:val="0"/>
                    <w:autoSpaceDN w:val="0"/>
                    <w:adjustRightInd w:val="0"/>
                    <w:snapToGrid w:val="0"/>
                    <w:jc w:val="center"/>
                    <w:rPr>
                      <w:bCs/>
                      <w:szCs w:val="21"/>
                    </w:rPr>
                  </w:pPr>
                </w:p>
              </w:tc>
              <w:tc>
                <w:tcPr>
                  <w:tcW w:w="1563" w:type="dxa"/>
                  <w:vMerge w:val="continue"/>
                  <w:vAlign w:val="center"/>
                </w:tcPr>
                <w:p w14:paraId="1A02320E">
                  <w:pPr>
                    <w:autoSpaceDE w:val="0"/>
                    <w:autoSpaceDN w:val="0"/>
                    <w:adjustRightInd w:val="0"/>
                    <w:snapToGrid w:val="0"/>
                    <w:jc w:val="center"/>
                    <w:rPr>
                      <w:bCs/>
                      <w:szCs w:val="21"/>
                    </w:rPr>
                  </w:pPr>
                </w:p>
              </w:tc>
              <w:tc>
                <w:tcPr>
                  <w:tcW w:w="2088" w:type="dxa"/>
                  <w:vAlign w:val="center"/>
                </w:tcPr>
                <w:p w14:paraId="5E55A9FA">
                  <w:pPr>
                    <w:autoSpaceDE w:val="0"/>
                    <w:autoSpaceDN w:val="0"/>
                    <w:adjustRightInd w:val="0"/>
                    <w:snapToGrid w:val="0"/>
                    <w:ind w:left="104" w:right="105"/>
                    <w:jc w:val="center"/>
                    <w:rPr>
                      <w:bCs/>
                      <w:szCs w:val="21"/>
                    </w:rPr>
                  </w:pPr>
                  <w:r>
                    <w:rPr>
                      <w:bCs/>
                      <w:szCs w:val="21"/>
                    </w:rPr>
                    <w:t>24 小时平均</w:t>
                  </w:r>
                </w:p>
              </w:tc>
              <w:tc>
                <w:tcPr>
                  <w:tcW w:w="2280" w:type="dxa"/>
                  <w:vAlign w:val="center"/>
                </w:tcPr>
                <w:p w14:paraId="0C9D5437">
                  <w:pPr>
                    <w:autoSpaceDE w:val="0"/>
                    <w:autoSpaceDN w:val="0"/>
                    <w:adjustRightInd w:val="0"/>
                    <w:snapToGrid w:val="0"/>
                    <w:spacing w:before="14"/>
                    <w:ind w:left="763" w:right="763"/>
                    <w:jc w:val="center"/>
                    <w:rPr>
                      <w:bCs/>
                      <w:szCs w:val="21"/>
                    </w:rPr>
                  </w:pPr>
                  <w:r>
                    <w:rPr>
                      <w:bCs/>
                      <w:szCs w:val="21"/>
                    </w:rPr>
                    <w:t>300</w:t>
                  </w:r>
                </w:p>
              </w:tc>
              <w:tc>
                <w:tcPr>
                  <w:tcW w:w="1147" w:type="dxa"/>
                  <w:vMerge w:val="continue"/>
                  <w:vAlign w:val="center"/>
                </w:tcPr>
                <w:p w14:paraId="1C346FC4">
                  <w:pPr>
                    <w:autoSpaceDE w:val="0"/>
                    <w:autoSpaceDN w:val="0"/>
                    <w:rPr>
                      <w:kern w:val="0"/>
                      <w:sz w:val="22"/>
                    </w:rPr>
                  </w:pPr>
                </w:p>
              </w:tc>
            </w:tr>
            <w:tr w14:paraId="7F949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47F26D5E">
                  <w:pPr>
                    <w:autoSpaceDE w:val="0"/>
                    <w:autoSpaceDN w:val="0"/>
                    <w:adjustRightInd w:val="0"/>
                    <w:snapToGrid w:val="0"/>
                    <w:jc w:val="center"/>
                    <w:rPr>
                      <w:bCs/>
                      <w:szCs w:val="21"/>
                    </w:rPr>
                  </w:pPr>
                </w:p>
              </w:tc>
              <w:tc>
                <w:tcPr>
                  <w:tcW w:w="1563" w:type="dxa"/>
                  <w:vMerge w:val="restart"/>
                  <w:vAlign w:val="center"/>
                </w:tcPr>
                <w:p w14:paraId="412E9509">
                  <w:pPr>
                    <w:autoSpaceDE w:val="0"/>
                    <w:autoSpaceDN w:val="0"/>
                    <w:adjustRightInd w:val="0"/>
                    <w:snapToGrid w:val="0"/>
                    <w:jc w:val="center"/>
                    <w:rPr>
                      <w:bCs/>
                      <w:szCs w:val="21"/>
                    </w:rPr>
                  </w:pPr>
                  <w:r>
                    <w:rPr>
                      <w:bCs/>
                      <w:szCs w:val="21"/>
                    </w:rPr>
                    <w:t>颗粒物</w:t>
                  </w:r>
                </w:p>
                <w:p w14:paraId="24E4E249">
                  <w:pPr>
                    <w:autoSpaceDE w:val="0"/>
                    <w:autoSpaceDN w:val="0"/>
                    <w:adjustRightInd w:val="0"/>
                    <w:snapToGrid w:val="0"/>
                    <w:jc w:val="center"/>
                    <w:rPr>
                      <w:bCs/>
                      <w:szCs w:val="21"/>
                    </w:rPr>
                  </w:pPr>
                  <w:r>
                    <w:rPr>
                      <w:bCs/>
                      <w:szCs w:val="21"/>
                    </w:rPr>
                    <w:t>（PM</w:t>
                  </w:r>
                  <w:r>
                    <w:rPr>
                      <w:bCs/>
                      <w:szCs w:val="21"/>
                      <w:vertAlign w:val="subscript"/>
                    </w:rPr>
                    <w:t>10</w:t>
                  </w:r>
                  <w:r>
                    <w:rPr>
                      <w:bCs/>
                      <w:szCs w:val="21"/>
                    </w:rPr>
                    <w:t>）</w:t>
                  </w:r>
                </w:p>
              </w:tc>
              <w:tc>
                <w:tcPr>
                  <w:tcW w:w="2088" w:type="dxa"/>
                  <w:vAlign w:val="center"/>
                </w:tcPr>
                <w:p w14:paraId="3B229209">
                  <w:pPr>
                    <w:autoSpaceDE w:val="0"/>
                    <w:autoSpaceDN w:val="0"/>
                    <w:adjustRightInd w:val="0"/>
                    <w:snapToGrid w:val="0"/>
                    <w:jc w:val="center"/>
                    <w:rPr>
                      <w:bCs/>
                      <w:szCs w:val="21"/>
                    </w:rPr>
                  </w:pPr>
                  <w:r>
                    <w:rPr>
                      <w:bCs/>
                      <w:szCs w:val="21"/>
                    </w:rPr>
                    <w:t>年平均</w:t>
                  </w:r>
                </w:p>
              </w:tc>
              <w:tc>
                <w:tcPr>
                  <w:tcW w:w="2280" w:type="dxa"/>
                  <w:vAlign w:val="center"/>
                </w:tcPr>
                <w:p w14:paraId="77B8BE49">
                  <w:pPr>
                    <w:autoSpaceDE w:val="0"/>
                    <w:autoSpaceDN w:val="0"/>
                    <w:adjustRightInd w:val="0"/>
                    <w:snapToGrid w:val="0"/>
                    <w:jc w:val="center"/>
                    <w:rPr>
                      <w:bCs/>
                      <w:szCs w:val="21"/>
                    </w:rPr>
                  </w:pPr>
                  <w:r>
                    <w:rPr>
                      <w:bCs/>
                      <w:szCs w:val="21"/>
                    </w:rPr>
                    <w:t>70</w:t>
                  </w:r>
                </w:p>
              </w:tc>
              <w:tc>
                <w:tcPr>
                  <w:tcW w:w="1147" w:type="dxa"/>
                  <w:vMerge w:val="continue"/>
                  <w:vAlign w:val="center"/>
                </w:tcPr>
                <w:p w14:paraId="57807AD2">
                  <w:pPr>
                    <w:autoSpaceDE w:val="0"/>
                    <w:autoSpaceDN w:val="0"/>
                    <w:rPr>
                      <w:kern w:val="0"/>
                      <w:sz w:val="22"/>
                    </w:rPr>
                  </w:pPr>
                </w:p>
              </w:tc>
            </w:tr>
            <w:tr w14:paraId="37A05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314F82BC">
                  <w:pPr>
                    <w:autoSpaceDE w:val="0"/>
                    <w:autoSpaceDN w:val="0"/>
                    <w:adjustRightInd w:val="0"/>
                    <w:snapToGrid w:val="0"/>
                    <w:jc w:val="center"/>
                    <w:rPr>
                      <w:bCs/>
                      <w:szCs w:val="21"/>
                    </w:rPr>
                  </w:pPr>
                </w:p>
              </w:tc>
              <w:tc>
                <w:tcPr>
                  <w:tcW w:w="1563" w:type="dxa"/>
                  <w:vMerge w:val="continue"/>
                  <w:vAlign w:val="center"/>
                </w:tcPr>
                <w:p w14:paraId="0DD0F6B9">
                  <w:pPr>
                    <w:autoSpaceDE w:val="0"/>
                    <w:autoSpaceDN w:val="0"/>
                    <w:adjustRightInd w:val="0"/>
                    <w:snapToGrid w:val="0"/>
                    <w:jc w:val="center"/>
                    <w:rPr>
                      <w:bCs/>
                      <w:szCs w:val="21"/>
                    </w:rPr>
                  </w:pPr>
                </w:p>
              </w:tc>
              <w:tc>
                <w:tcPr>
                  <w:tcW w:w="2088" w:type="dxa"/>
                  <w:vAlign w:val="center"/>
                </w:tcPr>
                <w:p w14:paraId="14981BF8">
                  <w:pPr>
                    <w:autoSpaceDE w:val="0"/>
                    <w:autoSpaceDN w:val="0"/>
                    <w:adjustRightInd w:val="0"/>
                    <w:snapToGrid w:val="0"/>
                    <w:ind w:left="104" w:right="105"/>
                    <w:jc w:val="center"/>
                    <w:rPr>
                      <w:bCs/>
                      <w:szCs w:val="21"/>
                    </w:rPr>
                  </w:pPr>
                  <w:r>
                    <w:rPr>
                      <w:bCs/>
                      <w:szCs w:val="21"/>
                    </w:rPr>
                    <w:t>24 小时平均</w:t>
                  </w:r>
                </w:p>
              </w:tc>
              <w:tc>
                <w:tcPr>
                  <w:tcW w:w="2280" w:type="dxa"/>
                  <w:vAlign w:val="center"/>
                </w:tcPr>
                <w:p w14:paraId="3E5B7AA7">
                  <w:pPr>
                    <w:autoSpaceDE w:val="0"/>
                    <w:autoSpaceDN w:val="0"/>
                    <w:adjustRightInd w:val="0"/>
                    <w:snapToGrid w:val="0"/>
                    <w:spacing w:before="14"/>
                    <w:ind w:left="763" w:right="763"/>
                    <w:jc w:val="center"/>
                    <w:rPr>
                      <w:bCs/>
                      <w:szCs w:val="21"/>
                    </w:rPr>
                  </w:pPr>
                  <w:r>
                    <w:rPr>
                      <w:bCs/>
                      <w:szCs w:val="21"/>
                    </w:rPr>
                    <w:t>150</w:t>
                  </w:r>
                </w:p>
              </w:tc>
              <w:tc>
                <w:tcPr>
                  <w:tcW w:w="1147" w:type="dxa"/>
                  <w:vMerge w:val="continue"/>
                  <w:vAlign w:val="center"/>
                </w:tcPr>
                <w:p w14:paraId="53E738CF">
                  <w:pPr>
                    <w:autoSpaceDE w:val="0"/>
                    <w:autoSpaceDN w:val="0"/>
                    <w:rPr>
                      <w:kern w:val="0"/>
                      <w:sz w:val="22"/>
                    </w:rPr>
                  </w:pPr>
                </w:p>
              </w:tc>
            </w:tr>
            <w:tr w14:paraId="1111B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29680662">
                  <w:pPr>
                    <w:autoSpaceDE w:val="0"/>
                    <w:autoSpaceDN w:val="0"/>
                    <w:adjustRightInd w:val="0"/>
                    <w:snapToGrid w:val="0"/>
                    <w:jc w:val="center"/>
                    <w:rPr>
                      <w:bCs/>
                      <w:szCs w:val="21"/>
                    </w:rPr>
                  </w:pPr>
                </w:p>
              </w:tc>
              <w:tc>
                <w:tcPr>
                  <w:tcW w:w="1563" w:type="dxa"/>
                  <w:vMerge w:val="restart"/>
                  <w:vAlign w:val="center"/>
                </w:tcPr>
                <w:p w14:paraId="3989405F">
                  <w:pPr>
                    <w:autoSpaceDE w:val="0"/>
                    <w:autoSpaceDN w:val="0"/>
                    <w:adjustRightInd w:val="0"/>
                    <w:snapToGrid w:val="0"/>
                    <w:jc w:val="center"/>
                    <w:rPr>
                      <w:bCs/>
                      <w:szCs w:val="21"/>
                    </w:rPr>
                  </w:pPr>
                  <w:r>
                    <w:rPr>
                      <w:bCs/>
                      <w:szCs w:val="21"/>
                    </w:rPr>
                    <w:t>颗粒物</w:t>
                  </w:r>
                </w:p>
                <w:p w14:paraId="00A99969">
                  <w:pPr>
                    <w:autoSpaceDE w:val="0"/>
                    <w:autoSpaceDN w:val="0"/>
                    <w:adjustRightInd w:val="0"/>
                    <w:snapToGrid w:val="0"/>
                    <w:jc w:val="center"/>
                    <w:rPr>
                      <w:bCs/>
                      <w:szCs w:val="21"/>
                    </w:rPr>
                  </w:pPr>
                  <w:r>
                    <w:rPr>
                      <w:bCs/>
                      <w:szCs w:val="21"/>
                    </w:rPr>
                    <w:t>（PM</w:t>
                  </w:r>
                  <w:r>
                    <w:rPr>
                      <w:bCs/>
                      <w:szCs w:val="21"/>
                      <w:vertAlign w:val="subscript"/>
                    </w:rPr>
                    <w:t>2.5</w:t>
                  </w:r>
                  <w:r>
                    <w:rPr>
                      <w:bCs/>
                      <w:szCs w:val="21"/>
                    </w:rPr>
                    <w:t>）</w:t>
                  </w:r>
                </w:p>
              </w:tc>
              <w:tc>
                <w:tcPr>
                  <w:tcW w:w="2088" w:type="dxa"/>
                  <w:vAlign w:val="center"/>
                </w:tcPr>
                <w:p w14:paraId="377999B0">
                  <w:pPr>
                    <w:autoSpaceDE w:val="0"/>
                    <w:autoSpaceDN w:val="0"/>
                    <w:adjustRightInd w:val="0"/>
                    <w:snapToGrid w:val="0"/>
                    <w:jc w:val="center"/>
                    <w:rPr>
                      <w:bCs/>
                      <w:szCs w:val="21"/>
                    </w:rPr>
                  </w:pPr>
                  <w:r>
                    <w:rPr>
                      <w:bCs/>
                      <w:szCs w:val="21"/>
                    </w:rPr>
                    <w:t>年平均</w:t>
                  </w:r>
                </w:p>
              </w:tc>
              <w:tc>
                <w:tcPr>
                  <w:tcW w:w="2280" w:type="dxa"/>
                  <w:vAlign w:val="center"/>
                </w:tcPr>
                <w:p w14:paraId="42F7BFCF">
                  <w:pPr>
                    <w:autoSpaceDE w:val="0"/>
                    <w:autoSpaceDN w:val="0"/>
                    <w:adjustRightInd w:val="0"/>
                    <w:snapToGrid w:val="0"/>
                    <w:jc w:val="center"/>
                    <w:rPr>
                      <w:bCs/>
                      <w:szCs w:val="21"/>
                    </w:rPr>
                  </w:pPr>
                  <w:r>
                    <w:rPr>
                      <w:bCs/>
                      <w:szCs w:val="21"/>
                    </w:rPr>
                    <w:t>35</w:t>
                  </w:r>
                </w:p>
              </w:tc>
              <w:tc>
                <w:tcPr>
                  <w:tcW w:w="1147" w:type="dxa"/>
                  <w:vMerge w:val="continue"/>
                  <w:vAlign w:val="center"/>
                </w:tcPr>
                <w:p w14:paraId="194DBFC0">
                  <w:pPr>
                    <w:autoSpaceDE w:val="0"/>
                    <w:autoSpaceDN w:val="0"/>
                    <w:rPr>
                      <w:kern w:val="0"/>
                      <w:sz w:val="22"/>
                    </w:rPr>
                  </w:pPr>
                </w:p>
              </w:tc>
            </w:tr>
            <w:tr w14:paraId="2EC9F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777F30C5">
                  <w:pPr>
                    <w:autoSpaceDE w:val="0"/>
                    <w:autoSpaceDN w:val="0"/>
                    <w:adjustRightInd w:val="0"/>
                    <w:snapToGrid w:val="0"/>
                    <w:jc w:val="center"/>
                    <w:rPr>
                      <w:bCs/>
                      <w:szCs w:val="21"/>
                    </w:rPr>
                  </w:pPr>
                </w:p>
              </w:tc>
              <w:tc>
                <w:tcPr>
                  <w:tcW w:w="1563" w:type="dxa"/>
                  <w:vMerge w:val="continue"/>
                  <w:vAlign w:val="center"/>
                </w:tcPr>
                <w:p w14:paraId="4ED7B3CF">
                  <w:pPr>
                    <w:autoSpaceDE w:val="0"/>
                    <w:autoSpaceDN w:val="0"/>
                    <w:adjustRightInd w:val="0"/>
                    <w:snapToGrid w:val="0"/>
                    <w:jc w:val="center"/>
                    <w:rPr>
                      <w:bCs/>
                      <w:szCs w:val="21"/>
                    </w:rPr>
                  </w:pPr>
                </w:p>
              </w:tc>
              <w:tc>
                <w:tcPr>
                  <w:tcW w:w="2088" w:type="dxa"/>
                  <w:vAlign w:val="center"/>
                </w:tcPr>
                <w:p w14:paraId="34532697">
                  <w:pPr>
                    <w:autoSpaceDE w:val="0"/>
                    <w:autoSpaceDN w:val="0"/>
                    <w:adjustRightInd w:val="0"/>
                    <w:snapToGrid w:val="0"/>
                    <w:ind w:left="104" w:right="105"/>
                    <w:jc w:val="center"/>
                    <w:rPr>
                      <w:bCs/>
                      <w:szCs w:val="21"/>
                    </w:rPr>
                  </w:pPr>
                  <w:r>
                    <w:rPr>
                      <w:bCs/>
                      <w:szCs w:val="21"/>
                    </w:rPr>
                    <w:t>24 小时平均</w:t>
                  </w:r>
                </w:p>
              </w:tc>
              <w:tc>
                <w:tcPr>
                  <w:tcW w:w="2280" w:type="dxa"/>
                  <w:vAlign w:val="center"/>
                </w:tcPr>
                <w:p w14:paraId="7051198D">
                  <w:pPr>
                    <w:autoSpaceDE w:val="0"/>
                    <w:autoSpaceDN w:val="0"/>
                    <w:adjustRightInd w:val="0"/>
                    <w:snapToGrid w:val="0"/>
                    <w:spacing w:before="13"/>
                    <w:ind w:left="763" w:right="763"/>
                    <w:jc w:val="center"/>
                    <w:rPr>
                      <w:bCs/>
                      <w:szCs w:val="21"/>
                    </w:rPr>
                  </w:pPr>
                  <w:r>
                    <w:rPr>
                      <w:bCs/>
                      <w:szCs w:val="21"/>
                    </w:rPr>
                    <w:t>75</w:t>
                  </w:r>
                </w:p>
              </w:tc>
              <w:tc>
                <w:tcPr>
                  <w:tcW w:w="1147" w:type="dxa"/>
                  <w:vMerge w:val="continue"/>
                  <w:vAlign w:val="center"/>
                </w:tcPr>
                <w:p w14:paraId="68EA5775">
                  <w:pPr>
                    <w:autoSpaceDE w:val="0"/>
                    <w:autoSpaceDN w:val="0"/>
                    <w:rPr>
                      <w:kern w:val="0"/>
                      <w:sz w:val="22"/>
                    </w:rPr>
                  </w:pPr>
                </w:p>
              </w:tc>
            </w:tr>
            <w:tr w14:paraId="335A4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770CC93A">
                  <w:pPr>
                    <w:autoSpaceDE w:val="0"/>
                    <w:autoSpaceDN w:val="0"/>
                    <w:adjustRightInd w:val="0"/>
                    <w:snapToGrid w:val="0"/>
                    <w:jc w:val="center"/>
                    <w:rPr>
                      <w:bCs/>
                      <w:szCs w:val="21"/>
                    </w:rPr>
                  </w:pPr>
                </w:p>
              </w:tc>
              <w:tc>
                <w:tcPr>
                  <w:tcW w:w="1563" w:type="dxa"/>
                  <w:vMerge w:val="restart"/>
                  <w:vAlign w:val="center"/>
                </w:tcPr>
                <w:p w14:paraId="492EEBC0">
                  <w:pPr>
                    <w:autoSpaceDE w:val="0"/>
                    <w:autoSpaceDN w:val="0"/>
                    <w:adjustRightInd w:val="0"/>
                    <w:snapToGrid w:val="0"/>
                    <w:jc w:val="center"/>
                    <w:rPr>
                      <w:bCs/>
                      <w:szCs w:val="21"/>
                    </w:rPr>
                  </w:pPr>
                  <w:r>
                    <w:rPr>
                      <w:bCs/>
                      <w:szCs w:val="21"/>
                    </w:rPr>
                    <w:t>一氧化碳</w:t>
                  </w:r>
                </w:p>
                <w:p w14:paraId="43A6BCD2">
                  <w:pPr>
                    <w:autoSpaceDE w:val="0"/>
                    <w:autoSpaceDN w:val="0"/>
                    <w:adjustRightInd w:val="0"/>
                    <w:snapToGrid w:val="0"/>
                    <w:jc w:val="center"/>
                    <w:rPr>
                      <w:bCs/>
                      <w:szCs w:val="21"/>
                    </w:rPr>
                  </w:pPr>
                  <w:r>
                    <w:rPr>
                      <w:bCs/>
                      <w:szCs w:val="21"/>
                    </w:rPr>
                    <w:t>（CO）</w:t>
                  </w:r>
                </w:p>
              </w:tc>
              <w:tc>
                <w:tcPr>
                  <w:tcW w:w="2088" w:type="dxa"/>
                  <w:vAlign w:val="center"/>
                </w:tcPr>
                <w:p w14:paraId="2A309D35">
                  <w:pPr>
                    <w:autoSpaceDE w:val="0"/>
                    <w:autoSpaceDN w:val="0"/>
                    <w:adjustRightInd w:val="0"/>
                    <w:snapToGrid w:val="0"/>
                    <w:jc w:val="center"/>
                    <w:rPr>
                      <w:bCs/>
                      <w:szCs w:val="21"/>
                    </w:rPr>
                  </w:pPr>
                  <w:r>
                    <w:rPr>
                      <w:bCs/>
                      <w:szCs w:val="21"/>
                    </w:rPr>
                    <w:t>24 小时平均</w:t>
                  </w:r>
                </w:p>
              </w:tc>
              <w:tc>
                <w:tcPr>
                  <w:tcW w:w="2280" w:type="dxa"/>
                  <w:vAlign w:val="center"/>
                </w:tcPr>
                <w:p w14:paraId="04DE3759">
                  <w:pPr>
                    <w:autoSpaceDE w:val="0"/>
                    <w:autoSpaceDN w:val="0"/>
                    <w:adjustRightInd w:val="0"/>
                    <w:snapToGrid w:val="0"/>
                    <w:jc w:val="center"/>
                    <w:rPr>
                      <w:bCs/>
                      <w:szCs w:val="21"/>
                    </w:rPr>
                  </w:pPr>
                  <w:r>
                    <w:rPr>
                      <w:bCs/>
                      <w:szCs w:val="21"/>
                    </w:rPr>
                    <w:t>4</w:t>
                  </w:r>
                </w:p>
              </w:tc>
              <w:tc>
                <w:tcPr>
                  <w:tcW w:w="1147" w:type="dxa"/>
                  <w:vMerge w:val="restart"/>
                  <w:vAlign w:val="center"/>
                </w:tcPr>
                <w:p w14:paraId="3161F298">
                  <w:pPr>
                    <w:autoSpaceDE w:val="0"/>
                    <w:autoSpaceDN w:val="0"/>
                    <w:ind w:left="264"/>
                    <w:jc w:val="left"/>
                    <w:rPr>
                      <w:kern w:val="0"/>
                      <w:sz w:val="13"/>
                      <w:szCs w:val="22"/>
                    </w:rPr>
                  </w:pPr>
                  <w:r>
                    <w:rPr>
                      <w:kern w:val="0"/>
                      <w:szCs w:val="22"/>
                    </w:rPr>
                    <w:t>mg/m</w:t>
                  </w:r>
                  <w:r>
                    <w:rPr>
                      <w:kern w:val="0"/>
                      <w:position w:val="7"/>
                      <w:sz w:val="13"/>
                      <w:szCs w:val="22"/>
                    </w:rPr>
                    <w:t>3</w:t>
                  </w:r>
                </w:p>
              </w:tc>
            </w:tr>
            <w:tr w14:paraId="7324A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6A029C50">
                  <w:pPr>
                    <w:autoSpaceDE w:val="0"/>
                    <w:autoSpaceDN w:val="0"/>
                    <w:adjustRightInd w:val="0"/>
                    <w:snapToGrid w:val="0"/>
                    <w:jc w:val="center"/>
                    <w:rPr>
                      <w:bCs/>
                      <w:szCs w:val="21"/>
                    </w:rPr>
                  </w:pPr>
                </w:p>
              </w:tc>
              <w:tc>
                <w:tcPr>
                  <w:tcW w:w="1563" w:type="dxa"/>
                  <w:vMerge w:val="continue"/>
                  <w:vAlign w:val="center"/>
                </w:tcPr>
                <w:p w14:paraId="0013F7F3">
                  <w:pPr>
                    <w:autoSpaceDE w:val="0"/>
                    <w:autoSpaceDN w:val="0"/>
                    <w:adjustRightInd w:val="0"/>
                    <w:snapToGrid w:val="0"/>
                    <w:jc w:val="center"/>
                    <w:rPr>
                      <w:bCs/>
                      <w:szCs w:val="21"/>
                    </w:rPr>
                  </w:pPr>
                </w:p>
              </w:tc>
              <w:tc>
                <w:tcPr>
                  <w:tcW w:w="2088" w:type="dxa"/>
                  <w:vAlign w:val="center"/>
                </w:tcPr>
                <w:p w14:paraId="44CA21C6">
                  <w:pPr>
                    <w:autoSpaceDE w:val="0"/>
                    <w:autoSpaceDN w:val="0"/>
                    <w:adjustRightInd w:val="0"/>
                    <w:snapToGrid w:val="0"/>
                    <w:spacing w:before="34"/>
                    <w:ind w:left="104" w:right="106"/>
                    <w:jc w:val="center"/>
                    <w:rPr>
                      <w:bCs/>
                      <w:szCs w:val="21"/>
                    </w:rPr>
                  </w:pPr>
                  <w:r>
                    <w:rPr>
                      <w:bCs/>
                      <w:szCs w:val="21"/>
                    </w:rPr>
                    <w:t>1 小时平均</w:t>
                  </w:r>
                </w:p>
              </w:tc>
              <w:tc>
                <w:tcPr>
                  <w:tcW w:w="2280" w:type="dxa"/>
                  <w:vAlign w:val="center"/>
                </w:tcPr>
                <w:p w14:paraId="20929C9D">
                  <w:pPr>
                    <w:autoSpaceDE w:val="0"/>
                    <w:autoSpaceDN w:val="0"/>
                    <w:adjustRightInd w:val="0"/>
                    <w:snapToGrid w:val="0"/>
                    <w:spacing w:before="90"/>
                    <w:ind w:left="763" w:right="763"/>
                    <w:jc w:val="center"/>
                    <w:rPr>
                      <w:bCs/>
                      <w:szCs w:val="21"/>
                    </w:rPr>
                  </w:pPr>
                  <w:r>
                    <w:rPr>
                      <w:bCs/>
                      <w:szCs w:val="21"/>
                    </w:rPr>
                    <w:t>10</w:t>
                  </w:r>
                </w:p>
              </w:tc>
              <w:tc>
                <w:tcPr>
                  <w:tcW w:w="1147" w:type="dxa"/>
                  <w:vMerge w:val="continue"/>
                  <w:vAlign w:val="center"/>
                </w:tcPr>
                <w:p w14:paraId="472B907A">
                  <w:pPr>
                    <w:autoSpaceDE w:val="0"/>
                    <w:autoSpaceDN w:val="0"/>
                    <w:rPr>
                      <w:kern w:val="0"/>
                      <w:sz w:val="22"/>
                    </w:rPr>
                  </w:pPr>
                </w:p>
              </w:tc>
            </w:tr>
            <w:tr w14:paraId="52BC6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5A5DE52A">
                  <w:pPr>
                    <w:autoSpaceDE w:val="0"/>
                    <w:autoSpaceDN w:val="0"/>
                    <w:adjustRightInd w:val="0"/>
                    <w:snapToGrid w:val="0"/>
                    <w:jc w:val="center"/>
                    <w:rPr>
                      <w:bCs/>
                      <w:szCs w:val="21"/>
                    </w:rPr>
                  </w:pPr>
                </w:p>
              </w:tc>
              <w:tc>
                <w:tcPr>
                  <w:tcW w:w="1563" w:type="dxa"/>
                  <w:vMerge w:val="restart"/>
                  <w:vAlign w:val="center"/>
                </w:tcPr>
                <w:p w14:paraId="13FD2661">
                  <w:pPr>
                    <w:autoSpaceDE w:val="0"/>
                    <w:autoSpaceDN w:val="0"/>
                    <w:adjustRightInd w:val="0"/>
                    <w:snapToGrid w:val="0"/>
                    <w:jc w:val="center"/>
                    <w:rPr>
                      <w:bCs/>
                      <w:szCs w:val="21"/>
                    </w:rPr>
                  </w:pPr>
                  <w:r>
                    <w:rPr>
                      <w:bCs/>
                      <w:szCs w:val="21"/>
                    </w:rPr>
                    <w:t>氟化物</w:t>
                  </w:r>
                </w:p>
              </w:tc>
              <w:tc>
                <w:tcPr>
                  <w:tcW w:w="2088" w:type="dxa"/>
                  <w:vAlign w:val="center"/>
                </w:tcPr>
                <w:p w14:paraId="7F0619BF">
                  <w:pPr>
                    <w:autoSpaceDE w:val="0"/>
                    <w:autoSpaceDN w:val="0"/>
                    <w:adjustRightInd w:val="0"/>
                    <w:snapToGrid w:val="0"/>
                    <w:spacing w:before="34"/>
                    <w:ind w:left="104" w:right="106"/>
                    <w:jc w:val="center"/>
                    <w:rPr>
                      <w:bCs/>
                      <w:szCs w:val="21"/>
                    </w:rPr>
                  </w:pPr>
                  <w:r>
                    <w:rPr>
                      <w:bCs/>
                      <w:szCs w:val="21"/>
                    </w:rPr>
                    <w:t>1 小时平均</w:t>
                  </w:r>
                </w:p>
              </w:tc>
              <w:tc>
                <w:tcPr>
                  <w:tcW w:w="2280" w:type="dxa"/>
                  <w:vAlign w:val="center"/>
                </w:tcPr>
                <w:p w14:paraId="6DA0C359">
                  <w:pPr>
                    <w:autoSpaceDE w:val="0"/>
                    <w:autoSpaceDN w:val="0"/>
                    <w:adjustRightInd w:val="0"/>
                    <w:snapToGrid w:val="0"/>
                    <w:spacing w:before="90"/>
                    <w:ind w:left="763" w:right="763"/>
                    <w:jc w:val="center"/>
                    <w:rPr>
                      <w:bCs/>
                      <w:szCs w:val="21"/>
                    </w:rPr>
                  </w:pPr>
                  <w:r>
                    <w:rPr>
                      <w:bCs/>
                      <w:szCs w:val="21"/>
                    </w:rPr>
                    <w:t>20</w:t>
                  </w:r>
                </w:p>
              </w:tc>
              <w:tc>
                <w:tcPr>
                  <w:tcW w:w="1147" w:type="dxa"/>
                  <w:vMerge w:val="restart"/>
                  <w:vAlign w:val="center"/>
                </w:tcPr>
                <w:p w14:paraId="070D9EC8">
                  <w:pPr>
                    <w:autoSpaceDE w:val="0"/>
                    <w:autoSpaceDN w:val="0"/>
                    <w:ind w:left="291"/>
                    <w:jc w:val="left"/>
                    <w:rPr>
                      <w:kern w:val="0"/>
                      <w:sz w:val="22"/>
                    </w:rPr>
                  </w:pPr>
                  <w:r>
                    <w:rPr>
                      <w:kern w:val="0"/>
                      <w:szCs w:val="22"/>
                      <w:lang w:eastAsia="en-US"/>
                    </w:rPr>
                    <w:t>μ</w:t>
                  </w:r>
                  <w:r>
                    <w:rPr>
                      <w:kern w:val="0"/>
                      <w:szCs w:val="22"/>
                    </w:rPr>
                    <w:t>g/m</w:t>
                  </w:r>
                  <w:r>
                    <w:rPr>
                      <w:kern w:val="0"/>
                      <w:position w:val="7"/>
                      <w:sz w:val="13"/>
                      <w:szCs w:val="22"/>
                    </w:rPr>
                    <w:t>3</w:t>
                  </w:r>
                </w:p>
              </w:tc>
            </w:tr>
            <w:tr w14:paraId="13596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175CC389">
                  <w:pPr>
                    <w:autoSpaceDE w:val="0"/>
                    <w:autoSpaceDN w:val="0"/>
                    <w:adjustRightInd w:val="0"/>
                    <w:snapToGrid w:val="0"/>
                    <w:jc w:val="center"/>
                    <w:rPr>
                      <w:bCs/>
                      <w:szCs w:val="21"/>
                    </w:rPr>
                  </w:pPr>
                </w:p>
              </w:tc>
              <w:tc>
                <w:tcPr>
                  <w:tcW w:w="1563" w:type="dxa"/>
                  <w:vMerge w:val="continue"/>
                  <w:vAlign w:val="center"/>
                </w:tcPr>
                <w:p w14:paraId="7304F052">
                  <w:pPr>
                    <w:autoSpaceDE w:val="0"/>
                    <w:autoSpaceDN w:val="0"/>
                    <w:adjustRightInd w:val="0"/>
                    <w:snapToGrid w:val="0"/>
                    <w:jc w:val="center"/>
                    <w:rPr>
                      <w:bCs/>
                      <w:szCs w:val="21"/>
                    </w:rPr>
                  </w:pPr>
                </w:p>
              </w:tc>
              <w:tc>
                <w:tcPr>
                  <w:tcW w:w="2088" w:type="dxa"/>
                  <w:vAlign w:val="center"/>
                </w:tcPr>
                <w:p w14:paraId="534633FE">
                  <w:pPr>
                    <w:autoSpaceDE w:val="0"/>
                    <w:autoSpaceDN w:val="0"/>
                    <w:adjustRightInd w:val="0"/>
                    <w:snapToGrid w:val="0"/>
                    <w:spacing w:before="34"/>
                    <w:ind w:left="104" w:right="106"/>
                    <w:jc w:val="center"/>
                    <w:rPr>
                      <w:bCs/>
                      <w:szCs w:val="21"/>
                    </w:rPr>
                  </w:pPr>
                  <w:r>
                    <w:rPr>
                      <w:bCs/>
                      <w:szCs w:val="21"/>
                    </w:rPr>
                    <w:t>日平均</w:t>
                  </w:r>
                </w:p>
              </w:tc>
              <w:tc>
                <w:tcPr>
                  <w:tcW w:w="2280" w:type="dxa"/>
                  <w:vAlign w:val="center"/>
                </w:tcPr>
                <w:p w14:paraId="6D599B38">
                  <w:pPr>
                    <w:autoSpaceDE w:val="0"/>
                    <w:autoSpaceDN w:val="0"/>
                    <w:adjustRightInd w:val="0"/>
                    <w:snapToGrid w:val="0"/>
                    <w:spacing w:before="90"/>
                    <w:ind w:left="763" w:right="763"/>
                    <w:jc w:val="center"/>
                    <w:rPr>
                      <w:bCs/>
                      <w:szCs w:val="21"/>
                    </w:rPr>
                  </w:pPr>
                  <w:r>
                    <w:rPr>
                      <w:bCs/>
                      <w:szCs w:val="21"/>
                    </w:rPr>
                    <w:t>7</w:t>
                  </w:r>
                </w:p>
              </w:tc>
              <w:tc>
                <w:tcPr>
                  <w:tcW w:w="1147" w:type="dxa"/>
                  <w:vMerge w:val="continue"/>
                  <w:vAlign w:val="center"/>
                </w:tcPr>
                <w:p w14:paraId="0C2C725F">
                  <w:pPr>
                    <w:autoSpaceDE w:val="0"/>
                    <w:autoSpaceDN w:val="0"/>
                    <w:ind w:left="291"/>
                    <w:jc w:val="left"/>
                    <w:rPr>
                      <w:kern w:val="0"/>
                      <w:sz w:val="22"/>
                    </w:rPr>
                  </w:pPr>
                </w:p>
              </w:tc>
            </w:tr>
            <w:tr w14:paraId="56CA4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44E473C2">
                  <w:pPr>
                    <w:autoSpaceDE w:val="0"/>
                    <w:autoSpaceDN w:val="0"/>
                    <w:adjustRightInd w:val="0"/>
                    <w:snapToGrid w:val="0"/>
                    <w:jc w:val="center"/>
                    <w:rPr>
                      <w:bCs/>
                      <w:szCs w:val="21"/>
                    </w:rPr>
                  </w:pPr>
                </w:p>
              </w:tc>
              <w:tc>
                <w:tcPr>
                  <w:tcW w:w="1563" w:type="dxa"/>
                  <w:vMerge w:val="restart"/>
                  <w:vAlign w:val="center"/>
                </w:tcPr>
                <w:p w14:paraId="4CC99B0D">
                  <w:pPr>
                    <w:autoSpaceDE w:val="0"/>
                    <w:autoSpaceDN w:val="0"/>
                    <w:adjustRightInd w:val="0"/>
                    <w:snapToGrid w:val="0"/>
                    <w:spacing w:before="208"/>
                    <w:ind w:left="212"/>
                    <w:jc w:val="center"/>
                    <w:rPr>
                      <w:bCs/>
                      <w:szCs w:val="21"/>
                    </w:rPr>
                  </w:pPr>
                  <w:r>
                    <w:rPr>
                      <w:bCs/>
                      <w:szCs w:val="21"/>
                    </w:rPr>
                    <w:t>臭氧（O</w:t>
                  </w:r>
                  <w:r>
                    <w:rPr>
                      <w:bCs/>
                      <w:szCs w:val="21"/>
                      <w:vertAlign w:val="subscript"/>
                    </w:rPr>
                    <w:t>3</w:t>
                  </w:r>
                  <w:r>
                    <w:rPr>
                      <w:bCs/>
                      <w:szCs w:val="21"/>
                    </w:rPr>
                    <w:t>）</w:t>
                  </w:r>
                </w:p>
              </w:tc>
              <w:tc>
                <w:tcPr>
                  <w:tcW w:w="2088" w:type="dxa"/>
                  <w:vAlign w:val="center"/>
                </w:tcPr>
                <w:p w14:paraId="3F869AFB">
                  <w:pPr>
                    <w:autoSpaceDE w:val="0"/>
                    <w:autoSpaceDN w:val="0"/>
                    <w:adjustRightInd w:val="0"/>
                    <w:snapToGrid w:val="0"/>
                    <w:spacing w:before="36"/>
                    <w:ind w:left="104" w:right="106"/>
                    <w:jc w:val="center"/>
                    <w:rPr>
                      <w:bCs/>
                      <w:szCs w:val="21"/>
                    </w:rPr>
                  </w:pPr>
                  <w:r>
                    <w:rPr>
                      <w:bCs/>
                      <w:szCs w:val="21"/>
                    </w:rPr>
                    <w:t>日最大8小时平均</w:t>
                  </w:r>
                </w:p>
              </w:tc>
              <w:tc>
                <w:tcPr>
                  <w:tcW w:w="2280" w:type="dxa"/>
                  <w:vAlign w:val="center"/>
                </w:tcPr>
                <w:p w14:paraId="5C57439F">
                  <w:pPr>
                    <w:autoSpaceDE w:val="0"/>
                    <w:autoSpaceDN w:val="0"/>
                    <w:adjustRightInd w:val="0"/>
                    <w:snapToGrid w:val="0"/>
                    <w:spacing w:before="90"/>
                    <w:ind w:left="763" w:right="763"/>
                    <w:jc w:val="center"/>
                    <w:rPr>
                      <w:bCs/>
                      <w:szCs w:val="21"/>
                    </w:rPr>
                  </w:pPr>
                  <w:r>
                    <w:rPr>
                      <w:bCs/>
                      <w:szCs w:val="21"/>
                    </w:rPr>
                    <w:t>160</w:t>
                  </w:r>
                </w:p>
              </w:tc>
              <w:tc>
                <w:tcPr>
                  <w:tcW w:w="1147" w:type="dxa"/>
                  <w:vMerge w:val="continue"/>
                  <w:vAlign w:val="center"/>
                </w:tcPr>
                <w:p w14:paraId="38C049DC">
                  <w:pPr>
                    <w:autoSpaceDE w:val="0"/>
                    <w:autoSpaceDN w:val="0"/>
                    <w:ind w:left="291"/>
                    <w:jc w:val="left"/>
                    <w:rPr>
                      <w:kern w:val="0"/>
                      <w:sz w:val="13"/>
                      <w:szCs w:val="22"/>
                    </w:rPr>
                  </w:pPr>
                </w:p>
              </w:tc>
            </w:tr>
            <w:tr w14:paraId="7F45B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094" w:type="dxa"/>
                  <w:vMerge w:val="continue"/>
                  <w:vAlign w:val="center"/>
                </w:tcPr>
                <w:p w14:paraId="424A7C54">
                  <w:pPr>
                    <w:autoSpaceDE w:val="0"/>
                    <w:autoSpaceDN w:val="0"/>
                    <w:adjustRightInd w:val="0"/>
                    <w:snapToGrid w:val="0"/>
                    <w:jc w:val="center"/>
                    <w:rPr>
                      <w:bCs/>
                      <w:szCs w:val="21"/>
                    </w:rPr>
                  </w:pPr>
                </w:p>
              </w:tc>
              <w:tc>
                <w:tcPr>
                  <w:tcW w:w="1563" w:type="dxa"/>
                  <w:vMerge w:val="continue"/>
                  <w:vAlign w:val="center"/>
                </w:tcPr>
                <w:p w14:paraId="4FF1AAE6">
                  <w:pPr>
                    <w:autoSpaceDE w:val="0"/>
                    <w:autoSpaceDN w:val="0"/>
                    <w:adjustRightInd w:val="0"/>
                    <w:snapToGrid w:val="0"/>
                    <w:jc w:val="center"/>
                    <w:rPr>
                      <w:bCs/>
                      <w:szCs w:val="21"/>
                    </w:rPr>
                  </w:pPr>
                </w:p>
              </w:tc>
              <w:tc>
                <w:tcPr>
                  <w:tcW w:w="2088" w:type="dxa"/>
                  <w:vAlign w:val="center"/>
                </w:tcPr>
                <w:p w14:paraId="513D921E">
                  <w:pPr>
                    <w:autoSpaceDE w:val="0"/>
                    <w:autoSpaceDN w:val="0"/>
                    <w:adjustRightInd w:val="0"/>
                    <w:snapToGrid w:val="0"/>
                    <w:spacing w:before="33"/>
                    <w:ind w:left="104" w:right="106"/>
                    <w:jc w:val="center"/>
                    <w:rPr>
                      <w:bCs/>
                      <w:szCs w:val="21"/>
                    </w:rPr>
                  </w:pPr>
                  <w:r>
                    <w:rPr>
                      <w:bCs/>
                      <w:szCs w:val="21"/>
                    </w:rPr>
                    <w:t>1 小时平均</w:t>
                  </w:r>
                </w:p>
              </w:tc>
              <w:tc>
                <w:tcPr>
                  <w:tcW w:w="2280" w:type="dxa"/>
                  <w:vAlign w:val="center"/>
                </w:tcPr>
                <w:p w14:paraId="25072F08">
                  <w:pPr>
                    <w:autoSpaceDE w:val="0"/>
                    <w:autoSpaceDN w:val="0"/>
                    <w:adjustRightInd w:val="0"/>
                    <w:snapToGrid w:val="0"/>
                    <w:spacing w:before="89"/>
                    <w:ind w:left="763" w:right="763"/>
                    <w:jc w:val="center"/>
                    <w:rPr>
                      <w:bCs/>
                      <w:szCs w:val="21"/>
                    </w:rPr>
                  </w:pPr>
                  <w:r>
                    <w:rPr>
                      <w:bCs/>
                      <w:szCs w:val="21"/>
                    </w:rPr>
                    <w:t>200</w:t>
                  </w:r>
                </w:p>
              </w:tc>
              <w:tc>
                <w:tcPr>
                  <w:tcW w:w="1147" w:type="dxa"/>
                  <w:vMerge w:val="continue"/>
                  <w:vAlign w:val="center"/>
                </w:tcPr>
                <w:p w14:paraId="0C88F99C">
                  <w:pPr>
                    <w:autoSpaceDE w:val="0"/>
                    <w:autoSpaceDN w:val="0"/>
                    <w:rPr>
                      <w:kern w:val="0"/>
                      <w:sz w:val="22"/>
                    </w:rPr>
                  </w:pPr>
                </w:p>
              </w:tc>
            </w:tr>
          </w:tbl>
          <w:p w14:paraId="615F1A78">
            <w:pPr>
              <w:adjustRightInd w:val="0"/>
              <w:snapToGrid w:val="0"/>
              <w:spacing w:line="360" w:lineRule="auto"/>
              <w:ind w:firstLine="482" w:firstLineChars="200"/>
              <w:rPr>
                <w:b/>
                <w:bCs/>
                <w:kern w:val="0"/>
                <w:sz w:val="24"/>
              </w:rPr>
            </w:pPr>
          </w:p>
          <w:p w14:paraId="6B20EDC9">
            <w:pPr>
              <w:spacing w:before="120" w:beforeLines="50" w:line="360" w:lineRule="auto"/>
              <w:ind w:firstLine="482" w:firstLineChars="200"/>
              <w:rPr>
                <w:b/>
                <w:sz w:val="24"/>
              </w:rPr>
            </w:pPr>
            <w:r>
              <w:rPr>
                <w:b/>
                <w:sz w:val="24"/>
              </w:rPr>
              <w:t>1.2地表水环境质量标准</w:t>
            </w:r>
          </w:p>
          <w:p w14:paraId="03125B21">
            <w:pPr>
              <w:spacing w:line="360" w:lineRule="auto"/>
              <w:ind w:firstLine="480" w:firstLineChars="200"/>
              <w:jc w:val="left"/>
            </w:pPr>
            <w:r>
              <w:rPr>
                <w:snapToGrid w:val="0"/>
                <w:kern w:val="0"/>
                <w:sz w:val="24"/>
                <w:szCs w:val="20"/>
                <w:lang w:val="zh-CN"/>
              </w:rPr>
              <w:t>项目所在区域最近的地表水体为北侧4.7km的芒市大河，</w:t>
            </w:r>
            <w:r>
              <w:rPr>
                <w:kern w:val="0"/>
                <w:sz w:val="24"/>
                <w:lang w:val="zh-CN"/>
              </w:rPr>
              <w:t>根据《云南省水功能区划（2014修订版）》，芒市大河执行</w:t>
            </w:r>
            <w:r>
              <w:rPr>
                <w:sz w:val="24"/>
                <w:szCs w:val="28"/>
              </w:rPr>
              <w:t>《地表水环境质量标准》（GB3838-2002）III类水质标准。</w:t>
            </w:r>
          </w:p>
          <w:p w14:paraId="5327F182">
            <w:pPr>
              <w:tabs>
                <w:tab w:val="left" w:pos="2715"/>
                <w:tab w:val="center" w:pos="4535"/>
              </w:tabs>
              <w:adjustRightInd w:val="0"/>
              <w:snapToGrid w:val="0"/>
              <w:jc w:val="center"/>
              <w:rPr>
                <w:b/>
                <w:bCs/>
                <w:sz w:val="24"/>
              </w:rPr>
            </w:pPr>
            <w:r>
              <w:rPr>
                <w:b/>
                <w:bCs/>
                <w:sz w:val="24"/>
              </w:rPr>
              <w:t>表3-10  地表水环境质量标准（单位：mg/L）</w:t>
            </w:r>
          </w:p>
          <w:tbl>
            <w:tblPr>
              <w:tblStyle w:val="25"/>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1"/>
              <w:gridCol w:w="2904"/>
              <w:gridCol w:w="2905"/>
            </w:tblGrid>
            <w:tr w14:paraId="08C4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1" w:type="dxa"/>
                  <w:vAlign w:val="center"/>
                </w:tcPr>
                <w:p w14:paraId="5FE28D5C">
                  <w:pPr>
                    <w:jc w:val="center"/>
                    <w:rPr>
                      <w:b/>
                      <w:bCs/>
                      <w:szCs w:val="21"/>
                      <w:lang w:val="zh-CN"/>
                    </w:rPr>
                  </w:pPr>
                  <w:r>
                    <w:rPr>
                      <w:b/>
                      <w:bCs/>
                      <w:szCs w:val="21"/>
                      <w:lang w:val="zh-CN"/>
                    </w:rPr>
                    <w:t>项目</w:t>
                  </w:r>
                </w:p>
              </w:tc>
              <w:tc>
                <w:tcPr>
                  <w:tcW w:w="2904" w:type="dxa"/>
                </w:tcPr>
                <w:p w14:paraId="4046F4C3">
                  <w:pPr>
                    <w:tabs>
                      <w:tab w:val="center" w:pos="1716"/>
                      <w:tab w:val="right" w:pos="3432"/>
                    </w:tabs>
                    <w:jc w:val="center"/>
                    <w:rPr>
                      <w:b/>
                      <w:bCs/>
                      <w:szCs w:val="21"/>
                      <w:lang w:val="zh-CN"/>
                    </w:rPr>
                  </w:pPr>
                  <w:r>
                    <w:rPr>
                      <w:b/>
                      <w:bCs/>
                      <w:szCs w:val="21"/>
                      <w:lang w:val="zh-CN"/>
                    </w:rPr>
                    <w:t>I</w:t>
                  </w:r>
                  <w:r>
                    <w:rPr>
                      <w:b/>
                      <w:bCs/>
                      <w:szCs w:val="21"/>
                    </w:rPr>
                    <w:t>II</w:t>
                  </w:r>
                  <w:r>
                    <w:rPr>
                      <w:b/>
                      <w:bCs/>
                      <w:szCs w:val="21"/>
                      <w:lang w:val="zh-CN"/>
                    </w:rPr>
                    <w:t>类标准值</w:t>
                  </w:r>
                </w:p>
              </w:tc>
              <w:tc>
                <w:tcPr>
                  <w:tcW w:w="2905" w:type="dxa"/>
                </w:tcPr>
                <w:p w14:paraId="5A152E32">
                  <w:pPr>
                    <w:tabs>
                      <w:tab w:val="center" w:pos="1716"/>
                      <w:tab w:val="right" w:pos="3432"/>
                    </w:tabs>
                    <w:jc w:val="center"/>
                    <w:rPr>
                      <w:b/>
                      <w:bCs/>
                      <w:szCs w:val="21"/>
                      <w:lang w:val="zh-CN"/>
                    </w:rPr>
                  </w:pPr>
                  <w:r>
                    <w:rPr>
                      <w:b/>
                      <w:bCs/>
                      <w:szCs w:val="21"/>
                    </w:rPr>
                    <w:t>执行</w:t>
                  </w:r>
                  <w:r>
                    <w:rPr>
                      <w:b/>
                      <w:bCs/>
                      <w:szCs w:val="21"/>
                      <w:lang w:val="zh-CN"/>
                    </w:rPr>
                    <w:t>标准</w:t>
                  </w:r>
                </w:p>
              </w:tc>
            </w:tr>
            <w:tr w14:paraId="6538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1" w:type="dxa"/>
                  <w:vAlign w:val="center"/>
                </w:tcPr>
                <w:p w14:paraId="57B6629F">
                  <w:pPr>
                    <w:jc w:val="center"/>
                    <w:rPr>
                      <w:bCs/>
                      <w:szCs w:val="21"/>
                      <w:lang w:val="zh-CN"/>
                    </w:rPr>
                  </w:pPr>
                  <w:r>
                    <w:rPr>
                      <w:bCs/>
                      <w:szCs w:val="21"/>
                      <w:lang w:val="zh-CN"/>
                    </w:rPr>
                    <w:t>pH值（无量纲）</w:t>
                  </w:r>
                </w:p>
              </w:tc>
              <w:tc>
                <w:tcPr>
                  <w:tcW w:w="2904" w:type="dxa"/>
                </w:tcPr>
                <w:p w14:paraId="7A85C3ED">
                  <w:pPr>
                    <w:jc w:val="center"/>
                    <w:rPr>
                      <w:bCs/>
                      <w:szCs w:val="21"/>
                      <w:lang w:val="zh-CN"/>
                    </w:rPr>
                  </w:pPr>
                  <w:r>
                    <w:rPr>
                      <w:bCs/>
                      <w:szCs w:val="21"/>
                      <w:lang w:val="zh-CN"/>
                    </w:rPr>
                    <w:t>6~9</w:t>
                  </w:r>
                </w:p>
              </w:tc>
              <w:tc>
                <w:tcPr>
                  <w:tcW w:w="2905" w:type="dxa"/>
                  <w:vMerge w:val="restart"/>
                  <w:vAlign w:val="center"/>
                </w:tcPr>
                <w:p w14:paraId="743D5AAF">
                  <w:pPr>
                    <w:jc w:val="center"/>
                    <w:rPr>
                      <w:bCs/>
                      <w:szCs w:val="21"/>
                      <w:lang w:val="zh-CN"/>
                    </w:rPr>
                  </w:pPr>
                  <w:r>
                    <w:rPr>
                      <w:snapToGrid w:val="0"/>
                      <w:kern w:val="0"/>
                      <w:szCs w:val="21"/>
                      <w:lang w:val="zh-CN"/>
                    </w:rPr>
                    <w:t>《地表水环境质量标准》（GB3838-2002）I</w:t>
                  </w:r>
                  <w:r>
                    <w:rPr>
                      <w:snapToGrid w:val="0"/>
                      <w:kern w:val="0"/>
                      <w:szCs w:val="21"/>
                    </w:rPr>
                    <w:t>II</w:t>
                  </w:r>
                  <w:r>
                    <w:rPr>
                      <w:snapToGrid w:val="0"/>
                      <w:kern w:val="0"/>
                      <w:szCs w:val="21"/>
                      <w:lang w:val="zh-CN"/>
                    </w:rPr>
                    <w:t>类水质标准</w:t>
                  </w:r>
                </w:p>
              </w:tc>
            </w:tr>
            <w:tr w14:paraId="58C5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1" w:type="dxa"/>
                  <w:vAlign w:val="center"/>
                </w:tcPr>
                <w:p w14:paraId="4787D43D">
                  <w:pPr>
                    <w:jc w:val="center"/>
                    <w:rPr>
                      <w:bCs/>
                      <w:szCs w:val="21"/>
                      <w:lang w:val="zh-CN"/>
                    </w:rPr>
                  </w:pPr>
                  <w:r>
                    <w:rPr>
                      <w:bCs/>
                      <w:szCs w:val="21"/>
                      <w:lang w:val="zh-CN"/>
                    </w:rPr>
                    <w:t>BOD</w:t>
                  </w:r>
                  <w:r>
                    <w:rPr>
                      <w:bCs/>
                      <w:szCs w:val="21"/>
                      <w:vertAlign w:val="subscript"/>
                      <w:lang w:val="zh-CN"/>
                    </w:rPr>
                    <w:t>5</w:t>
                  </w:r>
                </w:p>
              </w:tc>
              <w:tc>
                <w:tcPr>
                  <w:tcW w:w="2904" w:type="dxa"/>
                </w:tcPr>
                <w:p w14:paraId="12D1425B">
                  <w:pPr>
                    <w:jc w:val="center"/>
                    <w:rPr>
                      <w:bCs/>
                      <w:szCs w:val="32"/>
                      <w:lang w:val="zh-CN"/>
                    </w:rPr>
                  </w:pPr>
                  <w:r>
                    <w:rPr>
                      <w:bCs/>
                      <w:szCs w:val="32"/>
                      <w:lang w:val="zh-CN"/>
                    </w:rPr>
                    <w:t>≤</w:t>
                  </w:r>
                  <w:r>
                    <w:rPr>
                      <w:bCs/>
                      <w:szCs w:val="32"/>
                    </w:rPr>
                    <w:t>4</w:t>
                  </w:r>
                </w:p>
              </w:tc>
              <w:tc>
                <w:tcPr>
                  <w:tcW w:w="2905" w:type="dxa"/>
                  <w:vMerge w:val="continue"/>
                </w:tcPr>
                <w:p w14:paraId="4860281D">
                  <w:pPr>
                    <w:jc w:val="center"/>
                    <w:rPr>
                      <w:bCs/>
                      <w:szCs w:val="32"/>
                      <w:lang w:val="zh-CN"/>
                    </w:rPr>
                  </w:pPr>
                </w:p>
              </w:tc>
            </w:tr>
            <w:tr w14:paraId="0DD6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1" w:type="dxa"/>
                  <w:vAlign w:val="center"/>
                </w:tcPr>
                <w:p w14:paraId="00C3C577">
                  <w:pPr>
                    <w:jc w:val="center"/>
                    <w:rPr>
                      <w:bCs/>
                      <w:szCs w:val="21"/>
                      <w:lang w:val="zh-CN"/>
                    </w:rPr>
                  </w:pPr>
                  <w:r>
                    <w:rPr>
                      <w:bCs/>
                      <w:szCs w:val="21"/>
                      <w:lang w:val="zh-CN"/>
                    </w:rPr>
                    <w:t>CODcr</w:t>
                  </w:r>
                </w:p>
              </w:tc>
              <w:tc>
                <w:tcPr>
                  <w:tcW w:w="2904" w:type="dxa"/>
                </w:tcPr>
                <w:p w14:paraId="1EC8D90B">
                  <w:pPr>
                    <w:jc w:val="center"/>
                    <w:rPr>
                      <w:bCs/>
                      <w:szCs w:val="32"/>
                    </w:rPr>
                  </w:pPr>
                  <w:r>
                    <w:rPr>
                      <w:bCs/>
                      <w:szCs w:val="32"/>
                      <w:lang w:val="zh-CN"/>
                    </w:rPr>
                    <w:t>≤</w:t>
                  </w:r>
                  <w:r>
                    <w:rPr>
                      <w:bCs/>
                      <w:szCs w:val="32"/>
                    </w:rPr>
                    <w:t>20</w:t>
                  </w:r>
                </w:p>
              </w:tc>
              <w:tc>
                <w:tcPr>
                  <w:tcW w:w="2905" w:type="dxa"/>
                  <w:vMerge w:val="continue"/>
                </w:tcPr>
                <w:p w14:paraId="06424F07">
                  <w:pPr>
                    <w:jc w:val="center"/>
                    <w:rPr>
                      <w:bCs/>
                      <w:szCs w:val="32"/>
                      <w:lang w:val="zh-CN"/>
                    </w:rPr>
                  </w:pPr>
                </w:p>
              </w:tc>
            </w:tr>
            <w:tr w14:paraId="409B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1" w:type="dxa"/>
                  <w:vAlign w:val="center"/>
                </w:tcPr>
                <w:p w14:paraId="034FCC16">
                  <w:pPr>
                    <w:jc w:val="center"/>
                    <w:rPr>
                      <w:bCs/>
                      <w:szCs w:val="21"/>
                      <w:lang w:val="zh-CN"/>
                    </w:rPr>
                  </w:pPr>
                  <w:r>
                    <w:rPr>
                      <w:bCs/>
                      <w:szCs w:val="21"/>
                      <w:lang w:val="zh-CN"/>
                    </w:rPr>
                    <w:t>氨氮</w:t>
                  </w:r>
                </w:p>
              </w:tc>
              <w:tc>
                <w:tcPr>
                  <w:tcW w:w="2904" w:type="dxa"/>
                </w:tcPr>
                <w:p w14:paraId="2F388D65">
                  <w:pPr>
                    <w:jc w:val="center"/>
                    <w:rPr>
                      <w:bCs/>
                      <w:szCs w:val="32"/>
                      <w:lang w:val="zh-CN"/>
                    </w:rPr>
                  </w:pPr>
                  <w:r>
                    <w:rPr>
                      <w:bCs/>
                      <w:szCs w:val="32"/>
                      <w:lang w:val="zh-CN"/>
                    </w:rPr>
                    <w:t>≤1.</w:t>
                  </w:r>
                  <w:r>
                    <w:rPr>
                      <w:bCs/>
                      <w:szCs w:val="32"/>
                    </w:rPr>
                    <w:t>0</w:t>
                  </w:r>
                </w:p>
              </w:tc>
              <w:tc>
                <w:tcPr>
                  <w:tcW w:w="2905" w:type="dxa"/>
                  <w:vMerge w:val="continue"/>
                </w:tcPr>
                <w:p w14:paraId="3353035A">
                  <w:pPr>
                    <w:jc w:val="center"/>
                    <w:rPr>
                      <w:bCs/>
                      <w:szCs w:val="32"/>
                      <w:lang w:val="zh-CN"/>
                    </w:rPr>
                  </w:pPr>
                </w:p>
              </w:tc>
            </w:tr>
            <w:tr w14:paraId="3FEE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1" w:type="dxa"/>
                  <w:vAlign w:val="center"/>
                </w:tcPr>
                <w:p w14:paraId="271F7168">
                  <w:pPr>
                    <w:jc w:val="center"/>
                    <w:rPr>
                      <w:bCs/>
                      <w:szCs w:val="21"/>
                      <w:lang w:val="zh-CN"/>
                    </w:rPr>
                  </w:pPr>
                  <w:r>
                    <w:rPr>
                      <w:bCs/>
                      <w:szCs w:val="21"/>
                      <w:lang w:val="zh-CN"/>
                    </w:rPr>
                    <w:t>总磷</w:t>
                  </w:r>
                </w:p>
              </w:tc>
              <w:tc>
                <w:tcPr>
                  <w:tcW w:w="2904" w:type="dxa"/>
                </w:tcPr>
                <w:p w14:paraId="4FD9A588">
                  <w:pPr>
                    <w:jc w:val="center"/>
                    <w:rPr>
                      <w:bCs/>
                      <w:szCs w:val="32"/>
                      <w:lang w:val="zh-CN"/>
                    </w:rPr>
                  </w:pPr>
                  <w:r>
                    <w:rPr>
                      <w:bCs/>
                      <w:szCs w:val="32"/>
                      <w:lang w:val="zh-CN"/>
                    </w:rPr>
                    <w:t>≤0.</w:t>
                  </w:r>
                  <w:r>
                    <w:rPr>
                      <w:bCs/>
                      <w:szCs w:val="32"/>
                    </w:rPr>
                    <w:t>2</w:t>
                  </w:r>
                </w:p>
              </w:tc>
              <w:tc>
                <w:tcPr>
                  <w:tcW w:w="2905" w:type="dxa"/>
                  <w:vMerge w:val="continue"/>
                </w:tcPr>
                <w:p w14:paraId="5D098CA8">
                  <w:pPr>
                    <w:jc w:val="center"/>
                    <w:rPr>
                      <w:bCs/>
                      <w:szCs w:val="32"/>
                      <w:lang w:val="zh-CN"/>
                    </w:rPr>
                  </w:pPr>
                </w:p>
              </w:tc>
            </w:tr>
            <w:tr w14:paraId="56C5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1" w:type="dxa"/>
                  <w:vAlign w:val="center"/>
                </w:tcPr>
                <w:p w14:paraId="4A9DDC9C">
                  <w:pPr>
                    <w:jc w:val="center"/>
                    <w:rPr>
                      <w:bCs/>
                      <w:szCs w:val="21"/>
                      <w:lang w:val="zh-CN"/>
                    </w:rPr>
                  </w:pPr>
                  <w:r>
                    <w:rPr>
                      <w:bCs/>
                      <w:szCs w:val="21"/>
                      <w:lang w:val="zh-CN"/>
                    </w:rPr>
                    <w:t>石油类</w:t>
                  </w:r>
                </w:p>
              </w:tc>
              <w:tc>
                <w:tcPr>
                  <w:tcW w:w="2904" w:type="dxa"/>
                </w:tcPr>
                <w:p w14:paraId="27D7BD38">
                  <w:pPr>
                    <w:jc w:val="center"/>
                    <w:rPr>
                      <w:bCs/>
                      <w:szCs w:val="32"/>
                      <w:lang w:val="zh-CN"/>
                    </w:rPr>
                  </w:pPr>
                  <w:r>
                    <w:rPr>
                      <w:bCs/>
                      <w:szCs w:val="32"/>
                      <w:lang w:val="zh-CN"/>
                    </w:rPr>
                    <w:t>≤0.</w:t>
                  </w:r>
                  <w:r>
                    <w:rPr>
                      <w:bCs/>
                      <w:szCs w:val="32"/>
                    </w:rPr>
                    <w:t>0</w:t>
                  </w:r>
                  <w:r>
                    <w:rPr>
                      <w:bCs/>
                      <w:szCs w:val="32"/>
                      <w:lang w:val="zh-CN"/>
                    </w:rPr>
                    <w:t>5</w:t>
                  </w:r>
                </w:p>
              </w:tc>
              <w:tc>
                <w:tcPr>
                  <w:tcW w:w="2905" w:type="dxa"/>
                  <w:vMerge w:val="continue"/>
                </w:tcPr>
                <w:p w14:paraId="3CF8DD65">
                  <w:pPr>
                    <w:jc w:val="center"/>
                    <w:rPr>
                      <w:bCs/>
                      <w:szCs w:val="32"/>
                      <w:lang w:val="zh-CN"/>
                    </w:rPr>
                  </w:pPr>
                </w:p>
              </w:tc>
            </w:tr>
          </w:tbl>
          <w:p w14:paraId="04A9849E">
            <w:pPr>
              <w:spacing w:before="120" w:beforeLines="50" w:line="360" w:lineRule="auto"/>
              <w:ind w:firstLine="482" w:firstLineChars="200"/>
              <w:rPr>
                <w:b/>
                <w:sz w:val="24"/>
              </w:rPr>
            </w:pPr>
            <w:r>
              <w:rPr>
                <w:b/>
                <w:sz w:val="24"/>
              </w:rPr>
              <w:t>1.3声环境质量标准</w:t>
            </w:r>
          </w:p>
          <w:p w14:paraId="48DCA588">
            <w:pPr>
              <w:widowControl/>
              <w:adjustRightInd w:val="0"/>
              <w:snapToGrid w:val="0"/>
              <w:spacing w:line="360" w:lineRule="auto"/>
              <w:ind w:firstLine="480" w:firstLineChars="200"/>
              <w:jc w:val="left"/>
              <w:rPr>
                <w:sz w:val="24"/>
              </w:rPr>
            </w:pPr>
            <w:r>
              <w:rPr>
                <w:kern w:val="0"/>
                <w:sz w:val="24"/>
              </w:rPr>
              <w:t>项目区执行GB3096-2008《声环境质量标准》2类标准，运营期声环境标准限值</w:t>
            </w:r>
            <w:r>
              <w:rPr>
                <w:sz w:val="24"/>
              </w:rPr>
              <w:t>见表3-11。</w:t>
            </w:r>
          </w:p>
          <w:p w14:paraId="5699C78A">
            <w:pPr>
              <w:tabs>
                <w:tab w:val="left" w:pos="2715"/>
                <w:tab w:val="center" w:pos="4535"/>
              </w:tabs>
              <w:adjustRightInd w:val="0"/>
              <w:snapToGrid w:val="0"/>
              <w:jc w:val="center"/>
              <w:rPr>
                <w:b/>
                <w:bCs/>
                <w:sz w:val="24"/>
              </w:rPr>
            </w:pPr>
            <w:r>
              <w:rPr>
                <w:b/>
                <w:bCs/>
                <w:sz w:val="24"/>
              </w:rPr>
              <w:t>表3-11  声环境质量标准</w:t>
            </w:r>
          </w:p>
          <w:tbl>
            <w:tblPr>
              <w:tblStyle w:val="25"/>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1755"/>
              <w:gridCol w:w="1588"/>
              <w:gridCol w:w="3167"/>
            </w:tblGrid>
            <w:tr w14:paraId="1870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58" w:type="dxa"/>
                  <w:vMerge w:val="restart"/>
                  <w:vAlign w:val="center"/>
                </w:tcPr>
                <w:p w14:paraId="387F7171">
                  <w:pPr>
                    <w:adjustRightInd w:val="0"/>
                    <w:snapToGrid w:val="0"/>
                    <w:jc w:val="center"/>
                    <w:rPr>
                      <w:b/>
                      <w:bCs/>
                      <w:szCs w:val="21"/>
                    </w:rPr>
                  </w:pPr>
                  <w:r>
                    <w:rPr>
                      <w:b/>
                      <w:bCs/>
                      <w:szCs w:val="21"/>
                    </w:rPr>
                    <w:t>适用区域</w:t>
                  </w:r>
                </w:p>
              </w:tc>
              <w:tc>
                <w:tcPr>
                  <w:tcW w:w="3343" w:type="dxa"/>
                  <w:gridSpan w:val="2"/>
                  <w:vAlign w:val="center"/>
                </w:tcPr>
                <w:p w14:paraId="297E988D">
                  <w:pPr>
                    <w:adjustRightInd w:val="0"/>
                    <w:snapToGrid w:val="0"/>
                    <w:jc w:val="center"/>
                    <w:rPr>
                      <w:b/>
                      <w:bCs/>
                      <w:szCs w:val="21"/>
                    </w:rPr>
                  </w:pPr>
                  <w:r>
                    <w:rPr>
                      <w:b/>
                      <w:bCs/>
                      <w:szCs w:val="21"/>
                    </w:rPr>
                    <w:t>等效声级Leq dB（A）</w:t>
                  </w:r>
                </w:p>
              </w:tc>
              <w:tc>
                <w:tcPr>
                  <w:tcW w:w="3167" w:type="dxa"/>
                  <w:vMerge w:val="restart"/>
                  <w:vAlign w:val="center"/>
                </w:tcPr>
                <w:p w14:paraId="14036694">
                  <w:pPr>
                    <w:adjustRightInd w:val="0"/>
                    <w:snapToGrid w:val="0"/>
                    <w:jc w:val="center"/>
                    <w:rPr>
                      <w:b/>
                      <w:bCs/>
                      <w:szCs w:val="21"/>
                    </w:rPr>
                  </w:pPr>
                  <w:r>
                    <w:rPr>
                      <w:b/>
                      <w:bCs/>
                      <w:szCs w:val="21"/>
                    </w:rPr>
                    <w:t>标准来源</w:t>
                  </w:r>
                </w:p>
              </w:tc>
            </w:tr>
            <w:tr w14:paraId="73B1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58" w:type="dxa"/>
                  <w:vMerge w:val="continue"/>
                  <w:vAlign w:val="center"/>
                </w:tcPr>
                <w:p w14:paraId="27D1044E">
                  <w:pPr>
                    <w:adjustRightInd w:val="0"/>
                    <w:snapToGrid w:val="0"/>
                    <w:jc w:val="center"/>
                    <w:rPr>
                      <w:szCs w:val="21"/>
                    </w:rPr>
                  </w:pPr>
                </w:p>
              </w:tc>
              <w:tc>
                <w:tcPr>
                  <w:tcW w:w="1755" w:type="dxa"/>
                  <w:vAlign w:val="center"/>
                </w:tcPr>
                <w:p w14:paraId="0F01E77E">
                  <w:pPr>
                    <w:adjustRightInd w:val="0"/>
                    <w:snapToGrid w:val="0"/>
                    <w:jc w:val="center"/>
                    <w:rPr>
                      <w:b/>
                      <w:bCs/>
                      <w:szCs w:val="21"/>
                    </w:rPr>
                  </w:pPr>
                  <w:r>
                    <w:rPr>
                      <w:b/>
                      <w:bCs/>
                      <w:szCs w:val="21"/>
                    </w:rPr>
                    <w:t>昼间</w:t>
                  </w:r>
                </w:p>
              </w:tc>
              <w:tc>
                <w:tcPr>
                  <w:tcW w:w="1588" w:type="dxa"/>
                  <w:vAlign w:val="center"/>
                </w:tcPr>
                <w:p w14:paraId="6963CFB8">
                  <w:pPr>
                    <w:adjustRightInd w:val="0"/>
                    <w:snapToGrid w:val="0"/>
                    <w:jc w:val="center"/>
                    <w:rPr>
                      <w:b/>
                      <w:bCs/>
                      <w:szCs w:val="21"/>
                    </w:rPr>
                  </w:pPr>
                  <w:r>
                    <w:rPr>
                      <w:b/>
                      <w:bCs/>
                      <w:szCs w:val="21"/>
                    </w:rPr>
                    <w:t>夜间</w:t>
                  </w:r>
                </w:p>
              </w:tc>
              <w:tc>
                <w:tcPr>
                  <w:tcW w:w="3167" w:type="dxa"/>
                  <w:vMerge w:val="continue"/>
                  <w:vAlign w:val="center"/>
                </w:tcPr>
                <w:p w14:paraId="1820668F">
                  <w:pPr>
                    <w:adjustRightInd w:val="0"/>
                    <w:snapToGrid w:val="0"/>
                    <w:jc w:val="center"/>
                    <w:rPr>
                      <w:szCs w:val="21"/>
                    </w:rPr>
                  </w:pPr>
                </w:p>
              </w:tc>
            </w:tr>
            <w:tr w14:paraId="5774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58" w:type="dxa"/>
                  <w:vAlign w:val="center"/>
                </w:tcPr>
                <w:p w14:paraId="353AF41A">
                  <w:pPr>
                    <w:adjustRightInd w:val="0"/>
                    <w:snapToGrid w:val="0"/>
                    <w:jc w:val="center"/>
                    <w:rPr>
                      <w:szCs w:val="21"/>
                    </w:rPr>
                  </w:pPr>
                  <w:r>
                    <w:rPr>
                      <w:szCs w:val="21"/>
                    </w:rPr>
                    <w:t>项目区</w:t>
                  </w:r>
                </w:p>
              </w:tc>
              <w:tc>
                <w:tcPr>
                  <w:tcW w:w="1755" w:type="dxa"/>
                  <w:vAlign w:val="center"/>
                </w:tcPr>
                <w:p w14:paraId="090EF0FE">
                  <w:pPr>
                    <w:adjustRightInd w:val="0"/>
                    <w:snapToGrid w:val="0"/>
                    <w:jc w:val="center"/>
                    <w:rPr>
                      <w:szCs w:val="21"/>
                    </w:rPr>
                  </w:pPr>
                  <w:r>
                    <w:rPr>
                      <w:szCs w:val="21"/>
                    </w:rPr>
                    <w:t>60</w:t>
                  </w:r>
                </w:p>
              </w:tc>
              <w:tc>
                <w:tcPr>
                  <w:tcW w:w="1588" w:type="dxa"/>
                  <w:vAlign w:val="center"/>
                </w:tcPr>
                <w:p w14:paraId="28E451DF">
                  <w:pPr>
                    <w:adjustRightInd w:val="0"/>
                    <w:snapToGrid w:val="0"/>
                    <w:jc w:val="center"/>
                    <w:rPr>
                      <w:szCs w:val="21"/>
                    </w:rPr>
                  </w:pPr>
                  <w:r>
                    <w:rPr>
                      <w:szCs w:val="21"/>
                    </w:rPr>
                    <w:t>50</w:t>
                  </w:r>
                </w:p>
              </w:tc>
              <w:tc>
                <w:tcPr>
                  <w:tcW w:w="3167" w:type="dxa"/>
                  <w:vAlign w:val="center"/>
                </w:tcPr>
                <w:p w14:paraId="1BB421BD">
                  <w:pPr>
                    <w:adjustRightInd w:val="0"/>
                    <w:snapToGrid w:val="0"/>
                    <w:jc w:val="center"/>
                    <w:rPr>
                      <w:szCs w:val="21"/>
                    </w:rPr>
                  </w:pPr>
                  <w:r>
                    <w:rPr>
                      <w:szCs w:val="21"/>
                    </w:rPr>
                    <w:t>GB3096-2008中2类</w:t>
                  </w:r>
                </w:p>
              </w:tc>
            </w:tr>
          </w:tbl>
          <w:p w14:paraId="2324A407">
            <w:pPr>
              <w:pStyle w:val="2"/>
              <w:rPr>
                <w:rFonts w:ascii="Times New Roman" w:hAnsi="Times New Roman"/>
              </w:rPr>
            </w:pPr>
          </w:p>
          <w:p w14:paraId="1A474611"/>
          <w:p w14:paraId="61118279">
            <w:pPr>
              <w:pStyle w:val="2"/>
              <w:rPr>
                <w:rFonts w:ascii="Times New Roman" w:hAnsi="Times New Roman"/>
              </w:rPr>
            </w:pPr>
          </w:p>
          <w:p w14:paraId="2E4F207B"/>
          <w:p w14:paraId="57E8FFB0">
            <w:pPr>
              <w:pStyle w:val="2"/>
              <w:rPr>
                <w:rFonts w:ascii="Times New Roman" w:hAnsi="Times New Roman"/>
              </w:rPr>
            </w:pPr>
          </w:p>
          <w:p w14:paraId="6B79F333"/>
          <w:p w14:paraId="324AA8DC">
            <w:pPr>
              <w:pStyle w:val="2"/>
              <w:rPr>
                <w:rFonts w:ascii="Times New Roman" w:hAnsi="Times New Roman"/>
              </w:rPr>
            </w:pPr>
          </w:p>
          <w:p w14:paraId="62E827BA"/>
          <w:p w14:paraId="1EF948B6">
            <w:pPr>
              <w:pStyle w:val="2"/>
              <w:rPr>
                <w:rFonts w:ascii="Times New Roman" w:hAnsi="Times New Roman"/>
              </w:rPr>
            </w:pPr>
          </w:p>
          <w:p w14:paraId="25EFFAFE"/>
          <w:p w14:paraId="4FAD1225">
            <w:pPr>
              <w:pStyle w:val="2"/>
              <w:rPr>
                <w:rFonts w:ascii="Times New Roman" w:hAnsi="Times New Roman"/>
              </w:rPr>
            </w:pPr>
          </w:p>
          <w:p w14:paraId="37D64222"/>
          <w:p w14:paraId="08ACD34F">
            <w:pPr>
              <w:pStyle w:val="2"/>
              <w:rPr>
                <w:rFonts w:ascii="Times New Roman" w:hAnsi="Times New Roman"/>
              </w:rPr>
            </w:pPr>
          </w:p>
          <w:p w14:paraId="49E3EDE0"/>
        </w:tc>
      </w:tr>
      <w:tr w14:paraId="5FE8F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7" w:hRule="atLeast"/>
          <w:jc w:val="center"/>
        </w:trPr>
        <w:tc>
          <w:tcPr>
            <w:tcW w:w="457" w:type="dxa"/>
            <w:tcMar>
              <w:left w:w="28" w:type="dxa"/>
              <w:right w:w="28" w:type="dxa"/>
            </w:tcMar>
            <w:vAlign w:val="center"/>
          </w:tcPr>
          <w:p w14:paraId="44F6FB2C">
            <w:pPr>
              <w:adjustRightInd w:val="0"/>
              <w:snapToGrid w:val="0"/>
              <w:jc w:val="center"/>
              <w:rPr>
                <w:b/>
                <w:bCs/>
                <w:kern w:val="0"/>
                <w:sz w:val="24"/>
              </w:rPr>
            </w:pPr>
            <w:r>
              <w:rPr>
                <w:b/>
                <w:bCs/>
                <w:kern w:val="0"/>
                <w:sz w:val="24"/>
              </w:rPr>
              <w:t>污染</w:t>
            </w:r>
          </w:p>
          <w:p w14:paraId="12FDD976">
            <w:pPr>
              <w:adjustRightInd w:val="0"/>
              <w:snapToGrid w:val="0"/>
              <w:jc w:val="center"/>
              <w:rPr>
                <w:b/>
                <w:bCs/>
                <w:kern w:val="0"/>
                <w:sz w:val="24"/>
              </w:rPr>
            </w:pPr>
            <w:r>
              <w:rPr>
                <w:b/>
                <w:bCs/>
                <w:kern w:val="0"/>
                <w:sz w:val="24"/>
              </w:rPr>
              <w:t>物排</w:t>
            </w:r>
          </w:p>
          <w:p w14:paraId="16941625">
            <w:pPr>
              <w:adjustRightInd w:val="0"/>
              <w:snapToGrid w:val="0"/>
              <w:jc w:val="center"/>
              <w:rPr>
                <w:b/>
                <w:bCs/>
                <w:kern w:val="0"/>
                <w:sz w:val="24"/>
              </w:rPr>
            </w:pPr>
            <w:r>
              <w:rPr>
                <w:b/>
                <w:bCs/>
                <w:kern w:val="0"/>
                <w:sz w:val="24"/>
              </w:rPr>
              <w:t>放控</w:t>
            </w:r>
          </w:p>
          <w:p w14:paraId="297774D3">
            <w:pPr>
              <w:adjustRightInd w:val="0"/>
              <w:snapToGrid w:val="0"/>
              <w:jc w:val="center"/>
              <w:rPr>
                <w:b/>
                <w:bCs/>
                <w:kern w:val="0"/>
                <w:sz w:val="24"/>
              </w:rPr>
            </w:pPr>
            <w:r>
              <w:rPr>
                <w:b/>
                <w:bCs/>
                <w:kern w:val="0"/>
                <w:sz w:val="24"/>
              </w:rPr>
              <w:t>制标</w:t>
            </w:r>
          </w:p>
          <w:p w14:paraId="53E80C04">
            <w:pPr>
              <w:adjustRightInd w:val="0"/>
              <w:snapToGrid w:val="0"/>
              <w:jc w:val="center"/>
              <w:rPr>
                <w:b/>
                <w:bCs/>
                <w:kern w:val="0"/>
                <w:sz w:val="24"/>
              </w:rPr>
            </w:pPr>
            <w:r>
              <w:rPr>
                <w:b/>
                <w:bCs/>
                <w:kern w:val="0"/>
                <w:sz w:val="24"/>
              </w:rPr>
              <w:t>准</w:t>
            </w:r>
          </w:p>
        </w:tc>
        <w:tc>
          <w:tcPr>
            <w:tcW w:w="9398" w:type="dxa"/>
            <w:vAlign w:val="center"/>
          </w:tcPr>
          <w:p w14:paraId="4C3A81DA">
            <w:pPr>
              <w:spacing w:line="360" w:lineRule="auto"/>
              <w:ind w:firstLine="482" w:firstLineChars="200"/>
              <w:rPr>
                <w:b/>
                <w:bCs/>
                <w:sz w:val="24"/>
              </w:rPr>
            </w:pPr>
            <w:r>
              <w:rPr>
                <w:b/>
                <w:sz w:val="24"/>
              </w:rPr>
              <w:t>1、废气</w:t>
            </w:r>
          </w:p>
          <w:p w14:paraId="3080E25C">
            <w:pPr>
              <w:spacing w:line="360" w:lineRule="auto"/>
              <w:ind w:firstLine="482" w:firstLineChars="200"/>
              <w:rPr>
                <w:sz w:val="24"/>
              </w:rPr>
            </w:pPr>
            <w:r>
              <w:rPr>
                <w:b/>
                <w:bCs/>
                <w:sz w:val="24"/>
              </w:rPr>
              <w:t>（1）施工期大气污染物排放标准</w:t>
            </w:r>
          </w:p>
          <w:p w14:paraId="64B5E88F">
            <w:pPr>
              <w:snapToGrid w:val="0"/>
              <w:spacing w:line="360" w:lineRule="auto"/>
              <w:ind w:firstLine="480" w:firstLineChars="200"/>
              <w:rPr>
                <w:sz w:val="24"/>
              </w:rPr>
            </w:pPr>
            <w:r>
              <w:rPr>
                <w:sz w:val="24"/>
              </w:rPr>
              <w:t>施工期大气污染物执行《大气污染物综合排放标准》（GB16297-1996）</w:t>
            </w:r>
            <w:r>
              <w:rPr>
                <w:sz w:val="24"/>
                <w:lang w:bidi="ar"/>
              </w:rPr>
              <w:t>表2中的无组织排放监控浓度限值</w:t>
            </w:r>
            <w:r>
              <w:rPr>
                <w:sz w:val="24"/>
              </w:rPr>
              <w:t>，具体标准限值如下。</w:t>
            </w:r>
          </w:p>
          <w:p w14:paraId="57D24A74">
            <w:pPr>
              <w:ind w:firstLine="482"/>
              <w:jc w:val="center"/>
              <w:rPr>
                <w:sz w:val="24"/>
              </w:rPr>
            </w:pPr>
            <w:r>
              <w:rPr>
                <w:b/>
                <w:sz w:val="24"/>
              </w:rPr>
              <w:t>表3-12  大气污染物综合排放标准</w:t>
            </w:r>
          </w:p>
          <w:tbl>
            <w:tblPr>
              <w:tblStyle w:val="25"/>
              <w:tblW w:w="9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3"/>
              <w:gridCol w:w="3052"/>
              <w:gridCol w:w="3067"/>
            </w:tblGrid>
            <w:tr w14:paraId="20E4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053" w:type="dxa"/>
                  <w:vMerge w:val="restart"/>
                  <w:vAlign w:val="center"/>
                </w:tcPr>
                <w:p w14:paraId="16055E5B">
                  <w:pPr>
                    <w:snapToGrid w:val="0"/>
                    <w:jc w:val="center"/>
                    <w:rPr>
                      <w:b/>
                      <w:bCs/>
                      <w:szCs w:val="21"/>
                    </w:rPr>
                  </w:pPr>
                  <w:r>
                    <w:rPr>
                      <w:b/>
                      <w:bCs/>
                      <w:szCs w:val="21"/>
                    </w:rPr>
                    <w:t>污染物</w:t>
                  </w:r>
                </w:p>
              </w:tc>
              <w:tc>
                <w:tcPr>
                  <w:tcW w:w="6119" w:type="dxa"/>
                  <w:gridSpan w:val="2"/>
                  <w:vAlign w:val="center"/>
                </w:tcPr>
                <w:p w14:paraId="242DB4C6">
                  <w:pPr>
                    <w:snapToGrid w:val="0"/>
                    <w:ind w:firstLine="422"/>
                    <w:jc w:val="center"/>
                    <w:rPr>
                      <w:b/>
                      <w:bCs/>
                      <w:szCs w:val="21"/>
                    </w:rPr>
                  </w:pPr>
                  <w:r>
                    <w:rPr>
                      <w:b/>
                      <w:bCs/>
                      <w:szCs w:val="21"/>
                    </w:rPr>
                    <w:t>无组织排放监控浓度限值</w:t>
                  </w:r>
                </w:p>
              </w:tc>
            </w:tr>
            <w:tr w14:paraId="085A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053" w:type="dxa"/>
                  <w:vMerge w:val="continue"/>
                  <w:vAlign w:val="center"/>
                </w:tcPr>
                <w:p w14:paraId="5DD46F1F">
                  <w:pPr>
                    <w:snapToGrid w:val="0"/>
                    <w:jc w:val="center"/>
                    <w:rPr>
                      <w:b/>
                      <w:bCs/>
                      <w:szCs w:val="21"/>
                    </w:rPr>
                  </w:pPr>
                </w:p>
              </w:tc>
              <w:tc>
                <w:tcPr>
                  <w:tcW w:w="3052" w:type="dxa"/>
                  <w:vAlign w:val="center"/>
                </w:tcPr>
                <w:p w14:paraId="4A241ED2">
                  <w:pPr>
                    <w:pStyle w:val="56"/>
                    <w:snapToGrid w:val="0"/>
                    <w:spacing w:line="240" w:lineRule="auto"/>
                    <w:rPr>
                      <w:b/>
                      <w:bCs/>
                      <w:sz w:val="21"/>
                      <w:szCs w:val="21"/>
                    </w:rPr>
                  </w:pPr>
                  <w:r>
                    <w:rPr>
                      <w:b/>
                      <w:bCs/>
                      <w:sz w:val="21"/>
                      <w:szCs w:val="21"/>
                    </w:rPr>
                    <w:t>监控点</w:t>
                  </w:r>
                </w:p>
              </w:tc>
              <w:tc>
                <w:tcPr>
                  <w:tcW w:w="3067" w:type="dxa"/>
                  <w:vAlign w:val="center"/>
                </w:tcPr>
                <w:p w14:paraId="46485332">
                  <w:pPr>
                    <w:pStyle w:val="56"/>
                    <w:snapToGrid w:val="0"/>
                    <w:spacing w:line="240" w:lineRule="auto"/>
                    <w:rPr>
                      <w:b/>
                      <w:bCs/>
                      <w:sz w:val="21"/>
                      <w:szCs w:val="21"/>
                    </w:rPr>
                  </w:pPr>
                  <w:r>
                    <w:rPr>
                      <w:b/>
                      <w:bCs/>
                      <w:sz w:val="21"/>
                      <w:szCs w:val="21"/>
                    </w:rPr>
                    <w:t>浓度（mg/m</w:t>
                  </w:r>
                  <w:r>
                    <w:rPr>
                      <w:b/>
                      <w:bCs/>
                      <w:sz w:val="21"/>
                      <w:szCs w:val="21"/>
                      <w:vertAlign w:val="superscript"/>
                    </w:rPr>
                    <w:t>3</w:t>
                  </w:r>
                  <w:r>
                    <w:rPr>
                      <w:b/>
                      <w:bCs/>
                      <w:sz w:val="21"/>
                      <w:szCs w:val="21"/>
                    </w:rPr>
                    <w:t>）</w:t>
                  </w:r>
                </w:p>
              </w:tc>
            </w:tr>
            <w:tr w14:paraId="12F8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053" w:type="dxa"/>
                  <w:vAlign w:val="center"/>
                </w:tcPr>
                <w:p w14:paraId="24A64743">
                  <w:pPr>
                    <w:snapToGrid w:val="0"/>
                    <w:jc w:val="center"/>
                    <w:rPr>
                      <w:bCs/>
                      <w:szCs w:val="21"/>
                    </w:rPr>
                  </w:pPr>
                  <w:r>
                    <w:rPr>
                      <w:bCs/>
                      <w:szCs w:val="21"/>
                    </w:rPr>
                    <w:t>颗粒物</w:t>
                  </w:r>
                </w:p>
              </w:tc>
              <w:tc>
                <w:tcPr>
                  <w:tcW w:w="3052" w:type="dxa"/>
                  <w:vAlign w:val="center"/>
                </w:tcPr>
                <w:p w14:paraId="6854DFAB">
                  <w:pPr>
                    <w:pStyle w:val="56"/>
                    <w:snapToGrid w:val="0"/>
                    <w:spacing w:line="240" w:lineRule="auto"/>
                    <w:rPr>
                      <w:bCs/>
                      <w:sz w:val="21"/>
                      <w:szCs w:val="21"/>
                    </w:rPr>
                  </w:pPr>
                  <w:r>
                    <w:rPr>
                      <w:bCs/>
                      <w:sz w:val="21"/>
                      <w:szCs w:val="21"/>
                    </w:rPr>
                    <w:t>周界外浓度最高点</w:t>
                  </w:r>
                </w:p>
              </w:tc>
              <w:tc>
                <w:tcPr>
                  <w:tcW w:w="3067" w:type="dxa"/>
                  <w:vAlign w:val="center"/>
                </w:tcPr>
                <w:p w14:paraId="584E0540">
                  <w:pPr>
                    <w:pStyle w:val="56"/>
                    <w:snapToGrid w:val="0"/>
                    <w:spacing w:line="240" w:lineRule="auto"/>
                    <w:rPr>
                      <w:bCs/>
                      <w:sz w:val="21"/>
                      <w:szCs w:val="21"/>
                    </w:rPr>
                  </w:pPr>
                  <w:r>
                    <w:rPr>
                      <w:bCs/>
                      <w:sz w:val="21"/>
                      <w:szCs w:val="21"/>
                    </w:rPr>
                    <w:t>1.0</w:t>
                  </w:r>
                </w:p>
              </w:tc>
            </w:tr>
          </w:tbl>
          <w:p w14:paraId="4DCDF63C">
            <w:pPr>
              <w:spacing w:before="120" w:beforeLines="50" w:line="360" w:lineRule="auto"/>
              <w:ind w:firstLine="482" w:firstLineChars="200"/>
              <w:rPr>
                <w:b/>
                <w:bCs/>
                <w:sz w:val="24"/>
              </w:rPr>
            </w:pPr>
            <w:r>
              <w:rPr>
                <w:b/>
                <w:bCs/>
                <w:sz w:val="24"/>
              </w:rPr>
              <w:t>（2）运营期大气污染物排放标准</w:t>
            </w:r>
          </w:p>
          <w:p w14:paraId="55920965">
            <w:pPr>
              <w:adjustRightInd w:val="0"/>
              <w:spacing w:line="360" w:lineRule="auto"/>
              <w:ind w:firstLine="482" w:firstLineChars="200"/>
              <w:rPr>
                <w:b/>
                <w:sz w:val="24"/>
              </w:rPr>
            </w:pPr>
            <w:r>
              <w:rPr>
                <w:rFonts w:hint="eastAsia" w:ascii="宋体" w:hAnsi="宋体" w:cs="宋体"/>
                <w:b/>
                <w:bCs/>
                <w:sz w:val="24"/>
              </w:rPr>
              <w:t>①</w:t>
            </w:r>
            <w:r>
              <w:rPr>
                <w:b/>
                <w:bCs/>
                <w:sz w:val="24"/>
              </w:rPr>
              <w:t>隧道窑炉焙烧尾气和厂界无组织废气</w:t>
            </w:r>
          </w:p>
          <w:p w14:paraId="0D47263F">
            <w:pPr>
              <w:snapToGrid w:val="0"/>
              <w:spacing w:line="360" w:lineRule="auto"/>
              <w:ind w:firstLine="480" w:firstLineChars="200"/>
              <w:rPr>
                <w:sz w:val="24"/>
              </w:rPr>
            </w:pPr>
            <w:r>
              <w:rPr>
                <w:sz w:val="24"/>
              </w:rPr>
              <w:t>项目隧道窑炉尾气排放执行《砖瓦工业大气污染物排放标准》（GB29620-2013）表2新建企业大气污染物排放限值，污染物无组织排放执行表 3企业边界大气污染物浓度限值，具体标准值如下表所示。</w:t>
            </w:r>
          </w:p>
          <w:p w14:paraId="046AF418">
            <w:pPr>
              <w:ind w:firstLine="482"/>
              <w:jc w:val="center"/>
              <w:rPr>
                <w:b/>
                <w:sz w:val="24"/>
              </w:rPr>
            </w:pPr>
            <w:r>
              <w:rPr>
                <w:b/>
                <w:sz w:val="24"/>
              </w:rPr>
              <w:t>表3-13  砖瓦工业大气污染排放标准   单位：mg/m</w:t>
            </w:r>
            <w:r>
              <w:rPr>
                <w:b/>
                <w:sz w:val="24"/>
                <w:vertAlign w:val="superscript"/>
              </w:rPr>
              <w:t>3</w:t>
            </w:r>
          </w:p>
          <w:tbl>
            <w:tblPr>
              <w:tblStyle w:val="25"/>
              <w:tblW w:w="9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1"/>
              <w:gridCol w:w="1008"/>
              <w:gridCol w:w="1283"/>
              <w:gridCol w:w="1643"/>
              <w:gridCol w:w="1413"/>
              <w:gridCol w:w="1424"/>
            </w:tblGrid>
            <w:tr w14:paraId="0162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01" w:type="dxa"/>
                  <w:vMerge w:val="restart"/>
                  <w:vAlign w:val="center"/>
                </w:tcPr>
                <w:p w14:paraId="17DC3DE7">
                  <w:pPr>
                    <w:jc w:val="center"/>
                    <w:rPr>
                      <w:szCs w:val="21"/>
                    </w:rPr>
                  </w:pPr>
                  <w:r>
                    <w:rPr>
                      <w:b/>
                      <w:bCs/>
                      <w:szCs w:val="21"/>
                    </w:rPr>
                    <w:t>项目</w:t>
                  </w:r>
                </w:p>
              </w:tc>
              <w:tc>
                <w:tcPr>
                  <w:tcW w:w="5347" w:type="dxa"/>
                  <w:gridSpan w:val="4"/>
                  <w:vAlign w:val="center"/>
                </w:tcPr>
                <w:p w14:paraId="46467E2E">
                  <w:pPr>
                    <w:jc w:val="center"/>
                    <w:rPr>
                      <w:szCs w:val="21"/>
                    </w:rPr>
                  </w:pPr>
                  <w:r>
                    <w:rPr>
                      <w:b/>
                      <w:bCs/>
                      <w:szCs w:val="21"/>
                    </w:rPr>
                    <w:t>排放浓度限值</w:t>
                  </w:r>
                </w:p>
              </w:tc>
              <w:tc>
                <w:tcPr>
                  <w:tcW w:w="1424" w:type="dxa"/>
                  <w:vMerge w:val="restart"/>
                  <w:vAlign w:val="center"/>
                </w:tcPr>
                <w:p w14:paraId="786EE961">
                  <w:pPr>
                    <w:jc w:val="center"/>
                    <w:rPr>
                      <w:szCs w:val="21"/>
                    </w:rPr>
                  </w:pPr>
                  <w:r>
                    <w:rPr>
                      <w:szCs w:val="21"/>
                    </w:rPr>
                    <w:t>污染物排放监控位置</w:t>
                  </w:r>
                </w:p>
              </w:tc>
            </w:tr>
            <w:tr w14:paraId="12F0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01" w:type="dxa"/>
                  <w:vMerge w:val="continue"/>
                  <w:vAlign w:val="center"/>
                </w:tcPr>
                <w:p w14:paraId="6B67A8F9">
                  <w:pPr>
                    <w:jc w:val="center"/>
                    <w:rPr>
                      <w:szCs w:val="21"/>
                    </w:rPr>
                  </w:pPr>
                </w:p>
              </w:tc>
              <w:tc>
                <w:tcPr>
                  <w:tcW w:w="1008" w:type="dxa"/>
                  <w:vAlign w:val="center"/>
                </w:tcPr>
                <w:p w14:paraId="154FC7D5">
                  <w:pPr>
                    <w:jc w:val="center"/>
                    <w:rPr>
                      <w:b/>
                      <w:bCs/>
                      <w:szCs w:val="21"/>
                    </w:rPr>
                  </w:pPr>
                  <w:r>
                    <w:rPr>
                      <w:b/>
                      <w:bCs/>
                      <w:szCs w:val="21"/>
                    </w:rPr>
                    <w:t>颗粒物</w:t>
                  </w:r>
                </w:p>
              </w:tc>
              <w:tc>
                <w:tcPr>
                  <w:tcW w:w="1283" w:type="dxa"/>
                  <w:vAlign w:val="center"/>
                </w:tcPr>
                <w:p w14:paraId="46DB6BBA">
                  <w:pPr>
                    <w:jc w:val="center"/>
                    <w:rPr>
                      <w:b/>
                      <w:bCs/>
                      <w:szCs w:val="21"/>
                    </w:rPr>
                  </w:pPr>
                  <w:r>
                    <w:rPr>
                      <w:b/>
                      <w:bCs/>
                      <w:szCs w:val="21"/>
                    </w:rPr>
                    <w:t>二氧化硫</w:t>
                  </w:r>
                </w:p>
              </w:tc>
              <w:tc>
                <w:tcPr>
                  <w:tcW w:w="1643" w:type="dxa"/>
                  <w:vAlign w:val="center"/>
                </w:tcPr>
                <w:p w14:paraId="0D478C01">
                  <w:pPr>
                    <w:jc w:val="center"/>
                    <w:rPr>
                      <w:b/>
                      <w:bCs/>
                      <w:szCs w:val="21"/>
                    </w:rPr>
                  </w:pPr>
                  <w:r>
                    <w:rPr>
                      <w:b/>
                      <w:bCs/>
                      <w:szCs w:val="21"/>
                    </w:rPr>
                    <w:t>氮氧化物</w:t>
                  </w:r>
                </w:p>
                <w:p w14:paraId="7020C11C">
                  <w:pPr>
                    <w:jc w:val="center"/>
                    <w:rPr>
                      <w:b/>
                      <w:bCs/>
                      <w:szCs w:val="21"/>
                    </w:rPr>
                  </w:pPr>
                  <w:r>
                    <w:rPr>
                      <w:b/>
                      <w:bCs/>
                      <w:szCs w:val="21"/>
                    </w:rPr>
                    <w:t>（以NO</w:t>
                  </w:r>
                  <w:r>
                    <w:rPr>
                      <w:b/>
                      <w:bCs/>
                      <w:szCs w:val="21"/>
                      <w:vertAlign w:val="subscript"/>
                    </w:rPr>
                    <w:t>2</w:t>
                  </w:r>
                  <w:r>
                    <w:rPr>
                      <w:b/>
                      <w:bCs/>
                      <w:szCs w:val="21"/>
                    </w:rPr>
                    <w:t>计）</w:t>
                  </w:r>
                </w:p>
              </w:tc>
              <w:tc>
                <w:tcPr>
                  <w:tcW w:w="1413" w:type="dxa"/>
                  <w:vAlign w:val="center"/>
                </w:tcPr>
                <w:p w14:paraId="38C3AC1D">
                  <w:pPr>
                    <w:jc w:val="center"/>
                    <w:rPr>
                      <w:b/>
                      <w:bCs/>
                      <w:szCs w:val="21"/>
                    </w:rPr>
                  </w:pPr>
                  <w:r>
                    <w:rPr>
                      <w:b/>
                      <w:bCs/>
                      <w:szCs w:val="21"/>
                    </w:rPr>
                    <w:t>氟化物</w:t>
                  </w:r>
                </w:p>
                <w:p w14:paraId="2E0A264A">
                  <w:pPr>
                    <w:jc w:val="center"/>
                    <w:rPr>
                      <w:b/>
                      <w:bCs/>
                      <w:szCs w:val="21"/>
                    </w:rPr>
                  </w:pPr>
                  <w:r>
                    <w:rPr>
                      <w:b/>
                      <w:bCs/>
                      <w:szCs w:val="21"/>
                    </w:rPr>
                    <w:t>（以F计）</w:t>
                  </w:r>
                </w:p>
              </w:tc>
              <w:tc>
                <w:tcPr>
                  <w:tcW w:w="1424" w:type="dxa"/>
                  <w:vMerge w:val="continue"/>
                  <w:vAlign w:val="center"/>
                </w:tcPr>
                <w:p w14:paraId="5076BC1C">
                  <w:pPr>
                    <w:jc w:val="center"/>
                    <w:rPr>
                      <w:szCs w:val="21"/>
                    </w:rPr>
                  </w:pPr>
                </w:p>
              </w:tc>
            </w:tr>
            <w:tr w14:paraId="24AC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01" w:type="dxa"/>
                  <w:vAlign w:val="center"/>
                </w:tcPr>
                <w:p w14:paraId="2FF9693F">
                  <w:pPr>
                    <w:jc w:val="center"/>
                    <w:rPr>
                      <w:szCs w:val="21"/>
                    </w:rPr>
                  </w:pPr>
                  <w:r>
                    <w:rPr>
                      <w:szCs w:val="21"/>
                    </w:rPr>
                    <w:t>人工干燥及焙烧</w:t>
                  </w:r>
                </w:p>
              </w:tc>
              <w:tc>
                <w:tcPr>
                  <w:tcW w:w="1008" w:type="dxa"/>
                  <w:vAlign w:val="center"/>
                </w:tcPr>
                <w:p w14:paraId="52B19702">
                  <w:pPr>
                    <w:jc w:val="center"/>
                    <w:rPr>
                      <w:szCs w:val="21"/>
                    </w:rPr>
                  </w:pPr>
                  <w:r>
                    <w:rPr>
                      <w:szCs w:val="21"/>
                    </w:rPr>
                    <w:t>30</w:t>
                  </w:r>
                </w:p>
              </w:tc>
              <w:tc>
                <w:tcPr>
                  <w:tcW w:w="1283" w:type="dxa"/>
                  <w:vAlign w:val="center"/>
                </w:tcPr>
                <w:p w14:paraId="18B178C9">
                  <w:pPr>
                    <w:jc w:val="center"/>
                    <w:rPr>
                      <w:szCs w:val="21"/>
                    </w:rPr>
                  </w:pPr>
                  <w:r>
                    <w:rPr>
                      <w:szCs w:val="21"/>
                    </w:rPr>
                    <w:t>150</w:t>
                  </w:r>
                </w:p>
              </w:tc>
              <w:tc>
                <w:tcPr>
                  <w:tcW w:w="1643" w:type="dxa"/>
                  <w:vAlign w:val="center"/>
                </w:tcPr>
                <w:p w14:paraId="47FDBE37">
                  <w:pPr>
                    <w:jc w:val="center"/>
                    <w:rPr>
                      <w:szCs w:val="21"/>
                    </w:rPr>
                  </w:pPr>
                  <w:r>
                    <w:rPr>
                      <w:szCs w:val="21"/>
                    </w:rPr>
                    <w:t>200</w:t>
                  </w:r>
                </w:p>
              </w:tc>
              <w:tc>
                <w:tcPr>
                  <w:tcW w:w="1413" w:type="dxa"/>
                  <w:vAlign w:val="center"/>
                </w:tcPr>
                <w:p w14:paraId="7A741557">
                  <w:pPr>
                    <w:jc w:val="center"/>
                    <w:rPr>
                      <w:szCs w:val="21"/>
                    </w:rPr>
                  </w:pPr>
                  <w:r>
                    <w:rPr>
                      <w:szCs w:val="21"/>
                    </w:rPr>
                    <w:t>3</w:t>
                  </w:r>
                </w:p>
              </w:tc>
              <w:tc>
                <w:tcPr>
                  <w:tcW w:w="1424" w:type="dxa"/>
                  <w:vMerge w:val="restart"/>
                  <w:vAlign w:val="center"/>
                </w:tcPr>
                <w:p w14:paraId="5A7F97A1">
                  <w:pPr>
                    <w:jc w:val="center"/>
                    <w:rPr>
                      <w:szCs w:val="21"/>
                    </w:rPr>
                  </w:pPr>
                  <w:r>
                    <w:rPr>
                      <w:szCs w:val="21"/>
                    </w:rPr>
                    <w:t>车间或生产设施排气筒</w:t>
                  </w:r>
                </w:p>
              </w:tc>
            </w:tr>
            <w:tr w14:paraId="46EE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01" w:type="dxa"/>
                  <w:vAlign w:val="center"/>
                </w:tcPr>
                <w:p w14:paraId="6617E194">
                  <w:pPr>
                    <w:jc w:val="center"/>
                    <w:rPr>
                      <w:szCs w:val="21"/>
                    </w:rPr>
                  </w:pPr>
                  <w:r>
                    <w:rPr>
                      <w:szCs w:val="21"/>
                    </w:rPr>
                    <w:t>原料破碎及制备成型</w:t>
                  </w:r>
                </w:p>
              </w:tc>
              <w:tc>
                <w:tcPr>
                  <w:tcW w:w="1008" w:type="dxa"/>
                  <w:vAlign w:val="center"/>
                </w:tcPr>
                <w:p w14:paraId="72485074">
                  <w:pPr>
                    <w:jc w:val="center"/>
                    <w:rPr>
                      <w:szCs w:val="21"/>
                    </w:rPr>
                  </w:pPr>
                  <w:r>
                    <w:rPr>
                      <w:szCs w:val="21"/>
                    </w:rPr>
                    <w:t>30</w:t>
                  </w:r>
                </w:p>
              </w:tc>
              <w:tc>
                <w:tcPr>
                  <w:tcW w:w="1283" w:type="dxa"/>
                  <w:vAlign w:val="center"/>
                </w:tcPr>
                <w:p w14:paraId="0B42AAF3">
                  <w:pPr>
                    <w:jc w:val="center"/>
                    <w:rPr>
                      <w:szCs w:val="21"/>
                    </w:rPr>
                  </w:pPr>
                  <w:r>
                    <w:rPr>
                      <w:szCs w:val="21"/>
                    </w:rPr>
                    <w:t>/</w:t>
                  </w:r>
                </w:p>
              </w:tc>
              <w:tc>
                <w:tcPr>
                  <w:tcW w:w="1643" w:type="dxa"/>
                  <w:vAlign w:val="center"/>
                </w:tcPr>
                <w:p w14:paraId="360E93BE">
                  <w:pPr>
                    <w:jc w:val="center"/>
                    <w:rPr>
                      <w:szCs w:val="21"/>
                    </w:rPr>
                  </w:pPr>
                  <w:r>
                    <w:rPr>
                      <w:szCs w:val="21"/>
                    </w:rPr>
                    <w:t>/</w:t>
                  </w:r>
                </w:p>
              </w:tc>
              <w:tc>
                <w:tcPr>
                  <w:tcW w:w="1413" w:type="dxa"/>
                  <w:vAlign w:val="center"/>
                </w:tcPr>
                <w:p w14:paraId="0A036B5E">
                  <w:pPr>
                    <w:jc w:val="center"/>
                    <w:rPr>
                      <w:szCs w:val="21"/>
                    </w:rPr>
                  </w:pPr>
                  <w:r>
                    <w:rPr>
                      <w:szCs w:val="21"/>
                    </w:rPr>
                    <w:t>/</w:t>
                  </w:r>
                </w:p>
              </w:tc>
              <w:tc>
                <w:tcPr>
                  <w:tcW w:w="1424" w:type="dxa"/>
                  <w:vMerge w:val="continue"/>
                  <w:vAlign w:val="center"/>
                </w:tcPr>
                <w:p w14:paraId="2E2B5E17">
                  <w:pPr>
                    <w:jc w:val="center"/>
                    <w:rPr>
                      <w:szCs w:val="21"/>
                    </w:rPr>
                  </w:pPr>
                </w:p>
              </w:tc>
            </w:tr>
          </w:tbl>
          <w:p w14:paraId="44A49C00">
            <w:pPr>
              <w:jc w:val="center"/>
              <w:rPr>
                <w:b/>
                <w:szCs w:val="21"/>
              </w:rPr>
            </w:pPr>
          </w:p>
          <w:p w14:paraId="7E546961">
            <w:pPr>
              <w:ind w:firstLine="482"/>
              <w:jc w:val="center"/>
              <w:rPr>
                <w:b/>
                <w:sz w:val="24"/>
              </w:rPr>
            </w:pPr>
            <w:r>
              <w:rPr>
                <w:b/>
                <w:sz w:val="24"/>
              </w:rPr>
              <w:t>表3-14   企业边界大气污染物浓度限值   单位：mg/m</w:t>
            </w:r>
            <w:r>
              <w:rPr>
                <w:b/>
                <w:sz w:val="24"/>
                <w:vertAlign w:val="superscript"/>
              </w:rPr>
              <w:t>3</w:t>
            </w:r>
          </w:p>
          <w:tbl>
            <w:tblPr>
              <w:tblStyle w:val="25"/>
              <w:tblW w:w="9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1503"/>
              <w:gridCol w:w="1619"/>
              <w:gridCol w:w="1946"/>
              <w:gridCol w:w="1792"/>
            </w:tblGrid>
            <w:tr w14:paraId="098A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2" w:type="dxa"/>
                  <w:vAlign w:val="center"/>
                </w:tcPr>
                <w:p w14:paraId="21112490">
                  <w:pPr>
                    <w:jc w:val="center"/>
                    <w:rPr>
                      <w:szCs w:val="21"/>
                    </w:rPr>
                  </w:pPr>
                  <w:r>
                    <w:rPr>
                      <w:b/>
                      <w:bCs/>
                      <w:szCs w:val="21"/>
                    </w:rPr>
                    <w:t>项目</w:t>
                  </w:r>
                </w:p>
              </w:tc>
              <w:tc>
                <w:tcPr>
                  <w:tcW w:w="1503" w:type="dxa"/>
                  <w:vAlign w:val="center"/>
                </w:tcPr>
                <w:p w14:paraId="35B9CF49">
                  <w:pPr>
                    <w:jc w:val="center"/>
                    <w:rPr>
                      <w:b/>
                      <w:bCs/>
                      <w:szCs w:val="21"/>
                    </w:rPr>
                  </w:pPr>
                  <w:r>
                    <w:rPr>
                      <w:b/>
                      <w:bCs/>
                      <w:szCs w:val="21"/>
                    </w:rPr>
                    <w:t>颗粒物</w:t>
                  </w:r>
                </w:p>
              </w:tc>
              <w:tc>
                <w:tcPr>
                  <w:tcW w:w="1619" w:type="dxa"/>
                  <w:vAlign w:val="center"/>
                </w:tcPr>
                <w:p w14:paraId="4F3219F4">
                  <w:pPr>
                    <w:jc w:val="center"/>
                    <w:rPr>
                      <w:b/>
                      <w:bCs/>
                      <w:szCs w:val="21"/>
                    </w:rPr>
                  </w:pPr>
                  <w:r>
                    <w:rPr>
                      <w:b/>
                      <w:bCs/>
                      <w:szCs w:val="21"/>
                    </w:rPr>
                    <w:t>二氧化硫</w:t>
                  </w:r>
                </w:p>
              </w:tc>
              <w:tc>
                <w:tcPr>
                  <w:tcW w:w="1946" w:type="dxa"/>
                  <w:vAlign w:val="center"/>
                </w:tcPr>
                <w:p w14:paraId="02B8F60D">
                  <w:pPr>
                    <w:jc w:val="center"/>
                    <w:rPr>
                      <w:b/>
                      <w:bCs/>
                      <w:szCs w:val="21"/>
                    </w:rPr>
                  </w:pPr>
                  <w:r>
                    <w:rPr>
                      <w:b/>
                      <w:bCs/>
                      <w:szCs w:val="21"/>
                    </w:rPr>
                    <w:t>氮氧化物</w:t>
                  </w:r>
                </w:p>
              </w:tc>
              <w:tc>
                <w:tcPr>
                  <w:tcW w:w="1792" w:type="dxa"/>
                  <w:vAlign w:val="center"/>
                </w:tcPr>
                <w:p w14:paraId="73A97CD6">
                  <w:pPr>
                    <w:jc w:val="center"/>
                    <w:rPr>
                      <w:b/>
                      <w:bCs/>
                      <w:szCs w:val="21"/>
                    </w:rPr>
                  </w:pPr>
                  <w:r>
                    <w:rPr>
                      <w:b/>
                      <w:bCs/>
                      <w:szCs w:val="21"/>
                    </w:rPr>
                    <w:t>氟化物</w:t>
                  </w:r>
                </w:p>
              </w:tc>
            </w:tr>
            <w:tr w14:paraId="0CF7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2" w:type="dxa"/>
                  <w:vAlign w:val="center"/>
                </w:tcPr>
                <w:p w14:paraId="2C562769">
                  <w:pPr>
                    <w:jc w:val="center"/>
                    <w:rPr>
                      <w:szCs w:val="21"/>
                    </w:rPr>
                  </w:pPr>
                  <w:r>
                    <w:rPr>
                      <w:szCs w:val="21"/>
                    </w:rPr>
                    <w:t>浓度限值（mg/m</w:t>
                  </w:r>
                  <w:r>
                    <w:rPr>
                      <w:szCs w:val="21"/>
                      <w:vertAlign w:val="superscript"/>
                    </w:rPr>
                    <w:t>3</w:t>
                  </w:r>
                  <w:r>
                    <w:rPr>
                      <w:szCs w:val="21"/>
                    </w:rPr>
                    <w:t>）</w:t>
                  </w:r>
                </w:p>
              </w:tc>
              <w:tc>
                <w:tcPr>
                  <w:tcW w:w="1503" w:type="dxa"/>
                  <w:vAlign w:val="center"/>
                </w:tcPr>
                <w:p w14:paraId="23C915F5">
                  <w:pPr>
                    <w:jc w:val="center"/>
                    <w:rPr>
                      <w:szCs w:val="21"/>
                    </w:rPr>
                  </w:pPr>
                  <w:r>
                    <w:rPr>
                      <w:szCs w:val="21"/>
                    </w:rPr>
                    <w:t>1.0</w:t>
                  </w:r>
                </w:p>
              </w:tc>
              <w:tc>
                <w:tcPr>
                  <w:tcW w:w="1619" w:type="dxa"/>
                  <w:vAlign w:val="center"/>
                </w:tcPr>
                <w:p w14:paraId="0408F70E">
                  <w:pPr>
                    <w:jc w:val="center"/>
                    <w:rPr>
                      <w:szCs w:val="21"/>
                    </w:rPr>
                  </w:pPr>
                  <w:r>
                    <w:rPr>
                      <w:szCs w:val="21"/>
                    </w:rPr>
                    <w:t>0.5</w:t>
                  </w:r>
                </w:p>
              </w:tc>
              <w:tc>
                <w:tcPr>
                  <w:tcW w:w="1946" w:type="dxa"/>
                  <w:vAlign w:val="center"/>
                </w:tcPr>
                <w:p w14:paraId="1335898F">
                  <w:pPr>
                    <w:jc w:val="center"/>
                    <w:rPr>
                      <w:szCs w:val="21"/>
                    </w:rPr>
                  </w:pPr>
                  <w:r>
                    <w:rPr>
                      <w:szCs w:val="21"/>
                    </w:rPr>
                    <w:t>--</w:t>
                  </w:r>
                </w:p>
              </w:tc>
              <w:tc>
                <w:tcPr>
                  <w:tcW w:w="1792" w:type="dxa"/>
                  <w:vAlign w:val="center"/>
                </w:tcPr>
                <w:p w14:paraId="4F546C06">
                  <w:pPr>
                    <w:jc w:val="center"/>
                    <w:rPr>
                      <w:szCs w:val="21"/>
                    </w:rPr>
                  </w:pPr>
                  <w:r>
                    <w:rPr>
                      <w:szCs w:val="21"/>
                    </w:rPr>
                    <w:t>0.02</w:t>
                  </w:r>
                </w:p>
              </w:tc>
            </w:tr>
          </w:tbl>
          <w:p w14:paraId="5C02D5CB">
            <w:pPr>
              <w:pStyle w:val="11"/>
              <w:adjustRightInd w:val="0"/>
              <w:spacing w:before="0" w:after="0" w:line="360" w:lineRule="auto"/>
              <w:ind w:right="0" w:firstLine="482" w:firstLineChars="200"/>
              <w:rPr>
                <w:b/>
                <w:sz w:val="24"/>
              </w:rPr>
            </w:pPr>
            <w:r>
              <w:rPr>
                <w:rFonts w:hint="eastAsia" w:ascii="宋体" w:hAnsi="宋体" w:cs="宋体"/>
                <w:b/>
                <w:sz w:val="24"/>
              </w:rPr>
              <w:t>②</w:t>
            </w:r>
            <w:r>
              <w:rPr>
                <w:b/>
                <w:sz w:val="24"/>
              </w:rPr>
              <w:t>生活废气</w:t>
            </w:r>
          </w:p>
          <w:p w14:paraId="6F4B376F">
            <w:pPr>
              <w:pStyle w:val="11"/>
              <w:adjustRightInd w:val="0"/>
              <w:spacing w:before="0" w:after="0" w:line="360" w:lineRule="auto"/>
              <w:ind w:right="0" w:firstLine="480" w:firstLineChars="200"/>
              <w:rPr>
                <w:sz w:val="24"/>
              </w:rPr>
            </w:pPr>
            <w:r>
              <w:rPr>
                <w:sz w:val="24"/>
              </w:rPr>
              <w:t>本项目食堂为小型食堂，设置1个灶头，设置1套小型油烟净化装置处理后设置1根高于屋顶的排气筒排放，执行《饮食业油烟排放标准》（试行）（GB18483-2001）</w:t>
            </w:r>
            <w:r>
              <w:rPr>
                <w:rFonts w:hint="eastAsia"/>
                <w:sz w:val="24"/>
              </w:rPr>
              <w:t>小</w:t>
            </w:r>
            <w:r>
              <w:rPr>
                <w:sz w:val="24"/>
              </w:rPr>
              <w:t>型排放标准，食堂油烟排放执行标准值见下表。</w:t>
            </w:r>
          </w:p>
          <w:p w14:paraId="4FE41C9F">
            <w:pPr>
              <w:ind w:firstLine="482"/>
              <w:jc w:val="center"/>
              <w:rPr>
                <w:b/>
                <w:sz w:val="24"/>
              </w:rPr>
            </w:pPr>
            <w:r>
              <w:rPr>
                <w:b/>
                <w:sz w:val="24"/>
                <w:lang w:bidi="ar"/>
              </w:rPr>
              <w:t>表3-15  饮食业油烟排放标准</w:t>
            </w:r>
          </w:p>
          <w:tbl>
            <w:tblPr>
              <w:tblStyle w:val="25"/>
              <w:tblW w:w="915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303"/>
              <w:gridCol w:w="5856"/>
            </w:tblGrid>
            <w:tr w14:paraId="162A7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303" w:type="dxa"/>
                  <w:tcBorders>
                    <w:top w:val="single" w:color="auto" w:sz="6" w:space="0"/>
                    <w:left w:val="single" w:color="auto" w:sz="6" w:space="0"/>
                    <w:bottom w:val="single" w:color="auto" w:sz="6" w:space="0"/>
                    <w:right w:val="single" w:color="auto" w:sz="6" w:space="0"/>
                  </w:tcBorders>
                  <w:vAlign w:val="center"/>
                </w:tcPr>
                <w:p w14:paraId="74333771">
                  <w:pPr>
                    <w:spacing w:line="276" w:lineRule="auto"/>
                    <w:jc w:val="center"/>
                    <w:rPr>
                      <w:b/>
                      <w:szCs w:val="21"/>
                    </w:rPr>
                  </w:pPr>
                  <w:r>
                    <w:rPr>
                      <w:b/>
                      <w:szCs w:val="21"/>
                      <w:lang w:bidi="ar"/>
                    </w:rPr>
                    <w:t>项目</w:t>
                  </w:r>
                </w:p>
              </w:tc>
              <w:tc>
                <w:tcPr>
                  <w:tcW w:w="5856" w:type="dxa"/>
                  <w:tcBorders>
                    <w:top w:val="single" w:color="auto" w:sz="6" w:space="0"/>
                    <w:left w:val="single" w:color="auto" w:sz="6" w:space="0"/>
                    <w:bottom w:val="single" w:color="auto" w:sz="6" w:space="0"/>
                    <w:right w:val="single" w:color="auto" w:sz="6" w:space="0"/>
                  </w:tcBorders>
                  <w:vAlign w:val="center"/>
                </w:tcPr>
                <w:p w14:paraId="20FC9859">
                  <w:pPr>
                    <w:spacing w:line="276" w:lineRule="auto"/>
                    <w:jc w:val="center"/>
                    <w:rPr>
                      <w:b/>
                      <w:szCs w:val="21"/>
                    </w:rPr>
                  </w:pPr>
                  <w:r>
                    <w:rPr>
                      <w:b/>
                      <w:szCs w:val="21"/>
                      <w:lang w:bidi="ar"/>
                    </w:rPr>
                    <w:t>中型</w:t>
                  </w:r>
                </w:p>
              </w:tc>
            </w:tr>
            <w:tr w14:paraId="31D63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303" w:type="dxa"/>
                  <w:tcBorders>
                    <w:top w:val="single" w:color="auto" w:sz="6" w:space="0"/>
                    <w:left w:val="single" w:color="auto" w:sz="6" w:space="0"/>
                    <w:bottom w:val="single" w:color="auto" w:sz="6" w:space="0"/>
                    <w:right w:val="single" w:color="auto" w:sz="6" w:space="0"/>
                  </w:tcBorders>
                  <w:vAlign w:val="center"/>
                </w:tcPr>
                <w:p w14:paraId="001AA73B">
                  <w:pPr>
                    <w:spacing w:line="276" w:lineRule="auto"/>
                    <w:jc w:val="center"/>
                    <w:rPr>
                      <w:szCs w:val="21"/>
                    </w:rPr>
                  </w:pPr>
                  <w:r>
                    <w:rPr>
                      <w:szCs w:val="21"/>
                      <w:lang w:bidi="ar"/>
                    </w:rPr>
                    <w:t>基准灶头数</w:t>
                  </w:r>
                </w:p>
              </w:tc>
              <w:tc>
                <w:tcPr>
                  <w:tcW w:w="5856" w:type="dxa"/>
                  <w:tcBorders>
                    <w:top w:val="single" w:color="auto" w:sz="6" w:space="0"/>
                    <w:left w:val="single" w:color="auto" w:sz="6" w:space="0"/>
                    <w:bottom w:val="single" w:color="auto" w:sz="6" w:space="0"/>
                    <w:right w:val="single" w:color="auto" w:sz="6" w:space="0"/>
                  </w:tcBorders>
                  <w:vAlign w:val="center"/>
                </w:tcPr>
                <w:p w14:paraId="7744C4FC">
                  <w:pPr>
                    <w:spacing w:line="276" w:lineRule="auto"/>
                    <w:jc w:val="center"/>
                    <w:rPr>
                      <w:szCs w:val="21"/>
                    </w:rPr>
                  </w:pPr>
                  <w:r>
                    <w:rPr>
                      <w:szCs w:val="21"/>
                      <w:lang w:bidi="ar"/>
                    </w:rPr>
                    <w:t>≥1，＜3</w:t>
                  </w:r>
                </w:p>
              </w:tc>
            </w:tr>
            <w:tr w14:paraId="6B1F8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303" w:type="dxa"/>
                  <w:tcBorders>
                    <w:top w:val="single" w:color="auto" w:sz="6" w:space="0"/>
                    <w:left w:val="single" w:color="auto" w:sz="6" w:space="0"/>
                    <w:bottom w:val="single" w:color="auto" w:sz="6" w:space="0"/>
                    <w:right w:val="single" w:color="auto" w:sz="6" w:space="0"/>
                  </w:tcBorders>
                  <w:vAlign w:val="center"/>
                </w:tcPr>
                <w:p w14:paraId="74474A49">
                  <w:pPr>
                    <w:spacing w:line="276" w:lineRule="auto"/>
                    <w:jc w:val="center"/>
                    <w:rPr>
                      <w:szCs w:val="21"/>
                    </w:rPr>
                  </w:pPr>
                  <w:r>
                    <w:rPr>
                      <w:szCs w:val="21"/>
                      <w:lang w:bidi="ar"/>
                    </w:rPr>
                    <w:t>最高允许排放浓度（mg/m</w:t>
                  </w:r>
                  <w:r>
                    <w:rPr>
                      <w:szCs w:val="21"/>
                      <w:vertAlign w:val="superscript"/>
                      <w:lang w:bidi="ar"/>
                    </w:rPr>
                    <w:t>3</w:t>
                  </w:r>
                  <w:r>
                    <w:rPr>
                      <w:szCs w:val="21"/>
                      <w:lang w:bidi="ar"/>
                    </w:rPr>
                    <w:t>）</w:t>
                  </w:r>
                </w:p>
              </w:tc>
              <w:tc>
                <w:tcPr>
                  <w:tcW w:w="5856" w:type="dxa"/>
                  <w:tcBorders>
                    <w:top w:val="single" w:color="auto" w:sz="6" w:space="0"/>
                    <w:left w:val="single" w:color="auto" w:sz="6" w:space="0"/>
                    <w:bottom w:val="single" w:color="auto" w:sz="6" w:space="0"/>
                    <w:right w:val="single" w:color="auto" w:sz="6" w:space="0"/>
                  </w:tcBorders>
                  <w:vAlign w:val="center"/>
                </w:tcPr>
                <w:p w14:paraId="2C41B8CC">
                  <w:pPr>
                    <w:spacing w:line="276" w:lineRule="auto"/>
                    <w:jc w:val="center"/>
                    <w:rPr>
                      <w:szCs w:val="21"/>
                    </w:rPr>
                  </w:pPr>
                  <w:r>
                    <w:rPr>
                      <w:szCs w:val="21"/>
                      <w:lang w:bidi="ar"/>
                    </w:rPr>
                    <w:t>2.0</w:t>
                  </w:r>
                </w:p>
              </w:tc>
            </w:tr>
            <w:tr w14:paraId="20A87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303" w:type="dxa"/>
                  <w:tcBorders>
                    <w:top w:val="single" w:color="auto" w:sz="6" w:space="0"/>
                    <w:left w:val="single" w:color="auto" w:sz="6" w:space="0"/>
                    <w:bottom w:val="single" w:color="auto" w:sz="6" w:space="0"/>
                    <w:right w:val="single" w:color="auto" w:sz="6" w:space="0"/>
                  </w:tcBorders>
                  <w:vAlign w:val="center"/>
                </w:tcPr>
                <w:p w14:paraId="72617DF8">
                  <w:pPr>
                    <w:spacing w:line="276" w:lineRule="auto"/>
                    <w:jc w:val="center"/>
                    <w:rPr>
                      <w:szCs w:val="21"/>
                    </w:rPr>
                  </w:pPr>
                  <w:r>
                    <w:rPr>
                      <w:szCs w:val="21"/>
                      <w:lang w:bidi="ar"/>
                    </w:rPr>
                    <w:t>净化设施最低去除效率（%）</w:t>
                  </w:r>
                </w:p>
              </w:tc>
              <w:tc>
                <w:tcPr>
                  <w:tcW w:w="5856" w:type="dxa"/>
                  <w:tcBorders>
                    <w:top w:val="single" w:color="auto" w:sz="6" w:space="0"/>
                    <w:left w:val="single" w:color="auto" w:sz="6" w:space="0"/>
                    <w:bottom w:val="single" w:color="auto" w:sz="6" w:space="0"/>
                    <w:right w:val="single" w:color="auto" w:sz="6" w:space="0"/>
                  </w:tcBorders>
                  <w:vAlign w:val="center"/>
                </w:tcPr>
                <w:p w14:paraId="7B1636AF">
                  <w:pPr>
                    <w:spacing w:line="276" w:lineRule="auto"/>
                    <w:jc w:val="center"/>
                    <w:rPr>
                      <w:szCs w:val="21"/>
                    </w:rPr>
                  </w:pPr>
                  <w:r>
                    <w:rPr>
                      <w:szCs w:val="21"/>
                      <w:lang w:bidi="ar"/>
                    </w:rPr>
                    <w:t>60</w:t>
                  </w:r>
                </w:p>
              </w:tc>
            </w:tr>
          </w:tbl>
          <w:p w14:paraId="3886071A">
            <w:pPr>
              <w:spacing w:before="120" w:beforeLines="50" w:line="360" w:lineRule="auto"/>
              <w:ind w:firstLine="482" w:firstLineChars="200"/>
              <w:rPr>
                <w:b/>
                <w:bCs/>
                <w:sz w:val="24"/>
              </w:rPr>
            </w:pPr>
            <w:r>
              <w:rPr>
                <w:b/>
                <w:bCs/>
                <w:sz w:val="24"/>
              </w:rPr>
              <w:t>2、噪声排放标准</w:t>
            </w:r>
          </w:p>
          <w:p w14:paraId="79360405">
            <w:pPr>
              <w:spacing w:line="360" w:lineRule="auto"/>
              <w:ind w:firstLine="482" w:firstLineChars="200"/>
              <w:rPr>
                <w:sz w:val="24"/>
              </w:rPr>
            </w:pPr>
            <w:r>
              <w:rPr>
                <w:b/>
                <w:bCs/>
                <w:sz w:val="24"/>
              </w:rPr>
              <w:t>（1）施工期</w:t>
            </w:r>
          </w:p>
          <w:p w14:paraId="2BA784BA">
            <w:pPr>
              <w:spacing w:line="360" w:lineRule="auto"/>
              <w:ind w:firstLine="480" w:firstLineChars="200"/>
              <w:rPr>
                <w:sz w:val="24"/>
              </w:rPr>
            </w:pPr>
            <w:r>
              <w:rPr>
                <w:sz w:val="24"/>
              </w:rPr>
              <w:t>施工噪声执行《建筑施工场界环境噪声排放标准》（GB12523-2011），标准限值见下表。</w:t>
            </w:r>
          </w:p>
          <w:p w14:paraId="120D7519">
            <w:pPr>
              <w:pStyle w:val="2"/>
              <w:rPr>
                <w:rFonts w:ascii="Times New Roman" w:hAnsi="Times New Roman"/>
              </w:rPr>
            </w:pPr>
          </w:p>
          <w:p w14:paraId="52335EC4">
            <w:pPr>
              <w:ind w:firstLine="482"/>
              <w:jc w:val="center"/>
              <w:rPr>
                <w:b/>
                <w:sz w:val="24"/>
              </w:rPr>
            </w:pPr>
            <w:r>
              <w:rPr>
                <w:b/>
                <w:sz w:val="24"/>
              </w:rPr>
              <w:t>表3-16  建筑施工场界环境噪声排放限值</w:t>
            </w:r>
          </w:p>
          <w:tbl>
            <w:tblPr>
              <w:tblStyle w:val="25"/>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3"/>
              <w:gridCol w:w="4587"/>
            </w:tblGrid>
            <w:tr w14:paraId="01DA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83" w:type="dxa"/>
                </w:tcPr>
                <w:p w14:paraId="66E3C972">
                  <w:pPr>
                    <w:adjustRightInd w:val="0"/>
                    <w:ind w:firstLine="422"/>
                    <w:jc w:val="center"/>
                    <w:rPr>
                      <w:b/>
                      <w:szCs w:val="21"/>
                    </w:rPr>
                  </w:pPr>
                  <w:r>
                    <w:rPr>
                      <w:b/>
                      <w:szCs w:val="21"/>
                    </w:rPr>
                    <w:t>昼间  [dB(A)]</w:t>
                  </w:r>
                </w:p>
              </w:tc>
              <w:tc>
                <w:tcPr>
                  <w:tcW w:w="4587" w:type="dxa"/>
                </w:tcPr>
                <w:p w14:paraId="64E31FC8">
                  <w:pPr>
                    <w:adjustRightInd w:val="0"/>
                    <w:ind w:firstLine="422"/>
                    <w:jc w:val="center"/>
                    <w:rPr>
                      <w:b/>
                      <w:szCs w:val="21"/>
                    </w:rPr>
                  </w:pPr>
                  <w:r>
                    <w:rPr>
                      <w:b/>
                      <w:szCs w:val="21"/>
                    </w:rPr>
                    <w:t>夜间  [dB(A)]</w:t>
                  </w:r>
                </w:p>
              </w:tc>
            </w:tr>
            <w:tr w14:paraId="39F8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583" w:type="dxa"/>
                  <w:vAlign w:val="center"/>
                </w:tcPr>
                <w:p w14:paraId="56A5FB0D">
                  <w:pPr>
                    <w:adjustRightInd w:val="0"/>
                    <w:ind w:firstLine="420"/>
                    <w:jc w:val="center"/>
                    <w:rPr>
                      <w:szCs w:val="21"/>
                    </w:rPr>
                  </w:pPr>
                  <w:r>
                    <w:rPr>
                      <w:szCs w:val="21"/>
                    </w:rPr>
                    <w:t>≤70</w:t>
                  </w:r>
                </w:p>
              </w:tc>
              <w:tc>
                <w:tcPr>
                  <w:tcW w:w="4587" w:type="dxa"/>
                  <w:vAlign w:val="center"/>
                </w:tcPr>
                <w:p w14:paraId="17DCF118">
                  <w:pPr>
                    <w:adjustRightInd w:val="0"/>
                    <w:ind w:firstLine="420"/>
                    <w:jc w:val="center"/>
                    <w:rPr>
                      <w:szCs w:val="21"/>
                    </w:rPr>
                  </w:pPr>
                  <w:r>
                    <w:rPr>
                      <w:szCs w:val="21"/>
                    </w:rPr>
                    <w:t>≤55</w:t>
                  </w:r>
                </w:p>
              </w:tc>
            </w:tr>
          </w:tbl>
          <w:p w14:paraId="213707F8">
            <w:pPr>
              <w:spacing w:before="120" w:beforeLines="50" w:line="360" w:lineRule="auto"/>
              <w:ind w:firstLine="482" w:firstLineChars="200"/>
              <w:rPr>
                <w:b/>
                <w:bCs/>
                <w:sz w:val="24"/>
              </w:rPr>
            </w:pPr>
            <w:r>
              <w:rPr>
                <w:b/>
                <w:bCs/>
                <w:sz w:val="24"/>
              </w:rPr>
              <w:t>（2）运营期</w:t>
            </w:r>
          </w:p>
          <w:p w14:paraId="214A8C51">
            <w:pPr>
              <w:spacing w:line="360" w:lineRule="auto"/>
              <w:ind w:firstLine="480" w:firstLineChars="200"/>
              <w:rPr>
                <w:sz w:val="24"/>
              </w:rPr>
            </w:pPr>
            <w:r>
              <w:rPr>
                <w:sz w:val="24"/>
              </w:rPr>
              <w:t>本项目营运期厂界噪声执行《工业企业厂界环境噪声排放标准》（GB12348-2008）2类标准，标准限值见下表。</w:t>
            </w:r>
          </w:p>
          <w:p w14:paraId="317A22D5">
            <w:pPr>
              <w:ind w:firstLine="482"/>
              <w:jc w:val="center"/>
              <w:rPr>
                <w:b/>
                <w:sz w:val="24"/>
              </w:rPr>
            </w:pPr>
            <w:r>
              <w:rPr>
                <w:b/>
                <w:sz w:val="24"/>
              </w:rPr>
              <w:t>表3-17  工业企业厂界环境噪声排放标准  单位：dB(A)</w:t>
            </w:r>
          </w:p>
          <w:tbl>
            <w:tblPr>
              <w:tblStyle w:val="25"/>
              <w:tblW w:w="9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1"/>
              <w:gridCol w:w="1837"/>
              <w:gridCol w:w="1560"/>
              <w:gridCol w:w="1628"/>
            </w:tblGrid>
            <w:tr w14:paraId="51C1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jc w:val="center"/>
              </w:trPr>
              <w:tc>
                <w:tcPr>
                  <w:tcW w:w="4141" w:type="dxa"/>
                  <w:vAlign w:val="center"/>
                </w:tcPr>
                <w:p w14:paraId="19406BC8">
                  <w:pPr>
                    <w:jc w:val="center"/>
                    <w:rPr>
                      <w:b/>
                      <w:bCs/>
                      <w:szCs w:val="21"/>
                    </w:rPr>
                  </w:pPr>
                  <w:r>
                    <w:rPr>
                      <w:b/>
                      <w:bCs/>
                      <w:szCs w:val="21"/>
                    </w:rPr>
                    <w:t>区域名称</w:t>
                  </w:r>
                </w:p>
              </w:tc>
              <w:tc>
                <w:tcPr>
                  <w:tcW w:w="1837" w:type="dxa"/>
                  <w:vAlign w:val="center"/>
                </w:tcPr>
                <w:p w14:paraId="7DC5DD57">
                  <w:pPr>
                    <w:jc w:val="center"/>
                    <w:rPr>
                      <w:b/>
                      <w:bCs/>
                      <w:szCs w:val="21"/>
                    </w:rPr>
                  </w:pPr>
                  <w:r>
                    <w:rPr>
                      <w:b/>
                      <w:bCs/>
                      <w:szCs w:val="21"/>
                    </w:rPr>
                    <w:t>类别</w:t>
                  </w:r>
                </w:p>
              </w:tc>
              <w:tc>
                <w:tcPr>
                  <w:tcW w:w="1560" w:type="dxa"/>
                  <w:vAlign w:val="center"/>
                </w:tcPr>
                <w:p w14:paraId="2BF60146">
                  <w:pPr>
                    <w:jc w:val="center"/>
                    <w:rPr>
                      <w:b/>
                      <w:bCs/>
                      <w:szCs w:val="21"/>
                    </w:rPr>
                  </w:pPr>
                  <w:r>
                    <w:rPr>
                      <w:b/>
                      <w:bCs/>
                      <w:szCs w:val="21"/>
                    </w:rPr>
                    <w:t>昼  间</w:t>
                  </w:r>
                </w:p>
              </w:tc>
              <w:tc>
                <w:tcPr>
                  <w:tcW w:w="1628" w:type="dxa"/>
                  <w:vAlign w:val="center"/>
                </w:tcPr>
                <w:p w14:paraId="28186ACC">
                  <w:pPr>
                    <w:jc w:val="center"/>
                    <w:rPr>
                      <w:b/>
                      <w:bCs/>
                      <w:szCs w:val="21"/>
                    </w:rPr>
                  </w:pPr>
                  <w:r>
                    <w:rPr>
                      <w:b/>
                      <w:bCs/>
                      <w:szCs w:val="21"/>
                    </w:rPr>
                    <w:t>夜  间</w:t>
                  </w:r>
                </w:p>
              </w:tc>
            </w:tr>
            <w:tr w14:paraId="4B76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jc w:val="center"/>
              </w:trPr>
              <w:tc>
                <w:tcPr>
                  <w:tcW w:w="4141" w:type="dxa"/>
                  <w:vAlign w:val="center"/>
                </w:tcPr>
                <w:p w14:paraId="294F1534">
                  <w:pPr>
                    <w:jc w:val="center"/>
                    <w:rPr>
                      <w:szCs w:val="21"/>
                    </w:rPr>
                  </w:pPr>
                  <w:r>
                    <w:rPr>
                      <w:szCs w:val="21"/>
                    </w:rPr>
                    <w:t>厂界</w:t>
                  </w:r>
                </w:p>
              </w:tc>
              <w:tc>
                <w:tcPr>
                  <w:tcW w:w="1837" w:type="dxa"/>
                  <w:vAlign w:val="center"/>
                </w:tcPr>
                <w:p w14:paraId="64A7AB58">
                  <w:pPr>
                    <w:jc w:val="center"/>
                    <w:rPr>
                      <w:szCs w:val="21"/>
                    </w:rPr>
                  </w:pPr>
                  <w:r>
                    <w:rPr>
                      <w:szCs w:val="21"/>
                    </w:rPr>
                    <w:t>2类</w:t>
                  </w:r>
                </w:p>
              </w:tc>
              <w:tc>
                <w:tcPr>
                  <w:tcW w:w="1560" w:type="dxa"/>
                  <w:vAlign w:val="center"/>
                </w:tcPr>
                <w:p w14:paraId="6EC417D4">
                  <w:pPr>
                    <w:jc w:val="center"/>
                    <w:rPr>
                      <w:szCs w:val="21"/>
                    </w:rPr>
                  </w:pPr>
                  <w:r>
                    <w:rPr>
                      <w:szCs w:val="21"/>
                    </w:rPr>
                    <w:t>60</w:t>
                  </w:r>
                </w:p>
              </w:tc>
              <w:tc>
                <w:tcPr>
                  <w:tcW w:w="1628" w:type="dxa"/>
                  <w:vAlign w:val="center"/>
                </w:tcPr>
                <w:p w14:paraId="774E2E6A">
                  <w:pPr>
                    <w:jc w:val="center"/>
                    <w:rPr>
                      <w:szCs w:val="21"/>
                    </w:rPr>
                  </w:pPr>
                  <w:r>
                    <w:rPr>
                      <w:szCs w:val="21"/>
                    </w:rPr>
                    <w:t>50</w:t>
                  </w:r>
                </w:p>
              </w:tc>
            </w:tr>
          </w:tbl>
          <w:p w14:paraId="2CF81DA9">
            <w:pPr>
              <w:spacing w:before="120" w:beforeLines="50" w:line="360" w:lineRule="auto"/>
              <w:ind w:firstLine="482" w:firstLineChars="200"/>
              <w:rPr>
                <w:b/>
                <w:bCs/>
                <w:sz w:val="24"/>
              </w:rPr>
            </w:pPr>
            <w:r>
              <w:rPr>
                <w:b/>
                <w:bCs/>
                <w:sz w:val="24"/>
              </w:rPr>
              <w:t>3、废水排放标准</w:t>
            </w:r>
          </w:p>
          <w:p w14:paraId="76677102">
            <w:pPr>
              <w:widowControl/>
              <w:adjustRightInd w:val="0"/>
              <w:snapToGrid w:val="0"/>
              <w:spacing w:line="360" w:lineRule="auto"/>
              <w:ind w:firstLine="482" w:firstLineChars="200"/>
              <w:rPr>
                <w:b/>
                <w:snapToGrid w:val="0"/>
                <w:kern w:val="0"/>
                <w:sz w:val="24"/>
              </w:rPr>
            </w:pPr>
            <w:r>
              <w:rPr>
                <w:b/>
                <w:snapToGrid w:val="0"/>
                <w:kern w:val="0"/>
                <w:sz w:val="24"/>
              </w:rPr>
              <w:t>（1）施工期</w:t>
            </w:r>
          </w:p>
          <w:p w14:paraId="2E4E785A">
            <w:pPr>
              <w:widowControl/>
              <w:adjustRightInd w:val="0"/>
              <w:snapToGrid w:val="0"/>
              <w:spacing w:line="360" w:lineRule="auto"/>
              <w:ind w:firstLine="480" w:firstLineChars="200"/>
              <w:rPr>
                <w:b/>
                <w:snapToGrid w:val="0"/>
                <w:kern w:val="0"/>
                <w:sz w:val="24"/>
              </w:rPr>
            </w:pPr>
            <w:r>
              <w:rPr>
                <w:bCs/>
                <w:snapToGrid w:val="0"/>
                <w:kern w:val="0"/>
                <w:sz w:val="24"/>
              </w:rPr>
              <w:t>本项目施工期产生的施工废水临时经沉淀池处理后用于项目区施工洒水降尘，施工人员生活废水经原有污水处理设施处理，委托周边农户清掏用于农作物施肥，不外排。不设排放标准。</w:t>
            </w:r>
          </w:p>
          <w:p w14:paraId="19246798">
            <w:pPr>
              <w:widowControl/>
              <w:adjustRightInd w:val="0"/>
              <w:snapToGrid w:val="0"/>
              <w:spacing w:line="360" w:lineRule="auto"/>
              <w:ind w:firstLine="482" w:firstLineChars="200"/>
              <w:rPr>
                <w:b/>
                <w:snapToGrid w:val="0"/>
                <w:kern w:val="0"/>
                <w:sz w:val="24"/>
              </w:rPr>
            </w:pPr>
            <w:r>
              <w:rPr>
                <w:b/>
                <w:snapToGrid w:val="0"/>
                <w:kern w:val="0"/>
                <w:sz w:val="24"/>
              </w:rPr>
              <w:t>（2）运营期</w:t>
            </w:r>
          </w:p>
          <w:p w14:paraId="3DABCEDA">
            <w:pPr>
              <w:widowControl/>
              <w:adjustRightInd w:val="0"/>
              <w:snapToGrid w:val="0"/>
              <w:spacing w:line="360" w:lineRule="auto"/>
              <w:ind w:firstLine="480" w:firstLineChars="200"/>
              <w:rPr>
                <w:bCs/>
                <w:snapToGrid w:val="0"/>
                <w:kern w:val="0"/>
                <w:sz w:val="24"/>
              </w:rPr>
            </w:pPr>
            <w:r>
              <w:rPr>
                <w:bCs/>
                <w:snapToGrid w:val="0"/>
                <w:kern w:val="0"/>
                <w:sz w:val="24"/>
              </w:rPr>
              <w:t>项目实施雨污分流排水体制，雨水经雨水收集沟收集后外排。</w:t>
            </w:r>
          </w:p>
          <w:p w14:paraId="3750A9CF">
            <w:pPr>
              <w:widowControl/>
              <w:adjustRightInd w:val="0"/>
              <w:snapToGrid w:val="0"/>
              <w:spacing w:line="360" w:lineRule="auto"/>
              <w:ind w:firstLine="480" w:firstLineChars="200"/>
              <w:rPr>
                <w:bCs/>
                <w:snapToGrid w:val="0"/>
                <w:kern w:val="0"/>
                <w:sz w:val="24"/>
              </w:rPr>
            </w:pPr>
            <w:r>
              <w:rPr>
                <w:bCs/>
                <w:snapToGrid w:val="0"/>
                <w:kern w:val="0"/>
                <w:sz w:val="24"/>
              </w:rPr>
              <w:t>项目无生产废水产生，混合搅拌用水在生产过程中全部蒸发，脱硫除尘废水采用净化沉淀闭路循环回用，不外排；生活污水经隔油池+三级化粪池处理后，用于周边农作物施肥。</w:t>
            </w:r>
          </w:p>
          <w:p w14:paraId="3CADCC64"/>
          <w:p w14:paraId="54C255D7">
            <w:pPr>
              <w:widowControl/>
              <w:adjustRightInd w:val="0"/>
              <w:snapToGrid w:val="0"/>
              <w:spacing w:line="360" w:lineRule="auto"/>
              <w:ind w:firstLine="482" w:firstLineChars="200"/>
              <w:rPr>
                <w:b/>
                <w:sz w:val="24"/>
              </w:rPr>
            </w:pPr>
            <w:r>
              <w:rPr>
                <w:b/>
                <w:sz w:val="24"/>
              </w:rPr>
              <w:t>4、固体废物</w:t>
            </w:r>
          </w:p>
          <w:p w14:paraId="3DB38E28">
            <w:pPr>
              <w:adjustRightInd w:val="0"/>
              <w:snapToGrid w:val="0"/>
              <w:spacing w:line="360" w:lineRule="auto"/>
              <w:ind w:firstLine="480" w:firstLineChars="200"/>
              <w:rPr>
                <w:sz w:val="24"/>
              </w:rPr>
            </w:pPr>
            <w:r>
              <w:rPr>
                <w:sz w:val="24"/>
              </w:rPr>
              <w:t>本项目运营过程中所产生的一般固体废物存放执行</w:t>
            </w:r>
            <w:r>
              <w:fldChar w:fldCharType="begin"/>
            </w:r>
            <w:r>
              <w:instrText xml:space="preserve"> HYPERLINK "http://www.mee.gov.cn/ywgz/fgbz/bz/bzwb/gthw/gtfwwrkzbz/202012/W020201218695845325455.pdf" </w:instrText>
            </w:r>
            <w:r>
              <w:fldChar w:fldCharType="separate"/>
            </w:r>
            <w:r>
              <w:rPr>
                <w:rStyle w:val="29"/>
                <w:color w:val="auto"/>
                <w:sz w:val="24"/>
                <w:u w:val="none"/>
              </w:rPr>
              <w:t>《一般工业固体废物贮存和填埋污染控制标准》（GB18599-2020）</w:t>
            </w:r>
            <w:r>
              <w:rPr>
                <w:rStyle w:val="29"/>
                <w:color w:val="auto"/>
                <w:sz w:val="24"/>
                <w:u w:val="none"/>
              </w:rPr>
              <w:fldChar w:fldCharType="end"/>
            </w:r>
            <w:r>
              <w:rPr>
                <w:sz w:val="24"/>
              </w:rPr>
              <w:t>相关标准。</w:t>
            </w:r>
          </w:p>
          <w:p w14:paraId="29CE9F42">
            <w:pPr>
              <w:adjustRightInd w:val="0"/>
              <w:snapToGrid w:val="0"/>
              <w:spacing w:line="360" w:lineRule="auto"/>
              <w:ind w:firstLine="480" w:firstLineChars="200"/>
              <w:rPr>
                <w:kern w:val="0"/>
                <w:sz w:val="24"/>
              </w:rPr>
            </w:pPr>
            <w:r>
              <w:rPr>
                <w:sz w:val="24"/>
                <w:szCs w:val="20"/>
              </w:rPr>
              <w:t>危险废物暂存执行《危险废物贮存污染控制标准》（GB18597-2001）及2013年修改单（公告2013年第36号）。</w:t>
            </w:r>
          </w:p>
        </w:tc>
      </w:tr>
      <w:tr w14:paraId="13649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457" w:type="dxa"/>
            <w:vAlign w:val="center"/>
          </w:tcPr>
          <w:p w14:paraId="64407A71">
            <w:pPr>
              <w:adjustRightInd w:val="0"/>
              <w:snapToGrid w:val="0"/>
              <w:jc w:val="center"/>
              <w:rPr>
                <w:b/>
                <w:bCs/>
                <w:kern w:val="0"/>
                <w:sz w:val="24"/>
              </w:rPr>
            </w:pPr>
            <w:r>
              <w:rPr>
                <w:b/>
                <w:bCs/>
                <w:kern w:val="0"/>
                <w:sz w:val="24"/>
              </w:rPr>
              <w:t>总量控制指标</w:t>
            </w:r>
          </w:p>
        </w:tc>
        <w:tc>
          <w:tcPr>
            <w:tcW w:w="9398" w:type="dxa"/>
            <w:vAlign w:val="center"/>
          </w:tcPr>
          <w:p w14:paraId="00521094">
            <w:pPr>
              <w:spacing w:line="360" w:lineRule="auto"/>
              <w:ind w:firstLine="480" w:firstLineChars="200"/>
              <w:rPr>
                <w:sz w:val="24"/>
              </w:rPr>
            </w:pPr>
            <w:r>
              <w:rPr>
                <w:sz w:val="24"/>
              </w:rPr>
              <w:t>根据</w:t>
            </w:r>
            <w:r>
              <w:rPr>
                <w:rFonts w:hint="eastAsia"/>
                <w:sz w:val="24"/>
                <w:lang w:eastAsia="zh-CN"/>
              </w:rPr>
              <w:t>“十四五”</w:t>
            </w:r>
            <w:r>
              <w:rPr>
                <w:sz w:val="24"/>
              </w:rPr>
              <w:t>主要污染物总量控制规划的相关规定，总量控制指标为COD、NH</w:t>
            </w:r>
            <w:r>
              <w:rPr>
                <w:sz w:val="24"/>
                <w:vertAlign w:val="subscript"/>
              </w:rPr>
              <w:t>3</w:t>
            </w:r>
            <w:r>
              <w:rPr>
                <w:sz w:val="24"/>
              </w:rPr>
              <w:t>-N、SO</w:t>
            </w:r>
            <w:r>
              <w:rPr>
                <w:sz w:val="24"/>
                <w:vertAlign w:val="subscript"/>
              </w:rPr>
              <w:t>2</w:t>
            </w:r>
            <w:r>
              <w:rPr>
                <w:sz w:val="24"/>
              </w:rPr>
              <w:t>和NOx。</w:t>
            </w:r>
          </w:p>
          <w:p w14:paraId="2EFDD45F">
            <w:pPr>
              <w:spacing w:line="360" w:lineRule="auto"/>
              <w:ind w:firstLine="482" w:firstLineChars="200"/>
              <w:rPr>
                <w:sz w:val="24"/>
              </w:rPr>
            </w:pPr>
            <w:r>
              <w:rPr>
                <w:b/>
                <w:bCs/>
                <w:sz w:val="24"/>
              </w:rPr>
              <w:t>（1）废气</w:t>
            </w:r>
          </w:p>
          <w:p w14:paraId="2888EDCA">
            <w:pPr>
              <w:adjustRightInd w:val="0"/>
              <w:snapToGrid w:val="0"/>
              <w:spacing w:line="360" w:lineRule="auto"/>
              <w:ind w:firstLine="480" w:firstLineChars="200"/>
              <w:rPr>
                <w:sz w:val="24"/>
              </w:rPr>
            </w:pPr>
            <w:r>
              <w:rPr>
                <w:sz w:val="24"/>
              </w:rPr>
              <w:t>根据核算，本项目全厂废气污染物放情况见表3-18。</w:t>
            </w:r>
          </w:p>
          <w:p w14:paraId="3E4BFA88">
            <w:pPr>
              <w:jc w:val="center"/>
              <w:rPr>
                <w:b/>
                <w:sz w:val="24"/>
                <w:szCs w:val="20"/>
              </w:rPr>
            </w:pPr>
            <w:r>
              <w:rPr>
                <w:b/>
                <w:sz w:val="24"/>
                <w:szCs w:val="20"/>
              </w:rPr>
              <w:t>表3-18  本项目废气污染物放情况</w:t>
            </w:r>
          </w:p>
          <w:tbl>
            <w:tblPr>
              <w:tblStyle w:val="25"/>
              <w:tblW w:w="915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99"/>
              <w:gridCol w:w="3425"/>
              <w:gridCol w:w="4935"/>
            </w:tblGrid>
            <w:tr w14:paraId="311E2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99" w:type="dxa"/>
                  <w:vAlign w:val="center"/>
                </w:tcPr>
                <w:p w14:paraId="332B16D4">
                  <w:pPr>
                    <w:jc w:val="center"/>
                    <w:rPr>
                      <w:b/>
                      <w:szCs w:val="21"/>
                    </w:rPr>
                  </w:pPr>
                  <w:r>
                    <w:rPr>
                      <w:b/>
                      <w:szCs w:val="21"/>
                    </w:rPr>
                    <w:t>序号</w:t>
                  </w:r>
                </w:p>
              </w:tc>
              <w:tc>
                <w:tcPr>
                  <w:tcW w:w="3425" w:type="dxa"/>
                  <w:vAlign w:val="center"/>
                </w:tcPr>
                <w:p w14:paraId="5C4233B4">
                  <w:pPr>
                    <w:jc w:val="center"/>
                    <w:rPr>
                      <w:b/>
                      <w:szCs w:val="21"/>
                    </w:rPr>
                  </w:pPr>
                  <w:r>
                    <w:rPr>
                      <w:b/>
                      <w:szCs w:val="21"/>
                    </w:rPr>
                    <w:t>污染物</w:t>
                  </w:r>
                </w:p>
              </w:tc>
              <w:tc>
                <w:tcPr>
                  <w:tcW w:w="4935" w:type="dxa"/>
                  <w:vAlign w:val="center"/>
                </w:tcPr>
                <w:p w14:paraId="025006AA">
                  <w:pPr>
                    <w:jc w:val="center"/>
                    <w:rPr>
                      <w:b/>
                      <w:szCs w:val="21"/>
                    </w:rPr>
                  </w:pPr>
                  <w:r>
                    <w:rPr>
                      <w:b/>
                      <w:szCs w:val="21"/>
                    </w:rPr>
                    <w:t>年排放量（t/a）</w:t>
                  </w:r>
                </w:p>
              </w:tc>
            </w:tr>
            <w:tr w14:paraId="62AEB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99" w:type="dxa"/>
                  <w:vAlign w:val="center"/>
                </w:tcPr>
                <w:p w14:paraId="5D9387D7">
                  <w:pPr>
                    <w:jc w:val="center"/>
                    <w:rPr>
                      <w:b/>
                      <w:szCs w:val="21"/>
                    </w:rPr>
                  </w:pPr>
                  <w:r>
                    <w:rPr>
                      <w:szCs w:val="21"/>
                    </w:rPr>
                    <w:t>1</w:t>
                  </w:r>
                </w:p>
              </w:tc>
              <w:tc>
                <w:tcPr>
                  <w:tcW w:w="3425" w:type="dxa"/>
                  <w:vAlign w:val="center"/>
                </w:tcPr>
                <w:p w14:paraId="34891875">
                  <w:pPr>
                    <w:jc w:val="center"/>
                    <w:rPr>
                      <w:b/>
                      <w:szCs w:val="21"/>
                    </w:rPr>
                  </w:pPr>
                  <w:r>
                    <w:rPr>
                      <w:rFonts w:hint="eastAsia"/>
                      <w:b/>
                      <w:szCs w:val="21"/>
                    </w:rPr>
                    <w:t>废气量</w:t>
                  </w:r>
                </w:p>
              </w:tc>
              <w:tc>
                <w:tcPr>
                  <w:tcW w:w="4935" w:type="dxa"/>
                  <w:vAlign w:val="center"/>
                </w:tcPr>
                <w:p w14:paraId="7C50F3C2">
                  <w:pPr>
                    <w:jc w:val="center"/>
                    <w:rPr>
                      <w:b/>
                      <w:szCs w:val="21"/>
                    </w:rPr>
                  </w:pPr>
                  <w:r>
                    <w:rPr>
                      <w:rFonts w:hint="eastAsia"/>
                      <w:b/>
                      <w:szCs w:val="21"/>
                    </w:rPr>
                    <w:t>3</w:t>
                  </w:r>
                  <w:r>
                    <w:rPr>
                      <w:b/>
                      <w:szCs w:val="21"/>
                    </w:rPr>
                    <w:t>8682</w:t>
                  </w:r>
                  <w:r>
                    <w:rPr>
                      <w:rFonts w:hint="eastAsia"/>
                      <w:b/>
                      <w:szCs w:val="21"/>
                    </w:rPr>
                    <w:t>万m</w:t>
                  </w:r>
                  <w:r>
                    <w:rPr>
                      <w:b/>
                      <w:szCs w:val="21"/>
                      <w:vertAlign w:val="superscript"/>
                    </w:rPr>
                    <w:t>3</w:t>
                  </w:r>
                  <w:r>
                    <w:rPr>
                      <w:rFonts w:hint="eastAsia"/>
                      <w:b/>
                      <w:szCs w:val="21"/>
                    </w:rPr>
                    <w:t>/a</w:t>
                  </w:r>
                </w:p>
              </w:tc>
            </w:tr>
            <w:tr w14:paraId="4A8FC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99" w:type="dxa"/>
                  <w:vAlign w:val="center"/>
                </w:tcPr>
                <w:p w14:paraId="4D85CB8A">
                  <w:pPr>
                    <w:jc w:val="center"/>
                    <w:rPr>
                      <w:szCs w:val="21"/>
                    </w:rPr>
                  </w:pPr>
                  <w:r>
                    <w:rPr>
                      <w:szCs w:val="21"/>
                    </w:rPr>
                    <w:t>2</w:t>
                  </w:r>
                </w:p>
              </w:tc>
              <w:tc>
                <w:tcPr>
                  <w:tcW w:w="3425" w:type="dxa"/>
                  <w:vAlign w:val="center"/>
                </w:tcPr>
                <w:p w14:paraId="74C251F0">
                  <w:pPr>
                    <w:jc w:val="center"/>
                    <w:rPr>
                      <w:szCs w:val="21"/>
                    </w:rPr>
                  </w:pPr>
                  <w:r>
                    <w:rPr>
                      <w:szCs w:val="21"/>
                    </w:rPr>
                    <w:t>颗粒物</w:t>
                  </w:r>
                </w:p>
              </w:tc>
              <w:tc>
                <w:tcPr>
                  <w:tcW w:w="4935" w:type="dxa"/>
                  <w:vAlign w:val="center"/>
                </w:tcPr>
                <w:p w14:paraId="3D2B2EFE">
                  <w:pPr>
                    <w:widowControl/>
                    <w:jc w:val="center"/>
                    <w:rPr>
                      <w:rFonts w:eastAsia="等线"/>
                      <w:kern w:val="0"/>
                      <w:szCs w:val="21"/>
                    </w:rPr>
                  </w:pPr>
                  <w:r>
                    <w:rPr>
                      <w:rFonts w:eastAsia="等线"/>
                      <w:szCs w:val="21"/>
                    </w:rPr>
                    <w:t xml:space="preserve">2.562 </w:t>
                  </w:r>
                </w:p>
              </w:tc>
            </w:tr>
            <w:tr w14:paraId="2E31A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99" w:type="dxa"/>
                  <w:vAlign w:val="center"/>
                </w:tcPr>
                <w:p w14:paraId="58E29994">
                  <w:pPr>
                    <w:jc w:val="center"/>
                    <w:rPr>
                      <w:szCs w:val="21"/>
                    </w:rPr>
                  </w:pPr>
                  <w:r>
                    <w:rPr>
                      <w:szCs w:val="21"/>
                    </w:rPr>
                    <w:t>3</w:t>
                  </w:r>
                </w:p>
              </w:tc>
              <w:tc>
                <w:tcPr>
                  <w:tcW w:w="3425" w:type="dxa"/>
                  <w:vAlign w:val="center"/>
                </w:tcPr>
                <w:p w14:paraId="39880345">
                  <w:pPr>
                    <w:jc w:val="center"/>
                    <w:rPr>
                      <w:szCs w:val="21"/>
                    </w:rPr>
                  </w:pPr>
                  <w:r>
                    <w:rPr>
                      <w:szCs w:val="21"/>
                    </w:rPr>
                    <w:t>SO</w:t>
                  </w:r>
                  <w:r>
                    <w:rPr>
                      <w:rStyle w:val="90"/>
                      <w:rFonts w:hint="default" w:ascii="Times New Roman" w:hAnsi="Times New Roman"/>
                      <w:color w:val="auto"/>
                      <w:szCs w:val="21"/>
                      <w:vertAlign w:val="subscript"/>
                    </w:rPr>
                    <w:t>2</w:t>
                  </w:r>
                </w:p>
              </w:tc>
              <w:tc>
                <w:tcPr>
                  <w:tcW w:w="4935" w:type="dxa"/>
                  <w:vAlign w:val="center"/>
                </w:tcPr>
                <w:p w14:paraId="779EFC54">
                  <w:pPr>
                    <w:jc w:val="center"/>
                    <w:rPr>
                      <w:rFonts w:eastAsia="等线"/>
                      <w:szCs w:val="21"/>
                    </w:rPr>
                  </w:pPr>
                  <w:r>
                    <w:rPr>
                      <w:rFonts w:eastAsia="等线"/>
                      <w:szCs w:val="21"/>
                    </w:rPr>
                    <w:t xml:space="preserve">19.980 </w:t>
                  </w:r>
                </w:p>
              </w:tc>
            </w:tr>
            <w:tr w14:paraId="5E1CC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99" w:type="dxa"/>
                  <w:vAlign w:val="center"/>
                </w:tcPr>
                <w:p w14:paraId="34925D80">
                  <w:pPr>
                    <w:jc w:val="center"/>
                    <w:rPr>
                      <w:szCs w:val="21"/>
                    </w:rPr>
                  </w:pPr>
                  <w:r>
                    <w:rPr>
                      <w:szCs w:val="21"/>
                    </w:rPr>
                    <w:t>4</w:t>
                  </w:r>
                </w:p>
              </w:tc>
              <w:tc>
                <w:tcPr>
                  <w:tcW w:w="3425" w:type="dxa"/>
                  <w:vAlign w:val="center"/>
                </w:tcPr>
                <w:p w14:paraId="00F9328C">
                  <w:pPr>
                    <w:jc w:val="center"/>
                    <w:rPr>
                      <w:szCs w:val="21"/>
                    </w:rPr>
                  </w:pPr>
                  <w:r>
                    <w:rPr>
                      <w:szCs w:val="21"/>
                    </w:rPr>
                    <w:t>NOx</w:t>
                  </w:r>
                </w:p>
              </w:tc>
              <w:tc>
                <w:tcPr>
                  <w:tcW w:w="4935" w:type="dxa"/>
                  <w:vAlign w:val="center"/>
                </w:tcPr>
                <w:p w14:paraId="4DE8F92D">
                  <w:pPr>
                    <w:jc w:val="center"/>
                    <w:rPr>
                      <w:rFonts w:eastAsia="等线"/>
                      <w:szCs w:val="21"/>
                    </w:rPr>
                  </w:pPr>
                  <w:r>
                    <w:rPr>
                      <w:rFonts w:eastAsia="等线"/>
                      <w:szCs w:val="21"/>
                    </w:rPr>
                    <w:t xml:space="preserve">14.940 </w:t>
                  </w:r>
                </w:p>
              </w:tc>
            </w:tr>
            <w:tr w14:paraId="49EE8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99" w:type="dxa"/>
                  <w:vAlign w:val="center"/>
                </w:tcPr>
                <w:p w14:paraId="64D0EF47">
                  <w:pPr>
                    <w:jc w:val="center"/>
                    <w:rPr>
                      <w:szCs w:val="21"/>
                    </w:rPr>
                  </w:pPr>
                  <w:r>
                    <w:rPr>
                      <w:rFonts w:hint="eastAsia"/>
                      <w:szCs w:val="21"/>
                    </w:rPr>
                    <w:t>5</w:t>
                  </w:r>
                </w:p>
              </w:tc>
              <w:tc>
                <w:tcPr>
                  <w:tcW w:w="3425" w:type="dxa"/>
                  <w:vAlign w:val="center"/>
                </w:tcPr>
                <w:p w14:paraId="58A20E04">
                  <w:pPr>
                    <w:jc w:val="center"/>
                    <w:rPr>
                      <w:szCs w:val="21"/>
                    </w:rPr>
                  </w:pPr>
                  <w:r>
                    <w:rPr>
                      <w:szCs w:val="21"/>
                    </w:rPr>
                    <w:t>氟化物</w:t>
                  </w:r>
                </w:p>
              </w:tc>
              <w:tc>
                <w:tcPr>
                  <w:tcW w:w="4935" w:type="dxa"/>
                  <w:vAlign w:val="center"/>
                </w:tcPr>
                <w:p w14:paraId="3B2F3D52">
                  <w:pPr>
                    <w:jc w:val="center"/>
                    <w:rPr>
                      <w:rFonts w:eastAsia="等线"/>
                      <w:szCs w:val="21"/>
                    </w:rPr>
                  </w:pPr>
                  <w:r>
                    <w:rPr>
                      <w:rFonts w:eastAsia="等线"/>
                      <w:szCs w:val="21"/>
                    </w:rPr>
                    <w:t xml:space="preserve">1.086 </w:t>
                  </w:r>
                </w:p>
              </w:tc>
            </w:tr>
          </w:tbl>
          <w:p w14:paraId="55F273DE">
            <w:pPr>
              <w:spacing w:line="360" w:lineRule="auto"/>
              <w:ind w:firstLine="482" w:firstLineChars="200"/>
              <w:rPr>
                <w:sz w:val="24"/>
              </w:rPr>
            </w:pPr>
            <w:r>
              <w:rPr>
                <w:b/>
                <w:bCs/>
                <w:sz w:val="24"/>
              </w:rPr>
              <w:t>（2）废水</w:t>
            </w:r>
          </w:p>
          <w:p w14:paraId="6A3498F1">
            <w:pPr>
              <w:spacing w:line="360" w:lineRule="auto"/>
              <w:ind w:firstLine="480" w:firstLineChars="200"/>
              <w:rPr>
                <w:sz w:val="24"/>
              </w:rPr>
            </w:pPr>
            <w:r>
              <w:rPr>
                <w:sz w:val="24"/>
              </w:rPr>
              <w:t>生产与生活废水一起进入化粪池，用于周边农作物施肥，不外排。故本项目废水不设总量控制指标。</w:t>
            </w:r>
          </w:p>
          <w:p w14:paraId="59586DCF">
            <w:pPr>
              <w:spacing w:line="360" w:lineRule="auto"/>
              <w:ind w:firstLine="482" w:firstLineChars="200"/>
              <w:rPr>
                <w:sz w:val="24"/>
              </w:rPr>
            </w:pPr>
            <w:r>
              <w:rPr>
                <w:b/>
                <w:bCs/>
                <w:sz w:val="24"/>
              </w:rPr>
              <w:t>（3）固体废物</w:t>
            </w:r>
          </w:p>
          <w:p w14:paraId="45F369FC">
            <w:pPr>
              <w:adjustRightInd w:val="0"/>
              <w:snapToGrid w:val="0"/>
              <w:spacing w:line="360" w:lineRule="auto"/>
              <w:ind w:firstLine="480" w:firstLineChars="200"/>
            </w:pPr>
            <w:r>
              <w:rPr>
                <w:sz w:val="24"/>
              </w:rPr>
              <w:t>固体废物处置率100%，不设总量指标。</w:t>
            </w:r>
          </w:p>
        </w:tc>
      </w:tr>
    </w:tbl>
    <w:p w14:paraId="4352BC21">
      <w:pPr>
        <w:pStyle w:val="20"/>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sz w:val="36"/>
          <w:szCs w:val="36"/>
        </w:rPr>
        <w:br w:type="page"/>
      </w:r>
      <w:bookmarkStart w:id="14" w:name="_Toc101052711"/>
      <w:bookmarkStart w:id="15" w:name="_Toc15376"/>
      <w:r>
        <w:rPr>
          <w:rFonts w:ascii="Times New Roman" w:hAnsi="Times New Roman"/>
          <w:b/>
          <w:bCs/>
          <w:snapToGrid w:val="0"/>
          <w:sz w:val="32"/>
          <w:szCs w:val="32"/>
        </w:rPr>
        <w:t>四、主要环境影响和保护措施</w:t>
      </w:r>
      <w:bookmarkEnd w:id="14"/>
      <w:bookmarkEnd w:id="15"/>
    </w:p>
    <w:tbl>
      <w:tblPr>
        <w:tblStyle w:val="25"/>
        <w:tblW w:w="97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241"/>
      </w:tblGrid>
      <w:tr w14:paraId="5BD81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tcMar>
              <w:left w:w="28" w:type="dxa"/>
              <w:right w:w="28" w:type="dxa"/>
            </w:tcMar>
            <w:vAlign w:val="center"/>
          </w:tcPr>
          <w:p w14:paraId="539400A0">
            <w:pPr>
              <w:pStyle w:val="20"/>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施工</w:t>
            </w:r>
          </w:p>
          <w:p w14:paraId="33528DDB">
            <w:pPr>
              <w:pStyle w:val="20"/>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期环</w:t>
            </w:r>
          </w:p>
          <w:p w14:paraId="59B83CFE">
            <w:pPr>
              <w:pStyle w:val="20"/>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境保</w:t>
            </w:r>
          </w:p>
          <w:p w14:paraId="6CF0BAC7">
            <w:pPr>
              <w:pStyle w:val="20"/>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护措</w:t>
            </w:r>
          </w:p>
          <w:p w14:paraId="140579C7">
            <w:pPr>
              <w:pStyle w:val="20"/>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施</w:t>
            </w:r>
          </w:p>
        </w:tc>
        <w:tc>
          <w:tcPr>
            <w:tcW w:w="9241" w:type="dxa"/>
            <w:vAlign w:val="center"/>
          </w:tcPr>
          <w:p w14:paraId="2260E1A8">
            <w:pPr>
              <w:pStyle w:val="66"/>
              <w:spacing w:line="360" w:lineRule="auto"/>
              <w:ind w:firstLine="482" w:firstLineChars="200"/>
              <w:jc w:val="both"/>
              <w:rPr>
                <w:rFonts w:ascii="Times New Roman" w:hAnsi="Times New Roman" w:cs="Times New Roman"/>
                <w:b/>
                <w:bCs/>
                <w:kern w:val="2"/>
                <w:sz w:val="24"/>
                <w:szCs w:val="24"/>
                <w:lang w:eastAsia="zh-CN"/>
              </w:rPr>
            </w:pPr>
            <w:r>
              <w:rPr>
                <w:rFonts w:ascii="Times New Roman" w:hAnsi="Times New Roman" w:cs="Times New Roman"/>
                <w:b/>
                <w:bCs/>
                <w:kern w:val="2"/>
                <w:sz w:val="24"/>
                <w:szCs w:val="24"/>
                <w:lang w:eastAsia="zh-CN"/>
              </w:rPr>
              <w:t>一、大气污染物</w:t>
            </w:r>
          </w:p>
          <w:p w14:paraId="197BF1E4">
            <w:pPr>
              <w:pStyle w:val="66"/>
              <w:spacing w:line="360" w:lineRule="auto"/>
              <w:ind w:firstLine="482" w:firstLineChars="200"/>
              <w:jc w:val="both"/>
              <w:rPr>
                <w:rFonts w:ascii="Times New Roman" w:hAnsi="Times New Roman" w:cs="Times New Roman"/>
                <w:b/>
                <w:bCs/>
                <w:kern w:val="2"/>
                <w:sz w:val="24"/>
                <w:szCs w:val="24"/>
                <w:lang w:eastAsia="zh-CN"/>
              </w:rPr>
            </w:pPr>
            <w:r>
              <w:rPr>
                <w:rFonts w:ascii="Times New Roman" w:hAnsi="Times New Roman" w:cs="Times New Roman"/>
                <w:b/>
                <w:bCs/>
                <w:kern w:val="2"/>
                <w:sz w:val="24"/>
                <w:szCs w:val="24"/>
                <w:lang w:eastAsia="zh-CN"/>
              </w:rPr>
              <w:t>1、施工过程中废气</w:t>
            </w:r>
          </w:p>
          <w:p w14:paraId="15A27B64">
            <w:pPr>
              <w:adjustRightInd w:val="0"/>
              <w:snapToGrid w:val="0"/>
              <w:spacing w:line="360" w:lineRule="auto"/>
              <w:ind w:firstLine="480" w:firstLineChars="200"/>
              <w:rPr>
                <w:sz w:val="24"/>
              </w:rPr>
            </w:pPr>
            <w:r>
              <w:rPr>
                <w:sz w:val="24"/>
              </w:rPr>
              <w:t>（1）加强施工现场扬尘控制，文明卸载施工材料，从源头上减少动力扬尘产生量；</w:t>
            </w:r>
          </w:p>
          <w:p w14:paraId="5E9BE1D5">
            <w:pPr>
              <w:adjustRightInd w:val="0"/>
              <w:snapToGrid w:val="0"/>
              <w:spacing w:line="360" w:lineRule="auto"/>
              <w:ind w:firstLine="480" w:firstLineChars="200"/>
              <w:rPr>
                <w:sz w:val="24"/>
              </w:rPr>
            </w:pPr>
            <w:r>
              <w:rPr>
                <w:sz w:val="24"/>
              </w:rPr>
              <w:t>（2）加强施工现场运输车辆管理。在项目范围内运输的车辆必须车身整洁， 卸载车厢完好，装载货物堆码整齐，不得污染道路；</w:t>
            </w:r>
          </w:p>
          <w:p w14:paraId="7C2B16FA">
            <w:pPr>
              <w:adjustRightInd w:val="0"/>
              <w:snapToGrid w:val="0"/>
              <w:spacing w:line="360" w:lineRule="auto"/>
              <w:ind w:firstLine="480" w:firstLineChars="200"/>
              <w:rPr>
                <w:sz w:val="24"/>
              </w:rPr>
            </w:pPr>
            <w:r>
              <w:rPr>
                <w:sz w:val="24"/>
              </w:rPr>
              <w:t>（3）定期对施工场地洒水降尘，洒水次数根据天气状况而定；</w:t>
            </w:r>
          </w:p>
          <w:p w14:paraId="1CB290E9">
            <w:pPr>
              <w:adjustRightInd w:val="0"/>
              <w:snapToGrid w:val="0"/>
              <w:spacing w:line="360" w:lineRule="auto"/>
              <w:ind w:firstLine="480" w:firstLineChars="200"/>
              <w:rPr>
                <w:sz w:val="24"/>
              </w:rPr>
            </w:pPr>
            <w:r>
              <w:rPr>
                <w:sz w:val="24"/>
              </w:rPr>
              <w:t>（4）对运输建筑材料及建筑垃圾的车辆加盖篷布以减少洒落，同时，车辆进出、装卸场地时应用水将运输车辆轮胎冲洗干净；</w:t>
            </w:r>
          </w:p>
          <w:p w14:paraId="73CA50EF">
            <w:pPr>
              <w:adjustRightInd w:val="0"/>
              <w:snapToGrid w:val="0"/>
              <w:spacing w:line="360" w:lineRule="auto"/>
              <w:ind w:firstLine="480" w:firstLineChars="200"/>
              <w:rPr>
                <w:sz w:val="24"/>
              </w:rPr>
            </w:pPr>
            <w:r>
              <w:rPr>
                <w:sz w:val="24"/>
              </w:rPr>
              <w:t>（5）粉状物料场所尽量布置于施工场地中部，大风天气时应进行必要的遮盖，粉状物料装卸时禁止凌空抛洒；</w:t>
            </w:r>
          </w:p>
          <w:p w14:paraId="555215D7">
            <w:pPr>
              <w:adjustRightInd w:val="0"/>
              <w:snapToGrid w:val="0"/>
              <w:spacing w:line="360" w:lineRule="auto"/>
              <w:ind w:firstLine="480" w:firstLineChars="200"/>
              <w:rPr>
                <w:sz w:val="24"/>
              </w:rPr>
            </w:pPr>
            <w:r>
              <w:rPr>
                <w:sz w:val="24"/>
              </w:rPr>
              <w:t>（6）尽量避免在大风天气下进行施工作业；</w:t>
            </w:r>
          </w:p>
          <w:p w14:paraId="075671A0">
            <w:pPr>
              <w:adjustRightInd w:val="0"/>
              <w:snapToGrid w:val="0"/>
              <w:spacing w:line="360" w:lineRule="auto"/>
              <w:ind w:firstLine="480" w:firstLineChars="200"/>
              <w:rPr>
                <w:sz w:val="24"/>
              </w:rPr>
            </w:pPr>
            <w:r>
              <w:rPr>
                <w:sz w:val="24"/>
              </w:rPr>
              <w:t>（7）在施工场地上设置专人负责弃土、建筑垃圾、建筑材料的处置、清运和堆放，必要时加盖篷布或洒水，防止二次粉尘；</w:t>
            </w:r>
          </w:p>
          <w:p w14:paraId="713F7B34">
            <w:pPr>
              <w:adjustRightInd w:val="0"/>
              <w:snapToGrid w:val="0"/>
              <w:spacing w:line="360" w:lineRule="auto"/>
              <w:ind w:firstLine="480" w:firstLineChars="200"/>
              <w:rPr>
                <w:sz w:val="24"/>
              </w:rPr>
            </w:pPr>
            <w:r>
              <w:rPr>
                <w:sz w:val="24"/>
              </w:rPr>
              <w:t>（8）对建筑垃圾及弃土应及时处理、清运，以减少占地，防止粉尘污染， 改善施工场地的环境。</w:t>
            </w:r>
          </w:p>
          <w:p w14:paraId="672E86DB">
            <w:pPr>
              <w:pStyle w:val="66"/>
              <w:spacing w:line="360" w:lineRule="auto"/>
              <w:ind w:firstLine="482" w:firstLineChars="200"/>
              <w:jc w:val="both"/>
              <w:rPr>
                <w:rFonts w:ascii="Times New Roman" w:hAnsi="Times New Roman" w:cs="Times New Roman"/>
                <w:b/>
                <w:bCs/>
                <w:kern w:val="2"/>
                <w:sz w:val="24"/>
                <w:szCs w:val="24"/>
                <w:lang w:eastAsia="zh-CN"/>
              </w:rPr>
            </w:pPr>
            <w:r>
              <w:rPr>
                <w:rFonts w:ascii="Times New Roman" w:hAnsi="Times New Roman" w:cs="Times New Roman"/>
                <w:b/>
                <w:bCs/>
                <w:kern w:val="2"/>
                <w:sz w:val="24"/>
                <w:szCs w:val="24"/>
                <w:lang w:eastAsia="zh-CN"/>
              </w:rPr>
              <w:t>二、水污染物</w:t>
            </w:r>
          </w:p>
          <w:p w14:paraId="74C293C4">
            <w:pPr>
              <w:pStyle w:val="66"/>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施工期施工人员不在施工现场食宿，生活废水产生量为0.3m</w:t>
            </w:r>
            <w:r>
              <w:rPr>
                <w:rFonts w:ascii="Times New Roman" w:hAnsi="Times New Roman" w:cs="Times New Roman"/>
                <w:kern w:val="2"/>
                <w:sz w:val="24"/>
                <w:szCs w:val="24"/>
                <w:vertAlign w:val="superscript"/>
                <w:lang w:eastAsia="zh-CN"/>
              </w:rPr>
              <w:t>3</w:t>
            </w:r>
            <w:r>
              <w:rPr>
                <w:rFonts w:ascii="Times New Roman" w:hAnsi="Times New Roman" w:cs="Times New Roman"/>
                <w:kern w:val="2"/>
                <w:sz w:val="24"/>
                <w:szCs w:val="24"/>
                <w:lang w:eastAsia="zh-CN"/>
              </w:rPr>
              <w:t>/d，依托原有公厕收集处理后，</w:t>
            </w:r>
            <w:r>
              <w:rPr>
                <w:rFonts w:ascii="Times New Roman" w:hAnsi="Times New Roman" w:cs="Times New Roman"/>
                <w:bCs/>
                <w:snapToGrid w:val="0"/>
                <w:sz w:val="24"/>
                <w:lang w:eastAsia="zh-CN"/>
              </w:rPr>
              <w:t>委托周边农户清掏用于农作物施肥，不外排；</w:t>
            </w:r>
            <w:r>
              <w:rPr>
                <w:rFonts w:ascii="Times New Roman" w:hAnsi="Times New Roman" w:cs="Times New Roman"/>
                <w:kern w:val="2"/>
                <w:sz w:val="24"/>
                <w:szCs w:val="24"/>
                <w:lang w:eastAsia="zh-CN"/>
              </w:rPr>
              <w:t>施工废水主要来自地面硬化过程的器械冲洗废水和施工人员洗手废水。预计地面硬化施工3天，每天产生施工废水约0.5m</w:t>
            </w:r>
            <w:r>
              <w:rPr>
                <w:rFonts w:ascii="Times New Roman" w:hAnsi="Times New Roman" w:cs="Times New Roman"/>
                <w:kern w:val="2"/>
                <w:sz w:val="24"/>
                <w:szCs w:val="24"/>
                <w:vertAlign w:val="superscript"/>
                <w:lang w:eastAsia="zh-CN"/>
              </w:rPr>
              <w:t>3</w:t>
            </w:r>
            <w:r>
              <w:rPr>
                <w:rFonts w:ascii="Times New Roman" w:hAnsi="Times New Roman" w:cs="Times New Roman"/>
                <w:kern w:val="2"/>
                <w:sz w:val="24"/>
                <w:szCs w:val="24"/>
                <w:lang w:eastAsia="zh-CN"/>
              </w:rPr>
              <w:t>，其中废水中主要以SS污染为主，其值为400～1000mg/L。出于节水以及避免对本区域的地表水污染考虑，本评价要求施工单位设简易沉淀池，该部分废水经简易沉淀池处理后回用于场地洒水降尘等，不外排，池底少量泥沙由用于厂区低洼处回填。故施工期间不外排废水，因此对周围环境的影响很小。</w:t>
            </w:r>
          </w:p>
          <w:p w14:paraId="3F55FE3F">
            <w:pPr>
              <w:pStyle w:val="66"/>
              <w:spacing w:line="360" w:lineRule="auto"/>
              <w:ind w:firstLine="482" w:firstLineChars="200"/>
              <w:jc w:val="both"/>
              <w:rPr>
                <w:rFonts w:ascii="Times New Roman" w:hAnsi="Times New Roman" w:cs="Times New Roman"/>
                <w:b/>
                <w:bCs/>
                <w:kern w:val="2"/>
                <w:sz w:val="24"/>
                <w:szCs w:val="24"/>
                <w:lang w:eastAsia="zh-CN"/>
              </w:rPr>
            </w:pPr>
            <w:r>
              <w:rPr>
                <w:rFonts w:ascii="Times New Roman" w:hAnsi="Times New Roman" w:cs="Times New Roman"/>
                <w:b/>
                <w:bCs/>
                <w:kern w:val="2"/>
                <w:sz w:val="24"/>
                <w:szCs w:val="24"/>
                <w:lang w:eastAsia="zh-CN"/>
              </w:rPr>
              <w:t>三、固体废物</w:t>
            </w:r>
          </w:p>
          <w:p w14:paraId="3EA75688">
            <w:pPr>
              <w:pStyle w:val="66"/>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项目施工期固体废弃物主要为建筑垃圾和生活垃圾。</w:t>
            </w:r>
          </w:p>
          <w:p w14:paraId="6F1A4589">
            <w:pPr>
              <w:pStyle w:val="66"/>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建筑垃圾主要为地面防渗防腐处理时产生的边角废料和废弃包装袋。建筑垃圾产生量较少，拟采取措施为：能够回收利用的进行回收利用，不能回收利用的运至指定地点妥善处置。对周围环境影响很小。</w:t>
            </w:r>
          </w:p>
          <w:p w14:paraId="7473A190">
            <w:pPr>
              <w:pStyle w:val="66"/>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施工期施工人员不在现场食宿，项目施工期约为60天，施工期生活垃圾集中收集后，由施工人员每天带至项目附近的垃圾收集点，与当地生活垃圾一起由环卫部门清运处置，对周围环境影响很小。</w:t>
            </w:r>
          </w:p>
          <w:p w14:paraId="1FA8C5AF">
            <w:pPr>
              <w:pStyle w:val="66"/>
              <w:spacing w:line="360" w:lineRule="auto"/>
              <w:ind w:firstLine="482" w:firstLineChars="200"/>
              <w:jc w:val="both"/>
              <w:rPr>
                <w:rFonts w:ascii="Times New Roman" w:hAnsi="Times New Roman" w:cs="Times New Roman"/>
                <w:b/>
                <w:bCs/>
                <w:kern w:val="2"/>
                <w:sz w:val="24"/>
                <w:szCs w:val="24"/>
                <w:lang w:eastAsia="zh-CN"/>
              </w:rPr>
            </w:pPr>
            <w:r>
              <w:rPr>
                <w:rFonts w:ascii="Times New Roman" w:hAnsi="Times New Roman" w:cs="Times New Roman"/>
                <w:b/>
                <w:bCs/>
                <w:kern w:val="2"/>
                <w:sz w:val="24"/>
                <w:szCs w:val="24"/>
                <w:lang w:eastAsia="zh-CN"/>
              </w:rPr>
              <w:t>四、噪声污染</w:t>
            </w:r>
          </w:p>
          <w:p w14:paraId="69EEE25F">
            <w:pPr>
              <w:pStyle w:val="66"/>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为减小施工期间噪声对周围环境的影响，防止声污染事故的发生，环评要求工程施工时应采取以下措施：</w:t>
            </w:r>
          </w:p>
          <w:p w14:paraId="32922072">
            <w:pPr>
              <w:pStyle w:val="66"/>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（1）施工单位应合理安排好施工时间；</w:t>
            </w:r>
          </w:p>
          <w:p w14:paraId="755E5FE4">
            <w:pPr>
              <w:pStyle w:val="66"/>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（2）材料采用定尺定料，减少现场切割；</w:t>
            </w:r>
          </w:p>
          <w:p w14:paraId="3159B86C">
            <w:pPr>
              <w:pStyle w:val="66"/>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（3）加强机械设备的维护管理，保证其处于正常的工作状态；</w:t>
            </w:r>
          </w:p>
          <w:p w14:paraId="74CB2A1A">
            <w:pPr>
              <w:pStyle w:val="66"/>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（4）加强对施工人员的管理，避免人为噪声的产生，做到文明施工；</w:t>
            </w:r>
          </w:p>
          <w:p w14:paraId="01D331DD">
            <w:pPr>
              <w:pStyle w:val="66"/>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（5）合理布设施工场地，尽量使高噪声设备远离厂界。</w:t>
            </w:r>
          </w:p>
          <w:p w14:paraId="5B95425B">
            <w:pPr>
              <w:adjustRightInd w:val="0"/>
              <w:snapToGrid w:val="0"/>
              <w:spacing w:line="360" w:lineRule="auto"/>
              <w:ind w:firstLine="480" w:firstLineChars="200"/>
              <w:rPr>
                <w:kern w:val="0"/>
                <w:sz w:val="24"/>
              </w:rPr>
            </w:pPr>
            <w:r>
              <w:rPr>
                <w:sz w:val="24"/>
              </w:rPr>
              <w:t>只要施工单位在施工中加强管理、合理操作，同时合理安排作业时间，则施工噪声影响将得以减小；施工噪声对于区域噪声环境质量的影响是短暂的，其噪声影响随着施工期的结束而结束，影响较小。</w:t>
            </w:r>
          </w:p>
        </w:tc>
      </w:tr>
      <w:tr w14:paraId="43108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tcMar>
              <w:left w:w="28" w:type="dxa"/>
              <w:right w:w="28" w:type="dxa"/>
            </w:tcMar>
            <w:vAlign w:val="center"/>
          </w:tcPr>
          <w:p w14:paraId="280EAD71">
            <w:pPr>
              <w:adjustRightInd w:val="0"/>
              <w:snapToGrid w:val="0"/>
              <w:jc w:val="center"/>
              <w:rPr>
                <w:b/>
                <w:bCs/>
                <w:sz w:val="24"/>
              </w:rPr>
            </w:pPr>
            <w:r>
              <w:rPr>
                <w:b/>
                <w:bCs/>
                <w:sz w:val="24"/>
              </w:rPr>
              <w:t>运营</w:t>
            </w:r>
          </w:p>
          <w:p w14:paraId="6593E3F8">
            <w:pPr>
              <w:adjustRightInd w:val="0"/>
              <w:snapToGrid w:val="0"/>
              <w:jc w:val="center"/>
              <w:rPr>
                <w:b/>
                <w:bCs/>
                <w:sz w:val="24"/>
              </w:rPr>
            </w:pPr>
            <w:r>
              <w:rPr>
                <w:b/>
                <w:bCs/>
                <w:sz w:val="24"/>
              </w:rPr>
              <w:t>期环</w:t>
            </w:r>
          </w:p>
          <w:p w14:paraId="62FEEE62">
            <w:pPr>
              <w:adjustRightInd w:val="0"/>
              <w:snapToGrid w:val="0"/>
              <w:jc w:val="center"/>
              <w:rPr>
                <w:b/>
                <w:bCs/>
                <w:sz w:val="24"/>
              </w:rPr>
            </w:pPr>
            <w:r>
              <w:rPr>
                <w:b/>
                <w:bCs/>
                <w:sz w:val="24"/>
              </w:rPr>
              <w:t>境影</w:t>
            </w:r>
          </w:p>
          <w:p w14:paraId="07266356">
            <w:pPr>
              <w:adjustRightInd w:val="0"/>
              <w:snapToGrid w:val="0"/>
              <w:jc w:val="center"/>
              <w:rPr>
                <w:b/>
                <w:bCs/>
                <w:sz w:val="24"/>
              </w:rPr>
            </w:pPr>
            <w:r>
              <w:rPr>
                <w:b/>
                <w:bCs/>
                <w:sz w:val="24"/>
              </w:rPr>
              <w:t>响和</w:t>
            </w:r>
          </w:p>
          <w:p w14:paraId="3DE8D2E8">
            <w:pPr>
              <w:adjustRightInd w:val="0"/>
              <w:snapToGrid w:val="0"/>
              <w:jc w:val="center"/>
              <w:rPr>
                <w:b/>
                <w:bCs/>
                <w:sz w:val="24"/>
              </w:rPr>
            </w:pPr>
            <w:r>
              <w:rPr>
                <w:b/>
                <w:bCs/>
                <w:sz w:val="24"/>
              </w:rPr>
              <w:t>保护</w:t>
            </w:r>
          </w:p>
          <w:p w14:paraId="6FA458AF">
            <w:pPr>
              <w:adjustRightInd w:val="0"/>
              <w:snapToGrid w:val="0"/>
              <w:jc w:val="center"/>
              <w:rPr>
                <w:b/>
                <w:bCs/>
                <w:sz w:val="24"/>
              </w:rPr>
            </w:pPr>
            <w:r>
              <w:rPr>
                <w:b/>
                <w:bCs/>
                <w:sz w:val="24"/>
              </w:rPr>
              <w:t>措施</w:t>
            </w:r>
          </w:p>
        </w:tc>
        <w:tc>
          <w:tcPr>
            <w:tcW w:w="9241" w:type="dxa"/>
            <w:vAlign w:val="center"/>
          </w:tcPr>
          <w:p w14:paraId="2911977D">
            <w:pPr>
              <w:adjustRightInd w:val="0"/>
              <w:snapToGrid w:val="0"/>
              <w:spacing w:line="360" w:lineRule="auto"/>
              <w:ind w:firstLine="482" w:firstLineChars="200"/>
              <w:rPr>
                <w:b/>
                <w:bCs/>
                <w:kern w:val="0"/>
                <w:sz w:val="24"/>
              </w:rPr>
            </w:pPr>
            <w:r>
              <w:rPr>
                <w:b/>
                <w:bCs/>
                <w:kern w:val="0"/>
                <w:sz w:val="24"/>
              </w:rPr>
              <w:t>1、废气环境影响和保护措施</w:t>
            </w:r>
          </w:p>
          <w:p w14:paraId="3CD07B06">
            <w:pPr>
              <w:spacing w:line="360" w:lineRule="auto"/>
              <w:ind w:firstLine="482" w:firstLineChars="200"/>
              <w:rPr>
                <w:b/>
                <w:bCs/>
                <w:sz w:val="24"/>
              </w:rPr>
            </w:pPr>
            <w:r>
              <w:rPr>
                <w:b/>
                <w:bCs/>
                <w:sz w:val="24"/>
              </w:rPr>
              <w:t>1.1、污染物源强核算</w:t>
            </w:r>
          </w:p>
          <w:p w14:paraId="0F96DFEB">
            <w:pPr>
              <w:spacing w:line="360" w:lineRule="auto"/>
              <w:ind w:firstLine="482" w:firstLineChars="200"/>
              <w:rPr>
                <w:b/>
                <w:sz w:val="24"/>
              </w:rPr>
            </w:pPr>
            <w:r>
              <w:rPr>
                <w:b/>
                <w:sz w:val="24"/>
              </w:rPr>
              <w:t>1.1.1、有组织废气核算</w:t>
            </w:r>
          </w:p>
          <w:p w14:paraId="1B4271A5">
            <w:pPr>
              <w:spacing w:line="360" w:lineRule="auto"/>
              <w:ind w:firstLine="482" w:firstLineChars="200"/>
              <w:rPr>
                <w:b/>
                <w:bCs/>
                <w:sz w:val="24"/>
              </w:rPr>
            </w:pPr>
            <w:r>
              <w:rPr>
                <w:b/>
                <w:bCs/>
                <w:sz w:val="24"/>
              </w:rPr>
              <w:t>（1）隧道窑烧结废气（G2）产排核算</w:t>
            </w:r>
          </w:p>
          <w:p w14:paraId="11A0A76E">
            <w:pPr>
              <w:adjustRightInd w:val="0"/>
              <w:snapToGrid w:val="0"/>
              <w:spacing w:line="360" w:lineRule="auto"/>
              <w:ind w:firstLine="482" w:firstLineChars="200"/>
              <w:jc w:val="left"/>
              <w:rPr>
                <w:b/>
                <w:sz w:val="24"/>
              </w:rPr>
            </w:pPr>
            <w:r>
              <w:rPr>
                <w:rFonts w:hint="eastAsia" w:ascii="宋体" w:hAnsi="宋体" w:cs="宋体"/>
                <w:b/>
                <w:sz w:val="24"/>
              </w:rPr>
              <w:t>①</w:t>
            </w:r>
            <w:r>
              <w:rPr>
                <w:b/>
                <w:sz w:val="24"/>
              </w:rPr>
              <w:t>污染物产生量核算</w:t>
            </w:r>
          </w:p>
          <w:p w14:paraId="0D3013DD">
            <w:pPr>
              <w:adjustRightInd w:val="0"/>
              <w:snapToGrid w:val="0"/>
              <w:spacing w:line="360" w:lineRule="auto"/>
              <w:ind w:firstLine="480" w:firstLineChars="200"/>
              <w:jc w:val="left"/>
              <w:rPr>
                <w:sz w:val="24"/>
              </w:rPr>
            </w:pPr>
            <w:r>
              <w:rPr>
                <w:sz w:val="24"/>
              </w:rPr>
              <w:t>参照</w:t>
            </w:r>
            <w:r>
              <w:fldChar w:fldCharType="begin"/>
            </w:r>
            <w:r>
              <w:instrText xml:space="preserve"> HYPERLINK "https://www.eia543.com/documents/07%E5%B7%A5%E4%B8%9A%E6%B1%A1%E6%9F%93%E6%BA%90%E9%98%B2%E6%B2%BB/03%E6%B1%A1%E6%9F%93%E6%BA%90%E6%A0%B8%E7%AE%97/%E6%8E%92%E6%94%BE%E6%BA%90%E7%BB%9F%E8%AE%A1%E8%B0%83%E6%9F%A5%E4%BA%A7%E6%8E%92%E6%B1%A1%E6%A0%B8%E7%AE%97%E6%96%B9%E6%B3%95%E5%92%8C%E7%B3%BB%E6%95%B0%E6%89%8B%E5%86%8C%EF%BC%88%E7%94%9F%E6%80%81%E7%8E%AF%E5%A2%83%E9%83%A8%E5%8A%9E%E5%85%AC%E5%8E%852021%20%E5%B9%B46%20%E6%9C%8811%20%E6%97%A5%E5%8D%B0%E5%8F%91%EF%BC%89/%E6%8E%92%E6%94%BE%E6%BA%90%E7%BB%9F%E8%AE%A1%E8%B0%83%E6%9F%A5%E4%BA%A7%E6%8E%92%E6%B1%A1%E6%A0%B8%E7%AE%97%E6%96%B9%E6%B3%95%E5%92%8C%E7%B3%BB%E6%95%B0%E6%89%8B%E5%86%8C.pdf" \t "https://www.eia543.com/_blank" </w:instrText>
            </w:r>
            <w:r>
              <w:fldChar w:fldCharType="separate"/>
            </w:r>
            <w:r>
              <w:rPr>
                <w:rStyle w:val="29"/>
                <w:color w:val="auto"/>
                <w:sz w:val="24"/>
              </w:rPr>
              <w:t>《排放源统计调查产排污核算方法和系数手册》</w:t>
            </w:r>
            <w:r>
              <w:rPr>
                <w:rStyle w:val="29"/>
                <w:color w:val="auto"/>
                <w:sz w:val="24"/>
              </w:rPr>
              <w:fldChar w:fldCharType="end"/>
            </w:r>
            <w:r>
              <w:rPr>
                <w:sz w:val="24"/>
              </w:rPr>
              <w:t>中砖瓦、石材等建筑材料制造行业系数手册的产排污系数如下表所示。</w:t>
            </w:r>
          </w:p>
          <w:p w14:paraId="4AA2CCE1">
            <w:pPr>
              <w:pStyle w:val="2"/>
              <w:jc w:val="center"/>
              <w:rPr>
                <w:rFonts w:ascii="Times New Roman" w:hAnsi="Times New Roman"/>
                <w:b/>
                <w:sz w:val="21"/>
                <w:szCs w:val="21"/>
              </w:rPr>
            </w:pPr>
            <w:r>
              <w:rPr>
                <w:rFonts w:ascii="Times New Roman" w:hAnsi="Times New Roman"/>
                <w:b/>
                <w:sz w:val="21"/>
                <w:szCs w:val="21"/>
              </w:rPr>
              <w:t>表4-1  产污系数</w:t>
            </w:r>
          </w:p>
          <w:tbl>
            <w:tblPr>
              <w:tblStyle w:val="25"/>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057"/>
              <w:gridCol w:w="1258"/>
              <w:gridCol w:w="1392"/>
              <w:gridCol w:w="1895"/>
              <w:gridCol w:w="1358"/>
              <w:gridCol w:w="1172"/>
            </w:tblGrid>
            <w:tr w14:paraId="6CAF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3" w:type="dxa"/>
                  <w:vAlign w:val="center"/>
                </w:tcPr>
                <w:p w14:paraId="44A02532">
                  <w:pPr>
                    <w:pStyle w:val="102"/>
                    <w:spacing w:line="240" w:lineRule="auto"/>
                    <w:rPr>
                      <w:b/>
                      <w:bCs/>
                    </w:rPr>
                  </w:pPr>
                  <w:r>
                    <w:rPr>
                      <w:b/>
                      <w:bCs/>
                    </w:rPr>
                    <w:t>产品名称</w:t>
                  </w:r>
                </w:p>
              </w:tc>
              <w:tc>
                <w:tcPr>
                  <w:tcW w:w="1057" w:type="dxa"/>
                  <w:vAlign w:val="center"/>
                </w:tcPr>
                <w:p w14:paraId="0D14DC52">
                  <w:pPr>
                    <w:pStyle w:val="102"/>
                    <w:spacing w:line="240" w:lineRule="auto"/>
                    <w:rPr>
                      <w:b/>
                      <w:bCs/>
                    </w:rPr>
                  </w:pPr>
                  <w:r>
                    <w:rPr>
                      <w:b/>
                      <w:bCs/>
                    </w:rPr>
                    <w:t>原料</w:t>
                  </w:r>
                </w:p>
                <w:p w14:paraId="78E56EB1">
                  <w:pPr>
                    <w:pStyle w:val="102"/>
                    <w:spacing w:line="240" w:lineRule="auto"/>
                    <w:rPr>
                      <w:b/>
                      <w:bCs/>
                    </w:rPr>
                  </w:pPr>
                  <w:r>
                    <w:rPr>
                      <w:b/>
                      <w:bCs/>
                    </w:rPr>
                    <w:t>名称</w:t>
                  </w:r>
                </w:p>
              </w:tc>
              <w:tc>
                <w:tcPr>
                  <w:tcW w:w="1258" w:type="dxa"/>
                  <w:vAlign w:val="center"/>
                </w:tcPr>
                <w:p w14:paraId="15B37D12">
                  <w:pPr>
                    <w:pStyle w:val="102"/>
                    <w:spacing w:line="240" w:lineRule="auto"/>
                    <w:rPr>
                      <w:b/>
                      <w:bCs/>
                    </w:rPr>
                  </w:pPr>
                  <w:r>
                    <w:rPr>
                      <w:b/>
                      <w:bCs/>
                    </w:rPr>
                    <w:t>工艺名称</w:t>
                  </w:r>
                </w:p>
              </w:tc>
              <w:tc>
                <w:tcPr>
                  <w:tcW w:w="1392" w:type="dxa"/>
                  <w:vAlign w:val="center"/>
                </w:tcPr>
                <w:p w14:paraId="40CA3E6F">
                  <w:pPr>
                    <w:pStyle w:val="102"/>
                    <w:spacing w:line="240" w:lineRule="auto"/>
                    <w:rPr>
                      <w:b/>
                      <w:bCs/>
                    </w:rPr>
                  </w:pPr>
                  <w:r>
                    <w:rPr>
                      <w:b/>
                      <w:bCs/>
                    </w:rPr>
                    <w:t>规模等级</w:t>
                  </w:r>
                </w:p>
              </w:tc>
              <w:tc>
                <w:tcPr>
                  <w:tcW w:w="1895" w:type="dxa"/>
                  <w:vAlign w:val="center"/>
                </w:tcPr>
                <w:p w14:paraId="704DD362">
                  <w:pPr>
                    <w:pStyle w:val="102"/>
                    <w:spacing w:line="240" w:lineRule="auto"/>
                    <w:rPr>
                      <w:b/>
                      <w:bCs/>
                    </w:rPr>
                  </w:pPr>
                  <w:r>
                    <w:rPr>
                      <w:b/>
                      <w:bCs/>
                    </w:rPr>
                    <w:t>污染物指标</w:t>
                  </w:r>
                </w:p>
              </w:tc>
              <w:tc>
                <w:tcPr>
                  <w:tcW w:w="1358" w:type="dxa"/>
                  <w:vAlign w:val="center"/>
                </w:tcPr>
                <w:p w14:paraId="60587417">
                  <w:pPr>
                    <w:pStyle w:val="102"/>
                    <w:spacing w:line="240" w:lineRule="auto"/>
                    <w:rPr>
                      <w:b/>
                      <w:bCs/>
                    </w:rPr>
                  </w:pPr>
                  <w:r>
                    <w:rPr>
                      <w:b/>
                      <w:bCs/>
                    </w:rPr>
                    <w:t>单位</w:t>
                  </w:r>
                </w:p>
              </w:tc>
              <w:tc>
                <w:tcPr>
                  <w:tcW w:w="1172" w:type="dxa"/>
                  <w:vAlign w:val="center"/>
                </w:tcPr>
                <w:p w14:paraId="6CB7B56B">
                  <w:pPr>
                    <w:pStyle w:val="102"/>
                    <w:spacing w:line="240" w:lineRule="auto"/>
                    <w:rPr>
                      <w:b/>
                      <w:bCs/>
                    </w:rPr>
                  </w:pPr>
                  <w:r>
                    <w:rPr>
                      <w:b/>
                      <w:bCs/>
                    </w:rPr>
                    <w:t>产物</w:t>
                  </w:r>
                </w:p>
                <w:p w14:paraId="0F79D1A7">
                  <w:pPr>
                    <w:pStyle w:val="102"/>
                    <w:spacing w:line="240" w:lineRule="auto"/>
                    <w:rPr>
                      <w:b/>
                      <w:bCs/>
                    </w:rPr>
                  </w:pPr>
                  <w:r>
                    <w:rPr>
                      <w:b/>
                      <w:bCs/>
                    </w:rPr>
                    <w:t>系数</w:t>
                  </w:r>
                </w:p>
              </w:tc>
            </w:tr>
            <w:tr w14:paraId="100C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3" w:type="dxa"/>
                  <w:vMerge w:val="restart"/>
                  <w:vAlign w:val="center"/>
                </w:tcPr>
                <w:p w14:paraId="0118BA2D">
                  <w:pPr>
                    <w:pStyle w:val="102"/>
                    <w:spacing w:line="240" w:lineRule="auto"/>
                  </w:pPr>
                  <w:r>
                    <w:t>烧结类砖瓦及建筑砌块</w:t>
                  </w:r>
                </w:p>
              </w:tc>
              <w:tc>
                <w:tcPr>
                  <w:tcW w:w="1057" w:type="dxa"/>
                  <w:vMerge w:val="restart"/>
                  <w:vAlign w:val="center"/>
                </w:tcPr>
                <w:p w14:paraId="28DF7144">
                  <w:pPr>
                    <w:pStyle w:val="102"/>
                    <w:spacing w:line="240" w:lineRule="auto"/>
                  </w:pPr>
                  <w:r>
                    <w:t>黏土、页岩、粉煤灰、污泥、渣土等</w:t>
                  </w:r>
                </w:p>
              </w:tc>
              <w:tc>
                <w:tcPr>
                  <w:tcW w:w="1258" w:type="dxa"/>
                  <w:vMerge w:val="restart"/>
                  <w:vAlign w:val="center"/>
                </w:tcPr>
                <w:p w14:paraId="2D1CC151">
                  <w:pPr>
                    <w:pStyle w:val="102"/>
                    <w:spacing w:line="240" w:lineRule="auto"/>
                  </w:pPr>
                  <w:r>
                    <w:t>砖瓦工业焙烧窑炉（单条）（燃煤等）</w:t>
                  </w:r>
                </w:p>
              </w:tc>
              <w:tc>
                <w:tcPr>
                  <w:tcW w:w="1392" w:type="dxa"/>
                  <w:vMerge w:val="restart"/>
                  <w:vAlign w:val="center"/>
                </w:tcPr>
                <w:p w14:paraId="5349AB5B">
                  <w:pPr>
                    <w:pStyle w:val="102"/>
                    <w:spacing w:line="240" w:lineRule="auto"/>
                  </w:pPr>
                  <w:r>
                    <w:t>≥5000万块标砖/年</w:t>
                  </w:r>
                </w:p>
              </w:tc>
              <w:tc>
                <w:tcPr>
                  <w:tcW w:w="1895" w:type="dxa"/>
                  <w:vAlign w:val="center"/>
                </w:tcPr>
                <w:p w14:paraId="2E1FE81E">
                  <w:pPr>
                    <w:pStyle w:val="102"/>
                    <w:spacing w:line="240" w:lineRule="auto"/>
                  </w:pPr>
                  <w:r>
                    <w:t>工业废气量（窑炉）（燃煤等）</w:t>
                  </w:r>
                </w:p>
              </w:tc>
              <w:tc>
                <w:tcPr>
                  <w:tcW w:w="1358" w:type="dxa"/>
                  <w:vAlign w:val="center"/>
                </w:tcPr>
                <w:p w14:paraId="4E621C16">
                  <w:pPr>
                    <w:pStyle w:val="102"/>
                    <w:spacing w:line="240" w:lineRule="auto"/>
                  </w:pPr>
                  <w:r>
                    <w:t>标立方米/万块标砖</w:t>
                  </w:r>
                </w:p>
              </w:tc>
              <w:tc>
                <w:tcPr>
                  <w:tcW w:w="1172" w:type="dxa"/>
                  <w:vAlign w:val="center"/>
                </w:tcPr>
                <w:p w14:paraId="49EDF600">
                  <w:pPr>
                    <w:pStyle w:val="102"/>
                    <w:spacing w:line="240" w:lineRule="auto"/>
                  </w:pPr>
                  <w:r>
                    <w:t>42980</w:t>
                  </w:r>
                </w:p>
              </w:tc>
            </w:tr>
            <w:tr w14:paraId="41DF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3" w:type="dxa"/>
                  <w:vMerge w:val="continue"/>
                  <w:vAlign w:val="center"/>
                </w:tcPr>
                <w:p w14:paraId="3D307039">
                  <w:pPr>
                    <w:pStyle w:val="102"/>
                    <w:spacing w:line="240" w:lineRule="auto"/>
                  </w:pPr>
                </w:p>
              </w:tc>
              <w:tc>
                <w:tcPr>
                  <w:tcW w:w="1057" w:type="dxa"/>
                  <w:vMerge w:val="continue"/>
                  <w:vAlign w:val="center"/>
                </w:tcPr>
                <w:p w14:paraId="6FA56A71">
                  <w:pPr>
                    <w:pStyle w:val="102"/>
                    <w:spacing w:line="240" w:lineRule="auto"/>
                  </w:pPr>
                </w:p>
              </w:tc>
              <w:tc>
                <w:tcPr>
                  <w:tcW w:w="1258" w:type="dxa"/>
                  <w:vMerge w:val="continue"/>
                  <w:vAlign w:val="center"/>
                </w:tcPr>
                <w:p w14:paraId="749C59EB">
                  <w:pPr>
                    <w:pStyle w:val="102"/>
                    <w:spacing w:line="240" w:lineRule="auto"/>
                  </w:pPr>
                </w:p>
              </w:tc>
              <w:tc>
                <w:tcPr>
                  <w:tcW w:w="1392" w:type="dxa"/>
                  <w:vMerge w:val="continue"/>
                  <w:vAlign w:val="center"/>
                </w:tcPr>
                <w:p w14:paraId="3B13CB6A">
                  <w:pPr>
                    <w:pStyle w:val="102"/>
                    <w:spacing w:line="240" w:lineRule="auto"/>
                  </w:pPr>
                </w:p>
              </w:tc>
              <w:tc>
                <w:tcPr>
                  <w:tcW w:w="1895" w:type="dxa"/>
                  <w:vAlign w:val="center"/>
                </w:tcPr>
                <w:p w14:paraId="2FF08D29">
                  <w:pPr>
                    <w:pStyle w:val="102"/>
                    <w:spacing w:line="240" w:lineRule="auto"/>
                  </w:pPr>
                  <w:r>
                    <w:t>颗粒物（窑炉）（燃煤等）</w:t>
                  </w:r>
                </w:p>
              </w:tc>
              <w:tc>
                <w:tcPr>
                  <w:tcW w:w="1358" w:type="dxa"/>
                  <w:vAlign w:val="center"/>
                </w:tcPr>
                <w:p w14:paraId="65A23C04">
                  <w:pPr>
                    <w:pStyle w:val="102"/>
                    <w:spacing w:line="240" w:lineRule="auto"/>
                  </w:pPr>
                  <w:r>
                    <w:t>千克/万块标砖</w:t>
                  </w:r>
                </w:p>
              </w:tc>
              <w:tc>
                <w:tcPr>
                  <w:tcW w:w="1172" w:type="dxa"/>
                  <w:vAlign w:val="center"/>
                </w:tcPr>
                <w:p w14:paraId="25D12FD8">
                  <w:pPr>
                    <w:pStyle w:val="102"/>
                    <w:spacing w:line="240" w:lineRule="auto"/>
                  </w:pPr>
                  <w:r>
                    <w:t>4.73</w:t>
                  </w:r>
                </w:p>
              </w:tc>
            </w:tr>
            <w:tr w14:paraId="3DF9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3" w:type="dxa"/>
                  <w:vMerge w:val="continue"/>
                  <w:vAlign w:val="center"/>
                </w:tcPr>
                <w:p w14:paraId="48B760E4">
                  <w:pPr>
                    <w:pStyle w:val="102"/>
                    <w:spacing w:line="240" w:lineRule="auto"/>
                  </w:pPr>
                </w:p>
              </w:tc>
              <w:tc>
                <w:tcPr>
                  <w:tcW w:w="1057" w:type="dxa"/>
                  <w:vMerge w:val="continue"/>
                  <w:vAlign w:val="center"/>
                </w:tcPr>
                <w:p w14:paraId="5EFCFDD4">
                  <w:pPr>
                    <w:pStyle w:val="102"/>
                    <w:spacing w:line="240" w:lineRule="auto"/>
                  </w:pPr>
                </w:p>
              </w:tc>
              <w:tc>
                <w:tcPr>
                  <w:tcW w:w="1258" w:type="dxa"/>
                  <w:vMerge w:val="continue"/>
                  <w:vAlign w:val="center"/>
                </w:tcPr>
                <w:p w14:paraId="4635A495">
                  <w:pPr>
                    <w:pStyle w:val="102"/>
                    <w:spacing w:line="240" w:lineRule="auto"/>
                  </w:pPr>
                </w:p>
              </w:tc>
              <w:tc>
                <w:tcPr>
                  <w:tcW w:w="1392" w:type="dxa"/>
                  <w:vMerge w:val="continue"/>
                  <w:vAlign w:val="center"/>
                </w:tcPr>
                <w:p w14:paraId="3F674342">
                  <w:pPr>
                    <w:pStyle w:val="102"/>
                    <w:spacing w:line="240" w:lineRule="auto"/>
                  </w:pPr>
                </w:p>
              </w:tc>
              <w:tc>
                <w:tcPr>
                  <w:tcW w:w="1895" w:type="dxa"/>
                  <w:vAlign w:val="center"/>
                </w:tcPr>
                <w:p w14:paraId="0AFC3812">
                  <w:pPr>
                    <w:pStyle w:val="102"/>
                    <w:spacing w:line="240" w:lineRule="auto"/>
                  </w:pPr>
                  <w:r>
                    <w:t>二氧化硫（窑炉）（燃煤等）</w:t>
                  </w:r>
                </w:p>
              </w:tc>
              <w:tc>
                <w:tcPr>
                  <w:tcW w:w="1358" w:type="dxa"/>
                  <w:vAlign w:val="center"/>
                </w:tcPr>
                <w:p w14:paraId="12A70B3F">
                  <w:pPr>
                    <w:pStyle w:val="102"/>
                    <w:spacing w:line="240" w:lineRule="auto"/>
                  </w:pPr>
                  <w:r>
                    <w:t>千克/万块标砖</w:t>
                  </w:r>
                </w:p>
              </w:tc>
              <w:tc>
                <w:tcPr>
                  <w:tcW w:w="1172" w:type="dxa"/>
                  <w:vAlign w:val="center"/>
                </w:tcPr>
                <w:p w14:paraId="4653CF86">
                  <w:pPr>
                    <w:pStyle w:val="102"/>
                    <w:spacing w:line="240" w:lineRule="auto"/>
                  </w:pPr>
                  <w:r>
                    <w:t>14.8</w:t>
                  </w:r>
                </w:p>
              </w:tc>
            </w:tr>
            <w:tr w14:paraId="6B2B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3" w:type="dxa"/>
                  <w:vMerge w:val="continue"/>
                  <w:vAlign w:val="center"/>
                </w:tcPr>
                <w:p w14:paraId="1E765EC5">
                  <w:pPr>
                    <w:pStyle w:val="102"/>
                    <w:spacing w:line="240" w:lineRule="auto"/>
                  </w:pPr>
                </w:p>
              </w:tc>
              <w:tc>
                <w:tcPr>
                  <w:tcW w:w="1057" w:type="dxa"/>
                  <w:vMerge w:val="continue"/>
                  <w:vAlign w:val="center"/>
                </w:tcPr>
                <w:p w14:paraId="0799BF37">
                  <w:pPr>
                    <w:pStyle w:val="102"/>
                    <w:spacing w:line="240" w:lineRule="auto"/>
                  </w:pPr>
                </w:p>
              </w:tc>
              <w:tc>
                <w:tcPr>
                  <w:tcW w:w="1258" w:type="dxa"/>
                  <w:vMerge w:val="continue"/>
                  <w:vAlign w:val="center"/>
                </w:tcPr>
                <w:p w14:paraId="64DFB21F">
                  <w:pPr>
                    <w:pStyle w:val="102"/>
                    <w:spacing w:line="240" w:lineRule="auto"/>
                  </w:pPr>
                </w:p>
              </w:tc>
              <w:tc>
                <w:tcPr>
                  <w:tcW w:w="1392" w:type="dxa"/>
                  <w:vMerge w:val="continue"/>
                  <w:vAlign w:val="center"/>
                </w:tcPr>
                <w:p w14:paraId="22D7E0FC">
                  <w:pPr>
                    <w:pStyle w:val="102"/>
                    <w:spacing w:line="240" w:lineRule="auto"/>
                  </w:pPr>
                </w:p>
              </w:tc>
              <w:tc>
                <w:tcPr>
                  <w:tcW w:w="1895" w:type="dxa"/>
                  <w:vAlign w:val="center"/>
                </w:tcPr>
                <w:p w14:paraId="720002A9">
                  <w:pPr>
                    <w:pStyle w:val="102"/>
                    <w:spacing w:line="240" w:lineRule="auto"/>
                  </w:pPr>
                  <w:r>
                    <w:t>氮氧化物（窑炉）（燃煤等）</w:t>
                  </w:r>
                </w:p>
              </w:tc>
              <w:tc>
                <w:tcPr>
                  <w:tcW w:w="1358" w:type="dxa"/>
                  <w:vAlign w:val="center"/>
                </w:tcPr>
                <w:p w14:paraId="2826625A">
                  <w:pPr>
                    <w:pStyle w:val="102"/>
                    <w:spacing w:line="240" w:lineRule="auto"/>
                  </w:pPr>
                  <w:r>
                    <w:t>千克/万块标砖</w:t>
                  </w:r>
                </w:p>
              </w:tc>
              <w:tc>
                <w:tcPr>
                  <w:tcW w:w="1172" w:type="dxa"/>
                  <w:vAlign w:val="center"/>
                </w:tcPr>
                <w:p w14:paraId="6C41735E">
                  <w:pPr>
                    <w:pStyle w:val="102"/>
                    <w:spacing w:line="240" w:lineRule="auto"/>
                  </w:pPr>
                  <w:r>
                    <w:t>1.66</w:t>
                  </w:r>
                </w:p>
              </w:tc>
            </w:tr>
          </w:tbl>
          <w:p w14:paraId="116D63FE">
            <w:pPr>
              <w:pStyle w:val="12"/>
              <w:spacing w:after="0" w:line="360" w:lineRule="auto"/>
              <w:ind w:left="0" w:leftChars="0" w:firstLine="482" w:firstLineChars="200"/>
              <w:rPr>
                <w:b/>
                <w:szCs w:val="24"/>
              </w:rPr>
            </w:pPr>
            <w:r>
              <w:rPr>
                <w:b/>
                <w:szCs w:val="24"/>
              </w:rPr>
              <w:t>A、废气量产生源强</w:t>
            </w:r>
          </w:p>
          <w:p w14:paraId="6EE19EB4">
            <w:pPr>
              <w:pStyle w:val="12"/>
              <w:spacing w:after="0" w:line="360" w:lineRule="auto"/>
              <w:ind w:left="0" w:leftChars="0" w:firstLine="480" w:firstLineChars="200"/>
              <w:rPr>
                <w:szCs w:val="24"/>
              </w:rPr>
            </w:pPr>
            <w:r>
              <w:rPr>
                <w:szCs w:val="24"/>
              </w:rPr>
              <w:t>根据产排污系数计算得出，项目工业废气量为38682万m</w:t>
            </w:r>
            <w:r>
              <w:rPr>
                <w:szCs w:val="24"/>
                <w:vertAlign w:val="superscript"/>
              </w:rPr>
              <w:t>3</w:t>
            </w:r>
            <w:r>
              <w:rPr>
                <w:szCs w:val="24"/>
              </w:rPr>
              <w:t>/a。</w:t>
            </w:r>
          </w:p>
          <w:p w14:paraId="0B0C34A4">
            <w:pPr>
              <w:pStyle w:val="12"/>
              <w:spacing w:after="0" w:line="360" w:lineRule="auto"/>
              <w:ind w:left="0" w:leftChars="0" w:firstLine="482" w:firstLineChars="200"/>
              <w:rPr>
                <w:b/>
                <w:szCs w:val="24"/>
              </w:rPr>
            </w:pPr>
            <w:r>
              <w:rPr>
                <w:b/>
                <w:szCs w:val="24"/>
              </w:rPr>
              <w:t>B、颗粒物产生源强</w:t>
            </w:r>
          </w:p>
          <w:p w14:paraId="6AFC095B">
            <w:pPr>
              <w:pStyle w:val="12"/>
              <w:spacing w:after="0" w:line="360" w:lineRule="auto"/>
              <w:ind w:left="0" w:leftChars="0" w:firstLine="480" w:firstLineChars="200"/>
              <w:rPr>
                <w:szCs w:val="24"/>
              </w:rPr>
            </w:pPr>
            <w:r>
              <w:rPr>
                <w:szCs w:val="24"/>
              </w:rPr>
              <w:t>根据产排污系数计算得出，项目颗粒物产生量为42.57t/a。</w:t>
            </w:r>
          </w:p>
          <w:p w14:paraId="74F1298C">
            <w:pPr>
              <w:pStyle w:val="12"/>
              <w:spacing w:after="0" w:line="360" w:lineRule="auto"/>
              <w:ind w:left="0" w:leftChars="0" w:firstLine="482" w:firstLineChars="200"/>
              <w:rPr>
                <w:b/>
                <w:szCs w:val="24"/>
              </w:rPr>
            </w:pPr>
            <w:r>
              <w:rPr>
                <w:b/>
                <w:szCs w:val="24"/>
              </w:rPr>
              <w:t>C、SO</w:t>
            </w:r>
            <w:r>
              <w:rPr>
                <w:b/>
                <w:szCs w:val="24"/>
                <w:vertAlign w:val="subscript"/>
              </w:rPr>
              <w:t>2</w:t>
            </w:r>
            <w:r>
              <w:rPr>
                <w:b/>
                <w:szCs w:val="24"/>
              </w:rPr>
              <w:t>产生源强</w:t>
            </w:r>
          </w:p>
          <w:p w14:paraId="19B96A55">
            <w:pPr>
              <w:pStyle w:val="12"/>
              <w:spacing w:after="0" w:line="360" w:lineRule="auto"/>
              <w:ind w:left="0" w:leftChars="0" w:firstLine="480" w:firstLineChars="200"/>
              <w:rPr>
                <w:szCs w:val="24"/>
              </w:rPr>
            </w:pPr>
            <w:r>
              <w:rPr>
                <w:szCs w:val="24"/>
              </w:rPr>
              <w:t>根据产排污系数计算得出，项目SO</w:t>
            </w:r>
            <w:r>
              <w:rPr>
                <w:szCs w:val="24"/>
                <w:vertAlign w:val="subscript"/>
              </w:rPr>
              <w:t>2</w:t>
            </w:r>
            <w:r>
              <w:rPr>
                <w:szCs w:val="24"/>
              </w:rPr>
              <w:t>产生量为133.20t/a。</w:t>
            </w:r>
          </w:p>
          <w:p w14:paraId="4367B47F">
            <w:pPr>
              <w:pStyle w:val="12"/>
              <w:spacing w:after="0" w:line="360" w:lineRule="auto"/>
              <w:ind w:left="0" w:leftChars="0" w:firstLine="482" w:firstLineChars="200"/>
              <w:rPr>
                <w:b/>
                <w:szCs w:val="24"/>
              </w:rPr>
            </w:pPr>
            <w:r>
              <w:rPr>
                <w:b/>
                <w:szCs w:val="24"/>
              </w:rPr>
              <w:t>D、NO</w:t>
            </w:r>
            <w:r>
              <w:rPr>
                <w:b/>
                <w:szCs w:val="24"/>
                <w:vertAlign w:val="subscript"/>
              </w:rPr>
              <w:t>X</w:t>
            </w:r>
            <w:r>
              <w:rPr>
                <w:b/>
                <w:szCs w:val="24"/>
              </w:rPr>
              <w:t>产生源强</w:t>
            </w:r>
          </w:p>
          <w:p w14:paraId="6D7CC037">
            <w:pPr>
              <w:pStyle w:val="12"/>
              <w:spacing w:after="0" w:line="360" w:lineRule="auto"/>
              <w:ind w:left="0" w:leftChars="0" w:firstLine="480" w:firstLineChars="200"/>
              <w:rPr>
                <w:szCs w:val="24"/>
              </w:rPr>
            </w:pPr>
            <w:r>
              <w:rPr>
                <w:szCs w:val="24"/>
              </w:rPr>
              <w:t>根据产排污系数计算得出，项目NO</w:t>
            </w:r>
            <w:r>
              <w:rPr>
                <w:szCs w:val="24"/>
                <w:vertAlign w:val="subscript"/>
              </w:rPr>
              <w:t>X</w:t>
            </w:r>
            <w:r>
              <w:rPr>
                <w:szCs w:val="24"/>
              </w:rPr>
              <w:t>产生量为14.94t/a。</w:t>
            </w:r>
          </w:p>
          <w:p w14:paraId="4C8925B4">
            <w:pPr>
              <w:pStyle w:val="12"/>
              <w:spacing w:after="0" w:line="360" w:lineRule="auto"/>
              <w:ind w:left="0" w:leftChars="0" w:firstLine="482" w:firstLineChars="200"/>
              <w:rPr>
                <w:b/>
                <w:szCs w:val="24"/>
              </w:rPr>
            </w:pPr>
            <w:r>
              <w:rPr>
                <w:b/>
                <w:szCs w:val="24"/>
              </w:rPr>
              <w:t>F、氟化物产生源强</w:t>
            </w:r>
          </w:p>
          <w:p w14:paraId="09B60B23">
            <w:pPr>
              <w:adjustRightInd w:val="0"/>
              <w:snapToGrid w:val="0"/>
              <w:spacing w:line="360" w:lineRule="auto"/>
              <w:ind w:firstLine="480" w:firstLineChars="200"/>
              <w:jc w:val="left"/>
              <w:rPr>
                <w:sz w:val="24"/>
              </w:rPr>
            </w:pPr>
            <w:r>
              <w:rPr>
                <w:sz w:val="24"/>
              </w:rPr>
              <w:t>根据《我国砖瓦厂氟化物的排放及其污染治理研究进展》（刘咏，四川师范大学化学学院，四川环境 2003 第 22 卷第 5 期），氟化物经验公式如下：</w:t>
            </w:r>
          </w:p>
          <w:p w14:paraId="2AC47A58">
            <w:pPr>
              <w:adjustRightInd w:val="0"/>
              <w:snapToGrid w:val="0"/>
              <w:spacing w:line="360" w:lineRule="auto"/>
              <w:ind w:firstLine="480" w:firstLineChars="200"/>
              <w:jc w:val="left"/>
              <w:rPr>
                <w:sz w:val="24"/>
              </w:rPr>
            </w:pPr>
            <w:r>
              <w:rPr>
                <w:sz w:val="24"/>
              </w:rPr>
              <w:t>G f =54.3%×B×Fy</w:t>
            </w:r>
          </w:p>
          <w:p w14:paraId="2F9DE27D">
            <w:pPr>
              <w:adjustRightInd w:val="0"/>
              <w:snapToGrid w:val="0"/>
              <w:spacing w:line="360" w:lineRule="auto"/>
              <w:ind w:firstLine="480" w:firstLineChars="200"/>
              <w:jc w:val="left"/>
              <w:rPr>
                <w:sz w:val="24"/>
              </w:rPr>
            </w:pPr>
            <w:r>
              <w:rPr>
                <w:sz w:val="24"/>
              </w:rPr>
              <w:t>式中：</w:t>
            </w:r>
          </w:p>
          <w:p w14:paraId="53E7AA43">
            <w:pPr>
              <w:adjustRightInd w:val="0"/>
              <w:snapToGrid w:val="0"/>
              <w:spacing w:line="360" w:lineRule="auto"/>
              <w:ind w:firstLine="480" w:firstLineChars="200"/>
              <w:jc w:val="left"/>
              <w:rPr>
                <w:sz w:val="24"/>
              </w:rPr>
            </w:pPr>
            <w:r>
              <w:rPr>
                <w:sz w:val="24"/>
              </w:rPr>
              <w:t>G f 为氟化物产生量，t/a；</w:t>
            </w:r>
          </w:p>
          <w:p w14:paraId="0A94F7D4">
            <w:pPr>
              <w:adjustRightInd w:val="0"/>
              <w:snapToGrid w:val="0"/>
              <w:spacing w:line="360" w:lineRule="auto"/>
              <w:ind w:firstLine="480" w:firstLineChars="200"/>
              <w:jc w:val="left"/>
              <w:rPr>
                <w:sz w:val="24"/>
              </w:rPr>
            </w:pPr>
            <w:r>
              <w:rPr>
                <w:sz w:val="24"/>
              </w:rPr>
              <w:t>54.3%为氟化物平均释放量；</w:t>
            </w:r>
          </w:p>
          <w:p w14:paraId="5A511AD1">
            <w:pPr>
              <w:adjustRightInd w:val="0"/>
              <w:snapToGrid w:val="0"/>
              <w:spacing w:line="360" w:lineRule="auto"/>
              <w:ind w:firstLine="480" w:firstLineChars="200"/>
              <w:jc w:val="left"/>
              <w:rPr>
                <w:sz w:val="24"/>
              </w:rPr>
            </w:pPr>
            <w:r>
              <w:rPr>
                <w:sz w:val="24"/>
              </w:rPr>
              <w:t>B 为页岩耗量，10万t/a</w:t>
            </w:r>
          </w:p>
          <w:p w14:paraId="20D20E01">
            <w:pPr>
              <w:adjustRightInd w:val="0"/>
              <w:snapToGrid w:val="0"/>
              <w:spacing w:line="360" w:lineRule="auto"/>
              <w:ind w:firstLine="480" w:firstLineChars="200"/>
              <w:jc w:val="left"/>
              <w:rPr>
                <w:sz w:val="24"/>
              </w:rPr>
            </w:pPr>
            <w:r>
              <w:rPr>
                <w:sz w:val="24"/>
              </w:rPr>
              <w:t>Fy 为页岩含氟量，0.002%。</w:t>
            </w:r>
          </w:p>
          <w:p w14:paraId="1AF88678">
            <w:pPr>
              <w:adjustRightInd w:val="0"/>
              <w:snapToGrid w:val="0"/>
              <w:spacing w:line="360" w:lineRule="auto"/>
              <w:ind w:firstLine="480" w:firstLineChars="200"/>
              <w:jc w:val="left"/>
              <w:rPr>
                <w:sz w:val="24"/>
              </w:rPr>
            </w:pPr>
            <w:r>
              <w:rPr>
                <w:sz w:val="24"/>
              </w:rPr>
              <w:t>经计算，氟化物产生量为1.086t/a，产生速率为 0.226kg/h。</w:t>
            </w:r>
          </w:p>
          <w:p w14:paraId="71AE1D45">
            <w:pPr>
              <w:adjustRightInd w:val="0"/>
              <w:snapToGrid w:val="0"/>
              <w:spacing w:line="360" w:lineRule="auto"/>
              <w:ind w:firstLine="482" w:firstLineChars="200"/>
              <w:jc w:val="left"/>
              <w:rPr>
                <w:b/>
                <w:sz w:val="24"/>
              </w:rPr>
            </w:pPr>
            <w:r>
              <w:rPr>
                <w:rFonts w:hint="eastAsia" w:ascii="宋体" w:hAnsi="宋体" w:cs="宋体"/>
                <w:b/>
                <w:sz w:val="24"/>
              </w:rPr>
              <w:t>②</w:t>
            </w:r>
            <w:r>
              <w:rPr>
                <w:b/>
                <w:sz w:val="24"/>
              </w:rPr>
              <w:t>污染物处置措施及可行性</w:t>
            </w:r>
          </w:p>
          <w:p w14:paraId="08DAC049">
            <w:pPr>
              <w:adjustRightInd w:val="0"/>
              <w:snapToGrid w:val="0"/>
              <w:spacing w:line="360" w:lineRule="auto"/>
              <w:ind w:firstLine="480" w:firstLineChars="200"/>
              <w:jc w:val="left"/>
              <w:rPr>
                <w:sz w:val="24"/>
              </w:rPr>
            </w:pPr>
            <w:r>
              <w:rPr>
                <w:sz w:val="24"/>
              </w:rPr>
              <w:t>根据《大气污染防治行动计划》，项目必须采取措施对烟气污染物进行治理，同时， 根据《排污许可证申请与核发技术规范 陶瓷砖瓦工业》（HJ954-2018），脱硫设施可用（干法脱硫设施、半干法脱硫设施、湿法脱硫设施），除尘设施可采用（静电除尘器， 袋式除尘器、电袋符合除尘器、湿式除尘器），本项目脱硫设施采用钠钙双碱湿法脱硫设施，破碎筛分粉尘采用袋式除尘器，符合《大气污染防治行动计划》与《排污许可证申请与核发技术规范 陶瓷砖瓦工业》（HJ954-2018）要求。</w:t>
            </w:r>
          </w:p>
          <w:p w14:paraId="36848C99">
            <w:pPr>
              <w:adjustRightInd w:val="0"/>
              <w:snapToGrid w:val="0"/>
              <w:spacing w:line="360" w:lineRule="auto"/>
              <w:ind w:firstLine="480" w:firstLineChars="200"/>
              <w:jc w:val="left"/>
              <w:rPr>
                <w:sz w:val="24"/>
              </w:rPr>
            </w:pPr>
            <w:r>
              <w:rPr>
                <w:sz w:val="24"/>
              </w:rPr>
              <w:t>本项目采用“双碱法脱硫除尘装置”对焙烧废气进行处理，符合《大气污染防治行动计划》与《排污许可证申请与核发技术规范 陶瓷砖瓦工业》（HJ954-2018）中要求，为可行技术。脱硫效率为85%，除尘效率为95%。</w:t>
            </w:r>
          </w:p>
          <w:p w14:paraId="2A9D3AED"/>
          <w:p w14:paraId="36E48396">
            <w:pPr>
              <w:adjustRightInd w:val="0"/>
              <w:snapToGrid w:val="0"/>
              <w:spacing w:line="360" w:lineRule="auto"/>
              <w:ind w:firstLine="482" w:firstLineChars="200"/>
              <w:jc w:val="left"/>
              <w:rPr>
                <w:b/>
                <w:sz w:val="24"/>
              </w:rPr>
            </w:pPr>
            <w:r>
              <w:rPr>
                <w:rFonts w:hint="eastAsia" w:ascii="宋体" w:hAnsi="宋体" w:cs="宋体"/>
                <w:b/>
                <w:sz w:val="24"/>
              </w:rPr>
              <w:t>③</w:t>
            </w:r>
            <w:r>
              <w:rPr>
                <w:b/>
                <w:sz w:val="24"/>
              </w:rPr>
              <w:t>污染物排放量核算</w:t>
            </w:r>
          </w:p>
          <w:p w14:paraId="0D036D4C">
            <w:pPr>
              <w:adjustRightInd w:val="0"/>
              <w:snapToGrid w:val="0"/>
              <w:spacing w:line="360" w:lineRule="auto"/>
              <w:ind w:firstLine="480" w:firstLineChars="200"/>
              <w:jc w:val="left"/>
              <w:rPr>
                <w:bCs/>
                <w:sz w:val="24"/>
              </w:rPr>
            </w:pPr>
            <w:r>
              <w:rPr>
                <w:bCs/>
                <w:sz w:val="24"/>
              </w:rPr>
              <w:t>综上，颗粒物排放量为2.129t/a，0.443kg/h，5.5mg/m</w:t>
            </w:r>
            <w:r>
              <w:rPr>
                <w:bCs/>
                <w:sz w:val="24"/>
                <w:vertAlign w:val="superscript"/>
              </w:rPr>
              <w:t>3</w:t>
            </w:r>
            <w:r>
              <w:rPr>
                <w:bCs/>
                <w:sz w:val="24"/>
              </w:rPr>
              <w:t>；</w:t>
            </w:r>
          </w:p>
          <w:p w14:paraId="5D4BA99F">
            <w:pPr>
              <w:adjustRightInd w:val="0"/>
              <w:snapToGrid w:val="0"/>
              <w:spacing w:line="360" w:lineRule="auto"/>
              <w:ind w:firstLine="480" w:firstLineChars="200"/>
              <w:jc w:val="left"/>
              <w:rPr>
                <w:bCs/>
                <w:sz w:val="24"/>
              </w:rPr>
            </w:pPr>
            <w:r>
              <w:rPr>
                <w:bCs/>
                <w:sz w:val="24"/>
              </w:rPr>
              <w:t>二氧化硫排放量为19.98t/a，4.163kg/h，51.65mg/m</w:t>
            </w:r>
            <w:r>
              <w:rPr>
                <w:bCs/>
                <w:sz w:val="24"/>
                <w:vertAlign w:val="superscript"/>
              </w:rPr>
              <w:t>3</w:t>
            </w:r>
            <w:r>
              <w:rPr>
                <w:bCs/>
                <w:sz w:val="24"/>
              </w:rPr>
              <w:t>；</w:t>
            </w:r>
          </w:p>
          <w:p w14:paraId="379A5669">
            <w:pPr>
              <w:adjustRightInd w:val="0"/>
              <w:snapToGrid w:val="0"/>
              <w:spacing w:line="360" w:lineRule="auto"/>
              <w:ind w:firstLine="480" w:firstLineChars="200"/>
              <w:jc w:val="left"/>
              <w:rPr>
                <w:bCs/>
                <w:sz w:val="24"/>
              </w:rPr>
            </w:pPr>
            <w:r>
              <w:rPr>
                <w:bCs/>
                <w:sz w:val="24"/>
              </w:rPr>
              <w:t>氮氧化物排放量为14.94t/a，3.113kg/h，38.62mg/m</w:t>
            </w:r>
            <w:r>
              <w:rPr>
                <w:bCs/>
                <w:sz w:val="24"/>
                <w:vertAlign w:val="superscript"/>
              </w:rPr>
              <w:t>3</w:t>
            </w:r>
            <w:r>
              <w:rPr>
                <w:bCs/>
                <w:sz w:val="24"/>
              </w:rPr>
              <w:t>；</w:t>
            </w:r>
          </w:p>
          <w:p w14:paraId="3A1B5EE4">
            <w:pPr>
              <w:adjustRightInd w:val="0"/>
              <w:snapToGrid w:val="0"/>
              <w:spacing w:line="360" w:lineRule="auto"/>
              <w:ind w:firstLine="480" w:firstLineChars="200"/>
              <w:jc w:val="left"/>
              <w:rPr>
                <w:bCs/>
                <w:sz w:val="24"/>
              </w:rPr>
            </w:pPr>
            <w:r>
              <w:rPr>
                <w:bCs/>
                <w:sz w:val="24"/>
              </w:rPr>
              <w:t>氟化物排放量为1.086t/a，0.226kg/h，2.81mg/m</w:t>
            </w:r>
            <w:r>
              <w:rPr>
                <w:bCs/>
                <w:sz w:val="24"/>
                <w:vertAlign w:val="superscript"/>
              </w:rPr>
              <w:t>3</w:t>
            </w:r>
            <w:r>
              <w:rPr>
                <w:bCs/>
                <w:sz w:val="24"/>
              </w:rPr>
              <w:t>；</w:t>
            </w:r>
          </w:p>
          <w:p w14:paraId="3841D0B0">
            <w:pPr>
              <w:adjustRightInd w:val="0"/>
              <w:snapToGrid w:val="0"/>
              <w:spacing w:line="360" w:lineRule="auto"/>
              <w:ind w:firstLine="482" w:firstLineChars="200"/>
              <w:rPr>
                <w:b/>
                <w:sz w:val="24"/>
              </w:rPr>
            </w:pPr>
            <w:r>
              <w:rPr>
                <w:b/>
                <w:sz w:val="24"/>
              </w:rPr>
              <w:t>（2）食堂油烟排放分析</w:t>
            </w:r>
          </w:p>
          <w:p w14:paraId="62885773">
            <w:pPr>
              <w:pStyle w:val="70"/>
              <w:spacing w:line="360" w:lineRule="auto"/>
              <w:ind w:firstLine="480" w:firstLineChars="200"/>
              <w:rPr>
                <w:sz w:val="24"/>
                <w:szCs w:val="24"/>
              </w:rPr>
            </w:pPr>
            <w:r>
              <w:rPr>
                <w:sz w:val="24"/>
                <w:szCs w:val="24"/>
              </w:rPr>
              <w:t>本项目就餐员工共计10人，按平衡膳食推荐的以每人每天食用30g食用油计算，则用油量为0.008kg/d。</w:t>
            </w:r>
          </w:p>
          <w:p w14:paraId="41A057CD">
            <w:pPr>
              <w:pStyle w:val="70"/>
              <w:spacing w:line="360" w:lineRule="auto"/>
              <w:ind w:firstLine="480" w:firstLineChars="200"/>
              <w:rPr>
                <w:sz w:val="24"/>
                <w:szCs w:val="24"/>
              </w:rPr>
            </w:pPr>
            <w:r>
              <w:rPr>
                <w:sz w:val="24"/>
                <w:szCs w:val="24"/>
              </w:rPr>
              <w:t>据类比调查，不同的烧炸工况，油烟气中烟气浓度及挥发量均有所不同，油的平均挥发量为总耗油量的2.83%，经计算，本项目食堂产生油烟量约为0.008kg/d，0.0024t/a，高峰时段以4小时计，则食堂产生油烟量约为0.002kg/h。</w:t>
            </w:r>
          </w:p>
          <w:p w14:paraId="55B16B84">
            <w:pPr>
              <w:pStyle w:val="76"/>
              <w:adjustRightInd w:val="0"/>
              <w:snapToGrid w:val="0"/>
              <w:rPr>
                <w:rFonts w:hAnsi="Times New Roman"/>
              </w:rPr>
            </w:pPr>
            <w:r>
              <w:rPr>
                <w:rFonts w:hAnsi="Times New Roman"/>
              </w:rPr>
              <w:t>项目在灶台上方设置一台小型油烟净化器（风量为1000m</w:t>
            </w:r>
            <w:r>
              <w:rPr>
                <w:rFonts w:hAnsi="Times New Roman"/>
                <w:vertAlign w:val="superscript"/>
              </w:rPr>
              <w:t>3</w:t>
            </w:r>
            <w:r>
              <w:rPr>
                <w:rFonts w:hAnsi="Times New Roman"/>
              </w:rPr>
              <w:t>/h，净化效率60%）对油烟进行处理，处理后食堂油烟排放量为0.001t/a（0.0004kg/h），排放浓度为0.8mg/m</w:t>
            </w:r>
            <w:r>
              <w:rPr>
                <w:rFonts w:hAnsi="Times New Roman"/>
                <w:vertAlign w:val="superscript"/>
              </w:rPr>
              <w:t>3</w:t>
            </w:r>
            <w:r>
              <w:rPr>
                <w:rFonts w:hAnsi="Times New Roman"/>
              </w:rPr>
              <w:t>。能满足GB18483-2001《饮食业油烟排放标准》油烟最高允许排放浓度2mg/m</w:t>
            </w:r>
            <w:r>
              <w:rPr>
                <w:rFonts w:hAnsi="Times New Roman"/>
                <w:vertAlign w:val="superscript"/>
              </w:rPr>
              <w:t>3</w:t>
            </w:r>
            <w:r>
              <w:rPr>
                <w:rFonts w:hAnsi="Times New Roman"/>
              </w:rPr>
              <w:t>。对周边环境影响较小。</w:t>
            </w:r>
          </w:p>
          <w:p w14:paraId="5B14CD4A">
            <w:pPr>
              <w:spacing w:line="360" w:lineRule="auto"/>
              <w:ind w:firstLine="482" w:firstLineChars="200"/>
              <w:rPr>
                <w:b/>
                <w:sz w:val="24"/>
              </w:rPr>
            </w:pPr>
            <w:r>
              <w:rPr>
                <w:b/>
                <w:sz w:val="24"/>
              </w:rPr>
              <w:t>1.1.2、无组织废气核算</w:t>
            </w:r>
          </w:p>
          <w:p w14:paraId="085733C2">
            <w:pPr>
              <w:spacing w:line="360" w:lineRule="auto"/>
              <w:ind w:firstLine="482" w:firstLineChars="200"/>
              <w:rPr>
                <w:b/>
                <w:sz w:val="24"/>
              </w:rPr>
            </w:pPr>
            <w:r>
              <w:rPr>
                <w:b/>
                <w:sz w:val="24"/>
              </w:rPr>
              <w:t>（1）破碎筛分无组织废气</w:t>
            </w:r>
          </w:p>
          <w:p w14:paraId="14D8C229">
            <w:pPr>
              <w:pStyle w:val="76"/>
              <w:rPr>
                <w:rFonts w:hAnsi="Times New Roman"/>
              </w:rPr>
            </w:pPr>
            <w:r>
              <w:rPr>
                <w:rFonts w:hAnsi="Times New Roman"/>
              </w:rPr>
              <w:t>项目进行破碎、筛分工序时会有粉尘产生，建设单位拟在产尘点设置集气罩对粉尘进行收集，后引入布袋除尘器进行处理。除尘系统废气引风机总引风量10000m</w:t>
            </w:r>
            <w:r>
              <w:rPr>
                <w:rFonts w:hAnsi="Times New Roman"/>
                <w:vertAlign w:val="superscript"/>
              </w:rPr>
              <w:t>3</w:t>
            </w:r>
            <w:r>
              <w:rPr>
                <w:rFonts w:hAnsi="Times New Roman"/>
              </w:rPr>
              <w:t>/h，参照</w:t>
            </w:r>
            <w:r>
              <w:fldChar w:fldCharType="begin"/>
            </w:r>
            <w:r>
              <w:instrText xml:space="preserve"> HYPERLINK "https://www.eia543.com/documents/07%E5%B7%A5%E4%B8%9A%E6%B1%A1%E6%9F%93%E6%BA%90%E9%98%B2%E6%B2%BB/03%E6%B1%A1%E6%9F%93%E6%BA%90%E6%A0%B8%E7%AE%97/%E6%8E%92%E6%94%BE%E6%BA%90%E7%BB%9F%E8%AE%A1%E8%B0%83%E6%9F%A5%E4%BA%A7%E6%8E%92%E6%B1%A1%E6%A0%B8%E7%AE%97%E6%96%B9%E6%B3%95%E5%92%8C%E7%B3%BB%E6%95%B0%E6%89%8B%E5%86%8C%EF%BC%88%E7%94%9F%E6%80%81%E7%8E%AF%E5%A2%83%E9%83%A8%E5%8A%9E%E5%85%AC%E5%8E%852021%20%E5%B9%B46%20%E6%9C%8811%20%E6%97%A5%E5%8D%B0%E5%8F%91%EF%BC%89/%E6%8E%92%E6%94%BE%E6%BA%90%E7%BB%9F%E8%AE%A1%E8%B0%83%E6%9F%A5%E4%BA%A7%E6%8E%92%E6%B1%A1%E6%A0%B8%E7%AE%97%E6%96%B9%E6%B3%95%E5%92%8C%E7%B3%BB%E6%95%B0%E6%89%8B%E5%86%8C.pdf" \t "https://www.eia543.com/_blank" </w:instrText>
            </w:r>
            <w:r>
              <w:fldChar w:fldCharType="separate"/>
            </w:r>
            <w:r>
              <w:rPr>
                <w:rStyle w:val="29"/>
                <w:rFonts w:hAnsi="Times New Roman"/>
                <w:color w:val="auto"/>
              </w:rPr>
              <w:t>《排放源统计调查产排污核算方法和系数手册》</w:t>
            </w:r>
            <w:r>
              <w:rPr>
                <w:rStyle w:val="29"/>
                <w:rFonts w:hAnsi="Times New Roman"/>
                <w:color w:val="auto"/>
              </w:rPr>
              <w:fldChar w:fldCharType="end"/>
            </w:r>
            <w:r>
              <w:rPr>
                <w:rFonts w:hAnsi="Times New Roman"/>
              </w:rPr>
              <w:t>中砖瓦、石材等建筑材料制造行业系数手册的产排污系数进行取值为1.23kg/万块-产品，本项目年产页岩砖9000万块，则粉尘产生量为11.07t/a。</w:t>
            </w:r>
          </w:p>
          <w:p w14:paraId="02DD862E">
            <w:pPr>
              <w:pStyle w:val="76"/>
              <w:rPr>
                <w:rFonts w:hAnsi="Times New Roman"/>
              </w:rPr>
            </w:pPr>
            <w:r>
              <w:rPr>
                <w:rFonts w:hAnsi="Times New Roman"/>
              </w:rPr>
              <w:t>产尘点集气罩收集效率为80%，布袋除尘器处理效率为99%。</w:t>
            </w:r>
          </w:p>
          <w:p w14:paraId="42D3BEBA">
            <w:pPr>
              <w:pStyle w:val="76"/>
              <w:rPr>
                <w:rFonts w:hAnsi="Times New Roman"/>
              </w:rPr>
            </w:pPr>
            <w:r>
              <w:rPr>
                <w:rFonts w:hAnsi="Times New Roman"/>
              </w:rPr>
              <w:t>则破碎、筛分工序粉尘排放量为0.09t/a，收集的粉尘回用于生产，不外排。</w:t>
            </w:r>
          </w:p>
          <w:p w14:paraId="4D207899">
            <w:pPr>
              <w:pStyle w:val="76"/>
              <w:rPr>
                <w:rFonts w:hAnsi="Times New Roman"/>
              </w:rPr>
            </w:pPr>
            <w:r>
              <w:rPr>
                <w:rFonts w:hAnsi="Times New Roman"/>
              </w:rPr>
              <w:t>未被收集的粉尘以无组织形式在车间内排放，无组织排放量为2.21t/a。通过在产尘工序周边设置围挡，采取喷淋降尘加强车间通风等措施，</w:t>
            </w:r>
            <w:r>
              <w:rPr>
                <w:rFonts w:hAnsi="Times New Roman"/>
                <w:bCs/>
              </w:rPr>
              <w:t>可有效降低车间粉尘，削减率约为85%，处理后无组织排放量为0.33</w:t>
            </w:r>
            <w:r>
              <w:rPr>
                <w:rFonts w:hAnsi="Times New Roman"/>
              </w:rPr>
              <w:t>t/a。</w:t>
            </w:r>
          </w:p>
          <w:p w14:paraId="0780BB3D">
            <w:pPr>
              <w:pStyle w:val="76"/>
              <w:rPr>
                <w:rFonts w:hAnsi="Times New Roman"/>
              </w:rPr>
            </w:pPr>
            <w:r>
              <w:rPr>
                <w:rFonts w:hAnsi="Times New Roman"/>
              </w:rPr>
              <w:t>综上，破碎筛分无组织颗粒物为0.42t/a。</w:t>
            </w:r>
          </w:p>
          <w:p w14:paraId="7B19EE2D">
            <w:pPr>
              <w:spacing w:line="360" w:lineRule="auto"/>
              <w:ind w:firstLine="482" w:firstLineChars="200"/>
              <w:rPr>
                <w:b/>
                <w:bCs/>
                <w:sz w:val="24"/>
              </w:rPr>
            </w:pPr>
            <w:r>
              <w:rPr>
                <w:b/>
                <w:sz w:val="24"/>
              </w:rPr>
              <w:t>（2）</w:t>
            </w:r>
            <w:r>
              <w:rPr>
                <w:b/>
                <w:bCs/>
                <w:sz w:val="24"/>
              </w:rPr>
              <w:t>原料堆场粉尘</w:t>
            </w:r>
          </w:p>
          <w:p w14:paraId="2CB4F1A1">
            <w:pPr>
              <w:spacing w:line="360" w:lineRule="auto"/>
              <w:ind w:firstLine="480" w:firstLineChars="200"/>
              <w:rPr>
                <w:bCs/>
                <w:sz w:val="24"/>
              </w:rPr>
            </w:pPr>
            <w:r>
              <w:rPr>
                <w:bCs/>
                <w:sz w:val="24"/>
              </w:rPr>
              <w:t>本项目在堆存及装卸过程中均有粉尘产生，根据《逸散性工业粉尘控制技术》“第二十章砖和粘土产品制造厂”，堆存及装卸过程中逸散粉尘产生量为 0.02kg/t 原料，项目页岩+煤矸石+其它，合计暂存量1600t/a；</w:t>
            </w:r>
          </w:p>
          <w:p w14:paraId="12C1A602">
            <w:pPr>
              <w:spacing w:line="360" w:lineRule="auto"/>
              <w:ind w:firstLine="480" w:firstLineChars="200"/>
              <w:rPr>
                <w:bCs/>
                <w:sz w:val="24"/>
              </w:rPr>
            </w:pPr>
            <w:r>
              <w:rPr>
                <w:bCs/>
                <w:sz w:val="24"/>
              </w:rPr>
              <w:t>本项目原材料堆场粉尘产生量为0.032t/a。原料堆场堆棚四周设置防风抑尘网、挡风墙，且高度不低于堆存物料高度的1.1 倍， 以及采取覆盖、洒水等措施后，粉尘可减少60%，即原材料堆场粉尘排放量为0.013t/a。</w:t>
            </w:r>
          </w:p>
          <w:p w14:paraId="6974FBEE">
            <w:pPr>
              <w:spacing w:line="360" w:lineRule="auto"/>
              <w:ind w:firstLine="482" w:firstLineChars="200"/>
              <w:rPr>
                <w:b/>
                <w:bCs/>
                <w:sz w:val="24"/>
              </w:rPr>
            </w:pPr>
          </w:p>
          <w:p w14:paraId="53CC0C39">
            <w:pPr>
              <w:spacing w:line="360" w:lineRule="auto"/>
              <w:ind w:firstLine="482" w:firstLineChars="200"/>
              <w:rPr>
                <w:b/>
                <w:snapToGrid w:val="0"/>
                <w:kern w:val="0"/>
                <w:sz w:val="24"/>
              </w:rPr>
            </w:pPr>
            <w:r>
              <w:rPr>
                <w:b/>
                <w:bCs/>
                <w:sz w:val="24"/>
              </w:rPr>
              <w:t>1.2、小结</w:t>
            </w:r>
          </w:p>
          <w:p w14:paraId="65FDDF9A">
            <w:pPr>
              <w:widowControl/>
              <w:snapToGrid w:val="0"/>
              <w:jc w:val="center"/>
              <w:rPr>
                <w:b/>
                <w:snapToGrid w:val="0"/>
                <w:kern w:val="0"/>
                <w:sz w:val="24"/>
              </w:rPr>
            </w:pPr>
            <w:r>
              <w:rPr>
                <w:b/>
                <w:snapToGrid w:val="0"/>
                <w:kern w:val="0"/>
                <w:sz w:val="24"/>
              </w:rPr>
              <w:t>表</w:t>
            </w:r>
            <w:r>
              <w:rPr>
                <w:b/>
                <w:sz w:val="24"/>
              </w:rPr>
              <w:t>4-2</w:t>
            </w:r>
            <w:r>
              <w:rPr>
                <w:b/>
                <w:snapToGrid w:val="0"/>
                <w:kern w:val="0"/>
                <w:sz w:val="24"/>
              </w:rPr>
              <w:t xml:space="preserve">  有组织废气排放情况汇总表</w:t>
            </w:r>
          </w:p>
          <w:tbl>
            <w:tblPr>
              <w:tblStyle w:val="25"/>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06"/>
              <w:gridCol w:w="835"/>
              <w:gridCol w:w="1610"/>
              <w:gridCol w:w="550"/>
              <w:gridCol w:w="562"/>
              <w:gridCol w:w="654"/>
              <w:gridCol w:w="625"/>
              <w:gridCol w:w="940"/>
              <w:gridCol w:w="1035"/>
              <w:gridCol w:w="871"/>
            </w:tblGrid>
            <w:tr w14:paraId="575D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14:paraId="57B54981">
                  <w:pPr>
                    <w:jc w:val="center"/>
                    <w:rPr>
                      <w:b/>
                      <w:szCs w:val="21"/>
                    </w:rPr>
                  </w:pPr>
                  <w:r>
                    <w:rPr>
                      <w:b/>
                      <w:szCs w:val="21"/>
                    </w:rPr>
                    <w:t>序号</w:t>
                  </w:r>
                </w:p>
              </w:tc>
              <w:tc>
                <w:tcPr>
                  <w:tcW w:w="906" w:type="dxa"/>
                  <w:tcBorders>
                    <w:top w:val="single" w:color="auto" w:sz="4" w:space="0"/>
                    <w:left w:val="single" w:color="auto" w:sz="4" w:space="0"/>
                    <w:bottom w:val="single" w:color="auto" w:sz="4" w:space="0"/>
                    <w:right w:val="single" w:color="auto" w:sz="4" w:space="0"/>
                  </w:tcBorders>
                  <w:vAlign w:val="center"/>
                </w:tcPr>
                <w:p w14:paraId="6A958C6F">
                  <w:pPr>
                    <w:jc w:val="center"/>
                    <w:rPr>
                      <w:b/>
                      <w:szCs w:val="21"/>
                    </w:rPr>
                  </w:pPr>
                  <w:r>
                    <w:rPr>
                      <w:b/>
                      <w:szCs w:val="21"/>
                    </w:rPr>
                    <w:t>产污点</w:t>
                  </w:r>
                </w:p>
              </w:tc>
              <w:tc>
                <w:tcPr>
                  <w:tcW w:w="835" w:type="dxa"/>
                  <w:tcBorders>
                    <w:top w:val="single" w:color="auto" w:sz="4" w:space="0"/>
                    <w:left w:val="single" w:color="auto" w:sz="4" w:space="0"/>
                    <w:bottom w:val="single" w:color="auto" w:sz="4" w:space="0"/>
                    <w:right w:val="single" w:color="auto" w:sz="4" w:space="0"/>
                  </w:tcBorders>
                  <w:vAlign w:val="center"/>
                </w:tcPr>
                <w:p w14:paraId="5871FAE0">
                  <w:pPr>
                    <w:jc w:val="center"/>
                    <w:rPr>
                      <w:b/>
                      <w:szCs w:val="21"/>
                    </w:rPr>
                  </w:pPr>
                  <w:r>
                    <w:rPr>
                      <w:b/>
                      <w:szCs w:val="21"/>
                    </w:rPr>
                    <w:t>排放口编号</w:t>
                  </w:r>
                </w:p>
              </w:tc>
              <w:tc>
                <w:tcPr>
                  <w:tcW w:w="1610" w:type="dxa"/>
                  <w:tcBorders>
                    <w:top w:val="single" w:color="auto" w:sz="4" w:space="0"/>
                    <w:left w:val="single" w:color="auto" w:sz="4" w:space="0"/>
                    <w:bottom w:val="single" w:color="auto" w:sz="4" w:space="0"/>
                    <w:right w:val="single" w:color="auto" w:sz="4" w:space="0"/>
                  </w:tcBorders>
                  <w:vAlign w:val="center"/>
                </w:tcPr>
                <w:p w14:paraId="07C31BE9">
                  <w:pPr>
                    <w:jc w:val="center"/>
                    <w:rPr>
                      <w:b/>
                      <w:szCs w:val="21"/>
                    </w:rPr>
                  </w:pPr>
                  <w:r>
                    <w:rPr>
                      <w:b/>
                      <w:szCs w:val="21"/>
                    </w:rPr>
                    <w:t>经纬度</w:t>
                  </w:r>
                </w:p>
              </w:tc>
              <w:tc>
                <w:tcPr>
                  <w:tcW w:w="550" w:type="dxa"/>
                  <w:tcBorders>
                    <w:top w:val="single" w:color="auto" w:sz="4" w:space="0"/>
                    <w:left w:val="single" w:color="auto" w:sz="4" w:space="0"/>
                    <w:bottom w:val="single" w:color="auto" w:sz="4" w:space="0"/>
                    <w:right w:val="single" w:color="auto" w:sz="4" w:space="0"/>
                  </w:tcBorders>
                  <w:vAlign w:val="center"/>
                </w:tcPr>
                <w:p w14:paraId="357D167D">
                  <w:pPr>
                    <w:jc w:val="center"/>
                    <w:rPr>
                      <w:b/>
                      <w:szCs w:val="21"/>
                    </w:rPr>
                  </w:pPr>
                  <w:r>
                    <w:rPr>
                      <w:b/>
                      <w:szCs w:val="21"/>
                    </w:rPr>
                    <w:t>排气筒高度m</w:t>
                  </w:r>
                </w:p>
              </w:tc>
              <w:tc>
                <w:tcPr>
                  <w:tcW w:w="562" w:type="dxa"/>
                  <w:tcBorders>
                    <w:top w:val="single" w:color="auto" w:sz="4" w:space="0"/>
                    <w:left w:val="single" w:color="auto" w:sz="4" w:space="0"/>
                    <w:bottom w:val="single" w:color="auto" w:sz="4" w:space="0"/>
                    <w:right w:val="single" w:color="auto" w:sz="4" w:space="0"/>
                  </w:tcBorders>
                  <w:vAlign w:val="center"/>
                </w:tcPr>
                <w:p w14:paraId="39207FBE">
                  <w:pPr>
                    <w:jc w:val="center"/>
                    <w:rPr>
                      <w:b/>
                      <w:szCs w:val="21"/>
                    </w:rPr>
                  </w:pPr>
                  <w:r>
                    <w:rPr>
                      <w:b/>
                      <w:szCs w:val="21"/>
                    </w:rPr>
                    <w:t>内径</w:t>
                  </w:r>
                </w:p>
                <w:p w14:paraId="4DB436ED">
                  <w:pPr>
                    <w:pStyle w:val="2"/>
                    <w:jc w:val="center"/>
                    <w:rPr>
                      <w:rFonts w:ascii="Times New Roman" w:hAnsi="Times New Roman"/>
                    </w:rPr>
                  </w:pPr>
                  <w:r>
                    <w:rPr>
                      <w:rFonts w:ascii="Times New Roman" w:hAnsi="Times New Roman"/>
                    </w:rPr>
                    <w:t>m</w:t>
                  </w:r>
                </w:p>
              </w:tc>
              <w:tc>
                <w:tcPr>
                  <w:tcW w:w="654" w:type="dxa"/>
                  <w:tcBorders>
                    <w:top w:val="single" w:color="auto" w:sz="4" w:space="0"/>
                    <w:left w:val="single" w:color="auto" w:sz="4" w:space="0"/>
                    <w:bottom w:val="single" w:color="auto" w:sz="4" w:space="0"/>
                    <w:right w:val="single" w:color="auto" w:sz="4" w:space="0"/>
                  </w:tcBorders>
                  <w:vAlign w:val="center"/>
                </w:tcPr>
                <w:p w14:paraId="781773EE">
                  <w:pPr>
                    <w:jc w:val="center"/>
                    <w:rPr>
                      <w:b/>
                      <w:szCs w:val="21"/>
                    </w:rPr>
                  </w:pPr>
                  <w:r>
                    <w:rPr>
                      <w:b/>
                      <w:szCs w:val="21"/>
                    </w:rPr>
                    <w:t>温度℃</w:t>
                  </w:r>
                </w:p>
              </w:tc>
              <w:tc>
                <w:tcPr>
                  <w:tcW w:w="625" w:type="dxa"/>
                  <w:tcBorders>
                    <w:top w:val="single" w:color="auto" w:sz="4" w:space="0"/>
                    <w:left w:val="single" w:color="auto" w:sz="4" w:space="0"/>
                    <w:bottom w:val="single" w:color="auto" w:sz="4" w:space="0"/>
                    <w:right w:val="single" w:color="auto" w:sz="4" w:space="0"/>
                  </w:tcBorders>
                  <w:vAlign w:val="center"/>
                </w:tcPr>
                <w:p w14:paraId="0A2AA562">
                  <w:pPr>
                    <w:jc w:val="center"/>
                    <w:rPr>
                      <w:b/>
                      <w:szCs w:val="21"/>
                    </w:rPr>
                  </w:pPr>
                  <w:r>
                    <w:rPr>
                      <w:b/>
                      <w:szCs w:val="21"/>
                    </w:rPr>
                    <w:t>污染物</w:t>
                  </w:r>
                </w:p>
              </w:tc>
              <w:tc>
                <w:tcPr>
                  <w:tcW w:w="940" w:type="dxa"/>
                  <w:tcBorders>
                    <w:top w:val="single" w:color="auto" w:sz="4" w:space="0"/>
                    <w:left w:val="single" w:color="auto" w:sz="4" w:space="0"/>
                    <w:bottom w:val="single" w:color="auto" w:sz="4" w:space="0"/>
                    <w:right w:val="single" w:color="auto" w:sz="4" w:space="0"/>
                  </w:tcBorders>
                  <w:vAlign w:val="center"/>
                </w:tcPr>
                <w:p w14:paraId="2A3B4EB6">
                  <w:pPr>
                    <w:jc w:val="center"/>
                    <w:rPr>
                      <w:b/>
                      <w:szCs w:val="21"/>
                    </w:rPr>
                  </w:pPr>
                  <w:r>
                    <w:rPr>
                      <w:b/>
                      <w:szCs w:val="21"/>
                    </w:rPr>
                    <w:t>排放浓度(mg/m</w:t>
                  </w:r>
                  <w:r>
                    <w:rPr>
                      <w:b/>
                      <w:szCs w:val="21"/>
                      <w:vertAlign w:val="superscript"/>
                    </w:rPr>
                    <w:t>3</w:t>
                  </w:r>
                  <w:r>
                    <w:rPr>
                      <w:b/>
                      <w:szCs w:val="21"/>
                    </w:rPr>
                    <w:t>)</w:t>
                  </w:r>
                </w:p>
              </w:tc>
              <w:tc>
                <w:tcPr>
                  <w:tcW w:w="1035" w:type="dxa"/>
                  <w:tcBorders>
                    <w:top w:val="single" w:color="auto" w:sz="4" w:space="0"/>
                    <w:left w:val="single" w:color="auto" w:sz="4" w:space="0"/>
                    <w:bottom w:val="single" w:color="auto" w:sz="4" w:space="0"/>
                    <w:right w:val="single" w:color="auto" w:sz="4" w:space="0"/>
                  </w:tcBorders>
                  <w:vAlign w:val="center"/>
                </w:tcPr>
                <w:p w14:paraId="7DDE4E44">
                  <w:pPr>
                    <w:jc w:val="center"/>
                    <w:rPr>
                      <w:b/>
                      <w:szCs w:val="21"/>
                    </w:rPr>
                  </w:pPr>
                  <w:r>
                    <w:rPr>
                      <w:b/>
                      <w:szCs w:val="21"/>
                    </w:rPr>
                    <w:t>核算排放速率（kg/h）</w:t>
                  </w:r>
                </w:p>
              </w:tc>
              <w:tc>
                <w:tcPr>
                  <w:tcW w:w="871" w:type="dxa"/>
                  <w:tcBorders>
                    <w:top w:val="single" w:color="auto" w:sz="4" w:space="0"/>
                    <w:left w:val="single" w:color="auto" w:sz="4" w:space="0"/>
                    <w:bottom w:val="single" w:color="auto" w:sz="4" w:space="0"/>
                    <w:right w:val="single" w:color="auto" w:sz="4" w:space="0"/>
                  </w:tcBorders>
                  <w:vAlign w:val="center"/>
                </w:tcPr>
                <w:p w14:paraId="6B9F3AC9">
                  <w:pPr>
                    <w:jc w:val="center"/>
                    <w:rPr>
                      <w:b/>
                      <w:szCs w:val="21"/>
                    </w:rPr>
                  </w:pPr>
                  <w:r>
                    <w:rPr>
                      <w:b/>
                      <w:szCs w:val="21"/>
                    </w:rPr>
                    <w:t>核算年排放量（t/a）</w:t>
                  </w:r>
                </w:p>
              </w:tc>
            </w:tr>
            <w:tr w14:paraId="6CD9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tcBorders>
                    <w:top w:val="single" w:color="auto" w:sz="4" w:space="0"/>
                    <w:left w:val="single" w:color="auto" w:sz="4" w:space="0"/>
                    <w:right w:val="single" w:color="auto" w:sz="4" w:space="0"/>
                  </w:tcBorders>
                  <w:vAlign w:val="center"/>
                </w:tcPr>
                <w:p w14:paraId="0697C180">
                  <w:pPr>
                    <w:jc w:val="center"/>
                    <w:rPr>
                      <w:szCs w:val="21"/>
                    </w:rPr>
                  </w:pPr>
                  <w:r>
                    <w:rPr>
                      <w:szCs w:val="21"/>
                    </w:rPr>
                    <w:t>1</w:t>
                  </w:r>
                </w:p>
              </w:tc>
              <w:tc>
                <w:tcPr>
                  <w:tcW w:w="906" w:type="dxa"/>
                  <w:vMerge w:val="restart"/>
                  <w:tcBorders>
                    <w:left w:val="single" w:color="auto" w:sz="4" w:space="0"/>
                    <w:right w:val="single" w:color="auto" w:sz="4" w:space="0"/>
                  </w:tcBorders>
                  <w:vAlign w:val="center"/>
                </w:tcPr>
                <w:p w14:paraId="40137C7C">
                  <w:pPr>
                    <w:jc w:val="center"/>
                    <w:rPr>
                      <w:szCs w:val="21"/>
                    </w:rPr>
                  </w:pPr>
                  <w:r>
                    <w:rPr>
                      <w:b/>
                      <w:bCs/>
                      <w:szCs w:val="21"/>
                    </w:rPr>
                    <w:t>隧道窑烧结废气（G2）</w:t>
                  </w:r>
                </w:p>
              </w:tc>
              <w:tc>
                <w:tcPr>
                  <w:tcW w:w="835" w:type="dxa"/>
                  <w:vMerge w:val="restart"/>
                  <w:tcBorders>
                    <w:left w:val="single" w:color="auto" w:sz="4" w:space="0"/>
                    <w:right w:val="single" w:color="auto" w:sz="4" w:space="0"/>
                  </w:tcBorders>
                  <w:vAlign w:val="center"/>
                </w:tcPr>
                <w:p w14:paraId="68ED2C05">
                  <w:pPr>
                    <w:jc w:val="center"/>
                    <w:rPr>
                      <w:szCs w:val="21"/>
                    </w:rPr>
                  </w:pPr>
                  <w:r>
                    <w:rPr>
                      <w:szCs w:val="21"/>
                    </w:rPr>
                    <w:t>DA001</w:t>
                  </w:r>
                </w:p>
              </w:tc>
              <w:tc>
                <w:tcPr>
                  <w:tcW w:w="1610" w:type="dxa"/>
                  <w:vMerge w:val="restart"/>
                  <w:tcBorders>
                    <w:left w:val="single" w:color="auto" w:sz="4" w:space="0"/>
                    <w:right w:val="single" w:color="auto" w:sz="4" w:space="0"/>
                  </w:tcBorders>
                  <w:vAlign w:val="center"/>
                </w:tcPr>
                <w:p w14:paraId="037B721C">
                  <w:pPr>
                    <w:jc w:val="left"/>
                    <w:rPr>
                      <w:szCs w:val="21"/>
                    </w:rPr>
                  </w:pPr>
                  <w:r>
                    <w:rPr>
                      <w:szCs w:val="21"/>
                    </w:rPr>
                    <w:t>98°28'</w:t>
                  </w:r>
                  <w:r>
                    <w:t xml:space="preserve"> </w:t>
                  </w:r>
                  <w:r>
                    <w:rPr>
                      <w:szCs w:val="21"/>
                    </w:rPr>
                    <w:t>43.312"</w:t>
                  </w:r>
                </w:p>
                <w:p w14:paraId="365A858C">
                  <w:pPr>
                    <w:pStyle w:val="2"/>
                    <w:spacing w:line="240" w:lineRule="auto"/>
                    <w:jc w:val="left"/>
                    <w:rPr>
                      <w:rFonts w:ascii="Times New Roman" w:hAnsi="Times New Roman"/>
                      <w:sz w:val="21"/>
                      <w:szCs w:val="21"/>
                    </w:rPr>
                  </w:pPr>
                  <w:r>
                    <w:rPr>
                      <w:rFonts w:ascii="Times New Roman" w:hAnsi="Times New Roman"/>
                      <w:sz w:val="21"/>
                      <w:szCs w:val="21"/>
                    </w:rPr>
                    <w:t>24°20'39.120"</w:t>
                  </w:r>
                </w:p>
              </w:tc>
              <w:tc>
                <w:tcPr>
                  <w:tcW w:w="550" w:type="dxa"/>
                  <w:vMerge w:val="restart"/>
                  <w:tcBorders>
                    <w:left w:val="single" w:color="auto" w:sz="4" w:space="0"/>
                    <w:right w:val="single" w:color="auto" w:sz="4" w:space="0"/>
                  </w:tcBorders>
                  <w:vAlign w:val="center"/>
                </w:tcPr>
                <w:p w14:paraId="7FF161D2">
                  <w:pPr>
                    <w:jc w:val="center"/>
                    <w:rPr>
                      <w:szCs w:val="21"/>
                    </w:rPr>
                  </w:pPr>
                  <w:r>
                    <w:rPr>
                      <w:szCs w:val="21"/>
                    </w:rPr>
                    <w:t>25</w:t>
                  </w:r>
                </w:p>
              </w:tc>
              <w:tc>
                <w:tcPr>
                  <w:tcW w:w="562" w:type="dxa"/>
                  <w:vMerge w:val="restart"/>
                  <w:tcBorders>
                    <w:left w:val="single" w:color="auto" w:sz="4" w:space="0"/>
                    <w:right w:val="single" w:color="auto" w:sz="4" w:space="0"/>
                  </w:tcBorders>
                  <w:vAlign w:val="center"/>
                </w:tcPr>
                <w:p w14:paraId="161ECC6E">
                  <w:pPr>
                    <w:jc w:val="center"/>
                    <w:rPr>
                      <w:szCs w:val="21"/>
                    </w:rPr>
                  </w:pPr>
                  <w:r>
                    <w:rPr>
                      <w:szCs w:val="21"/>
                    </w:rPr>
                    <w:t>2</w:t>
                  </w:r>
                </w:p>
              </w:tc>
              <w:tc>
                <w:tcPr>
                  <w:tcW w:w="654" w:type="dxa"/>
                  <w:vMerge w:val="restart"/>
                  <w:tcBorders>
                    <w:left w:val="single" w:color="auto" w:sz="4" w:space="0"/>
                    <w:right w:val="single" w:color="auto" w:sz="4" w:space="0"/>
                  </w:tcBorders>
                  <w:vAlign w:val="center"/>
                </w:tcPr>
                <w:p w14:paraId="6CC14CB1">
                  <w:pPr>
                    <w:jc w:val="center"/>
                    <w:rPr>
                      <w:szCs w:val="21"/>
                    </w:rPr>
                  </w:pPr>
                  <w:r>
                    <w:rPr>
                      <w:szCs w:val="21"/>
                    </w:rPr>
                    <w:t>55</w:t>
                  </w:r>
                </w:p>
              </w:tc>
              <w:tc>
                <w:tcPr>
                  <w:tcW w:w="625" w:type="dxa"/>
                  <w:tcBorders>
                    <w:top w:val="single" w:color="auto" w:sz="4" w:space="0"/>
                    <w:left w:val="single" w:color="auto" w:sz="4" w:space="0"/>
                    <w:bottom w:val="single" w:color="auto" w:sz="4" w:space="0"/>
                    <w:right w:val="single" w:color="auto" w:sz="4" w:space="0"/>
                  </w:tcBorders>
                  <w:vAlign w:val="center"/>
                </w:tcPr>
                <w:p w14:paraId="7CB81979">
                  <w:pPr>
                    <w:jc w:val="center"/>
                    <w:rPr>
                      <w:szCs w:val="21"/>
                    </w:rPr>
                  </w:pPr>
                  <w:r>
                    <w:rPr>
                      <w:szCs w:val="21"/>
                    </w:rPr>
                    <w:t>颗粒物</w:t>
                  </w:r>
                </w:p>
              </w:tc>
              <w:tc>
                <w:tcPr>
                  <w:tcW w:w="940" w:type="dxa"/>
                  <w:tcBorders>
                    <w:top w:val="single" w:color="auto" w:sz="4" w:space="0"/>
                    <w:left w:val="single" w:color="auto" w:sz="4" w:space="0"/>
                    <w:bottom w:val="single" w:color="auto" w:sz="4" w:space="0"/>
                    <w:right w:val="single" w:color="auto" w:sz="4" w:space="0"/>
                  </w:tcBorders>
                  <w:vAlign w:val="center"/>
                </w:tcPr>
                <w:p w14:paraId="7604094E">
                  <w:pPr>
                    <w:jc w:val="center"/>
                    <w:rPr>
                      <w:rFonts w:eastAsia="等线"/>
                      <w:szCs w:val="21"/>
                    </w:rPr>
                  </w:pPr>
                  <w:r>
                    <w:rPr>
                      <w:rFonts w:eastAsia="等线"/>
                      <w:szCs w:val="21"/>
                    </w:rPr>
                    <w:t xml:space="preserve">5.50 </w:t>
                  </w:r>
                </w:p>
              </w:tc>
              <w:tc>
                <w:tcPr>
                  <w:tcW w:w="1035" w:type="dxa"/>
                  <w:tcBorders>
                    <w:top w:val="single" w:color="auto" w:sz="4" w:space="0"/>
                    <w:left w:val="single" w:color="auto" w:sz="4" w:space="0"/>
                    <w:bottom w:val="single" w:color="auto" w:sz="4" w:space="0"/>
                    <w:right w:val="single" w:color="auto" w:sz="4" w:space="0"/>
                  </w:tcBorders>
                  <w:vAlign w:val="center"/>
                </w:tcPr>
                <w:p w14:paraId="240E08C7">
                  <w:pPr>
                    <w:jc w:val="center"/>
                    <w:rPr>
                      <w:rFonts w:eastAsia="等线"/>
                      <w:szCs w:val="21"/>
                    </w:rPr>
                  </w:pPr>
                  <w:r>
                    <w:rPr>
                      <w:rFonts w:eastAsia="等线"/>
                      <w:szCs w:val="21"/>
                    </w:rPr>
                    <w:t xml:space="preserve">0.443 </w:t>
                  </w:r>
                </w:p>
              </w:tc>
              <w:tc>
                <w:tcPr>
                  <w:tcW w:w="871" w:type="dxa"/>
                  <w:tcBorders>
                    <w:top w:val="single" w:color="auto" w:sz="4" w:space="0"/>
                    <w:left w:val="single" w:color="auto" w:sz="4" w:space="0"/>
                    <w:bottom w:val="single" w:color="auto" w:sz="4" w:space="0"/>
                    <w:right w:val="single" w:color="auto" w:sz="4" w:space="0"/>
                  </w:tcBorders>
                  <w:vAlign w:val="center"/>
                </w:tcPr>
                <w:p w14:paraId="7A489B8F">
                  <w:pPr>
                    <w:jc w:val="center"/>
                    <w:rPr>
                      <w:rFonts w:eastAsia="等线"/>
                      <w:szCs w:val="21"/>
                    </w:rPr>
                  </w:pPr>
                  <w:r>
                    <w:rPr>
                      <w:rFonts w:eastAsia="等线"/>
                      <w:szCs w:val="21"/>
                    </w:rPr>
                    <w:t xml:space="preserve">2.129 </w:t>
                  </w:r>
                </w:p>
              </w:tc>
            </w:tr>
            <w:tr w14:paraId="0792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left w:val="single" w:color="auto" w:sz="4" w:space="0"/>
                    <w:right w:val="single" w:color="auto" w:sz="4" w:space="0"/>
                  </w:tcBorders>
                  <w:vAlign w:val="center"/>
                </w:tcPr>
                <w:p w14:paraId="49B35D20">
                  <w:pPr>
                    <w:jc w:val="center"/>
                    <w:rPr>
                      <w:szCs w:val="21"/>
                    </w:rPr>
                  </w:pPr>
                </w:p>
              </w:tc>
              <w:tc>
                <w:tcPr>
                  <w:tcW w:w="906" w:type="dxa"/>
                  <w:vMerge w:val="continue"/>
                  <w:tcBorders>
                    <w:left w:val="single" w:color="auto" w:sz="4" w:space="0"/>
                    <w:right w:val="single" w:color="auto" w:sz="4" w:space="0"/>
                  </w:tcBorders>
                  <w:vAlign w:val="center"/>
                </w:tcPr>
                <w:p w14:paraId="08B06F70">
                  <w:pPr>
                    <w:jc w:val="center"/>
                    <w:rPr>
                      <w:szCs w:val="21"/>
                    </w:rPr>
                  </w:pPr>
                </w:p>
              </w:tc>
              <w:tc>
                <w:tcPr>
                  <w:tcW w:w="835" w:type="dxa"/>
                  <w:vMerge w:val="continue"/>
                  <w:tcBorders>
                    <w:left w:val="single" w:color="auto" w:sz="4" w:space="0"/>
                    <w:right w:val="single" w:color="auto" w:sz="4" w:space="0"/>
                  </w:tcBorders>
                  <w:vAlign w:val="center"/>
                </w:tcPr>
                <w:p w14:paraId="784B33A8">
                  <w:pPr>
                    <w:jc w:val="center"/>
                    <w:rPr>
                      <w:szCs w:val="21"/>
                    </w:rPr>
                  </w:pPr>
                </w:p>
              </w:tc>
              <w:tc>
                <w:tcPr>
                  <w:tcW w:w="1610" w:type="dxa"/>
                  <w:vMerge w:val="continue"/>
                  <w:tcBorders>
                    <w:left w:val="single" w:color="auto" w:sz="4" w:space="0"/>
                    <w:right w:val="single" w:color="auto" w:sz="4" w:space="0"/>
                  </w:tcBorders>
                  <w:vAlign w:val="center"/>
                </w:tcPr>
                <w:p w14:paraId="1A223CE2">
                  <w:pPr>
                    <w:jc w:val="center"/>
                    <w:rPr>
                      <w:szCs w:val="21"/>
                    </w:rPr>
                  </w:pPr>
                </w:p>
              </w:tc>
              <w:tc>
                <w:tcPr>
                  <w:tcW w:w="550" w:type="dxa"/>
                  <w:vMerge w:val="continue"/>
                  <w:tcBorders>
                    <w:left w:val="single" w:color="auto" w:sz="4" w:space="0"/>
                    <w:right w:val="single" w:color="auto" w:sz="4" w:space="0"/>
                  </w:tcBorders>
                  <w:vAlign w:val="center"/>
                </w:tcPr>
                <w:p w14:paraId="4A4C6B9A">
                  <w:pPr>
                    <w:jc w:val="center"/>
                    <w:rPr>
                      <w:szCs w:val="21"/>
                    </w:rPr>
                  </w:pPr>
                </w:p>
              </w:tc>
              <w:tc>
                <w:tcPr>
                  <w:tcW w:w="562" w:type="dxa"/>
                  <w:vMerge w:val="continue"/>
                  <w:tcBorders>
                    <w:left w:val="single" w:color="auto" w:sz="4" w:space="0"/>
                    <w:right w:val="single" w:color="auto" w:sz="4" w:space="0"/>
                  </w:tcBorders>
                  <w:vAlign w:val="center"/>
                </w:tcPr>
                <w:p w14:paraId="3C4AA7E2">
                  <w:pPr>
                    <w:jc w:val="center"/>
                    <w:rPr>
                      <w:szCs w:val="21"/>
                    </w:rPr>
                  </w:pPr>
                </w:p>
              </w:tc>
              <w:tc>
                <w:tcPr>
                  <w:tcW w:w="654" w:type="dxa"/>
                  <w:vMerge w:val="continue"/>
                  <w:tcBorders>
                    <w:left w:val="single" w:color="auto" w:sz="4" w:space="0"/>
                    <w:right w:val="single" w:color="auto" w:sz="4" w:space="0"/>
                  </w:tcBorders>
                  <w:vAlign w:val="center"/>
                </w:tcPr>
                <w:p w14:paraId="799C609F">
                  <w:pPr>
                    <w:jc w:val="center"/>
                    <w:rPr>
                      <w:szCs w:val="21"/>
                    </w:rPr>
                  </w:pPr>
                </w:p>
              </w:tc>
              <w:tc>
                <w:tcPr>
                  <w:tcW w:w="625" w:type="dxa"/>
                  <w:tcBorders>
                    <w:top w:val="single" w:color="auto" w:sz="4" w:space="0"/>
                    <w:left w:val="single" w:color="auto" w:sz="4" w:space="0"/>
                    <w:bottom w:val="single" w:color="auto" w:sz="4" w:space="0"/>
                    <w:right w:val="single" w:color="auto" w:sz="4" w:space="0"/>
                  </w:tcBorders>
                  <w:vAlign w:val="center"/>
                </w:tcPr>
                <w:p w14:paraId="712B4E77">
                  <w:pPr>
                    <w:jc w:val="center"/>
                    <w:rPr>
                      <w:szCs w:val="21"/>
                    </w:rPr>
                  </w:pPr>
                  <w:r>
                    <w:rPr>
                      <w:szCs w:val="21"/>
                    </w:rPr>
                    <w:t>SO</w:t>
                  </w:r>
                  <w:r>
                    <w:rPr>
                      <w:rStyle w:val="90"/>
                      <w:rFonts w:hint="default" w:ascii="Times New Roman" w:hAnsi="Times New Roman"/>
                      <w:color w:val="auto"/>
                      <w:szCs w:val="21"/>
                      <w:vertAlign w:val="subscript"/>
                    </w:rPr>
                    <w:t>2</w:t>
                  </w:r>
                </w:p>
              </w:tc>
              <w:tc>
                <w:tcPr>
                  <w:tcW w:w="940" w:type="dxa"/>
                  <w:tcBorders>
                    <w:top w:val="single" w:color="auto" w:sz="4" w:space="0"/>
                    <w:left w:val="single" w:color="auto" w:sz="4" w:space="0"/>
                    <w:bottom w:val="single" w:color="auto" w:sz="4" w:space="0"/>
                    <w:right w:val="single" w:color="auto" w:sz="4" w:space="0"/>
                  </w:tcBorders>
                  <w:vAlign w:val="center"/>
                </w:tcPr>
                <w:p w14:paraId="7B205F0F">
                  <w:pPr>
                    <w:jc w:val="center"/>
                    <w:rPr>
                      <w:rFonts w:eastAsia="等线"/>
                      <w:szCs w:val="21"/>
                    </w:rPr>
                  </w:pPr>
                  <w:r>
                    <w:rPr>
                      <w:rFonts w:eastAsia="等线"/>
                      <w:szCs w:val="21"/>
                    </w:rPr>
                    <w:t xml:space="preserve">51.65 </w:t>
                  </w:r>
                </w:p>
              </w:tc>
              <w:tc>
                <w:tcPr>
                  <w:tcW w:w="1035" w:type="dxa"/>
                  <w:tcBorders>
                    <w:top w:val="single" w:color="auto" w:sz="4" w:space="0"/>
                    <w:left w:val="single" w:color="auto" w:sz="4" w:space="0"/>
                    <w:bottom w:val="single" w:color="auto" w:sz="4" w:space="0"/>
                    <w:right w:val="single" w:color="auto" w:sz="4" w:space="0"/>
                  </w:tcBorders>
                  <w:vAlign w:val="center"/>
                </w:tcPr>
                <w:p w14:paraId="771492F9">
                  <w:pPr>
                    <w:jc w:val="center"/>
                    <w:rPr>
                      <w:rFonts w:eastAsia="等线"/>
                      <w:szCs w:val="21"/>
                    </w:rPr>
                  </w:pPr>
                  <w:r>
                    <w:rPr>
                      <w:rFonts w:eastAsia="等线"/>
                      <w:szCs w:val="21"/>
                    </w:rPr>
                    <w:t xml:space="preserve">4.163 </w:t>
                  </w:r>
                </w:p>
              </w:tc>
              <w:tc>
                <w:tcPr>
                  <w:tcW w:w="871" w:type="dxa"/>
                  <w:tcBorders>
                    <w:top w:val="single" w:color="auto" w:sz="4" w:space="0"/>
                    <w:left w:val="single" w:color="auto" w:sz="4" w:space="0"/>
                    <w:bottom w:val="single" w:color="auto" w:sz="4" w:space="0"/>
                    <w:right w:val="single" w:color="auto" w:sz="4" w:space="0"/>
                  </w:tcBorders>
                  <w:vAlign w:val="center"/>
                </w:tcPr>
                <w:p w14:paraId="78AB8CDA">
                  <w:pPr>
                    <w:jc w:val="center"/>
                    <w:rPr>
                      <w:rFonts w:eastAsia="等线"/>
                      <w:szCs w:val="21"/>
                    </w:rPr>
                  </w:pPr>
                  <w:r>
                    <w:rPr>
                      <w:rFonts w:eastAsia="等线"/>
                      <w:szCs w:val="21"/>
                    </w:rPr>
                    <w:t xml:space="preserve">19.980 </w:t>
                  </w:r>
                </w:p>
              </w:tc>
            </w:tr>
            <w:tr w14:paraId="5BB1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left w:val="single" w:color="auto" w:sz="4" w:space="0"/>
                    <w:right w:val="single" w:color="auto" w:sz="4" w:space="0"/>
                  </w:tcBorders>
                  <w:vAlign w:val="center"/>
                </w:tcPr>
                <w:p w14:paraId="75984EEF">
                  <w:pPr>
                    <w:jc w:val="center"/>
                    <w:rPr>
                      <w:szCs w:val="21"/>
                    </w:rPr>
                  </w:pPr>
                </w:p>
              </w:tc>
              <w:tc>
                <w:tcPr>
                  <w:tcW w:w="906" w:type="dxa"/>
                  <w:vMerge w:val="continue"/>
                  <w:tcBorders>
                    <w:left w:val="single" w:color="auto" w:sz="4" w:space="0"/>
                    <w:right w:val="single" w:color="auto" w:sz="4" w:space="0"/>
                  </w:tcBorders>
                  <w:vAlign w:val="center"/>
                </w:tcPr>
                <w:p w14:paraId="7A226CFA">
                  <w:pPr>
                    <w:jc w:val="center"/>
                    <w:rPr>
                      <w:szCs w:val="21"/>
                    </w:rPr>
                  </w:pPr>
                </w:p>
              </w:tc>
              <w:tc>
                <w:tcPr>
                  <w:tcW w:w="835" w:type="dxa"/>
                  <w:vMerge w:val="continue"/>
                  <w:tcBorders>
                    <w:left w:val="single" w:color="auto" w:sz="4" w:space="0"/>
                    <w:right w:val="single" w:color="auto" w:sz="4" w:space="0"/>
                  </w:tcBorders>
                  <w:vAlign w:val="center"/>
                </w:tcPr>
                <w:p w14:paraId="31AA47CD">
                  <w:pPr>
                    <w:jc w:val="center"/>
                    <w:rPr>
                      <w:szCs w:val="21"/>
                    </w:rPr>
                  </w:pPr>
                </w:p>
              </w:tc>
              <w:tc>
                <w:tcPr>
                  <w:tcW w:w="1610" w:type="dxa"/>
                  <w:vMerge w:val="continue"/>
                  <w:tcBorders>
                    <w:left w:val="single" w:color="auto" w:sz="4" w:space="0"/>
                    <w:right w:val="single" w:color="auto" w:sz="4" w:space="0"/>
                  </w:tcBorders>
                  <w:vAlign w:val="center"/>
                </w:tcPr>
                <w:p w14:paraId="60500C39">
                  <w:pPr>
                    <w:jc w:val="center"/>
                    <w:rPr>
                      <w:szCs w:val="21"/>
                    </w:rPr>
                  </w:pPr>
                </w:p>
              </w:tc>
              <w:tc>
                <w:tcPr>
                  <w:tcW w:w="550" w:type="dxa"/>
                  <w:vMerge w:val="continue"/>
                  <w:tcBorders>
                    <w:left w:val="single" w:color="auto" w:sz="4" w:space="0"/>
                    <w:right w:val="single" w:color="auto" w:sz="4" w:space="0"/>
                  </w:tcBorders>
                  <w:vAlign w:val="center"/>
                </w:tcPr>
                <w:p w14:paraId="1A339EA1">
                  <w:pPr>
                    <w:jc w:val="center"/>
                    <w:rPr>
                      <w:szCs w:val="21"/>
                    </w:rPr>
                  </w:pPr>
                </w:p>
              </w:tc>
              <w:tc>
                <w:tcPr>
                  <w:tcW w:w="562" w:type="dxa"/>
                  <w:vMerge w:val="continue"/>
                  <w:tcBorders>
                    <w:left w:val="single" w:color="auto" w:sz="4" w:space="0"/>
                    <w:right w:val="single" w:color="auto" w:sz="4" w:space="0"/>
                  </w:tcBorders>
                  <w:vAlign w:val="center"/>
                </w:tcPr>
                <w:p w14:paraId="1FB5D5FA">
                  <w:pPr>
                    <w:jc w:val="center"/>
                    <w:rPr>
                      <w:szCs w:val="21"/>
                    </w:rPr>
                  </w:pPr>
                </w:p>
              </w:tc>
              <w:tc>
                <w:tcPr>
                  <w:tcW w:w="654" w:type="dxa"/>
                  <w:vMerge w:val="continue"/>
                  <w:tcBorders>
                    <w:left w:val="single" w:color="auto" w:sz="4" w:space="0"/>
                    <w:right w:val="single" w:color="auto" w:sz="4" w:space="0"/>
                  </w:tcBorders>
                  <w:vAlign w:val="center"/>
                </w:tcPr>
                <w:p w14:paraId="66CC54F5">
                  <w:pPr>
                    <w:jc w:val="center"/>
                    <w:rPr>
                      <w:szCs w:val="21"/>
                    </w:rPr>
                  </w:pPr>
                </w:p>
              </w:tc>
              <w:tc>
                <w:tcPr>
                  <w:tcW w:w="625" w:type="dxa"/>
                  <w:tcBorders>
                    <w:top w:val="single" w:color="auto" w:sz="4" w:space="0"/>
                    <w:left w:val="single" w:color="auto" w:sz="4" w:space="0"/>
                    <w:bottom w:val="single" w:color="auto" w:sz="4" w:space="0"/>
                    <w:right w:val="single" w:color="auto" w:sz="4" w:space="0"/>
                  </w:tcBorders>
                  <w:vAlign w:val="center"/>
                </w:tcPr>
                <w:p w14:paraId="38B4C52A">
                  <w:pPr>
                    <w:jc w:val="center"/>
                    <w:rPr>
                      <w:szCs w:val="21"/>
                    </w:rPr>
                  </w:pPr>
                  <w:r>
                    <w:rPr>
                      <w:szCs w:val="21"/>
                    </w:rPr>
                    <w:t>NOx</w:t>
                  </w:r>
                </w:p>
              </w:tc>
              <w:tc>
                <w:tcPr>
                  <w:tcW w:w="940" w:type="dxa"/>
                  <w:tcBorders>
                    <w:top w:val="single" w:color="auto" w:sz="4" w:space="0"/>
                    <w:left w:val="single" w:color="auto" w:sz="4" w:space="0"/>
                    <w:bottom w:val="single" w:color="auto" w:sz="4" w:space="0"/>
                    <w:right w:val="single" w:color="auto" w:sz="4" w:space="0"/>
                  </w:tcBorders>
                  <w:vAlign w:val="center"/>
                </w:tcPr>
                <w:p w14:paraId="7C54CB4A">
                  <w:pPr>
                    <w:jc w:val="center"/>
                    <w:rPr>
                      <w:rFonts w:eastAsia="等线"/>
                      <w:szCs w:val="21"/>
                    </w:rPr>
                  </w:pPr>
                  <w:r>
                    <w:rPr>
                      <w:rFonts w:eastAsia="等线"/>
                      <w:szCs w:val="21"/>
                    </w:rPr>
                    <w:t xml:space="preserve">38.62 </w:t>
                  </w:r>
                </w:p>
              </w:tc>
              <w:tc>
                <w:tcPr>
                  <w:tcW w:w="1035" w:type="dxa"/>
                  <w:tcBorders>
                    <w:top w:val="single" w:color="auto" w:sz="4" w:space="0"/>
                    <w:left w:val="single" w:color="auto" w:sz="4" w:space="0"/>
                    <w:bottom w:val="single" w:color="auto" w:sz="4" w:space="0"/>
                    <w:right w:val="single" w:color="auto" w:sz="4" w:space="0"/>
                  </w:tcBorders>
                  <w:vAlign w:val="center"/>
                </w:tcPr>
                <w:p w14:paraId="170388B1">
                  <w:pPr>
                    <w:jc w:val="center"/>
                    <w:rPr>
                      <w:rFonts w:eastAsia="等线"/>
                      <w:szCs w:val="21"/>
                    </w:rPr>
                  </w:pPr>
                  <w:r>
                    <w:rPr>
                      <w:rFonts w:eastAsia="等线"/>
                      <w:szCs w:val="21"/>
                    </w:rPr>
                    <w:t xml:space="preserve">3.113 </w:t>
                  </w:r>
                </w:p>
              </w:tc>
              <w:tc>
                <w:tcPr>
                  <w:tcW w:w="871" w:type="dxa"/>
                  <w:tcBorders>
                    <w:top w:val="single" w:color="auto" w:sz="4" w:space="0"/>
                    <w:left w:val="single" w:color="auto" w:sz="4" w:space="0"/>
                    <w:bottom w:val="single" w:color="auto" w:sz="4" w:space="0"/>
                    <w:right w:val="single" w:color="auto" w:sz="4" w:space="0"/>
                  </w:tcBorders>
                  <w:vAlign w:val="center"/>
                </w:tcPr>
                <w:p w14:paraId="17318799">
                  <w:pPr>
                    <w:jc w:val="center"/>
                    <w:rPr>
                      <w:rFonts w:eastAsia="等线"/>
                      <w:szCs w:val="21"/>
                    </w:rPr>
                  </w:pPr>
                  <w:r>
                    <w:rPr>
                      <w:rFonts w:eastAsia="等线"/>
                      <w:szCs w:val="21"/>
                    </w:rPr>
                    <w:t xml:space="preserve">14.940 </w:t>
                  </w:r>
                </w:p>
              </w:tc>
            </w:tr>
            <w:tr w14:paraId="2784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left w:val="single" w:color="auto" w:sz="4" w:space="0"/>
                    <w:right w:val="single" w:color="auto" w:sz="4" w:space="0"/>
                  </w:tcBorders>
                  <w:vAlign w:val="center"/>
                </w:tcPr>
                <w:p w14:paraId="10D3B189">
                  <w:pPr>
                    <w:jc w:val="center"/>
                    <w:rPr>
                      <w:szCs w:val="21"/>
                    </w:rPr>
                  </w:pPr>
                </w:p>
              </w:tc>
              <w:tc>
                <w:tcPr>
                  <w:tcW w:w="906" w:type="dxa"/>
                  <w:vMerge w:val="continue"/>
                  <w:tcBorders>
                    <w:left w:val="single" w:color="auto" w:sz="4" w:space="0"/>
                    <w:right w:val="single" w:color="auto" w:sz="4" w:space="0"/>
                  </w:tcBorders>
                  <w:vAlign w:val="center"/>
                </w:tcPr>
                <w:p w14:paraId="6788EC25">
                  <w:pPr>
                    <w:jc w:val="center"/>
                    <w:rPr>
                      <w:szCs w:val="21"/>
                    </w:rPr>
                  </w:pPr>
                </w:p>
              </w:tc>
              <w:tc>
                <w:tcPr>
                  <w:tcW w:w="835" w:type="dxa"/>
                  <w:vMerge w:val="continue"/>
                  <w:tcBorders>
                    <w:left w:val="single" w:color="auto" w:sz="4" w:space="0"/>
                    <w:right w:val="single" w:color="auto" w:sz="4" w:space="0"/>
                  </w:tcBorders>
                  <w:vAlign w:val="center"/>
                </w:tcPr>
                <w:p w14:paraId="1F8303F1">
                  <w:pPr>
                    <w:jc w:val="center"/>
                    <w:rPr>
                      <w:szCs w:val="21"/>
                    </w:rPr>
                  </w:pPr>
                </w:p>
              </w:tc>
              <w:tc>
                <w:tcPr>
                  <w:tcW w:w="1610" w:type="dxa"/>
                  <w:vMerge w:val="continue"/>
                  <w:tcBorders>
                    <w:left w:val="single" w:color="auto" w:sz="4" w:space="0"/>
                    <w:right w:val="single" w:color="auto" w:sz="4" w:space="0"/>
                  </w:tcBorders>
                  <w:vAlign w:val="center"/>
                </w:tcPr>
                <w:p w14:paraId="326BB4C6">
                  <w:pPr>
                    <w:jc w:val="center"/>
                    <w:rPr>
                      <w:szCs w:val="21"/>
                    </w:rPr>
                  </w:pPr>
                </w:p>
              </w:tc>
              <w:tc>
                <w:tcPr>
                  <w:tcW w:w="550" w:type="dxa"/>
                  <w:vMerge w:val="continue"/>
                  <w:tcBorders>
                    <w:left w:val="single" w:color="auto" w:sz="4" w:space="0"/>
                    <w:right w:val="single" w:color="auto" w:sz="4" w:space="0"/>
                  </w:tcBorders>
                  <w:vAlign w:val="center"/>
                </w:tcPr>
                <w:p w14:paraId="7C70E892">
                  <w:pPr>
                    <w:jc w:val="center"/>
                    <w:rPr>
                      <w:szCs w:val="21"/>
                    </w:rPr>
                  </w:pPr>
                </w:p>
              </w:tc>
              <w:tc>
                <w:tcPr>
                  <w:tcW w:w="562" w:type="dxa"/>
                  <w:vMerge w:val="continue"/>
                  <w:tcBorders>
                    <w:left w:val="single" w:color="auto" w:sz="4" w:space="0"/>
                    <w:right w:val="single" w:color="auto" w:sz="4" w:space="0"/>
                  </w:tcBorders>
                  <w:vAlign w:val="center"/>
                </w:tcPr>
                <w:p w14:paraId="16BB41A3">
                  <w:pPr>
                    <w:jc w:val="center"/>
                    <w:rPr>
                      <w:szCs w:val="21"/>
                    </w:rPr>
                  </w:pPr>
                </w:p>
              </w:tc>
              <w:tc>
                <w:tcPr>
                  <w:tcW w:w="654" w:type="dxa"/>
                  <w:vMerge w:val="continue"/>
                  <w:tcBorders>
                    <w:left w:val="single" w:color="auto" w:sz="4" w:space="0"/>
                    <w:right w:val="single" w:color="auto" w:sz="4" w:space="0"/>
                  </w:tcBorders>
                  <w:vAlign w:val="center"/>
                </w:tcPr>
                <w:p w14:paraId="77D82355">
                  <w:pPr>
                    <w:jc w:val="center"/>
                    <w:rPr>
                      <w:szCs w:val="21"/>
                    </w:rPr>
                  </w:pPr>
                </w:p>
              </w:tc>
              <w:tc>
                <w:tcPr>
                  <w:tcW w:w="625" w:type="dxa"/>
                  <w:tcBorders>
                    <w:top w:val="single" w:color="auto" w:sz="4" w:space="0"/>
                    <w:left w:val="single" w:color="auto" w:sz="4" w:space="0"/>
                    <w:bottom w:val="single" w:color="auto" w:sz="4" w:space="0"/>
                    <w:right w:val="single" w:color="auto" w:sz="4" w:space="0"/>
                  </w:tcBorders>
                  <w:vAlign w:val="center"/>
                </w:tcPr>
                <w:p w14:paraId="72831A41">
                  <w:pPr>
                    <w:jc w:val="center"/>
                    <w:rPr>
                      <w:szCs w:val="21"/>
                    </w:rPr>
                  </w:pPr>
                  <w:r>
                    <w:rPr>
                      <w:szCs w:val="21"/>
                    </w:rPr>
                    <w:t>氟化物</w:t>
                  </w:r>
                </w:p>
              </w:tc>
              <w:tc>
                <w:tcPr>
                  <w:tcW w:w="940" w:type="dxa"/>
                  <w:tcBorders>
                    <w:top w:val="single" w:color="auto" w:sz="4" w:space="0"/>
                    <w:left w:val="single" w:color="auto" w:sz="4" w:space="0"/>
                    <w:bottom w:val="single" w:color="auto" w:sz="4" w:space="0"/>
                    <w:right w:val="single" w:color="auto" w:sz="4" w:space="0"/>
                  </w:tcBorders>
                  <w:vAlign w:val="center"/>
                </w:tcPr>
                <w:p w14:paraId="1C6EA966">
                  <w:pPr>
                    <w:jc w:val="center"/>
                    <w:rPr>
                      <w:rFonts w:eastAsia="等线"/>
                      <w:szCs w:val="21"/>
                    </w:rPr>
                  </w:pPr>
                  <w:r>
                    <w:rPr>
                      <w:rFonts w:eastAsia="等线"/>
                      <w:szCs w:val="21"/>
                    </w:rPr>
                    <w:t xml:space="preserve">2.81 </w:t>
                  </w:r>
                </w:p>
              </w:tc>
              <w:tc>
                <w:tcPr>
                  <w:tcW w:w="1035" w:type="dxa"/>
                  <w:tcBorders>
                    <w:top w:val="single" w:color="auto" w:sz="4" w:space="0"/>
                    <w:left w:val="single" w:color="auto" w:sz="4" w:space="0"/>
                    <w:bottom w:val="single" w:color="auto" w:sz="4" w:space="0"/>
                    <w:right w:val="single" w:color="auto" w:sz="4" w:space="0"/>
                  </w:tcBorders>
                  <w:vAlign w:val="center"/>
                </w:tcPr>
                <w:p w14:paraId="2225BC24">
                  <w:pPr>
                    <w:jc w:val="center"/>
                    <w:rPr>
                      <w:rFonts w:eastAsia="等线"/>
                      <w:szCs w:val="21"/>
                    </w:rPr>
                  </w:pPr>
                  <w:r>
                    <w:rPr>
                      <w:rFonts w:eastAsia="等线"/>
                      <w:szCs w:val="21"/>
                    </w:rPr>
                    <w:t xml:space="preserve">0.226 </w:t>
                  </w:r>
                </w:p>
              </w:tc>
              <w:tc>
                <w:tcPr>
                  <w:tcW w:w="871" w:type="dxa"/>
                  <w:tcBorders>
                    <w:top w:val="single" w:color="auto" w:sz="4" w:space="0"/>
                    <w:left w:val="single" w:color="auto" w:sz="4" w:space="0"/>
                    <w:bottom w:val="single" w:color="auto" w:sz="4" w:space="0"/>
                    <w:right w:val="single" w:color="auto" w:sz="4" w:space="0"/>
                  </w:tcBorders>
                  <w:vAlign w:val="center"/>
                </w:tcPr>
                <w:p w14:paraId="4FDF4BE8">
                  <w:pPr>
                    <w:jc w:val="center"/>
                    <w:rPr>
                      <w:rFonts w:eastAsia="等线"/>
                      <w:szCs w:val="21"/>
                    </w:rPr>
                  </w:pPr>
                  <w:r>
                    <w:rPr>
                      <w:rFonts w:eastAsia="等线"/>
                      <w:szCs w:val="21"/>
                    </w:rPr>
                    <w:t xml:space="preserve">1.086 </w:t>
                  </w:r>
                </w:p>
              </w:tc>
            </w:tr>
          </w:tbl>
          <w:p w14:paraId="51D23F2D">
            <w:pPr>
              <w:jc w:val="left"/>
            </w:pPr>
          </w:p>
          <w:p w14:paraId="27A21EE0">
            <w:pPr>
              <w:widowControl/>
              <w:snapToGrid w:val="0"/>
              <w:jc w:val="center"/>
              <w:rPr>
                <w:b/>
                <w:snapToGrid w:val="0"/>
                <w:kern w:val="0"/>
                <w:sz w:val="24"/>
              </w:rPr>
            </w:pPr>
            <w:r>
              <w:rPr>
                <w:b/>
                <w:snapToGrid w:val="0"/>
                <w:kern w:val="0"/>
                <w:sz w:val="24"/>
              </w:rPr>
              <w:t>表</w:t>
            </w:r>
            <w:r>
              <w:rPr>
                <w:b/>
                <w:sz w:val="24"/>
              </w:rPr>
              <w:t>4-3</w:t>
            </w:r>
            <w:r>
              <w:rPr>
                <w:b/>
                <w:snapToGrid w:val="0"/>
                <w:kern w:val="0"/>
                <w:sz w:val="24"/>
              </w:rPr>
              <w:t xml:space="preserve">  大气污染物无组织排放量核算表</w:t>
            </w:r>
          </w:p>
          <w:tbl>
            <w:tblPr>
              <w:tblStyle w:val="25"/>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74"/>
              <w:gridCol w:w="1295"/>
              <w:gridCol w:w="1435"/>
              <w:gridCol w:w="2636"/>
              <w:gridCol w:w="1221"/>
              <w:gridCol w:w="871"/>
            </w:tblGrid>
            <w:tr w14:paraId="3011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vMerge w:val="restart"/>
                  <w:tcBorders>
                    <w:top w:val="single" w:color="auto" w:sz="4" w:space="0"/>
                    <w:left w:val="single" w:color="auto" w:sz="4" w:space="0"/>
                    <w:bottom w:val="single" w:color="auto" w:sz="4" w:space="0"/>
                    <w:right w:val="single" w:color="auto" w:sz="4" w:space="0"/>
                  </w:tcBorders>
                  <w:vAlign w:val="center"/>
                </w:tcPr>
                <w:p w14:paraId="7C15B625">
                  <w:pPr>
                    <w:jc w:val="center"/>
                    <w:rPr>
                      <w:b/>
                      <w:szCs w:val="21"/>
                    </w:rPr>
                  </w:pPr>
                  <w:r>
                    <w:rPr>
                      <w:b/>
                      <w:szCs w:val="21"/>
                    </w:rPr>
                    <w:t>序号</w:t>
                  </w:r>
                </w:p>
              </w:tc>
              <w:tc>
                <w:tcPr>
                  <w:tcW w:w="874" w:type="dxa"/>
                  <w:vMerge w:val="restart"/>
                  <w:tcBorders>
                    <w:top w:val="single" w:color="auto" w:sz="4" w:space="0"/>
                    <w:left w:val="single" w:color="auto" w:sz="4" w:space="0"/>
                    <w:bottom w:val="single" w:color="auto" w:sz="4" w:space="0"/>
                    <w:right w:val="single" w:color="auto" w:sz="4" w:space="0"/>
                  </w:tcBorders>
                  <w:vAlign w:val="center"/>
                </w:tcPr>
                <w:p w14:paraId="774DD57B">
                  <w:pPr>
                    <w:jc w:val="center"/>
                    <w:rPr>
                      <w:b/>
                      <w:szCs w:val="21"/>
                    </w:rPr>
                  </w:pPr>
                  <w:r>
                    <w:rPr>
                      <w:b/>
                      <w:szCs w:val="21"/>
                    </w:rPr>
                    <w:t>排放口</w:t>
                  </w:r>
                </w:p>
              </w:tc>
              <w:tc>
                <w:tcPr>
                  <w:tcW w:w="1295" w:type="dxa"/>
                  <w:vMerge w:val="restart"/>
                  <w:tcBorders>
                    <w:top w:val="single" w:color="auto" w:sz="4" w:space="0"/>
                    <w:left w:val="single" w:color="auto" w:sz="4" w:space="0"/>
                    <w:bottom w:val="single" w:color="auto" w:sz="4" w:space="0"/>
                    <w:right w:val="single" w:color="auto" w:sz="4" w:space="0"/>
                  </w:tcBorders>
                  <w:vAlign w:val="center"/>
                </w:tcPr>
                <w:p w14:paraId="140E8732">
                  <w:pPr>
                    <w:jc w:val="center"/>
                    <w:rPr>
                      <w:b/>
                      <w:szCs w:val="21"/>
                    </w:rPr>
                  </w:pPr>
                  <w:r>
                    <w:rPr>
                      <w:b/>
                      <w:szCs w:val="21"/>
                    </w:rPr>
                    <w:t>产污环节</w:t>
                  </w:r>
                </w:p>
              </w:tc>
              <w:tc>
                <w:tcPr>
                  <w:tcW w:w="1435" w:type="dxa"/>
                  <w:vMerge w:val="restart"/>
                  <w:tcBorders>
                    <w:top w:val="single" w:color="auto" w:sz="4" w:space="0"/>
                    <w:left w:val="single" w:color="auto" w:sz="4" w:space="0"/>
                    <w:bottom w:val="single" w:color="auto" w:sz="4" w:space="0"/>
                    <w:right w:val="single" w:color="auto" w:sz="4" w:space="0"/>
                  </w:tcBorders>
                  <w:vAlign w:val="center"/>
                </w:tcPr>
                <w:p w14:paraId="69D97635">
                  <w:pPr>
                    <w:jc w:val="center"/>
                    <w:rPr>
                      <w:b/>
                      <w:szCs w:val="21"/>
                    </w:rPr>
                  </w:pPr>
                  <w:r>
                    <w:rPr>
                      <w:b/>
                      <w:szCs w:val="21"/>
                    </w:rPr>
                    <w:t>污染物</w:t>
                  </w:r>
                </w:p>
              </w:tc>
              <w:tc>
                <w:tcPr>
                  <w:tcW w:w="3857" w:type="dxa"/>
                  <w:gridSpan w:val="2"/>
                  <w:tcBorders>
                    <w:top w:val="single" w:color="auto" w:sz="4" w:space="0"/>
                    <w:left w:val="single" w:color="auto" w:sz="4" w:space="0"/>
                    <w:bottom w:val="single" w:color="auto" w:sz="4" w:space="0"/>
                    <w:right w:val="single" w:color="auto" w:sz="4" w:space="0"/>
                  </w:tcBorders>
                  <w:vAlign w:val="center"/>
                </w:tcPr>
                <w:p w14:paraId="171965DB">
                  <w:pPr>
                    <w:jc w:val="center"/>
                    <w:rPr>
                      <w:b/>
                      <w:szCs w:val="21"/>
                    </w:rPr>
                  </w:pPr>
                  <w:r>
                    <w:rPr>
                      <w:b/>
                      <w:szCs w:val="21"/>
                    </w:rPr>
                    <w:t>排放标准</w:t>
                  </w:r>
                </w:p>
              </w:tc>
              <w:tc>
                <w:tcPr>
                  <w:tcW w:w="871" w:type="dxa"/>
                  <w:vMerge w:val="restart"/>
                  <w:tcBorders>
                    <w:top w:val="single" w:color="auto" w:sz="4" w:space="0"/>
                    <w:left w:val="single" w:color="auto" w:sz="4" w:space="0"/>
                    <w:bottom w:val="single" w:color="auto" w:sz="4" w:space="0"/>
                    <w:right w:val="single" w:color="auto" w:sz="4" w:space="0"/>
                  </w:tcBorders>
                  <w:vAlign w:val="center"/>
                </w:tcPr>
                <w:p w14:paraId="4219FCD8">
                  <w:pPr>
                    <w:jc w:val="center"/>
                    <w:rPr>
                      <w:b/>
                      <w:szCs w:val="21"/>
                    </w:rPr>
                  </w:pPr>
                  <w:r>
                    <w:rPr>
                      <w:b/>
                      <w:szCs w:val="21"/>
                    </w:rPr>
                    <w:t>核算年排放量（t/a）</w:t>
                  </w:r>
                </w:p>
              </w:tc>
            </w:tr>
            <w:tr w14:paraId="7CD2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vMerge w:val="continue"/>
                  <w:tcBorders>
                    <w:top w:val="single" w:color="auto" w:sz="4" w:space="0"/>
                    <w:left w:val="single" w:color="auto" w:sz="4" w:space="0"/>
                    <w:bottom w:val="single" w:color="auto" w:sz="4" w:space="0"/>
                    <w:right w:val="single" w:color="auto" w:sz="4" w:space="0"/>
                  </w:tcBorders>
                  <w:vAlign w:val="center"/>
                </w:tcPr>
                <w:p w14:paraId="538B8A0E">
                  <w:pPr>
                    <w:widowControl/>
                    <w:jc w:val="left"/>
                    <w:rPr>
                      <w:szCs w:val="21"/>
                    </w:rPr>
                  </w:pPr>
                </w:p>
              </w:tc>
              <w:tc>
                <w:tcPr>
                  <w:tcW w:w="874" w:type="dxa"/>
                  <w:vMerge w:val="continue"/>
                  <w:tcBorders>
                    <w:top w:val="single" w:color="auto" w:sz="4" w:space="0"/>
                    <w:left w:val="single" w:color="auto" w:sz="4" w:space="0"/>
                    <w:bottom w:val="single" w:color="auto" w:sz="4" w:space="0"/>
                    <w:right w:val="single" w:color="auto" w:sz="4" w:space="0"/>
                  </w:tcBorders>
                  <w:vAlign w:val="center"/>
                </w:tcPr>
                <w:p w14:paraId="0EF76601">
                  <w:pPr>
                    <w:widowControl/>
                    <w:jc w:val="left"/>
                    <w:rPr>
                      <w:szCs w:val="21"/>
                    </w:rPr>
                  </w:pPr>
                </w:p>
              </w:tc>
              <w:tc>
                <w:tcPr>
                  <w:tcW w:w="1295" w:type="dxa"/>
                  <w:vMerge w:val="continue"/>
                  <w:tcBorders>
                    <w:top w:val="single" w:color="auto" w:sz="4" w:space="0"/>
                    <w:left w:val="single" w:color="auto" w:sz="4" w:space="0"/>
                    <w:bottom w:val="single" w:color="auto" w:sz="4" w:space="0"/>
                    <w:right w:val="single" w:color="auto" w:sz="4" w:space="0"/>
                  </w:tcBorders>
                  <w:vAlign w:val="center"/>
                </w:tcPr>
                <w:p w14:paraId="4A184B45">
                  <w:pPr>
                    <w:widowControl/>
                    <w:jc w:val="left"/>
                    <w:rPr>
                      <w:szCs w:val="21"/>
                    </w:rPr>
                  </w:pPr>
                </w:p>
              </w:tc>
              <w:tc>
                <w:tcPr>
                  <w:tcW w:w="1435" w:type="dxa"/>
                  <w:vMerge w:val="continue"/>
                  <w:tcBorders>
                    <w:top w:val="single" w:color="auto" w:sz="4" w:space="0"/>
                    <w:left w:val="single" w:color="auto" w:sz="4" w:space="0"/>
                    <w:bottom w:val="single" w:color="auto" w:sz="4" w:space="0"/>
                    <w:right w:val="single" w:color="auto" w:sz="4" w:space="0"/>
                  </w:tcBorders>
                  <w:vAlign w:val="center"/>
                </w:tcPr>
                <w:p w14:paraId="06DD8FF8">
                  <w:pPr>
                    <w:widowControl/>
                    <w:jc w:val="left"/>
                    <w:rPr>
                      <w:szCs w:val="21"/>
                    </w:rPr>
                  </w:pPr>
                </w:p>
              </w:tc>
              <w:tc>
                <w:tcPr>
                  <w:tcW w:w="2636" w:type="dxa"/>
                  <w:tcBorders>
                    <w:top w:val="single" w:color="auto" w:sz="4" w:space="0"/>
                    <w:left w:val="single" w:color="auto" w:sz="4" w:space="0"/>
                    <w:bottom w:val="single" w:color="auto" w:sz="4" w:space="0"/>
                    <w:right w:val="single" w:color="auto" w:sz="4" w:space="0"/>
                  </w:tcBorders>
                  <w:vAlign w:val="center"/>
                </w:tcPr>
                <w:p w14:paraId="55A40D9D">
                  <w:pPr>
                    <w:jc w:val="center"/>
                    <w:rPr>
                      <w:b/>
                      <w:szCs w:val="21"/>
                    </w:rPr>
                  </w:pPr>
                  <w:r>
                    <w:rPr>
                      <w:b/>
                      <w:szCs w:val="21"/>
                    </w:rPr>
                    <w:t>标准名称</w:t>
                  </w:r>
                </w:p>
              </w:tc>
              <w:tc>
                <w:tcPr>
                  <w:tcW w:w="1221" w:type="dxa"/>
                  <w:tcBorders>
                    <w:top w:val="single" w:color="auto" w:sz="4" w:space="0"/>
                    <w:left w:val="single" w:color="auto" w:sz="4" w:space="0"/>
                    <w:bottom w:val="single" w:color="auto" w:sz="4" w:space="0"/>
                    <w:right w:val="single" w:color="auto" w:sz="4" w:space="0"/>
                  </w:tcBorders>
                  <w:vAlign w:val="center"/>
                </w:tcPr>
                <w:p w14:paraId="0E0F5C89">
                  <w:pPr>
                    <w:jc w:val="center"/>
                    <w:rPr>
                      <w:b/>
                      <w:szCs w:val="21"/>
                    </w:rPr>
                  </w:pPr>
                  <w:r>
                    <w:rPr>
                      <w:b/>
                      <w:szCs w:val="21"/>
                    </w:rPr>
                    <w:t>浓度限值（mg/m</w:t>
                  </w:r>
                  <w:r>
                    <w:rPr>
                      <w:b/>
                      <w:szCs w:val="21"/>
                      <w:vertAlign w:val="superscript"/>
                    </w:rPr>
                    <w:t>3</w:t>
                  </w:r>
                  <w:r>
                    <w:rPr>
                      <w:b/>
                      <w:szCs w:val="21"/>
                    </w:rPr>
                    <w:t>）</w:t>
                  </w:r>
                </w:p>
              </w:tc>
              <w:tc>
                <w:tcPr>
                  <w:tcW w:w="871" w:type="dxa"/>
                  <w:vMerge w:val="continue"/>
                  <w:tcBorders>
                    <w:top w:val="single" w:color="auto" w:sz="4" w:space="0"/>
                    <w:left w:val="single" w:color="auto" w:sz="4" w:space="0"/>
                    <w:bottom w:val="single" w:color="auto" w:sz="4" w:space="0"/>
                    <w:right w:val="single" w:color="auto" w:sz="4" w:space="0"/>
                  </w:tcBorders>
                  <w:vAlign w:val="center"/>
                </w:tcPr>
                <w:p w14:paraId="7FA4AC91">
                  <w:pPr>
                    <w:widowControl/>
                    <w:jc w:val="left"/>
                    <w:rPr>
                      <w:szCs w:val="21"/>
                    </w:rPr>
                  </w:pPr>
                </w:p>
              </w:tc>
            </w:tr>
            <w:tr w14:paraId="34D9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right w:val="single" w:color="auto" w:sz="4" w:space="0"/>
                  </w:tcBorders>
                  <w:vAlign w:val="center"/>
                </w:tcPr>
                <w:p w14:paraId="18C85A0E">
                  <w:pPr>
                    <w:jc w:val="center"/>
                    <w:rPr>
                      <w:szCs w:val="21"/>
                    </w:rPr>
                  </w:pPr>
                  <w:r>
                    <w:rPr>
                      <w:szCs w:val="21"/>
                    </w:rPr>
                    <w:t>1</w:t>
                  </w:r>
                </w:p>
              </w:tc>
              <w:tc>
                <w:tcPr>
                  <w:tcW w:w="874" w:type="dxa"/>
                  <w:tcBorders>
                    <w:top w:val="single" w:color="auto" w:sz="4" w:space="0"/>
                    <w:left w:val="single" w:color="auto" w:sz="4" w:space="0"/>
                    <w:right w:val="single" w:color="auto" w:sz="4" w:space="0"/>
                  </w:tcBorders>
                  <w:vAlign w:val="center"/>
                </w:tcPr>
                <w:p w14:paraId="2BD140C8">
                  <w:pPr>
                    <w:jc w:val="center"/>
                    <w:rPr>
                      <w:szCs w:val="21"/>
                    </w:rPr>
                  </w:pPr>
                  <w:r>
                    <w:rPr>
                      <w:szCs w:val="21"/>
                    </w:rPr>
                    <w:t>/</w:t>
                  </w:r>
                </w:p>
              </w:tc>
              <w:tc>
                <w:tcPr>
                  <w:tcW w:w="1295" w:type="dxa"/>
                  <w:tcBorders>
                    <w:left w:val="single" w:color="auto" w:sz="4" w:space="0"/>
                    <w:right w:val="single" w:color="auto" w:sz="4" w:space="0"/>
                  </w:tcBorders>
                  <w:vAlign w:val="center"/>
                </w:tcPr>
                <w:p w14:paraId="79BCB22F">
                  <w:pPr>
                    <w:jc w:val="center"/>
                    <w:rPr>
                      <w:szCs w:val="21"/>
                    </w:rPr>
                  </w:pPr>
                  <w:r>
                    <w:rPr>
                      <w:szCs w:val="21"/>
                    </w:rPr>
                    <w:t>破碎、筛分</w:t>
                  </w:r>
                </w:p>
              </w:tc>
              <w:tc>
                <w:tcPr>
                  <w:tcW w:w="1435" w:type="dxa"/>
                  <w:tcBorders>
                    <w:top w:val="single" w:color="auto" w:sz="4" w:space="0"/>
                    <w:left w:val="single" w:color="auto" w:sz="4" w:space="0"/>
                    <w:bottom w:val="single" w:color="auto" w:sz="4" w:space="0"/>
                    <w:right w:val="single" w:color="auto" w:sz="4" w:space="0"/>
                  </w:tcBorders>
                  <w:vAlign w:val="center"/>
                </w:tcPr>
                <w:p w14:paraId="433758AF">
                  <w:pPr>
                    <w:jc w:val="center"/>
                    <w:rPr>
                      <w:szCs w:val="21"/>
                    </w:rPr>
                  </w:pPr>
                  <w:r>
                    <w:rPr>
                      <w:szCs w:val="21"/>
                    </w:rPr>
                    <w:t>颗粒物</w:t>
                  </w:r>
                </w:p>
              </w:tc>
              <w:tc>
                <w:tcPr>
                  <w:tcW w:w="2636" w:type="dxa"/>
                  <w:vMerge w:val="restart"/>
                  <w:tcBorders>
                    <w:left w:val="single" w:color="auto" w:sz="4" w:space="0"/>
                    <w:right w:val="single" w:color="auto" w:sz="4" w:space="0"/>
                  </w:tcBorders>
                  <w:vAlign w:val="center"/>
                </w:tcPr>
                <w:p w14:paraId="3B903645">
                  <w:pPr>
                    <w:jc w:val="center"/>
                    <w:rPr>
                      <w:spacing w:val="-12"/>
                      <w:szCs w:val="21"/>
                    </w:rPr>
                  </w:pPr>
                </w:p>
              </w:tc>
              <w:tc>
                <w:tcPr>
                  <w:tcW w:w="1221" w:type="dxa"/>
                  <w:tcBorders>
                    <w:top w:val="single" w:color="auto" w:sz="4" w:space="0"/>
                    <w:left w:val="single" w:color="auto" w:sz="4" w:space="0"/>
                    <w:bottom w:val="single" w:color="auto" w:sz="4" w:space="0"/>
                    <w:right w:val="single" w:color="auto" w:sz="4" w:space="0"/>
                  </w:tcBorders>
                  <w:vAlign w:val="center"/>
                </w:tcPr>
                <w:p w14:paraId="5CE30969">
                  <w:pPr>
                    <w:jc w:val="center"/>
                    <w:rPr>
                      <w:rFonts w:eastAsia="等线"/>
                      <w:szCs w:val="21"/>
                    </w:rPr>
                  </w:pPr>
                  <w:r>
                    <w:rPr>
                      <w:rFonts w:eastAsia="等线"/>
                      <w:szCs w:val="21"/>
                    </w:rPr>
                    <w:t>1</w:t>
                  </w:r>
                </w:p>
              </w:tc>
              <w:tc>
                <w:tcPr>
                  <w:tcW w:w="871" w:type="dxa"/>
                  <w:tcBorders>
                    <w:top w:val="single" w:color="auto" w:sz="4" w:space="0"/>
                    <w:left w:val="single" w:color="auto" w:sz="4" w:space="0"/>
                    <w:bottom w:val="single" w:color="auto" w:sz="4" w:space="0"/>
                    <w:right w:val="single" w:color="auto" w:sz="4" w:space="0"/>
                  </w:tcBorders>
                  <w:vAlign w:val="center"/>
                </w:tcPr>
                <w:p w14:paraId="58DB13E0">
                  <w:pPr>
                    <w:jc w:val="center"/>
                    <w:rPr>
                      <w:rFonts w:eastAsia="等线"/>
                      <w:szCs w:val="21"/>
                    </w:rPr>
                  </w:pPr>
                  <w:r>
                    <w:rPr>
                      <w:rFonts w:eastAsia="等线"/>
                      <w:szCs w:val="21"/>
                    </w:rPr>
                    <w:t xml:space="preserve">0.20 </w:t>
                  </w:r>
                </w:p>
              </w:tc>
            </w:tr>
            <w:tr w14:paraId="08EB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right w:val="single" w:color="auto" w:sz="4" w:space="0"/>
                  </w:tcBorders>
                  <w:vAlign w:val="center"/>
                </w:tcPr>
                <w:p w14:paraId="2AFC4EF4">
                  <w:pPr>
                    <w:jc w:val="center"/>
                    <w:rPr>
                      <w:szCs w:val="21"/>
                    </w:rPr>
                  </w:pPr>
                  <w:r>
                    <w:rPr>
                      <w:szCs w:val="21"/>
                    </w:rPr>
                    <w:t>2</w:t>
                  </w:r>
                </w:p>
              </w:tc>
              <w:tc>
                <w:tcPr>
                  <w:tcW w:w="874" w:type="dxa"/>
                  <w:tcBorders>
                    <w:top w:val="single" w:color="auto" w:sz="4" w:space="0"/>
                    <w:left w:val="single" w:color="auto" w:sz="4" w:space="0"/>
                    <w:right w:val="single" w:color="auto" w:sz="4" w:space="0"/>
                  </w:tcBorders>
                  <w:vAlign w:val="center"/>
                </w:tcPr>
                <w:p w14:paraId="60010AB2">
                  <w:pPr>
                    <w:jc w:val="center"/>
                    <w:rPr>
                      <w:szCs w:val="21"/>
                    </w:rPr>
                  </w:pPr>
                  <w:r>
                    <w:rPr>
                      <w:szCs w:val="21"/>
                    </w:rPr>
                    <w:t>/</w:t>
                  </w:r>
                </w:p>
              </w:tc>
              <w:tc>
                <w:tcPr>
                  <w:tcW w:w="1295" w:type="dxa"/>
                  <w:tcBorders>
                    <w:left w:val="single" w:color="auto" w:sz="4" w:space="0"/>
                    <w:right w:val="single" w:color="auto" w:sz="4" w:space="0"/>
                  </w:tcBorders>
                  <w:vAlign w:val="center"/>
                </w:tcPr>
                <w:p w14:paraId="6BAD8D13">
                  <w:pPr>
                    <w:jc w:val="center"/>
                    <w:rPr>
                      <w:szCs w:val="21"/>
                    </w:rPr>
                  </w:pPr>
                  <w:r>
                    <w:rPr>
                      <w:szCs w:val="21"/>
                    </w:rPr>
                    <w:t>原料堆存</w:t>
                  </w:r>
                </w:p>
              </w:tc>
              <w:tc>
                <w:tcPr>
                  <w:tcW w:w="1435" w:type="dxa"/>
                  <w:tcBorders>
                    <w:top w:val="single" w:color="auto" w:sz="4" w:space="0"/>
                    <w:left w:val="single" w:color="auto" w:sz="4" w:space="0"/>
                    <w:bottom w:val="single" w:color="auto" w:sz="4" w:space="0"/>
                    <w:right w:val="single" w:color="auto" w:sz="4" w:space="0"/>
                  </w:tcBorders>
                  <w:vAlign w:val="center"/>
                </w:tcPr>
                <w:p w14:paraId="135A57B3">
                  <w:pPr>
                    <w:jc w:val="center"/>
                    <w:rPr>
                      <w:szCs w:val="21"/>
                    </w:rPr>
                  </w:pPr>
                  <w:r>
                    <w:rPr>
                      <w:szCs w:val="21"/>
                    </w:rPr>
                    <w:t>颗粒物</w:t>
                  </w:r>
                </w:p>
              </w:tc>
              <w:tc>
                <w:tcPr>
                  <w:tcW w:w="2636" w:type="dxa"/>
                  <w:vMerge w:val="continue"/>
                  <w:tcBorders>
                    <w:left w:val="single" w:color="auto" w:sz="4" w:space="0"/>
                    <w:right w:val="single" w:color="auto" w:sz="4" w:space="0"/>
                  </w:tcBorders>
                  <w:vAlign w:val="center"/>
                </w:tcPr>
                <w:p w14:paraId="13738C50">
                  <w:pPr>
                    <w:jc w:val="center"/>
                    <w:rPr>
                      <w:spacing w:val="-12"/>
                      <w:szCs w:val="21"/>
                    </w:rPr>
                  </w:pPr>
                </w:p>
              </w:tc>
              <w:tc>
                <w:tcPr>
                  <w:tcW w:w="1221" w:type="dxa"/>
                  <w:tcBorders>
                    <w:top w:val="single" w:color="auto" w:sz="4" w:space="0"/>
                    <w:left w:val="single" w:color="auto" w:sz="4" w:space="0"/>
                    <w:bottom w:val="single" w:color="auto" w:sz="4" w:space="0"/>
                    <w:right w:val="single" w:color="auto" w:sz="4" w:space="0"/>
                  </w:tcBorders>
                  <w:vAlign w:val="center"/>
                </w:tcPr>
                <w:p w14:paraId="76A5DE1E">
                  <w:pPr>
                    <w:jc w:val="center"/>
                    <w:rPr>
                      <w:rFonts w:eastAsia="等线"/>
                      <w:szCs w:val="21"/>
                    </w:rPr>
                  </w:pPr>
                  <w:r>
                    <w:rPr>
                      <w:rFonts w:eastAsia="等线"/>
                      <w:szCs w:val="21"/>
                    </w:rPr>
                    <w:t>1</w:t>
                  </w:r>
                </w:p>
              </w:tc>
              <w:tc>
                <w:tcPr>
                  <w:tcW w:w="871" w:type="dxa"/>
                  <w:tcBorders>
                    <w:top w:val="single" w:color="auto" w:sz="4" w:space="0"/>
                    <w:left w:val="single" w:color="auto" w:sz="4" w:space="0"/>
                    <w:bottom w:val="single" w:color="auto" w:sz="4" w:space="0"/>
                    <w:right w:val="single" w:color="auto" w:sz="4" w:space="0"/>
                  </w:tcBorders>
                  <w:vAlign w:val="center"/>
                </w:tcPr>
                <w:p w14:paraId="219FE57D">
                  <w:pPr>
                    <w:jc w:val="center"/>
                    <w:rPr>
                      <w:rFonts w:eastAsia="等线"/>
                      <w:szCs w:val="21"/>
                    </w:rPr>
                  </w:pPr>
                </w:p>
              </w:tc>
            </w:tr>
          </w:tbl>
          <w:p w14:paraId="60F09E1B">
            <w:pPr>
              <w:widowControl/>
              <w:snapToGrid w:val="0"/>
              <w:jc w:val="center"/>
              <w:rPr>
                <w:b/>
                <w:snapToGrid w:val="0"/>
                <w:kern w:val="0"/>
                <w:sz w:val="24"/>
              </w:rPr>
            </w:pPr>
            <w:r>
              <w:rPr>
                <w:b/>
                <w:snapToGrid w:val="0"/>
                <w:kern w:val="0"/>
                <w:sz w:val="24"/>
              </w:rPr>
              <w:t>表</w:t>
            </w:r>
            <w:r>
              <w:rPr>
                <w:b/>
                <w:sz w:val="24"/>
              </w:rPr>
              <w:t>4-4</w:t>
            </w:r>
            <w:r>
              <w:rPr>
                <w:b/>
                <w:snapToGrid w:val="0"/>
                <w:kern w:val="0"/>
                <w:sz w:val="24"/>
              </w:rPr>
              <w:t xml:space="preserve">  大气污染物年排放量核算表</w:t>
            </w:r>
          </w:p>
          <w:tbl>
            <w:tblPr>
              <w:tblStyle w:val="25"/>
              <w:tblW w:w="900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5"/>
              <w:gridCol w:w="3367"/>
              <w:gridCol w:w="4850"/>
            </w:tblGrid>
            <w:tr w14:paraId="1DD0F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85" w:type="dxa"/>
                  <w:vAlign w:val="center"/>
                </w:tcPr>
                <w:p w14:paraId="22B865E5">
                  <w:pPr>
                    <w:jc w:val="center"/>
                    <w:rPr>
                      <w:b/>
                      <w:szCs w:val="21"/>
                    </w:rPr>
                  </w:pPr>
                  <w:r>
                    <w:rPr>
                      <w:b/>
                      <w:szCs w:val="21"/>
                    </w:rPr>
                    <w:t>序号</w:t>
                  </w:r>
                </w:p>
              </w:tc>
              <w:tc>
                <w:tcPr>
                  <w:tcW w:w="3367" w:type="dxa"/>
                  <w:vAlign w:val="center"/>
                </w:tcPr>
                <w:p w14:paraId="24DC5EFB">
                  <w:pPr>
                    <w:jc w:val="center"/>
                    <w:rPr>
                      <w:b/>
                      <w:szCs w:val="21"/>
                    </w:rPr>
                  </w:pPr>
                  <w:r>
                    <w:rPr>
                      <w:b/>
                      <w:szCs w:val="21"/>
                    </w:rPr>
                    <w:t>污染物</w:t>
                  </w:r>
                </w:p>
              </w:tc>
              <w:tc>
                <w:tcPr>
                  <w:tcW w:w="4850" w:type="dxa"/>
                  <w:vAlign w:val="center"/>
                </w:tcPr>
                <w:p w14:paraId="75AD2625">
                  <w:pPr>
                    <w:jc w:val="center"/>
                    <w:rPr>
                      <w:b/>
                      <w:szCs w:val="21"/>
                    </w:rPr>
                  </w:pPr>
                  <w:r>
                    <w:rPr>
                      <w:b/>
                      <w:szCs w:val="21"/>
                    </w:rPr>
                    <w:t>年排放量（t/a）</w:t>
                  </w:r>
                </w:p>
              </w:tc>
            </w:tr>
            <w:tr w14:paraId="07774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85" w:type="dxa"/>
                  <w:vAlign w:val="center"/>
                </w:tcPr>
                <w:p w14:paraId="083F7328">
                  <w:pPr>
                    <w:jc w:val="center"/>
                    <w:rPr>
                      <w:szCs w:val="21"/>
                    </w:rPr>
                  </w:pPr>
                  <w:r>
                    <w:rPr>
                      <w:szCs w:val="21"/>
                    </w:rPr>
                    <w:t>1</w:t>
                  </w:r>
                </w:p>
              </w:tc>
              <w:tc>
                <w:tcPr>
                  <w:tcW w:w="3367" w:type="dxa"/>
                  <w:vAlign w:val="center"/>
                </w:tcPr>
                <w:p w14:paraId="0227F9EE">
                  <w:pPr>
                    <w:jc w:val="center"/>
                    <w:rPr>
                      <w:szCs w:val="21"/>
                    </w:rPr>
                  </w:pPr>
                  <w:r>
                    <w:rPr>
                      <w:szCs w:val="21"/>
                    </w:rPr>
                    <w:t>颗粒物</w:t>
                  </w:r>
                </w:p>
              </w:tc>
              <w:tc>
                <w:tcPr>
                  <w:tcW w:w="4850" w:type="dxa"/>
                  <w:vAlign w:val="center"/>
                </w:tcPr>
                <w:p w14:paraId="7412E208">
                  <w:pPr>
                    <w:widowControl/>
                    <w:jc w:val="center"/>
                    <w:rPr>
                      <w:rFonts w:eastAsia="等线"/>
                      <w:kern w:val="0"/>
                      <w:szCs w:val="21"/>
                    </w:rPr>
                  </w:pPr>
                  <w:r>
                    <w:rPr>
                      <w:rFonts w:eastAsia="等线"/>
                      <w:szCs w:val="21"/>
                    </w:rPr>
                    <w:t xml:space="preserve">2.562 </w:t>
                  </w:r>
                </w:p>
              </w:tc>
            </w:tr>
            <w:tr w14:paraId="2B1D7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85" w:type="dxa"/>
                  <w:vAlign w:val="center"/>
                </w:tcPr>
                <w:p w14:paraId="56838D52">
                  <w:pPr>
                    <w:jc w:val="center"/>
                    <w:rPr>
                      <w:szCs w:val="21"/>
                    </w:rPr>
                  </w:pPr>
                  <w:r>
                    <w:rPr>
                      <w:szCs w:val="21"/>
                    </w:rPr>
                    <w:t>2</w:t>
                  </w:r>
                </w:p>
              </w:tc>
              <w:tc>
                <w:tcPr>
                  <w:tcW w:w="3367" w:type="dxa"/>
                  <w:vAlign w:val="center"/>
                </w:tcPr>
                <w:p w14:paraId="0CFE5E32">
                  <w:pPr>
                    <w:jc w:val="center"/>
                    <w:rPr>
                      <w:szCs w:val="21"/>
                    </w:rPr>
                  </w:pPr>
                  <w:r>
                    <w:rPr>
                      <w:szCs w:val="21"/>
                    </w:rPr>
                    <w:t>SO</w:t>
                  </w:r>
                  <w:r>
                    <w:rPr>
                      <w:rStyle w:val="90"/>
                      <w:rFonts w:hint="default" w:ascii="Times New Roman" w:hAnsi="Times New Roman"/>
                      <w:color w:val="auto"/>
                      <w:szCs w:val="21"/>
                      <w:vertAlign w:val="subscript"/>
                    </w:rPr>
                    <w:t>2</w:t>
                  </w:r>
                </w:p>
              </w:tc>
              <w:tc>
                <w:tcPr>
                  <w:tcW w:w="4850" w:type="dxa"/>
                  <w:vAlign w:val="center"/>
                </w:tcPr>
                <w:p w14:paraId="7B3F5060">
                  <w:pPr>
                    <w:jc w:val="center"/>
                    <w:rPr>
                      <w:rFonts w:eastAsia="等线"/>
                      <w:szCs w:val="21"/>
                    </w:rPr>
                  </w:pPr>
                  <w:r>
                    <w:rPr>
                      <w:rFonts w:eastAsia="等线"/>
                      <w:szCs w:val="21"/>
                    </w:rPr>
                    <w:t xml:space="preserve">19.980 </w:t>
                  </w:r>
                </w:p>
              </w:tc>
            </w:tr>
            <w:tr w14:paraId="78EB0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85" w:type="dxa"/>
                  <w:vAlign w:val="center"/>
                </w:tcPr>
                <w:p w14:paraId="70398C6F">
                  <w:pPr>
                    <w:jc w:val="center"/>
                    <w:rPr>
                      <w:szCs w:val="21"/>
                    </w:rPr>
                  </w:pPr>
                  <w:r>
                    <w:rPr>
                      <w:szCs w:val="21"/>
                    </w:rPr>
                    <w:t>3</w:t>
                  </w:r>
                </w:p>
              </w:tc>
              <w:tc>
                <w:tcPr>
                  <w:tcW w:w="3367" w:type="dxa"/>
                  <w:vAlign w:val="center"/>
                </w:tcPr>
                <w:p w14:paraId="77187675">
                  <w:pPr>
                    <w:jc w:val="center"/>
                    <w:rPr>
                      <w:szCs w:val="21"/>
                    </w:rPr>
                  </w:pPr>
                  <w:r>
                    <w:rPr>
                      <w:szCs w:val="21"/>
                    </w:rPr>
                    <w:t>NOx</w:t>
                  </w:r>
                </w:p>
              </w:tc>
              <w:tc>
                <w:tcPr>
                  <w:tcW w:w="4850" w:type="dxa"/>
                  <w:vAlign w:val="center"/>
                </w:tcPr>
                <w:p w14:paraId="7E2C8ED3">
                  <w:pPr>
                    <w:jc w:val="center"/>
                    <w:rPr>
                      <w:rFonts w:eastAsia="等线"/>
                      <w:szCs w:val="21"/>
                    </w:rPr>
                  </w:pPr>
                  <w:r>
                    <w:rPr>
                      <w:rFonts w:eastAsia="等线"/>
                      <w:szCs w:val="21"/>
                    </w:rPr>
                    <w:t xml:space="preserve">14.940 </w:t>
                  </w:r>
                </w:p>
              </w:tc>
            </w:tr>
            <w:tr w14:paraId="404EC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85" w:type="dxa"/>
                  <w:vAlign w:val="center"/>
                </w:tcPr>
                <w:p w14:paraId="04FD61FD">
                  <w:pPr>
                    <w:jc w:val="center"/>
                    <w:rPr>
                      <w:szCs w:val="21"/>
                    </w:rPr>
                  </w:pPr>
                  <w:r>
                    <w:rPr>
                      <w:szCs w:val="21"/>
                    </w:rPr>
                    <w:t>4</w:t>
                  </w:r>
                </w:p>
              </w:tc>
              <w:tc>
                <w:tcPr>
                  <w:tcW w:w="3367" w:type="dxa"/>
                  <w:vAlign w:val="center"/>
                </w:tcPr>
                <w:p w14:paraId="4D737401">
                  <w:pPr>
                    <w:jc w:val="center"/>
                    <w:rPr>
                      <w:szCs w:val="21"/>
                    </w:rPr>
                  </w:pPr>
                  <w:r>
                    <w:rPr>
                      <w:szCs w:val="21"/>
                    </w:rPr>
                    <w:t>氟化物</w:t>
                  </w:r>
                </w:p>
              </w:tc>
              <w:tc>
                <w:tcPr>
                  <w:tcW w:w="4850" w:type="dxa"/>
                  <w:vAlign w:val="center"/>
                </w:tcPr>
                <w:p w14:paraId="0FCA0C16">
                  <w:pPr>
                    <w:jc w:val="center"/>
                    <w:rPr>
                      <w:rFonts w:eastAsia="等线"/>
                      <w:szCs w:val="21"/>
                    </w:rPr>
                  </w:pPr>
                  <w:r>
                    <w:rPr>
                      <w:rFonts w:eastAsia="等线"/>
                      <w:szCs w:val="21"/>
                    </w:rPr>
                    <w:t xml:space="preserve">1.086 </w:t>
                  </w:r>
                </w:p>
              </w:tc>
            </w:tr>
          </w:tbl>
          <w:p w14:paraId="1BC72EE9"/>
          <w:p w14:paraId="1A63381C">
            <w:pPr>
              <w:adjustRightInd w:val="0"/>
              <w:snapToGrid w:val="0"/>
              <w:spacing w:line="360" w:lineRule="auto"/>
              <w:ind w:firstLine="482" w:firstLineChars="200"/>
              <w:rPr>
                <w:b/>
                <w:bCs/>
                <w:kern w:val="0"/>
                <w:sz w:val="24"/>
              </w:rPr>
            </w:pPr>
            <w:r>
              <w:rPr>
                <w:b/>
                <w:bCs/>
                <w:kern w:val="0"/>
                <w:sz w:val="24"/>
              </w:rPr>
              <w:t>1.4、废气影响分析</w:t>
            </w:r>
          </w:p>
          <w:p w14:paraId="7459B31B">
            <w:pPr>
              <w:adjustRightInd w:val="0"/>
              <w:snapToGrid w:val="0"/>
              <w:spacing w:line="360" w:lineRule="auto"/>
              <w:ind w:firstLine="480" w:firstLineChars="200"/>
              <w:rPr>
                <w:kern w:val="0"/>
                <w:sz w:val="24"/>
              </w:rPr>
            </w:pPr>
            <w:r>
              <w:rPr>
                <w:kern w:val="0"/>
                <w:sz w:val="24"/>
              </w:rPr>
              <w:t>项目区域属于环境空气二类功能区，为达标区，环境空气质量满足《环境空气质量标准》（GB3095-2012）中二级标准，环境空气质量现状良好。经对照本项目采取的各项废气污染治理设施属于污染防治可行技术，在严格采取以上污染治理措施后，可有效控制污染物排放，项目对外环境的影响较小，不会改变周边环境质量。</w:t>
            </w:r>
          </w:p>
          <w:p w14:paraId="50C704D3">
            <w:pPr>
              <w:widowControl/>
              <w:spacing w:line="360" w:lineRule="auto"/>
              <w:ind w:firstLine="482" w:firstLineChars="200"/>
              <w:rPr>
                <w:sz w:val="24"/>
              </w:rPr>
            </w:pPr>
            <w:r>
              <w:rPr>
                <w:b/>
                <w:bCs/>
                <w:kern w:val="0"/>
                <w:sz w:val="24"/>
                <w:lang w:bidi="ar"/>
              </w:rPr>
              <w:t>2、运营期水环境影响分析</w:t>
            </w:r>
          </w:p>
          <w:p w14:paraId="011C1FCC">
            <w:pPr>
              <w:widowControl/>
              <w:spacing w:line="360" w:lineRule="auto"/>
              <w:ind w:firstLine="482" w:firstLineChars="200"/>
              <w:rPr>
                <w:b/>
                <w:sz w:val="24"/>
              </w:rPr>
            </w:pPr>
            <w:r>
              <w:rPr>
                <w:b/>
                <w:sz w:val="24"/>
              </w:rPr>
              <w:t>2.1、</w:t>
            </w:r>
            <w:r>
              <w:rPr>
                <w:b/>
                <w:bCs/>
                <w:kern w:val="0"/>
                <w:sz w:val="24"/>
                <w:lang w:bidi="ar"/>
              </w:rPr>
              <w:t>废水产生及排放情况</w:t>
            </w:r>
          </w:p>
          <w:p w14:paraId="20962989">
            <w:pPr>
              <w:keepLines/>
              <w:spacing w:line="360" w:lineRule="auto"/>
              <w:ind w:firstLine="480" w:firstLineChars="200"/>
              <w:rPr>
                <w:sz w:val="24"/>
                <w:szCs w:val="22"/>
              </w:rPr>
            </w:pPr>
            <w:r>
              <w:rPr>
                <w:sz w:val="24"/>
                <w:szCs w:val="22"/>
              </w:rPr>
              <w:t>本项目废水主要为员工办公、生活废水，食堂废水，急冷装置冷却废水、脱硫除尘系统补充水。</w:t>
            </w:r>
          </w:p>
          <w:p w14:paraId="0D0562FB">
            <w:pPr>
              <w:keepLines/>
              <w:spacing w:line="360" w:lineRule="auto"/>
              <w:ind w:firstLine="482" w:firstLineChars="200"/>
              <w:rPr>
                <w:b/>
                <w:bCs/>
                <w:sz w:val="24"/>
                <w:szCs w:val="22"/>
              </w:rPr>
            </w:pPr>
            <w:r>
              <w:rPr>
                <w:b/>
                <w:bCs/>
                <w:sz w:val="24"/>
                <w:szCs w:val="22"/>
              </w:rPr>
              <w:t>（1）员工办公、生活废水</w:t>
            </w:r>
          </w:p>
          <w:p w14:paraId="6A16E85F">
            <w:pPr>
              <w:adjustRightInd w:val="0"/>
              <w:snapToGrid w:val="0"/>
              <w:spacing w:line="360" w:lineRule="auto"/>
              <w:ind w:firstLine="480" w:firstLineChars="200"/>
              <w:rPr>
                <w:bCs/>
                <w:sz w:val="24"/>
              </w:rPr>
            </w:pPr>
            <w:r>
              <w:rPr>
                <w:sz w:val="24"/>
              </w:rPr>
              <w:t>项目劳动定员10人，年运营300d，项目区设置食宿。</w:t>
            </w:r>
            <w:r>
              <w:rPr>
                <w:bCs/>
                <w:sz w:val="24"/>
              </w:rPr>
              <w:t>根据业主介绍及参照《云南省地方标准用水定额》（DB53/T168-2019），住宿员工生活、办公用水以80</w:t>
            </w:r>
            <w:r>
              <w:rPr>
                <w:sz w:val="24"/>
              </w:rPr>
              <w:t>L/(d·人)计</w:t>
            </w:r>
            <w:r>
              <w:rPr>
                <w:bCs/>
                <w:sz w:val="24"/>
              </w:rPr>
              <w:t>，</w:t>
            </w:r>
            <w:r>
              <w:rPr>
                <w:sz w:val="24"/>
              </w:rPr>
              <w:t>则项目员工用水量约为0.3m</w:t>
            </w:r>
            <w:r>
              <w:rPr>
                <w:sz w:val="24"/>
                <w:vertAlign w:val="superscript"/>
              </w:rPr>
              <w:t>3</w:t>
            </w:r>
            <w:r>
              <w:rPr>
                <w:sz w:val="24"/>
              </w:rPr>
              <w:t>/d，</w:t>
            </w:r>
            <w:r>
              <w:rPr>
                <w:bCs/>
                <w:sz w:val="24"/>
              </w:rPr>
              <w:t>排水量按用水量的80％计，约为0.24m</w:t>
            </w:r>
            <w:r>
              <w:rPr>
                <w:bCs/>
                <w:sz w:val="24"/>
                <w:vertAlign w:val="superscript"/>
              </w:rPr>
              <w:t>3</w:t>
            </w:r>
            <w:r>
              <w:rPr>
                <w:bCs/>
                <w:sz w:val="24"/>
              </w:rPr>
              <w:t>/d。</w:t>
            </w:r>
          </w:p>
          <w:p w14:paraId="62E6B810">
            <w:pPr>
              <w:keepLines/>
              <w:spacing w:line="360" w:lineRule="auto"/>
              <w:ind w:firstLine="482" w:firstLineChars="200"/>
              <w:rPr>
                <w:b/>
                <w:bCs/>
                <w:sz w:val="24"/>
                <w:szCs w:val="22"/>
              </w:rPr>
            </w:pPr>
            <w:r>
              <w:rPr>
                <w:b/>
                <w:bCs/>
                <w:sz w:val="24"/>
                <w:szCs w:val="22"/>
              </w:rPr>
              <w:t>（2）食堂废水</w:t>
            </w:r>
          </w:p>
          <w:p w14:paraId="69F1C299">
            <w:pPr>
              <w:adjustRightInd w:val="0"/>
              <w:snapToGrid w:val="0"/>
              <w:spacing w:line="360" w:lineRule="auto"/>
              <w:ind w:firstLine="480" w:firstLineChars="200"/>
              <w:rPr>
                <w:bCs/>
                <w:sz w:val="24"/>
              </w:rPr>
            </w:pPr>
            <w:r>
              <w:rPr>
                <w:sz w:val="24"/>
              </w:rPr>
              <w:t>项目劳动定员10人，年运营300d，所有人都在项目区就餐。参照DB53/T168-2019《云南省地方标准用水定额》规定，</w:t>
            </w:r>
            <w:r>
              <w:rPr>
                <w:snapToGrid w:val="0"/>
                <w:kern w:val="0"/>
                <w:sz w:val="24"/>
              </w:rPr>
              <w:t>用水量按30L/（人·天）计，则食堂</w:t>
            </w:r>
            <w:r>
              <w:rPr>
                <w:sz w:val="24"/>
              </w:rPr>
              <w:t>厨房用水量为0.8m</w:t>
            </w:r>
            <w:r>
              <w:rPr>
                <w:sz w:val="24"/>
                <w:vertAlign w:val="superscript"/>
              </w:rPr>
              <w:t>3</w:t>
            </w:r>
            <w:r>
              <w:rPr>
                <w:sz w:val="24"/>
              </w:rPr>
              <w:t>/d</w:t>
            </w:r>
            <w:r>
              <w:rPr>
                <w:snapToGrid w:val="0"/>
                <w:kern w:val="0"/>
                <w:sz w:val="24"/>
              </w:rPr>
              <w:t>，</w:t>
            </w:r>
            <w:r>
              <w:rPr>
                <w:bCs/>
                <w:sz w:val="24"/>
              </w:rPr>
              <w:t>产污系数按0.8</w:t>
            </w:r>
            <w:r>
              <w:rPr>
                <w:snapToGrid w:val="0"/>
                <w:kern w:val="0"/>
                <w:sz w:val="24"/>
              </w:rPr>
              <w:t>计，</w:t>
            </w:r>
            <w:r>
              <w:rPr>
                <w:sz w:val="24"/>
              </w:rPr>
              <w:t>则</w:t>
            </w:r>
            <w:r>
              <w:rPr>
                <w:snapToGrid w:val="0"/>
                <w:kern w:val="0"/>
                <w:sz w:val="24"/>
              </w:rPr>
              <w:t>厨房</w:t>
            </w:r>
            <w:r>
              <w:rPr>
                <w:sz w:val="24"/>
              </w:rPr>
              <w:t>废水产生量为0.64m</w:t>
            </w:r>
            <w:r>
              <w:rPr>
                <w:sz w:val="24"/>
                <w:vertAlign w:val="superscript"/>
              </w:rPr>
              <w:t>3</w:t>
            </w:r>
            <w:r>
              <w:rPr>
                <w:sz w:val="24"/>
              </w:rPr>
              <w:t>/d</w:t>
            </w:r>
            <w:r>
              <w:rPr>
                <w:bCs/>
                <w:sz w:val="24"/>
              </w:rPr>
              <w:t>。</w:t>
            </w:r>
          </w:p>
          <w:p w14:paraId="6D44DECF">
            <w:pPr>
              <w:keepLines/>
              <w:spacing w:line="360" w:lineRule="auto"/>
              <w:ind w:firstLine="482" w:firstLineChars="200"/>
              <w:rPr>
                <w:b/>
                <w:bCs/>
                <w:sz w:val="24"/>
                <w:szCs w:val="22"/>
              </w:rPr>
            </w:pPr>
            <w:r>
              <w:rPr>
                <w:b/>
                <w:bCs/>
                <w:sz w:val="24"/>
                <w:szCs w:val="22"/>
              </w:rPr>
              <w:t>（3）脱硫除尘循环用水</w:t>
            </w:r>
          </w:p>
          <w:p w14:paraId="28811E98">
            <w:pPr>
              <w:keepLines/>
              <w:spacing w:line="360" w:lineRule="auto"/>
              <w:ind w:firstLine="480" w:firstLineChars="200"/>
              <w:rPr>
                <w:sz w:val="24"/>
                <w:szCs w:val="22"/>
              </w:rPr>
            </w:pPr>
            <w:r>
              <w:rPr>
                <w:sz w:val="24"/>
                <w:szCs w:val="22"/>
              </w:rPr>
              <w:t>脱硫塔废水经沉淀池（200</w:t>
            </w:r>
            <w:r>
              <w:rPr>
                <w:sz w:val="24"/>
              </w:rPr>
              <w:t xml:space="preserve"> m</w:t>
            </w:r>
            <w:r>
              <w:rPr>
                <w:sz w:val="24"/>
                <w:vertAlign w:val="superscript"/>
              </w:rPr>
              <w:t>3</w:t>
            </w:r>
            <w:r>
              <w:rPr>
                <w:sz w:val="24"/>
                <w:szCs w:val="22"/>
              </w:rPr>
              <w:t>）处理后循环使用，不外排，损耗部分定期补充。</w:t>
            </w:r>
          </w:p>
          <w:p w14:paraId="35A34003">
            <w:pPr>
              <w:keepLines/>
              <w:spacing w:line="360" w:lineRule="auto"/>
              <w:ind w:firstLine="480" w:firstLineChars="200"/>
              <w:rPr>
                <w:sz w:val="24"/>
                <w:szCs w:val="22"/>
              </w:rPr>
            </w:pPr>
            <w:r>
              <w:rPr>
                <w:sz w:val="24"/>
                <w:szCs w:val="22"/>
              </w:rPr>
              <w:t>本项目烟气脱硫循环水量为30m</w:t>
            </w:r>
            <w:r>
              <w:rPr>
                <w:sz w:val="24"/>
                <w:szCs w:val="22"/>
                <w:vertAlign w:val="superscript"/>
              </w:rPr>
              <w:t>3</w:t>
            </w:r>
            <w:r>
              <w:rPr>
                <w:sz w:val="24"/>
                <w:szCs w:val="22"/>
              </w:rPr>
              <w:t>/h，脱硫循环池中每天损失的水量以脱硫循环池储水量的 10%计，则蒸发损失的水量为48m</w:t>
            </w:r>
            <w:r>
              <w:rPr>
                <w:sz w:val="24"/>
                <w:szCs w:val="22"/>
                <w:vertAlign w:val="superscript"/>
              </w:rPr>
              <w:t>3</w:t>
            </w:r>
            <w:r>
              <w:rPr>
                <w:sz w:val="24"/>
                <w:szCs w:val="22"/>
              </w:rPr>
              <w:t>/d，脱硫用水为循环用水，无废水外排。</w:t>
            </w:r>
          </w:p>
          <w:p w14:paraId="79E05A77">
            <w:pPr>
              <w:keepLines/>
              <w:spacing w:line="360" w:lineRule="auto"/>
              <w:ind w:firstLine="482" w:firstLineChars="200"/>
              <w:rPr>
                <w:b/>
                <w:sz w:val="24"/>
                <w:szCs w:val="22"/>
              </w:rPr>
            </w:pPr>
            <w:r>
              <w:rPr>
                <w:b/>
                <w:sz w:val="24"/>
                <w:szCs w:val="22"/>
              </w:rPr>
              <w:t>（4）制砖用水</w:t>
            </w:r>
          </w:p>
          <w:p w14:paraId="21C74BB4">
            <w:pPr>
              <w:keepLines/>
              <w:spacing w:line="360" w:lineRule="auto"/>
              <w:ind w:firstLine="480" w:firstLineChars="200"/>
              <w:rPr>
                <w:sz w:val="24"/>
                <w:szCs w:val="22"/>
              </w:rPr>
            </w:pPr>
            <w:r>
              <w:rPr>
                <w:sz w:val="24"/>
                <w:szCs w:val="22"/>
              </w:rPr>
              <w:t>由用水情况分析可知，混合搅拌用水量为30m</w:t>
            </w:r>
            <w:r>
              <w:rPr>
                <w:sz w:val="24"/>
                <w:szCs w:val="22"/>
                <w:vertAlign w:val="superscript"/>
              </w:rPr>
              <w:t>3</w:t>
            </w:r>
            <w:r>
              <w:rPr>
                <w:sz w:val="24"/>
                <w:szCs w:val="22"/>
              </w:rPr>
              <w:t>/d（9000t/a）。全部用于生产混料工段，随原料进入毛坯砖中，经干燥、烧成后全部蒸发掉，无生产废水产生。</w:t>
            </w:r>
          </w:p>
          <w:p w14:paraId="6B5E9A2F">
            <w:pPr>
              <w:keepLines/>
              <w:spacing w:line="360" w:lineRule="auto"/>
              <w:ind w:firstLine="482" w:firstLineChars="200"/>
              <w:rPr>
                <w:b/>
                <w:bCs/>
                <w:sz w:val="24"/>
                <w:szCs w:val="22"/>
              </w:rPr>
            </w:pPr>
            <w:r>
              <w:rPr>
                <w:b/>
                <w:bCs/>
                <w:sz w:val="24"/>
                <w:szCs w:val="22"/>
              </w:rPr>
              <w:t>（5）初期雨水</w:t>
            </w:r>
          </w:p>
          <w:p w14:paraId="688C890F">
            <w:pPr>
              <w:adjustRightInd w:val="0"/>
              <w:spacing w:line="360" w:lineRule="auto"/>
              <w:ind w:firstLine="480" w:firstLineChars="200"/>
              <w:rPr>
                <w:sz w:val="24"/>
              </w:rPr>
            </w:pPr>
            <w:r>
              <w:rPr>
                <w:sz w:val="24"/>
              </w:rPr>
              <w:t>项目占地29600m</w:t>
            </w:r>
            <w:r>
              <w:rPr>
                <w:sz w:val="24"/>
                <w:vertAlign w:val="superscript"/>
              </w:rPr>
              <w:t>2</w:t>
            </w:r>
            <w:r>
              <w:rPr>
                <w:sz w:val="24"/>
              </w:rPr>
              <w:t>，初期雨水根据下面公式进行计算：</w:t>
            </w:r>
          </w:p>
          <w:p w14:paraId="18A519C1">
            <w:pPr>
              <w:spacing w:line="360" w:lineRule="auto"/>
              <w:ind w:firstLine="480" w:firstLineChars="200"/>
              <w:jc w:val="left"/>
              <w:rPr>
                <w:sz w:val="24"/>
              </w:rPr>
            </w:pPr>
            <w:r>
              <w:rPr>
                <w:sz w:val="24"/>
              </w:rPr>
              <w:t>项目初期雨水按照降雨强度按腾冲暴雨强度公式计算：</w:t>
            </w:r>
          </w:p>
          <w:p w14:paraId="45DCE824">
            <w:pPr>
              <w:kinsoku w:val="0"/>
              <w:overflowPunct w:val="0"/>
              <w:autoSpaceDE w:val="0"/>
              <w:autoSpaceDN w:val="0"/>
              <w:adjustRightInd w:val="0"/>
              <w:spacing w:line="360" w:lineRule="auto"/>
              <w:jc w:val="center"/>
              <w:rPr>
                <w:kern w:val="0"/>
                <w:sz w:val="24"/>
              </w:rPr>
            </w:pPr>
            <w:r>
              <w:rPr>
                <w:rFonts w:eastAsia="等线"/>
                <w:kern w:val="0"/>
                <w:sz w:val="24"/>
              </w:rPr>
              <w:t>q=4342</w:t>
            </w:r>
            <w:r>
              <w:rPr>
                <w:kern w:val="0"/>
                <w:sz w:val="24"/>
              </w:rPr>
              <w:t>（1+0.96lgP）/（t+13P</w:t>
            </w:r>
            <w:r>
              <w:rPr>
                <w:kern w:val="0"/>
                <w:position w:val="8"/>
                <w:sz w:val="15"/>
                <w:szCs w:val="15"/>
              </w:rPr>
              <w:t>0.496</w:t>
            </w:r>
            <w:r>
              <w:rPr>
                <w:kern w:val="0"/>
                <w:sz w:val="24"/>
              </w:rPr>
              <w:t>）</w:t>
            </w:r>
          </w:p>
          <w:p w14:paraId="737C89A8">
            <w:pPr>
              <w:kinsoku w:val="0"/>
              <w:overflowPunct w:val="0"/>
              <w:autoSpaceDE w:val="0"/>
              <w:autoSpaceDN w:val="0"/>
              <w:adjustRightInd w:val="0"/>
              <w:spacing w:before="57" w:line="360" w:lineRule="auto"/>
              <w:ind w:left="700" w:right="2939"/>
              <w:jc w:val="left"/>
              <w:rPr>
                <w:kern w:val="0"/>
                <w:sz w:val="24"/>
              </w:rPr>
            </w:pPr>
            <w:r>
              <w:rPr>
                <w:kern w:val="0"/>
                <w:sz w:val="24"/>
              </w:rPr>
              <w:t xml:space="preserve"> 式中：P——设计降雨重现期 1a；</w:t>
            </w:r>
          </w:p>
          <w:p w14:paraId="5A948C5B">
            <w:pPr>
              <w:kinsoku w:val="0"/>
              <w:overflowPunct w:val="0"/>
              <w:autoSpaceDE w:val="0"/>
              <w:autoSpaceDN w:val="0"/>
              <w:adjustRightInd w:val="0"/>
              <w:spacing w:before="27" w:line="360" w:lineRule="auto"/>
              <w:ind w:firstLine="1659" w:firstLineChars="700"/>
              <w:jc w:val="left"/>
              <w:rPr>
                <w:kern w:val="0"/>
                <w:sz w:val="24"/>
              </w:rPr>
            </w:pPr>
            <w:r>
              <w:rPr>
                <w:rFonts w:eastAsia="等线"/>
                <w:w w:val="99"/>
                <w:kern w:val="0"/>
                <w:sz w:val="24"/>
              </w:rPr>
              <w:t>t</w:t>
            </w:r>
            <w:r>
              <w:rPr>
                <w:rFonts w:eastAsia="等线"/>
                <w:kern w:val="0"/>
                <w:sz w:val="24"/>
              </w:rPr>
              <w:t>——</w:t>
            </w:r>
            <w:r>
              <w:rPr>
                <w:kern w:val="0"/>
                <w:sz w:val="24"/>
              </w:rPr>
              <w:t>降雨历时（</w:t>
            </w:r>
            <w:r>
              <w:rPr>
                <w:w w:val="99"/>
                <w:kern w:val="0"/>
                <w:sz w:val="24"/>
              </w:rPr>
              <w:t>mi</w:t>
            </w:r>
            <w:r>
              <w:rPr>
                <w:spacing w:val="-3"/>
                <w:kern w:val="0"/>
                <w:sz w:val="24"/>
              </w:rPr>
              <w:t>n</w:t>
            </w:r>
            <w:r>
              <w:rPr>
                <w:spacing w:val="-120"/>
                <w:kern w:val="0"/>
                <w:sz w:val="24"/>
              </w:rPr>
              <w:t>）</w:t>
            </w:r>
            <w:r>
              <w:rPr>
                <w:spacing w:val="-6"/>
                <w:kern w:val="0"/>
                <w:sz w:val="24"/>
              </w:rPr>
              <w:t>；取240</w:t>
            </w:r>
            <w:r>
              <w:rPr>
                <w:w w:val="99"/>
                <w:kern w:val="0"/>
                <w:sz w:val="24"/>
              </w:rPr>
              <w:t>mi</w:t>
            </w:r>
            <w:r>
              <w:rPr>
                <w:kern w:val="0"/>
                <w:sz w:val="24"/>
              </w:rPr>
              <w:t>n；径流系数0.3；</w:t>
            </w:r>
          </w:p>
          <w:p w14:paraId="5DDB9356">
            <w:pPr>
              <w:spacing w:line="360" w:lineRule="auto"/>
              <w:ind w:firstLine="480" w:firstLineChars="200"/>
              <w:rPr>
                <w:sz w:val="24"/>
                <w:vertAlign w:val="superscript"/>
              </w:rPr>
            </w:pPr>
            <w:r>
              <w:rPr>
                <w:sz w:val="24"/>
              </w:rPr>
              <w:t>项目暴雨天气时设计暴雨强度17.16L/s·hm</w:t>
            </w:r>
            <w:r>
              <w:rPr>
                <w:sz w:val="24"/>
                <w:vertAlign w:val="superscript"/>
              </w:rPr>
              <w:t>2</w:t>
            </w:r>
            <w:r>
              <w:rPr>
                <w:sz w:val="24"/>
              </w:rPr>
              <w:t>，54.86</w:t>
            </w:r>
            <w:r>
              <w:rPr>
                <w:kern w:val="0"/>
                <w:sz w:val="24"/>
              </w:rPr>
              <w:t>m</w:t>
            </w:r>
            <w:r>
              <w:rPr>
                <w:kern w:val="0"/>
                <w:position w:val="8"/>
                <w:sz w:val="15"/>
                <w:szCs w:val="15"/>
              </w:rPr>
              <w:t>3</w:t>
            </w:r>
            <w:r>
              <w:rPr>
                <w:sz w:val="24"/>
              </w:rPr>
              <w:t>/h，项目前15min初期雨水量为13.71m</w:t>
            </w:r>
            <w:r>
              <w:rPr>
                <w:sz w:val="24"/>
                <w:vertAlign w:val="superscript"/>
              </w:rPr>
              <w:t>3</w:t>
            </w:r>
            <w:r>
              <w:rPr>
                <w:sz w:val="24"/>
              </w:rPr>
              <w:t>；</w:t>
            </w:r>
          </w:p>
          <w:p w14:paraId="33302CB3">
            <w:pPr>
              <w:spacing w:line="360" w:lineRule="auto"/>
              <w:ind w:firstLine="480" w:firstLineChars="200"/>
            </w:pPr>
            <w:r>
              <w:rPr>
                <w:sz w:val="24"/>
              </w:rPr>
              <w:t>初期雨水流量按15min初期雨水量计，根据公式计算出项目场地初期雨水流量为15m</w:t>
            </w:r>
            <w:r>
              <w:rPr>
                <w:sz w:val="24"/>
                <w:vertAlign w:val="superscript"/>
              </w:rPr>
              <w:t>3</w:t>
            </w:r>
            <w:r>
              <w:rPr>
                <w:sz w:val="24"/>
              </w:rPr>
              <w:t>/次。为了有效收集处理初期雨水，采用雨污分流制，在项目区东南侧地势最低处建造15m</w:t>
            </w:r>
            <w:r>
              <w:rPr>
                <w:sz w:val="24"/>
                <w:vertAlign w:val="superscript"/>
              </w:rPr>
              <w:t>3</w:t>
            </w:r>
            <w:r>
              <w:rPr>
                <w:sz w:val="24"/>
              </w:rPr>
              <w:t>的初期雨水收集池，初期雨水收集沉淀后回用于生产或道路降尘。</w:t>
            </w:r>
          </w:p>
          <w:p w14:paraId="7E807EA1">
            <w:pPr>
              <w:tabs>
                <w:tab w:val="left" w:pos="3795"/>
              </w:tabs>
              <w:spacing w:line="360" w:lineRule="auto"/>
              <w:ind w:firstLine="480" w:firstLineChars="200"/>
              <w:rPr>
                <w:b/>
                <w:bCs/>
                <w:sz w:val="24"/>
              </w:rPr>
            </w:pPr>
            <w:r>
              <w:rPr>
                <w:bCs/>
                <w:sz w:val="24"/>
              </w:rPr>
              <w:t>项目运营期供排水平衡计算见表4-5。</w:t>
            </w:r>
          </w:p>
          <w:p w14:paraId="3EE25A62">
            <w:pPr>
              <w:keepLines/>
              <w:jc w:val="center"/>
              <w:rPr>
                <w:b/>
                <w:bCs/>
                <w:sz w:val="24"/>
              </w:rPr>
            </w:pPr>
            <w:r>
              <w:rPr>
                <w:b/>
                <w:bCs/>
                <w:sz w:val="24"/>
              </w:rPr>
              <w:t>表4-5  运营期供排水平衡表  单位：m</w:t>
            </w:r>
            <w:r>
              <w:rPr>
                <w:b/>
                <w:bCs/>
                <w:sz w:val="24"/>
                <w:vertAlign w:val="superscript"/>
              </w:rPr>
              <w:t>3</w:t>
            </w:r>
            <w:r>
              <w:rPr>
                <w:b/>
                <w:bCs/>
                <w:sz w:val="24"/>
              </w:rPr>
              <w:t>/d</w:t>
            </w:r>
          </w:p>
          <w:tbl>
            <w:tblPr>
              <w:tblStyle w:val="25"/>
              <w:tblW w:w="9005" w:type="dxa"/>
              <w:tblInd w:w="0" w:type="dxa"/>
              <w:tblLayout w:type="fixed"/>
              <w:tblCellMar>
                <w:top w:w="0" w:type="dxa"/>
                <w:left w:w="108" w:type="dxa"/>
                <w:bottom w:w="0" w:type="dxa"/>
                <w:right w:w="108" w:type="dxa"/>
              </w:tblCellMar>
            </w:tblPr>
            <w:tblGrid>
              <w:gridCol w:w="1501"/>
              <w:gridCol w:w="1503"/>
              <w:gridCol w:w="1501"/>
              <w:gridCol w:w="1500"/>
              <w:gridCol w:w="1500"/>
              <w:gridCol w:w="1500"/>
            </w:tblGrid>
            <w:tr w14:paraId="73AFF7FA">
              <w:tblPrEx>
                <w:tblCellMar>
                  <w:top w:w="0" w:type="dxa"/>
                  <w:left w:w="108" w:type="dxa"/>
                  <w:bottom w:w="0" w:type="dxa"/>
                  <w:right w:w="108" w:type="dxa"/>
                </w:tblCellMar>
              </w:tblPrEx>
              <w:trPr>
                <w:trHeight w:val="20" w:hRule="atLeast"/>
              </w:trPr>
              <w:tc>
                <w:tcPr>
                  <w:tcW w:w="3004"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395555EC">
                  <w:pPr>
                    <w:widowControl/>
                    <w:jc w:val="center"/>
                    <w:rPr>
                      <w:b/>
                      <w:bCs/>
                      <w:kern w:val="0"/>
                      <w:szCs w:val="21"/>
                    </w:rPr>
                  </w:pPr>
                  <w:r>
                    <w:rPr>
                      <w:b/>
                      <w:bCs/>
                      <w:kern w:val="0"/>
                      <w:szCs w:val="21"/>
                    </w:rPr>
                    <w:t>用水对象</w:t>
                  </w:r>
                </w:p>
              </w:tc>
              <w:tc>
                <w:tcPr>
                  <w:tcW w:w="1501" w:type="dxa"/>
                  <w:tcBorders>
                    <w:top w:val="single" w:color="auto" w:sz="8" w:space="0"/>
                    <w:left w:val="nil"/>
                    <w:bottom w:val="single" w:color="auto" w:sz="8" w:space="0"/>
                    <w:right w:val="single" w:color="auto" w:sz="8" w:space="0"/>
                  </w:tcBorders>
                  <w:shd w:val="clear" w:color="auto" w:fill="auto"/>
                  <w:vAlign w:val="center"/>
                </w:tcPr>
                <w:p w14:paraId="5C2D85EB">
                  <w:pPr>
                    <w:widowControl/>
                    <w:jc w:val="center"/>
                    <w:rPr>
                      <w:b/>
                      <w:bCs/>
                      <w:kern w:val="0"/>
                      <w:szCs w:val="21"/>
                    </w:rPr>
                  </w:pPr>
                  <w:r>
                    <w:rPr>
                      <w:b/>
                      <w:bCs/>
                      <w:kern w:val="0"/>
                      <w:szCs w:val="21"/>
                    </w:rPr>
                    <w:t>用水情况</w:t>
                  </w:r>
                </w:p>
              </w:tc>
              <w:tc>
                <w:tcPr>
                  <w:tcW w:w="1500" w:type="dxa"/>
                  <w:tcBorders>
                    <w:top w:val="single" w:color="auto" w:sz="8" w:space="0"/>
                    <w:left w:val="nil"/>
                    <w:bottom w:val="single" w:color="auto" w:sz="8" w:space="0"/>
                    <w:right w:val="single" w:color="auto" w:sz="8" w:space="0"/>
                  </w:tcBorders>
                  <w:shd w:val="clear" w:color="auto" w:fill="auto"/>
                  <w:vAlign w:val="center"/>
                </w:tcPr>
                <w:p w14:paraId="73F915D9">
                  <w:pPr>
                    <w:widowControl/>
                    <w:jc w:val="center"/>
                    <w:rPr>
                      <w:b/>
                      <w:bCs/>
                      <w:kern w:val="0"/>
                      <w:szCs w:val="21"/>
                    </w:rPr>
                  </w:pPr>
                  <w:r>
                    <w:rPr>
                      <w:b/>
                      <w:bCs/>
                      <w:kern w:val="0"/>
                      <w:szCs w:val="21"/>
                    </w:rPr>
                    <w:t>单位用水指标</w:t>
                  </w:r>
                </w:p>
              </w:tc>
              <w:tc>
                <w:tcPr>
                  <w:tcW w:w="1500" w:type="dxa"/>
                  <w:tcBorders>
                    <w:top w:val="single" w:color="auto" w:sz="8" w:space="0"/>
                    <w:left w:val="nil"/>
                    <w:bottom w:val="single" w:color="auto" w:sz="8" w:space="0"/>
                    <w:right w:val="single" w:color="auto" w:sz="8" w:space="0"/>
                  </w:tcBorders>
                  <w:shd w:val="clear" w:color="auto" w:fill="auto"/>
                  <w:vAlign w:val="center"/>
                </w:tcPr>
                <w:p w14:paraId="3FA034EB">
                  <w:pPr>
                    <w:widowControl/>
                    <w:jc w:val="center"/>
                    <w:rPr>
                      <w:b/>
                      <w:bCs/>
                      <w:kern w:val="0"/>
                      <w:szCs w:val="21"/>
                    </w:rPr>
                  </w:pPr>
                  <w:r>
                    <w:rPr>
                      <w:b/>
                      <w:bCs/>
                      <w:kern w:val="0"/>
                      <w:szCs w:val="21"/>
                    </w:rPr>
                    <w:t>用水量</w:t>
                  </w:r>
                </w:p>
              </w:tc>
              <w:tc>
                <w:tcPr>
                  <w:tcW w:w="1500" w:type="dxa"/>
                  <w:tcBorders>
                    <w:top w:val="single" w:color="auto" w:sz="8" w:space="0"/>
                    <w:left w:val="nil"/>
                    <w:bottom w:val="single" w:color="auto" w:sz="8" w:space="0"/>
                    <w:right w:val="single" w:color="auto" w:sz="8" w:space="0"/>
                  </w:tcBorders>
                  <w:shd w:val="clear" w:color="auto" w:fill="auto"/>
                  <w:vAlign w:val="center"/>
                </w:tcPr>
                <w:p w14:paraId="7172A35B">
                  <w:pPr>
                    <w:widowControl/>
                    <w:jc w:val="center"/>
                    <w:rPr>
                      <w:b/>
                      <w:bCs/>
                      <w:kern w:val="0"/>
                      <w:szCs w:val="21"/>
                    </w:rPr>
                  </w:pPr>
                  <w:r>
                    <w:rPr>
                      <w:b/>
                      <w:bCs/>
                      <w:kern w:val="0"/>
                      <w:szCs w:val="21"/>
                    </w:rPr>
                    <w:t>排放量</w:t>
                  </w:r>
                </w:p>
              </w:tc>
            </w:tr>
            <w:tr w14:paraId="229FCACF">
              <w:tblPrEx>
                <w:tblCellMar>
                  <w:top w:w="0" w:type="dxa"/>
                  <w:left w:w="108" w:type="dxa"/>
                  <w:bottom w:w="0" w:type="dxa"/>
                  <w:right w:w="108" w:type="dxa"/>
                </w:tblCellMar>
              </w:tblPrEx>
              <w:trPr>
                <w:trHeight w:val="20" w:hRule="atLeast"/>
              </w:trPr>
              <w:tc>
                <w:tcPr>
                  <w:tcW w:w="1501" w:type="dxa"/>
                  <w:vMerge w:val="restart"/>
                  <w:tcBorders>
                    <w:top w:val="nil"/>
                    <w:left w:val="single" w:color="auto" w:sz="8" w:space="0"/>
                    <w:bottom w:val="single" w:color="000000" w:sz="8" w:space="0"/>
                    <w:right w:val="single" w:color="auto" w:sz="8" w:space="0"/>
                  </w:tcBorders>
                  <w:shd w:val="clear" w:color="auto" w:fill="auto"/>
                  <w:vAlign w:val="center"/>
                </w:tcPr>
                <w:p w14:paraId="4E81FDDD">
                  <w:pPr>
                    <w:widowControl/>
                    <w:jc w:val="center"/>
                    <w:rPr>
                      <w:b/>
                      <w:bCs/>
                      <w:kern w:val="0"/>
                      <w:szCs w:val="21"/>
                    </w:rPr>
                  </w:pPr>
                  <w:r>
                    <w:rPr>
                      <w:b/>
                      <w:bCs/>
                      <w:kern w:val="0"/>
                      <w:szCs w:val="21"/>
                    </w:rPr>
                    <w:t>生活用水</w:t>
                  </w:r>
                </w:p>
              </w:tc>
              <w:tc>
                <w:tcPr>
                  <w:tcW w:w="1503" w:type="dxa"/>
                  <w:tcBorders>
                    <w:top w:val="nil"/>
                    <w:left w:val="nil"/>
                    <w:bottom w:val="single" w:color="auto" w:sz="8" w:space="0"/>
                    <w:right w:val="single" w:color="auto" w:sz="8" w:space="0"/>
                  </w:tcBorders>
                  <w:shd w:val="clear" w:color="auto" w:fill="auto"/>
                  <w:vAlign w:val="center"/>
                </w:tcPr>
                <w:p w14:paraId="4DD5757A">
                  <w:pPr>
                    <w:widowControl/>
                    <w:jc w:val="center"/>
                    <w:rPr>
                      <w:kern w:val="0"/>
                      <w:szCs w:val="21"/>
                    </w:rPr>
                  </w:pPr>
                  <w:r>
                    <w:rPr>
                      <w:kern w:val="0"/>
                      <w:szCs w:val="21"/>
                    </w:rPr>
                    <w:t>食堂</w:t>
                  </w:r>
                </w:p>
              </w:tc>
              <w:tc>
                <w:tcPr>
                  <w:tcW w:w="1501" w:type="dxa"/>
                  <w:tcBorders>
                    <w:top w:val="nil"/>
                    <w:left w:val="nil"/>
                    <w:bottom w:val="single" w:color="auto" w:sz="8" w:space="0"/>
                    <w:right w:val="single" w:color="auto" w:sz="8" w:space="0"/>
                  </w:tcBorders>
                  <w:shd w:val="clear" w:color="auto" w:fill="auto"/>
                  <w:vAlign w:val="center"/>
                </w:tcPr>
                <w:p w14:paraId="6BC1CED5">
                  <w:pPr>
                    <w:widowControl/>
                    <w:jc w:val="center"/>
                    <w:rPr>
                      <w:rFonts w:eastAsia="等线"/>
                      <w:kern w:val="0"/>
                      <w:szCs w:val="21"/>
                    </w:rPr>
                  </w:pPr>
                  <w:r>
                    <w:rPr>
                      <w:rFonts w:eastAsia="等线"/>
                      <w:kern w:val="0"/>
                      <w:szCs w:val="21"/>
                    </w:rPr>
                    <w:t>10</w:t>
                  </w:r>
                </w:p>
              </w:tc>
              <w:tc>
                <w:tcPr>
                  <w:tcW w:w="1500" w:type="dxa"/>
                  <w:tcBorders>
                    <w:top w:val="nil"/>
                    <w:left w:val="nil"/>
                    <w:bottom w:val="single" w:color="auto" w:sz="8" w:space="0"/>
                    <w:right w:val="single" w:color="auto" w:sz="8" w:space="0"/>
                  </w:tcBorders>
                  <w:shd w:val="clear" w:color="auto" w:fill="auto"/>
                  <w:vAlign w:val="center"/>
                </w:tcPr>
                <w:p w14:paraId="10D7AEBB">
                  <w:pPr>
                    <w:widowControl/>
                    <w:jc w:val="center"/>
                    <w:rPr>
                      <w:rFonts w:eastAsia="等线"/>
                      <w:kern w:val="0"/>
                      <w:szCs w:val="21"/>
                    </w:rPr>
                  </w:pPr>
                  <w:r>
                    <w:rPr>
                      <w:rFonts w:eastAsia="等线"/>
                      <w:kern w:val="0"/>
                      <w:szCs w:val="21"/>
                    </w:rPr>
                    <w:t>30</w:t>
                  </w:r>
                </w:p>
              </w:tc>
              <w:tc>
                <w:tcPr>
                  <w:tcW w:w="1500" w:type="dxa"/>
                  <w:tcBorders>
                    <w:top w:val="nil"/>
                    <w:left w:val="nil"/>
                    <w:bottom w:val="single" w:color="auto" w:sz="8" w:space="0"/>
                    <w:right w:val="single" w:color="auto" w:sz="8" w:space="0"/>
                  </w:tcBorders>
                  <w:shd w:val="clear" w:color="auto" w:fill="auto"/>
                  <w:vAlign w:val="center"/>
                </w:tcPr>
                <w:p w14:paraId="42E52A93">
                  <w:pPr>
                    <w:widowControl/>
                    <w:jc w:val="center"/>
                    <w:rPr>
                      <w:rFonts w:eastAsia="等线"/>
                      <w:kern w:val="0"/>
                      <w:szCs w:val="21"/>
                    </w:rPr>
                  </w:pPr>
                  <w:r>
                    <w:rPr>
                      <w:rFonts w:eastAsia="等线"/>
                      <w:kern w:val="0"/>
                      <w:szCs w:val="21"/>
                    </w:rPr>
                    <w:t>0.3</w:t>
                  </w:r>
                </w:p>
              </w:tc>
              <w:tc>
                <w:tcPr>
                  <w:tcW w:w="1500" w:type="dxa"/>
                  <w:tcBorders>
                    <w:top w:val="nil"/>
                    <w:left w:val="nil"/>
                    <w:bottom w:val="single" w:color="auto" w:sz="8" w:space="0"/>
                    <w:right w:val="single" w:color="auto" w:sz="8" w:space="0"/>
                  </w:tcBorders>
                  <w:shd w:val="clear" w:color="auto" w:fill="auto"/>
                  <w:vAlign w:val="center"/>
                </w:tcPr>
                <w:p w14:paraId="651F9AA6">
                  <w:pPr>
                    <w:widowControl/>
                    <w:jc w:val="center"/>
                    <w:rPr>
                      <w:rFonts w:eastAsia="等线"/>
                      <w:kern w:val="0"/>
                      <w:szCs w:val="21"/>
                    </w:rPr>
                  </w:pPr>
                  <w:r>
                    <w:rPr>
                      <w:rFonts w:eastAsia="等线"/>
                      <w:kern w:val="0"/>
                      <w:szCs w:val="21"/>
                    </w:rPr>
                    <w:t>0.24</w:t>
                  </w:r>
                </w:p>
              </w:tc>
            </w:tr>
            <w:tr w14:paraId="09B1F5DF">
              <w:tblPrEx>
                <w:tblCellMar>
                  <w:top w:w="0" w:type="dxa"/>
                  <w:left w:w="108" w:type="dxa"/>
                  <w:bottom w:w="0" w:type="dxa"/>
                  <w:right w:w="108" w:type="dxa"/>
                </w:tblCellMar>
              </w:tblPrEx>
              <w:trPr>
                <w:trHeight w:val="20" w:hRule="atLeast"/>
              </w:trPr>
              <w:tc>
                <w:tcPr>
                  <w:tcW w:w="1501" w:type="dxa"/>
                  <w:vMerge w:val="continue"/>
                  <w:tcBorders>
                    <w:top w:val="nil"/>
                    <w:left w:val="single" w:color="auto" w:sz="8" w:space="0"/>
                    <w:bottom w:val="single" w:color="000000" w:sz="8" w:space="0"/>
                    <w:right w:val="single" w:color="auto" w:sz="8" w:space="0"/>
                  </w:tcBorders>
                  <w:vAlign w:val="center"/>
                </w:tcPr>
                <w:p w14:paraId="1DF094B2">
                  <w:pPr>
                    <w:widowControl/>
                    <w:jc w:val="left"/>
                    <w:rPr>
                      <w:b/>
                      <w:bCs/>
                      <w:kern w:val="0"/>
                      <w:szCs w:val="21"/>
                    </w:rPr>
                  </w:pPr>
                </w:p>
              </w:tc>
              <w:tc>
                <w:tcPr>
                  <w:tcW w:w="1503" w:type="dxa"/>
                  <w:tcBorders>
                    <w:top w:val="nil"/>
                    <w:left w:val="nil"/>
                    <w:bottom w:val="single" w:color="auto" w:sz="8" w:space="0"/>
                    <w:right w:val="single" w:color="auto" w:sz="8" w:space="0"/>
                  </w:tcBorders>
                  <w:shd w:val="clear" w:color="auto" w:fill="auto"/>
                  <w:vAlign w:val="center"/>
                </w:tcPr>
                <w:p w14:paraId="58A6BB9B">
                  <w:pPr>
                    <w:widowControl/>
                    <w:jc w:val="center"/>
                    <w:rPr>
                      <w:kern w:val="0"/>
                      <w:szCs w:val="21"/>
                    </w:rPr>
                  </w:pPr>
                  <w:r>
                    <w:rPr>
                      <w:kern w:val="0"/>
                      <w:szCs w:val="21"/>
                    </w:rPr>
                    <w:t>办公生活</w:t>
                  </w:r>
                </w:p>
              </w:tc>
              <w:tc>
                <w:tcPr>
                  <w:tcW w:w="1501" w:type="dxa"/>
                  <w:tcBorders>
                    <w:top w:val="nil"/>
                    <w:left w:val="nil"/>
                    <w:bottom w:val="single" w:color="auto" w:sz="8" w:space="0"/>
                    <w:right w:val="single" w:color="auto" w:sz="8" w:space="0"/>
                  </w:tcBorders>
                  <w:shd w:val="clear" w:color="auto" w:fill="auto"/>
                  <w:vAlign w:val="center"/>
                </w:tcPr>
                <w:p w14:paraId="26E5960D">
                  <w:pPr>
                    <w:widowControl/>
                    <w:jc w:val="center"/>
                    <w:rPr>
                      <w:rFonts w:eastAsia="等线"/>
                      <w:kern w:val="0"/>
                      <w:szCs w:val="21"/>
                    </w:rPr>
                  </w:pPr>
                  <w:r>
                    <w:rPr>
                      <w:rFonts w:eastAsia="等线"/>
                      <w:kern w:val="0"/>
                      <w:szCs w:val="21"/>
                    </w:rPr>
                    <w:t>10</w:t>
                  </w:r>
                </w:p>
              </w:tc>
              <w:tc>
                <w:tcPr>
                  <w:tcW w:w="1500" w:type="dxa"/>
                  <w:tcBorders>
                    <w:top w:val="nil"/>
                    <w:left w:val="nil"/>
                    <w:bottom w:val="single" w:color="auto" w:sz="8" w:space="0"/>
                    <w:right w:val="single" w:color="auto" w:sz="8" w:space="0"/>
                  </w:tcBorders>
                  <w:shd w:val="clear" w:color="auto" w:fill="auto"/>
                  <w:vAlign w:val="center"/>
                </w:tcPr>
                <w:p w14:paraId="52DE144E">
                  <w:pPr>
                    <w:widowControl/>
                    <w:jc w:val="center"/>
                    <w:rPr>
                      <w:rFonts w:eastAsia="等线"/>
                      <w:kern w:val="0"/>
                      <w:szCs w:val="21"/>
                    </w:rPr>
                  </w:pPr>
                  <w:r>
                    <w:rPr>
                      <w:rFonts w:eastAsia="等线"/>
                      <w:kern w:val="0"/>
                      <w:szCs w:val="21"/>
                    </w:rPr>
                    <w:t>80</w:t>
                  </w:r>
                </w:p>
              </w:tc>
              <w:tc>
                <w:tcPr>
                  <w:tcW w:w="1500" w:type="dxa"/>
                  <w:tcBorders>
                    <w:top w:val="nil"/>
                    <w:left w:val="nil"/>
                    <w:bottom w:val="single" w:color="auto" w:sz="8" w:space="0"/>
                    <w:right w:val="single" w:color="auto" w:sz="8" w:space="0"/>
                  </w:tcBorders>
                  <w:shd w:val="clear" w:color="auto" w:fill="auto"/>
                  <w:vAlign w:val="center"/>
                </w:tcPr>
                <w:p w14:paraId="20E00202">
                  <w:pPr>
                    <w:widowControl/>
                    <w:jc w:val="center"/>
                    <w:rPr>
                      <w:rFonts w:eastAsia="等线"/>
                      <w:kern w:val="0"/>
                      <w:szCs w:val="21"/>
                    </w:rPr>
                  </w:pPr>
                  <w:r>
                    <w:rPr>
                      <w:rFonts w:eastAsia="等线"/>
                      <w:kern w:val="0"/>
                      <w:szCs w:val="21"/>
                    </w:rPr>
                    <w:t>0.8</w:t>
                  </w:r>
                </w:p>
              </w:tc>
              <w:tc>
                <w:tcPr>
                  <w:tcW w:w="1500" w:type="dxa"/>
                  <w:tcBorders>
                    <w:top w:val="nil"/>
                    <w:left w:val="nil"/>
                    <w:bottom w:val="single" w:color="auto" w:sz="8" w:space="0"/>
                    <w:right w:val="single" w:color="auto" w:sz="8" w:space="0"/>
                  </w:tcBorders>
                  <w:shd w:val="clear" w:color="auto" w:fill="auto"/>
                  <w:vAlign w:val="center"/>
                </w:tcPr>
                <w:p w14:paraId="42BD0D93">
                  <w:pPr>
                    <w:widowControl/>
                    <w:jc w:val="center"/>
                    <w:rPr>
                      <w:rFonts w:eastAsia="等线"/>
                      <w:kern w:val="0"/>
                      <w:szCs w:val="21"/>
                    </w:rPr>
                  </w:pPr>
                  <w:r>
                    <w:rPr>
                      <w:rFonts w:eastAsia="等线"/>
                      <w:kern w:val="0"/>
                      <w:szCs w:val="21"/>
                    </w:rPr>
                    <w:t>0.64</w:t>
                  </w:r>
                </w:p>
              </w:tc>
            </w:tr>
            <w:tr w14:paraId="22FCE0F3">
              <w:trPr>
                <w:trHeight w:val="20" w:hRule="atLeast"/>
              </w:trPr>
              <w:tc>
                <w:tcPr>
                  <w:tcW w:w="1501" w:type="dxa"/>
                  <w:vMerge w:val="continue"/>
                  <w:tcBorders>
                    <w:top w:val="nil"/>
                    <w:left w:val="single" w:color="auto" w:sz="8" w:space="0"/>
                    <w:bottom w:val="single" w:color="000000" w:sz="8" w:space="0"/>
                    <w:right w:val="single" w:color="auto" w:sz="8" w:space="0"/>
                  </w:tcBorders>
                  <w:vAlign w:val="center"/>
                </w:tcPr>
                <w:p w14:paraId="4019C8CB">
                  <w:pPr>
                    <w:widowControl/>
                    <w:jc w:val="left"/>
                    <w:rPr>
                      <w:b/>
                      <w:bCs/>
                      <w:kern w:val="0"/>
                      <w:szCs w:val="21"/>
                    </w:rPr>
                  </w:pPr>
                </w:p>
              </w:tc>
              <w:tc>
                <w:tcPr>
                  <w:tcW w:w="1503" w:type="dxa"/>
                  <w:tcBorders>
                    <w:top w:val="nil"/>
                    <w:left w:val="nil"/>
                    <w:bottom w:val="single" w:color="auto" w:sz="8" w:space="0"/>
                    <w:right w:val="single" w:color="auto" w:sz="8" w:space="0"/>
                  </w:tcBorders>
                  <w:shd w:val="clear" w:color="auto" w:fill="auto"/>
                  <w:vAlign w:val="center"/>
                </w:tcPr>
                <w:p w14:paraId="797AA461">
                  <w:pPr>
                    <w:widowControl/>
                    <w:jc w:val="center"/>
                    <w:rPr>
                      <w:kern w:val="0"/>
                      <w:szCs w:val="21"/>
                    </w:rPr>
                  </w:pPr>
                  <w:r>
                    <w:rPr>
                      <w:kern w:val="0"/>
                      <w:szCs w:val="21"/>
                    </w:rPr>
                    <w:t>小计</w:t>
                  </w:r>
                </w:p>
              </w:tc>
              <w:tc>
                <w:tcPr>
                  <w:tcW w:w="1501" w:type="dxa"/>
                  <w:tcBorders>
                    <w:top w:val="nil"/>
                    <w:left w:val="nil"/>
                    <w:bottom w:val="single" w:color="auto" w:sz="8" w:space="0"/>
                    <w:right w:val="single" w:color="auto" w:sz="8" w:space="0"/>
                  </w:tcBorders>
                  <w:shd w:val="clear" w:color="auto" w:fill="auto"/>
                  <w:vAlign w:val="center"/>
                </w:tcPr>
                <w:p w14:paraId="5465AFD7">
                  <w:pPr>
                    <w:widowControl/>
                    <w:jc w:val="center"/>
                    <w:rPr>
                      <w:rFonts w:eastAsia="等线"/>
                      <w:kern w:val="0"/>
                      <w:szCs w:val="21"/>
                    </w:rPr>
                  </w:pPr>
                  <w:r>
                    <w:rPr>
                      <w:rFonts w:eastAsia="等线"/>
                      <w:kern w:val="0"/>
                      <w:szCs w:val="21"/>
                    </w:rPr>
                    <w:t>/</w:t>
                  </w:r>
                </w:p>
              </w:tc>
              <w:tc>
                <w:tcPr>
                  <w:tcW w:w="1500" w:type="dxa"/>
                  <w:tcBorders>
                    <w:top w:val="nil"/>
                    <w:left w:val="nil"/>
                    <w:bottom w:val="single" w:color="auto" w:sz="8" w:space="0"/>
                    <w:right w:val="single" w:color="auto" w:sz="8" w:space="0"/>
                  </w:tcBorders>
                  <w:shd w:val="clear" w:color="auto" w:fill="auto"/>
                  <w:vAlign w:val="center"/>
                </w:tcPr>
                <w:p w14:paraId="5A88A54D">
                  <w:pPr>
                    <w:widowControl/>
                    <w:jc w:val="center"/>
                    <w:rPr>
                      <w:rFonts w:eastAsia="等线"/>
                      <w:kern w:val="0"/>
                      <w:szCs w:val="21"/>
                    </w:rPr>
                  </w:pPr>
                  <w:r>
                    <w:rPr>
                      <w:rFonts w:eastAsia="等线"/>
                      <w:kern w:val="0"/>
                      <w:szCs w:val="21"/>
                    </w:rPr>
                    <w:t>/</w:t>
                  </w:r>
                </w:p>
              </w:tc>
              <w:tc>
                <w:tcPr>
                  <w:tcW w:w="1500" w:type="dxa"/>
                  <w:tcBorders>
                    <w:top w:val="nil"/>
                    <w:left w:val="nil"/>
                    <w:bottom w:val="single" w:color="auto" w:sz="8" w:space="0"/>
                    <w:right w:val="single" w:color="auto" w:sz="8" w:space="0"/>
                  </w:tcBorders>
                  <w:shd w:val="clear" w:color="auto" w:fill="auto"/>
                  <w:vAlign w:val="center"/>
                </w:tcPr>
                <w:p w14:paraId="1E77916B">
                  <w:pPr>
                    <w:widowControl/>
                    <w:jc w:val="center"/>
                    <w:rPr>
                      <w:rFonts w:eastAsia="等线"/>
                      <w:kern w:val="0"/>
                      <w:szCs w:val="21"/>
                    </w:rPr>
                  </w:pPr>
                  <w:r>
                    <w:rPr>
                      <w:rFonts w:eastAsia="等线"/>
                      <w:kern w:val="0"/>
                      <w:szCs w:val="21"/>
                    </w:rPr>
                    <w:t>1.1</w:t>
                  </w:r>
                </w:p>
              </w:tc>
              <w:tc>
                <w:tcPr>
                  <w:tcW w:w="1500" w:type="dxa"/>
                  <w:tcBorders>
                    <w:top w:val="nil"/>
                    <w:left w:val="nil"/>
                    <w:bottom w:val="single" w:color="auto" w:sz="8" w:space="0"/>
                    <w:right w:val="single" w:color="auto" w:sz="8" w:space="0"/>
                  </w:tcBorders>
                  <w:shd w:val="clear" w:color="auto" w:fill="auto"/>
                  <w:vAlign w:val="center"/>
                </w:tcPr>
                <w:p w14:paraId="19274B0D">
                  <w:pPr>
                    <w:widowControl/>
                    <w:jc w:val="center"/>
                    <w:rPr>
                      <w:rFonts w:eastAsia="等线"/>
                      <w:kern w:val="0"/>
                      <w:szCs w:val="21"/>
                    </w:rPr>
                  </w:pPr>
                  <w:r>
                    <w:rPr>
                      <w:rFonts w:eastAsia="等线"/>
                      <w:kern w:val="0"/>
                      <w:szCs w:val="21"/>
                    </w:rPr>
                    <w:t>0.88</w:t>
                  </w:r>
                </w:p>
              </w:tc>
            </w:tr>
            <w:tr w14:paraId="094EDA70">
              <w:tblPrEx>
                <w:tblCellMar>
                  <w:top w:w="0" w:type="dxa"/>
                  <w:left w:w="108" w:type="dxa"/>
                  <w:bottom w:w="0" w:type="dxa"/>
                  <w:right w:w="108" w:type="dxa"/>
                </w:tblCellMar>
              </w:tblPrEx>
              <w:trPr>
                <w:trHeight w:val="20" w:hRule="atLeast"/>
              </w:trPr>
              <w:tc>
                <w:tcPr>
                  <w:tcW w:w="1501" w:type="dxa"/>
                  <w:vMerge w:val="restart"/>
                  <w:tcBorders>
                    <w:top w:val="nil"/>
                    <w:left w:val="single" w:color="auto" w:sz="8" w:space="0"/>
                    <w:bottom w:val="single" w:color="000000" w:sz="8" w:space="0"/>
                    <w:right w:val="single" w:color="auto" w:sz="8" w:space="0"/>
                  </w:tcBorders>
                  <w:shd w:val="clear" w:color="auto" w:fill="auto"/>
                  <w:vAlign w:val="center"/>
                </w:tcPr>
                <w:p w14:paraId="2031FB77">
                  <w:pPr>
                    <w:widowControl/>
                    <w:jc w:val="center"/>
                    <w:rPr>
                      <w:b/>
                      <w:bCs/>
                      <w:kern w:val="0"/>
                      <w:szCs w:val="21"/>
                    </w:rPr>
                  </w:pPr>
                  <w:r>
                    <w:rPr>
                      <w:b/>
                      <w:bCs/>
                      <w:kern w:val="0"/>
                      <w:szCs w:val="21"/>
                    </w:rPr>
                    <w:t>生产用水</w:t>
                  </w:r>
                </w:p>
              </w:tc>
              <w:tc>
                <w:tcPr>
                  <w:tcW w:w="1503" w:type="dxa"/>
                  <w:tcBorders>
                    <w:top w:val="nil"/>
                    <w:left w:val="nil"/>
                    <w:bottom w:val="single" w:color="auto" w:sz="8" w:space="0"/>
                    <w:right w:val="single" w:color="auto" w:sz="8" w:space="0"/>
                  </w:tcBorders>
                  <w:shd w:val="clear" w:color="auto" w:fill="auto"/>
                  <w:vAlign w:val="center"/>
                </w:tcPr>
                <w:p w14:paraId="206CC392">
                  <w:pPr>
                    <w:widowControl/>
                    <w:jc w:val="center"/>
                    <w:rPr>
                      <w:kern w:val="0"/>
                      <w:szCs w:val="21"/>
                    </w:rPr>
                  </w:pPr>
                  <w:r>
                    <w:rPr>
                      <w:kern w:val="0"/>
                      <w:szCs w:val="21"/>
                    </w:rPr>
                    <w:t>生产制砖用水</w:t>
                  </w:r>
                </w:p>
              </w:tc>
              <w:tc>
                <w:tcPr>
                  <w:tcW w:w="1501" w:type="dxa"/>
                  <w:tcBorders>
                    <w:top w:val="nil"/>
                    <w:left w:val="nil"/>
                    <w:bottom w:val="single" w:color="auto" w:sz="8" w:space="0"/>
                    <w:right w:val="single" w:color="auto" w:sz="8" w:space="0"/>
                  </w:tcBorders>
                  <w:shd w:val="clear" w:color="auto" w:fill="auto"/>
                  <w:vAlign w:val="center"/>
                </w:tcPr>
                <w:p w14:paraId="450D6BB7">
                  <w:pPr>
                    <w:widowControl/>
                    <w:jc w:val="center"/>
                    <w:rPr>
                      <w:rFonts w:eastAsia="等线"/>
                      <w:kern w:val="0"/>
                      <w:szCs w:val="21"/>
                    </w:rPr>
                  </w:pPr>
                  <w:r>
                    <w:rPr>
                      <w:rFonts w:eastAsia="等线"/>
                      <w:kern w:val="0"/>
                      <w:szCs w:val="21"/>
                    </w:rPr>
                    <w:t>9000万</w:t>
                  </w:r>
                </w:p>
              </w:tc>
              <w:tc>
                <w:tcPr>
                  <w:tcW w:w="1500" w:type="dxa"/>
                  <w:tcBorders>
                    <w:top w:val="nil"/>
                    <w:left w:val="nil"/>
                    <w:bottom w:val="single" w:color="auto" w:sz="8" w:space="0"/>
                    <w:right w:val="single" w:color="auto" w:sz="8" w:space="0"/>
                  </w:tcBorders>
                  <w:shd w:val="clear" w:color="auto" w:fill="auto"/>
                  <w:vAlign w:val="center"/>
                </w:tcPr>
                <w:p w14:paraId="52ACAFAD">
                  <w:pPr>
                    <w:widowControl/>
                    <w:jc w:val="center"/>
                    <w:rPr>
                      <w:rFonts w:eastAsia="等线"/>
                      <w:kern w:val="0"/>
                      <w:szCs w:val="21"/>
                    </w:rPr>
                  </w:pPr>
                  <w:r>
                    <w:rPr>
                      <w:rFonts w:eastAsia="等线"/>
                      <w:kern w:val="0"/>
                      <w:szCs w:val="21"/>
                    </w:rPr>
                    <w:t>/</w:t>
                  </w:r>
                </w:p>
              </w:tc>
              <w:tc>
                <w:tcPr>
                  <w:tcW w:w="1500" w:type="dxa"/>
                  <w:tcBorders>
                    <w:top w:val="nil"/>
                    <w:left w:val="nil"/>
                    <w:bottom w:val="single" w:color="auto" w:sz="8" w:space="0"/>
                    <w:right w:val="single" w:color="auto" w:sz="8" w:space="0"/>
                  </w:tcBorders>
                  <w:shd w:val="clear" w:color="auto" w:fill="auto"/>
                  <w:vAlign w:val="center"/>
                </w:tcPr>
                <w:p w14:paraId="32934A8E">
                  <w:pPr>
                    <w:widowControl/>
                    <w:jc w:val="center"/>
                    <w:rPr>
                      <w:rFonts w:eastAsia="等线"/>
                      <w:kern w:val="0"/>
                      <w:szCs w:val="21"/>
                    </w:rPr>
                  </w:pPr>
                  <w:r>
                    <w:rPr>
                      <w:rFonts w:eastAsia="等线"/>
                      <w:kern w:val="0"/>
                      <w:szCs w:val="21"/>
                    </w:rPr>
                    <w:t>30</w:t>
                  </w:r>
                </w:p>
              </w:tc>
              <w:tc>
                <w:tcPr>
                  <w:tcW w:w="1500" w:type="dxa"/>
                  <w:tcBorders>
                    <w:top w:val="nil"/>
                    <w:left w:val="nil"/>
                    <w:bottom w:val="single" w:color="auto" w:sz="8" w:space="0"/>
                    <w:right w:val="single" w:color="auto" w:sz="8" w:space="0"/>
                  </w:tcBorders>
                  <w:shd w:val="clear" w:color="auto" w:fill="auto"/>
                  <w:vAlign w:val="center"/>
                </w:tcPr>
                <w:p w14:paraId="35226660">
                  <w:pPr>
                    <w:widowControl/>
                    <w:jc w:val="center"/>
                    <w:rPr>
                      <w:rFonts w:eastAsia="等线"/>
                      <w:kern w:val="0"/>
                      <w:szCs w:val="21"/>
                    </w:rPr>
                  </w:pPr>
                  <w:r>
                    <w:rPr>
                      <w:rFonts w:eastAsia="等线"/>
                      <w:kern w:val="0"/>
                      <w:szCs w:val="21"/>
                    </w:rPr>
                    <w:t>0</w:t>
                  </w:r>
                </w:p>
              </w:tc>
            </w:tr>
            <w:tr w14:paraId="1143F87E">
              <w:tblPrEx>
                <w:tblCellMar>
                  <w:top w:w="0" w:type="dxa"/>
                  <w:left w:w="108" w:type="dxa"/>
                  <w:bottom w:w="0" w:type="dxa"/>
                  <w:right w:w="108" w:type="dxa"/>
                </w:tblCellMar>
              </w:tblPrEx>
              <w:trPr>
                <w:trHeight w:val="20" w:hRule="atLeast"/>
              </w:trPr>
              <w:tc>
                <w:tcPr>
                  <w:tcW w:w="1501" w:type="dxa"/>
                  <w:vMerge w:val="continue"/>
                  <w:tcBorders>
                    <w:top w:val="nil"/>
                    <w:left w:val="single" w:color="auto" w:sz="8" w:space="0"/>
                    <w:bottom w:val="single" w:color="000000" w:sz="8" w:space="0"/>
                    <w:right w:val="single" w:color="auto" w:sz="8" w:space="0"/>
                  </w:tcBorders>
                  <w:vAlign w:val="center"/>
                </w:tcPr>
                <w:p w14:paraId="30575636">
                  <w:pPr>
                    <w:widowControl/>
                    <w:jc w:val="left"/>
                    <w:rPr>
                      <w:b/>
                      <w:bCs/>
                      <w:kern w:val="0"/>
                      <w:szCs w:val="21"/>
                    </w:rPr>
                  </w:pPr>
                </w:p>
              </w:tc>
              <w:tc>
                <w:tcPr>
                  <w:tcW w:w="1503" w:type="dxa"/>
                  <w:tcBorders>
                    <w:top w:val="nil"/>
                    <w:left w:val="nil"/>
                    <w:bottom w:val="single" w:color="auto" w:sz="8" w:space="0"/>
                    <w:right w:val="single" w:color="auto" w:sz="8" w:space="0"/>
                  </w:tcBorders>
                  <w:shd w:val="clear" w:color="auto" w:fill="auto"/>
                  <w:vAlign w:val="center"/>
                </w:tcPr>
                <w:p w14:paraId="1D36BB96">
                  <w:pPr>
                    <w:widowControl/>
                    <w:jc w:val="center"/>
                    <w:rPr>
                      <w:kern w:val="0"/>
                      <w:szCs w:val="21"/>
                    </w:rPr>
                  </w:pPr>
                  <w:r>
                    <w:rPr>
                      <w:kern w:val="0"/>
                      <w:szCs w:val="21"/>
                    </w:rPr>
                    <w:t>脱硫除尘</w:t>
                  </w:r>
                </w:p>
              </w:tc>
              <w:tc>
                <w:tcPr>
                  <w:tcW w:w="1501" w:type="dxa"/>
                  <w:tcBorders>
                    <w:top w:val="nil"/>
                    <w:left w:val="nil"/>
                    <w:bottom w:val="single" w:color="auto" w:sz="8" w:space="0"/>
                    <w:right w:val="single" w:color="auto" w:sz="8" w:space="0"/>
                  </w:tcBorders>
                  <w:shd w:val="clear" w:color="auto" w:fill="auto"/>
                  <w:vAlign w:val="center"/>
                </w:tcPr>
                <w:p w14:paraId="39FC1EF7">
                  <w:pPr>
                    <w:widowControl/>
                    <w:jc w:val="center"/>
                    <w:rPr>
                      <w:rFonts w:eastAsia="等线"/>
                      <w:kern w:val="0"/>
                      <w:szCs w:val="21"/>
                    </w:rPr>
                  </w:pPr>
                  <w:r>
                    <w:rPr>
                      <w:rFonts w:eastAsia="等线"/>
                      <w:kern w:val="0"/>
                      <w:szCs w:val="21"/>
                    </w:rPr>
                    <w:t>/</w:t>
                  </w:r>
                </w:p>
              </w:tc>
              <w:tc>
                <w:tcPr>
                  <w:tcW w:w="1500" w:type="dxa"/>
                  <w:tcBorders>
                    <w:top w:val="nil"/>
                    <w:left w:val="nil"/>
                    <w:bottom w:val="single" w:color="auto" w:sz="8" w:space="0"/>
                    <w:right w:val="single" w:color="auto" w:sz="8" w:space="0"/>
                  </w:tcBorders>
                  <w:shd w:val="clear" w:color="auto" w:fill="auto"/>
                  <w:vAlign w:val="center"/>
                </w:tcPr>
                <w:p w14:paraId="320978C8">
                  <w:pPr>
                    <w:widowControl/>
                    <w:jc w:val="center"/>
                    <w:rPr>
                      <w:rFonts w:eastAsia="等线"/>
                      <w:kern w:val="0"/>
                      <w:szCs w:val="21"/>
                    </w:rPr>
                  </w:pPr>
                  <w:r>
                    <w:rPr>
                      <w:rFonts w:eastAsia="等线"/>
                      <w:kern w:val="0"/>
                      <w:szCs w:val="21"/>
                    </w:rPr>
                    <w:t>30m</w:t>
                  </w:r>
                  <w:r>
                    <w:rPr>
                      <w:rFonts w:eastAsia="等线"/>
                      <w:kern w:val="0"/>
                      <w:szCs w:val="21"/>
                      <w:vertAlign w:val="superscript"/>
                    </w:rPr>
                    <w:t>3</w:t>
                  </w:r>
                  <w:r>
                    <w:rPr>
                      <w:rFonts w:eastAsia="等线"/>
                      <w:kern w:val="0"/>
                      <w:szCs w:val="21"/>
                    </w:rPr>
                    <w:t>/h</w:t>
                  </w:r>
                </w:p>
              </w:tc>
              <w:tc>
                <w:tcPr>
                  <w:tcW w:w="1500" w:type="dxa"/>
                  <w:tcBorders>
                    <w:top w:val="nil"/>
                    <w:left w:val="nil"/>
                    <w:bottom w:val="single" w:color="auto" w:sz="8" w:space="0"/>
                    <w:right w:val="single" w:color="auto" w:sz="8" w:space="0"/>
                  </w:tcBorders>
                  <w:shd w:val="clear" w:color="auto" w:fill="auto"/>
                  <w:vAlign w:val="center"/>
                </w:tcPr>
                <w:p w14:paraId="77DD07FE">
                  <w:pPr>
                    <w:widowControl/>
                    <w:jc w:val="center"/>
                    <w:rPr>
                      <w:rFonts w:eastAsia="等线"/>
                      <w:kern w:val="0"/>
                      <w:szCs w:val="21"/>
                    </w:rPr>
                  </w:pPr>
                  <w:r>
                    <w:rPr>
                      <w:rFonts w:eastAsia="等线"/>
                      <w:kern w:val="0"/>
                      <w:szCs w:val="21"/>
                    </w:rPr>
                    <w:t>48</w:t>
                  </w:r>
                </w:p>
              </w:tc>
              <w:tc>
                <w:tcPr>
                  <w:tcW w:w="1500" w:type="dxa"/>
                  <w:tcBorders>
                    <w:top w:val="nil"/>
                    <w:left w:val="nil"/>
                    <w:bottom w:val="single" w:color="auto" w:sz="8" w:space="0"/>
                    <w:right w:val="single" w:color="auto" w:sz="8" w:space="0"/>
                  </w:tcBorders>
                  <w:shd w:val="clear" w:color="auto" w:fill="auto"/>
                  <w:vAlign w:val="center"/>
                </w:tcPr>
                <w:p w14:paraId="6DAEC2D0">
                  <w:pPr>
                    <w:widowControl/>
                    <w:jc w:val="center"/>
                    <w:rPr>
                      <w:rFonts w:eastAsia="等线"/>
                      <w:kern w:val="0"/>
                      <w:szCs w:val="21"/>
                    </w:rPr>
                  </w:pPr>
                  <w:r>
                    <w:rPr>
                      <w:rFonts w:eastAsia="等线"/>
                      <w:kern w:val="0"/>
                      <w:szCs w:val="21"/>
                    </w:rPr>
                    <w:t>0</w:t>
                  </w:r>
                </w:p>
              </w:tc>
            </w:tr>
            <w:tr w14:paraId="4D65D34C">
              <w:tblPrEx>
                <w:tblCellMar>
                  <w:top w:w="0" w:type="dxa"/>
                  <w:left w:w="108" w:type="dxa"/>
                  <w:bottom w:w="0" w:type="dxa"/>
                  <w:right w:w="108" w:type="dxa"/>
                </w:tblCellMar>
              </w:tblPrEx>
              <w:trPr>
                <w:trHeight w:val="20" w:hRule="atLeast"/>
              </w:trPr>
              <w:tc>
                <w:tcPr>
                  <w:tcW w:w="1501" w:type="dxa"/>
                  <w:vMerge w:val="continue"/>
                  <w:tcBorders>
                    <w:top w:val="nil"/>
                    <w:left w:val="single" w:color="auto" w:sz="8" w:space="0"/>
                    <w:bottom w:val="single" w:color="000000" w:sz="8" w:space="0"/>
                    <w:right w:val="single" w:color="auto" w:sz="8" w:space="0"/>
                  </w:tcBorders>
                  <w:vAlign w:val="center"/>
                </w:tcPr>
                <w:p w14:paraId="6AF518D3">
                  <w:pPr>
                    <w:widowControl/>
                    <w:jc w:val="left"/>
                    <w:rPr>
                      <w:b/>
                      <w:bCs/>
                      <w:kern w:val="0"/>
                      <w:szCs w:val="21"/>
                    </w:rPr>
                  </w:pPr>
                </w:p>
              </w:tc>
              <w:tc>
                <w:tcPr>
                  <w:tcW w:w="1503" w:type="dxa"/>
                  <w:tcBorders>
                    <w:top w:val="nil"/>
                    <w:left w:val="nil"/>
                    <w:bottom w:val="single" w:color="auto" w:sz="8" w:space="0"/>
                    <w:right w:val="single" w:color="auto" w:sz="8" w:space="0"/>
                  </w:tcBorders>
                  <w:shd w:val="clear" w:color="auto" w:fill="auto"/>
                  <w:vAlign w:val="center"/>
                </w:tcPr>
                <w:p w14:paraId="4CA76C56">
                  <w:pPr>
                    <w:widowControl/>
                    <w:jc w:val="center"/>
                    <w:rPr>
                      <w:kern w:val="0"/>
                      <w:szCs w:val="21"/>
                    </w:rPr>
                  </w:pPr>
                  <w:r>
                    <w:rPr>
                      <w:kern w:val="0"/>
                      <w:szCs w:val="21"/>
                    </w:rPr>
                    <w:t>小计</w:t>
                  </w:r>
                </w:p>
              </w:tc>
              <w:tc>
                <w:tcPr>
                  <w:tcW w:w="1501" w:type="dxa"/>
                  <w:tcBorders>
                    <w:top w:val="nil"/>
                    <w:left w:val="nil"/>
                    <w:bottom w:val="single" w:color="auto" w:sz="8" w:space="0"/>
                    <w:right w:val="single" w:color="auto" w:sz="8" w:space="0"/>
                  </w:tcBorders>
                  <w:shd w:val="clear" w:color="auto" w:fill="auto"/>
                  <w:vAlign w:val="center"/>
                </w:tcPr>
                <w:p w14:paraId="090F6A65">
                  <w:pPr>
                    <w:widowControl/>
                    <w:jc w:val="center"/>
                    <w:rPr>
                      <w:rFonts w:eastAsia="等线"/>
                      <w:kern w:val="0"/>
                      <w:szCs w:val="21"/>
                    </w:rPr>
                  </w:pPr>
                  <w:r>
                    <w:rPr>
                      <w:rFonts w:eastAsia="等线"/>
                      <w:kern w:val="0"/>
                      <w:szCs w:val="21"/>
                    </w:rPr>
                    <w:t>/</w:t>
                  </w:r>
                </w:p>
              </w:tc>
              <w:tc>
                <w:tcPr>
                  <w:tcW w:w="1500" w:type="dxa"/>
                  <w:tcBorders>
                    <w:top w:val="nil"/>
                    <w:left w:val="nil"/>
                    <w:bottom w:val="single" w:color="auto" w:sz="8" w:space="0"/>
                    <w:right w:val="single" w:color="auto" w:sz="8" w:space="0"/>
                  </w:tcBorders>
                  <w:shd w:val="clear" w:color="auto" w:fill="auto"/>
                  <w:vAlign w:val="center"/>
                </w:tcPr>
                <w:p w14:paraId="76CD1F94">
                  <w:pPr>
                    <w:widowControl/>
                    <w:jc w:val="center"/>
                    <w:rPr>
                      <w:rFonts w:eastAsia="等线"/>
                      <w:kern w:val="0"/>
                      <w:szCs w:val="21"/>
                    </w:rPr>
                  </w:pPr>
                  <w:r>
                    <w:rPr>
                      <w:rFonts w:eastAsia="等线"/>
                      <w:kern w:val="0"/>
                      <w:szCs w:val="21"/>
                    </w:rPr>
                    <w:t>/</w:t>
                  </w:r>
                </w:p>
              </w:tc>
              <w:tc>
                <w:tcPr>
                  <w:tcW w:w="1500" w:type="dxa"/>
                  <w:tcBorders>
                    <w:top w:val="nil"/>
                    <w:left w:val="nil"/>
                    <w:bottom w:val="single" w:color="auto" w:sz="8" w:space="0"/>
                    <w:right w:val="single" w:color="auto" w:sz="8" w:space="0"/>
                  </w:tcBorders>
                  <w:shd w:val="clear" w:color="auto" w:fill="auto"/>
                  <w:vAlign w:val="center"/>
                </w:tcPr>
                <w:p w14:paraId="6B6E744F">
                  <w:pPr>
                    <w:widowControl/>
                    <w:jc w:val="center"/>
                    <w:rPr>
                      <w:rFonts w:eastAsia="等线"/>
                      <w:kern w:val="0"/>
                      <w:szCs w:val="21"/>
                    </w:rPr>
                  </w:pPr>
                  <w:r>
                    <w:rPr>
                      <w:rFonts w:eastAsia="等线"/>
                      <w:kern w:val="0"/>
                      <w:szCs w:val="21"/>
                    </w:rPr>
                    <w:t>78</w:t>
                  </w:r>
                </w:p>
              </w:tc>
              <w:tc>
                <w:tcPr>
                  <w:tcW w:w="1500" w:type="dxa"/>
                  <w:tcBorders>
                    <w:top w:val="nil"/>
                    <w:left w:val="nil"/>
                    <w:bottom w:val="single" w:color="auto" w:sz="8" w:space="0"/>
                    <w:right w:val="single" w:color="auto" w:sz="8" w:space="0"/>
                  </w:tcBorders>
                  <w:shd w:val="clear" w:color="auto" w:fill="auto"/>
                  <w:vAlign w:val="center"/>
                </w:tcPr>
                <w:p w14:paraId="11773946">
                  <w:pPr>
                    <w:widowControl/>
                    <w:jc w:val="center"/>
                    <w:rPr>
                      <w:rFonts w:eastAsia="等线"/>
                      <w:kern w:val="0"/>
                      <w:szCs w:val="21"/>
                    </w:rPr>
                  </w:pPr>
                  <w:r>
                    <w:rPr>
                      <w:rFonts w:eastAsia="等线"/>
                      <w:kern w:val="0"/>
                      <w:szCs w:val="21"/>
                    </w:rPr>
                    <w:t>0</w:t>
                  </w:r>
                </w:p>
              </w:tc>
            </w:tr>
            <w:tr w14:paraId="4126603F">
              <w:tblPrEx>
                <w:tblCellMar>
                  <w:top w:w="0" w:type="dxa"/>
                  <w:left w:w="108" w:type="dxa"/>
                  <w:bottom w:w="0" w:type="dxa"/>
                  <w:right w:w="108" w:type="dxa"/>
                </w:tblCellMar>
              </w:tblPrEx>
              <w:trPr>
                <w:trHeight w:val="20" w:hRule="atLeast"/>
              </w:trPr>
              <w:tc>
                <w:tcPr>
                  <w:tcW w:w="6005" w:type="dxa"/>
                  <w:gridSpan w:val="4"/>
                  <w:tcBorders>
                    <w:top w:val="single" w:color="auto" w:sz="8" w:space="0"/>
                    <w:left w:val="single" w:color="auto" w:sz="8" w:space="0"/>
                    <w:bottom w:val="single" w:color="auto" w:sz="8" w:space="0"/>
                    <w:right w:val="single" w:color="000000" w:sz="8" w:space="0"/>
                  </w:tcBorders>
                  <w:shd w:val="clear" w:color="auto" w:fill="auto"/>
                  <w:vAlign w:val="center"/>
                </w:tcPr>
                <w:p w14:paraId="6D33A306">
                  <w:pPr>
                    <w:widowControl/>
                    <w:jc w:val="center"/>
                    <w:rPr>
                      <w:kern w:val="0"/>
                      <w:szCs w:val="21"/>
                    </w:rPr>
                  </w:pPr>
                  <w:r>
                    <w:rPr>
                      <w:kern w:val="0"/>
                      <w:szCs w:val="21"/>
                    </w:rPr>
                    <w:t>合计</w:t>
                  </w:r>
                </w:p>
              </w:tc>
              <w:tc>
                <w:tcPr>
                  <w:tcW w:w="1500" w:type="dxa"/>
                  <w:tcBorders>
                    <w:top w:val="nil"/>
                    <w:left w:val="nil"/>
                    <w:bottom w:val="single" w:color="auto" w:sz="8" w:space="0"/>
                    <w:right w:val="single" w:color="auto" w:sz="8" w:space="0"/>
                  </w:tcBorders>
                  <w:shd w:val="clear" w:color="auto" w:fill="auto"/>
                  <w:vAlign w:val="center"/>
                </w:tcPr>
                <w:p w14:paraId="30A1538F">
                  <w:pPr>
                    <w:widowControl/>
                    <w:jc w:val="center"/>
                    <w:rPr>
                      <w:rFonts w:eastAsia="等线"/>
                      <w:kern w:val="0"/>
                      <w:szCs w:val="21"/>
                    </w:rPr>
                  </w:pPr>
                  <w:r>
                    <w:rPr>
                      <w:rFonts w:eastAsia="等线"/>
                      <w:kern w:val="0"/>
                      <w:szCs w:val="21"/>
                    </w:rPr>
                    <w:t>79.1</w:t>
                  </w:r>
                </w:p>
              </w:tc>
              <w:tc>
                <w:tcPr>
                  <w:tcW w:w="1500" w:type="dxa"/>
                  <w:tcBorders>
                    <w:top w:val="nil"/>
                    <w:left w:val="nil"/>
                    <w:bottom w:val="single" w:color="auto" w:sz="8" w:space="0"/>
                    <w:right w:val="single" w:color="auto" w:sz="8" w:space="0"/>
                  </w:tcBorders>
                  <w:shd w:val="clear" w:color="auto" w:fill="auto"/>
                  <w:vAlign w:val="center"/>
                </w:tcPr>
                <w:p w14:paraId="15720189">
                  <w:pPr>
                    <w:widowControl/>
                    <w:jc w:val="center"/>
                    <w:rPr>
                      <w:rFonts w:eastAsia="等线"/>
                      <w:kern w:val="0"/>
                      <w:szCs w:val="21"/>
                    </w:rPr>
                  </w:pPr>
                  <w:r>
                    <w:rPr>
                      <w:rFonts w:eastAsia="等线"/>
                      <w:kern w:val="0"/>
                      <w:szCs w:val="21"/>
                    </w:rPr>
                    <w:t>0.88</w:t>
                  </w:r>
                </w:p>
              </w:tc>
            </w:tr>
          </w:tbl>
          <w:p w14:paraId="2F9BCCAA">
            <w:pPr>
              <w:pStyle w:val="2"/>
              <w:rPr>
                <w:rFonts w:ascii="Times New Roman" w:hAnsi="Times New Roman"/>
              </w:rPr>
            </w:pPr>
          </w:p>
          <w:p w14:paraId="7431A317"/>
          <w:p w14:paraId="433EEDDB">
            <w:pPr>
              <w:keepLines/>
              <w:spacing w:line="360" w:lineRule="auto"/>
              <w:ind w:firstLine="480" w:firstLineChars="200"/>
              <w:rPr>
                <w:sz w:val="24"/>
                <w:szCs w:val="22"/>
              </w:rPr>
            </w:pPr>
            <w:r>
              <w:rPr>
                <w:sz w:val="24"/>
                <w:szCs w:val="22"/>
              </w:rPr>
              <w:t>项目水量平衡图见图4-2。</w:t>
            </w:r>
          </w:p>
          <w:p w14:paraId="09CF67B0">
            <w:pPr>
              <w:keepLines/>
              <w:spacing w:line="360" w:lineRule="auto"/>
              <w:jc w:val="center"/>
            </w:pPr>
            <w:r>
              <w:object>
                <v:shape id="_x0000_i1026" o:spt="75" type="#_x0000_t75" style="height:258pt;width:420.85pt;" o:ole="t" filled="f" o:preferrelative="t" stroked="f" coordsize="21600,21600">
                  <v:path/>
                  <v:fill on="f" focussize="0,0"/>
                  <v:stroke on="f" joinstyle="miter"/>
                  <v:imagedata r:id="rId14" o:title=""/>
                  <o:lock v:ext="edit" aspectratio="t"/>
                  <w10:wrap type="none"/>
                  <w10:anchorlock/>
                </v:shape>
                <o:OLEObject Type="Embed" ProgID="Visio.Drawing.15" ShapeID="_x0000_i1026" DrawAspect="Content" ObjectID="_1468075726">
                  <o:LockedField>false</o:LockedField>
                </o:OLEObject>
              </w:object>
            </w:r>
          </w:p>
          <w:p w14:paraId="05F84477">
            <w:pPr>
              <w:keepLines/>
              <w:spacing w:line="360" w:lineRule="auto"/>
              <w:jc w:val="center"/>
              <w:rPr>
                <w:b/>
                <w:sz w:val="24"/>
              </w:rPr>
            </w:pPr>
            <w:r>
              <w:rPr>
                <w:b/>
                <w:sz w:val="24"/>
              </w:rPr>
              <w:t>图4-2  项目水量平衡图  单位：m</w:t>
            </w:r>
            <w:r>
              <w:rPr>
                <w:bCs/>
                <w:sz w:val="24"/>
                <w:vertAlign w:val="superscript"/>
              </w:rPr>
              <w:t>3</w:t>
            </w:r>
            <w:r>
              <w:rPr>
                <w:b/>
                <w:sz w:val="24"/>
              </w:rPr>
              <w:t>/d</w:t>
            </w:r>
          </w:p>
          <w:p w14:paraId="0A15B3F4">
            <w:pPr>
              <w:tabs>
                <w:tab w:val="left" w:pos="3795"/>
              </w:tabs>
              <w:spacing w:line="360" w:lineRule="auto"/>
              <w:ind w:firstLine="482" w:firstLineChars="200"/>
              <w:rPr>
                <w:b/>
                <w:sz w:val="24"/>
              </w:rPr>
            </w:pPr>
            <w:r>
              <w:rPr>
                <w:b/>
                <w:sz w:val="24"/>
              </w:rPr>
              <w:t>2.2、项目用排水小结及废水产排源强</w:t>
            </w:r>
          </w:p>
          <w:p w14:paraId="07E6A0C4">
            <w:pPr>
              <w:tabs>
                <w:tab w:val="left" w:pos="3795"/>
              </w:tabs>
              <w:spacing w:line="360" w:lineRule="auto"/>
              <w:ind w:firstLine="482" w:firstLineChars="200"/>
              <w:rPr>
                <w:b/>
                <w:bCs/>
                <w:sz w:val="24"/>
              </w:rPr>
            </w:pPr>
            <w:r>
              <w:rPr>
                <w:b/>
                <w:sz w:val="24"/>
                <w:szCs w:val="20"/>
              </w:rPr>
              <w:t>（1）项目废水产排小结</w:t>
            </w:r>
          </w:p>
          <w:p w14:paraId="0B89D835">
            <w:pPr>
              <w:adjustRightInd w:val="0"/>
              <w:snapToGrid w:val="0"/>
              <w:spacing w:line="360" w:lineRule="auto"/>
              <w:ind w:firstLine="480" w:firstLineChars="200"/>
              <w:rPr>
                <w:sz w:val="24"/>
                <w:szCs w:val="22"/>
              </w:rPr>
            </w:pPr>
            <w:r>
              <w:rPr>
                <w:bCs/>
                <w:sz w:val="24"/>
              </w:rPr>
              <w:t>根据上述分析，</w:t>
            </w:r>
            <w:r>
              <w:rPr>
                <w:sz w:val="24"/>
                <w:szCs w:val="22"/>
              </w:rPr>
              <w:t>本项目废水主要为生活废水（办公、生活废水，食堂废水）。</w:t>
            </w:r>
          </w:p>
          <w:p w14:paraId="65A3BC4D">
            <w:pPr>
              <w:adjustRightInd w:val="0"/>
              <w:snapToGrid w:val="0"/>
              <w:spacing w:line="360" w:lineRule="auto"/>
              <w:ind w:firstLine="480" w:firstLineChars="200"/>
              <w:rPr>
                <w:bCs/>
                <w:sz w:val="24"/>
              </w:rPr>
            </w:pPr>
            <w:r>
              <w:rPr>
                <w:bCs/>
                <w:sz w:val="24"/>
              </w:rPr>
              <w:t>其中：生活废水产生量为0.88m</w:t>
            </w:r>
            <w:r>
              <w:rPr>
                <w:bCs/>
                <w:sz w:val="24"/>
                <w:vertAlign w:val="superscript"/>
              </w:rPr>
              <w:t>3</w:t>
            </w:r>
            <w:r>
              <w:rPr>
                <w:bCs/>
                <w:sz w:val="24"/>
              </w:rPr>
              <w:t>/d（0.026万m</w:t>
            </w:r>
            <w:r>
              <w:rPr>
                <w:bCs/>
                <w:sz w:val="24"/>
                <w:vertAlign w:val="superscript"/>
              </w:rPr>
              <w:t>3</w:t>
            </w:r>
            <w:r>
              <w:rPr>
                <w:bCs/>
                <w:sz w:val="24"/>
              </w:rPr>
              <w:t>/a），其中食堂废水量0.24m</w:t>
            </w:r>
            <w:r>
              <w:rPr>
                <w:bCs/>
                <w:sz w:val="24"/>
                <w:vertAlign w:val="superscript"/>
              </w:rPr>
              <w:t>3</w:t>
            </w:r>
            <w:r>
              <w:rPr>
                <w:bCs/>
                <w:sz w:val="24"/>
              </w:rPr>
              <w:t>/d，委托周边农户清掏，用于农作物施肥。</w:t>
            </w:r>
          </w:p>
          <w:p w14:paraId="21DED393">
            <w:pPr>
              <w:tabs>
                <w:tab w:val="left" w:pos="3795"/>
              </w:tabs>
              <w:spacing w:line="360" w:lineRule="auto"/>
              <w:ind w:firstLine="482" w:firstLineChars="200"/>
              <w:rPr>
                <w:b/>
                <w:bCs/>
                <w:sz w:val="24"/>
              </w:rPr>
            </w:pPr>
            <w:r>
              <w:rPr>
                <w:b/>
                <w:sz w:val="24"/>
                <w:szCs w:val="20"/>
              </w:rPr>
              <w:t>（2）项目废水源强</w:t>
            </w:r>
          </w:p>
          <w:p w14:paraId="02E2C356">
            <w:pPr>
              <w:tabs>
                <w:tab w:val="left" w:pos="3795"/>
              </w:tabs>
              <w:spacing w:line="360" w:lineRule="auto"/>
              <w:ind w:firstLine="480" w:firstLineChars="200"/>
            </w:pPr>
            <w:r>
              <w:rPr>
                <w:sz w:val="24"/>
              </w:rPr>
              <w:t>类比同类生活污水中污染物的浓度情况，项目生活污水中CODcr浓度约350mg/L，BOD</w:t>
            </w:r>
            <w:r>
              <w:rPr>
                <w:sz w:val="24"/>
                <w:vertAlign w:val="subscript"/>
              </w:rPr>
              <w:t>5</w:t>
            </w:r>
            <w:r>
              <w:rPr>
                <w:sz w:val="24"/>
              </w:rPr>
              <w:t>浓度约200mg/L，SS浓度约220mg/L，氨氮浓度约25mg/L，动植物油浓度约35mg/L。项目遗体清洁废水水质跟生活污水基本相同。项目废水污染物产生源强详见下表。</w:t>
            </w:r>
          </w:p>
          <w:p w14:paraId="4EF7CB39">
            <w:pPr>
              <w:adjustRightInd w:val="0"/>
              <w:snapToGrid w:val="0"/>
              <w:jc w:val="center"/>
              <w:rPr>
                <w:b/>
                <w:sz w:val="24"/>
              </w:rPr>
            </w:pPr>
            <w:r>
              <w:rPr>
                <w:b/>
                <w:sz w:val="24"/>
              </w:rPr>
              <w:t>表4-6  项目废水产排源强  单位：t/a</w:t>
            </w:r>
          </w:p>
          <w:tbl>
            <w:tblPr>
              <w:tblStyle w:val="25"/>
              <w:tblW w:w="9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602"/>
              <w:gridCol w:w="1307"/>
              <w:gridCol w:w="1009"/>
              <w:gridCol w:w="1009"/>
              <w:gridCol w:w="1009"/>
              <w:gridCol w:w="1009"/>
              <w:gridCol w:w="1005"/>
            </w:tblGrid>
            <w:tr w14:paraId="0D2D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658" w:type="dxa"/>
                  <w:gridSpan w:val="2"/>
                  <w:tcBorders>
                    <w:top w:val="single" w:color="auto" w:sz="4" w:space="0"/>
                    <w:left w:val="single" w:color="auto" w:sz="4" w:space="0"/>
                    <w:bottom w:val="single" w:color="auto" w:sz="4" w:space="0"/>
                    <w:right w:val="single" w:color="auto" w:sz="4" w:space="0"/>
                  </w:tcBorders>
                  <w:vAlign w:val="center"/>
                </w:tcPr>
                <w:p w14:paraId="2F5D51BE">
                  <w:pPr>
                    <w:widowControl/>
                    <w:jc w:val="center"/>
                    <w:rPr>
                      <w:b/>
                      <w:bCs/>
                      <w:kern w:val="0"/>
                      <w:szCs w:val="21"/>
                    </w:rPr>
                  </w:pPr>
                  <w:r>
                    <w:rPr>
                      <w:b/>
                      <w:bCs/>
                    </w:rPr>
                    <mc:AlternateContent>
                      <mc:Choice Requires="wps">
                        <w:drawing>
                          <wp:anchor distT="0" distB="0" distL="114300" distR="114300" simplePos="0" relativeHeight="251662336" behindDoc="0" locked="0" layoutInCell="1" allowOverlap="1">
                            <wp:simplePos x="0" y="0"/>
                            <wp:positionH relativeFrom="column">
                              <wp:posOffset>-73660</wp:posOffset>
                            </wp:positionH>
                            <wp:positionV relativeFrom="paragraph">
                              <wp:posOffset>29210</wp:posOffset>
                            </wp:positionV>
                            <wp:extent cx="1587500" cy="317500"/>
                            <wp:effectExtent l="7620" t="13335" r="5080" b="12065"/>
                            <wp:wrapNone/>
                            <wp:docPr id="41"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1587500" cy="317500"/>
                                    </a:xfrm>
                                    <a:prstGeom prst="straightConnector1">
                                      <a:avLst/>
                                    </a:prstGeom>
                                    <a:noFill/>
                                    <a:ln w="9525" cmpd="sng">
                                      <a:solidFill>
                                        <a:srgbClr val="000000"/>
                                      </a:solidFill>
                                      <a:round/>
                                    </a:ln>
                                  </wps:spPr>
                                  <wps:bodyPr/>
                                </wps:wsp>
                              </a:graphicData>
                            </a:graphic>
                          </wp:anchor>
                        </w:drawing>
                      </mc:Choice>
                      <mc:Fallback>
                        <w:pict>
                          <v:shape id="直接箭头连接符 6" o:spid="_x0000_s1026" o:spt="32" type="#_x0000_t32" style="position:absolute;left:0pt;margin-left:-5.8pt;margin-top:2.3pt;height:25pt;width:125pt;z-index:251662336;mso-width-relative:page;mso-height-relative:page;" filled="f" stroked="t" coordsize="21600,21600" o:gfxdata="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8RQ1wAAAAgBAAAPAAAAAAAAAAEAIAAAACIAAABkcnMvZG93&#10;bnJldi54bWxQSwECFAAUAAAACACHTuJA8CyUPAECAADPAwAADgAAAAAAAAABACAAAAAmAQAAZHJz&#10;L2Uyb0RvYy54bWxQSwUGAAAAAAYABgBZAQAAmQUAAAAA&#10;">
                            <v:fill on="f" focussize="0,0"/>
                            <v:stroke color="#000000" joinstyle="round"/>
                            <v:imagedata o:title=""/>
                            <o:lock v:ext="edit" aspectratio="f"/>
                          </v:shape>
                        </w:pict>
                      </mc:Fallback>
                    </mc:AlternateContent>
                  </w:r>
                  <w:r>
                    <w:rPr>
                      <w:b/>
                      <w:bCs/>
                      <w:kern w:val="0"/>
                      <w:szCs w:val="21"/>
                    </w:rPr>
                    <w:t xml:space="preserve">             项目</w:t>
                  </w:r>
                </w:p>
                <w:p w14:paraId="16106DDB">
                  <w:pPr>
                    <w:widowControl/>
                    <w:rPr>
                      <w:b/>
                      <w:bCs/>
                      <w:kern w:val="0"/>
                      <w:szCs w:val="21"/>
                    </w:rPr>
                  </w:pPr>
                  <w:r>
                    <w:rPr>
                      <w:b/>
                      <w:bCs/>
                      <w:kern w:val="0"/>
                      <w:szCs w:val="21"/>
                    </w:rPr>
                    <w:t>产排情况</w:t>
                  </w:r>
                </w:p>
              </w:tc>
              <w:tc>
                <w:tcPr>
                  <w:tcW w:w="1307" w:type="dxa"/>
                  <w:tcBorders>
                    <w:top w:val="single" w:color="auto" w:sz="4" w:space="0"/>
                    <w:left w:val="single" w:color="auto" w:sz="4" w:space="0"/>
                    <w:bottom w:val="single" w:color="auto" w:sz="4" w:space="0"/>
                    <w:right w:val="single" w:color="auto" w:sz="4" w:space="0"/>
                  </w:tcBorders>
                  <w:vAlign w:val="center"/>
                </w:tcPr>
                <w:p w14:paraId="19B4B010">
                  <w:pPr>
                    <w:widowControl/>
                    <w:jc w:val="center"/>
                    <w:rPr>
                      <w:b/>
                      <w:bCs/>
                      <w:kern w:val="0"/>
                      <w:szCs w:val="21"/>
                    </w:rPr>
                  </w:pPr>
                  <w:r>
                    <w:rPr>
                      <w:b/>
                      <w:bCs/>
                      <w:kern w:val="0"/>
                      <w:szCs w:val="21"/>
                    </w:rPr>
                    <w:t>废水量</w:t>
                  </w:r>
                </w:p>
                <w:p w14:paraId="15C06C36">
                  <w:pPr>
                    <w:widowControl/>
                    <w:jc w:val="center"/>
                    <w:rPr>
                      <w:b/>
                      <w:bCs/>
                      <w:kern w:val="0"/>
                      <w:szCs w:val="21"/>
                    </w:rPr>
                  </w:pPr>
                  <w:r>
                    <w:rPr>
                      <w:b/>
                      <w:bCs/>
                      <w:kern w:val="0"/>
                      <w:szCs w:val="21"/>
                    </w:rPr>
                    <w:t>（万m</w:t>
                  </w:r>
                  <w:r>
                    <w:rPr>
                      <w:b/>
                      <w:bCs/>
                      <w:kern w:val="0"/>
                      <w:szCs w:val="21"/>
                      <w:vertAlign w:val="superscript"/>
                    </w:rPr>
                    <w:t>3</w:t>
                  </w:r>
                  <w:r>
                    <w:rPr>
                      <w:b/>
                      <w:bCs/>
                      <w:kern w:val="0"/>
                      <w:szCs w:val="21"/>
                    </w:rPr>
                    <w:t>/a）</w:t>
                  </w:r>
                </w:p>
              </w:tc>
              <w:tc>
                <w:tcPr>
                  <w:tcW w:w="1009" w:type="dxa"/>
                  <w:tcBorders>
                    <w:top w:val="single" w:color="auto" w:sz="4" w:space="0"/>
                    <w:left w:val="single" w:color="auto" w:sz="4" w:space="0"/>
                    <w:bottom w:val="single" w:color="auto" w:sz="4" w:space="0"/>
                    <w:right w:val="single" w:color="auto" w:sz="4" w:space="0"/>
                  </w:tcBorders>
                  <w:vAlign w:val="center"/>
                </w:tcPr>
                <w:p w14:paraId="76562B61">
                  <w:pPr>
                    <w:widowControl/>
                    <w:jc w:val="center"/>
                    <w:rPr>
                      <w:b/>
                      <w:bCs/>
                      <w:kern w:val="0"/>
                      <w:szCs w:val="21"/>
                    </w:rPr>
                  </w:pPr>
                  <w:r>
                    <w:rPr>
                      <w:b/>
                      <w:bCs/>
                      <w:kern w:val="0"/>
                      <w:szCs w:val="21"/>
                    </w:rPr>
                    <w:t>CODcr</w:t>
                  </w:r>
                </w:p>
              </w:tc>
              <w:tc>
                <w:tcPr>
                  <w:tcW w:w="1009" w:type="dxa"/>
                  <w:tcBorders>
                    <w:top w:val="single" w:color="auto" w:sz="4" w:space="0"/>
                    <w:left w:val="single" w:color="auto" w:sz="4" w:space="0"/>
                    <w:bottom w:val="single" w:color="auto" w:sz="4" w:space="0"/>
                    <w:right w:val="single" w:color="auto" w:sz="4" w:space="0"/>
                  </w:tcBorders>
                  <w:vAlign w:val="center"/>
                </w:tcPr>
                <w:p w14:paraId="0EB1AD2F">
                  <w:pPr>
                    <w:widowControl/>
                    <w:jc w:val="center"/>
                    <w:rPr>
                      <w:b/>
                      <w:bCs/>
                      <w:kern w:val="0"/>
                      <w:szCs w:val="21"/>
                      <w:vertAlign w:val="subscript"/>
                    </w:rPr>
                  </w:pPr>
                  <w:r>
                    <w:rPr>
                      <w:b/>
                      <w:bCs/>
                      <w:kern w:val="0"/>
                      <w:szCs w:val="21"/>
                    </w:rPr>
                    <w:t>BOD</w:t>
                  </w:r>
                  <w:r>
                    <w:rPr>
                      <w:b/>
                      <w:bCs/>
                      <w:kern w:val="0"/>
                      <w:szCs w:val="21"/>
                      <w:vertAlign w:val="subscript"/>
                    </w:rPr>
                    <w:t>5</w:t>
                  </w:r>
                </w:p>
              </w:tc>
              <w:tc>
                <w:tcPr>
                  <w:tcW w:w="1009" w:type="dxa"/>
                  <w:tcBorders>
                    <w:top w:val="single" w:color="auto" w:sz="4" w:space="0"/>
                    <w:left w:val="single" w:color="auto" w:sz="4" w:space="0"/>
                    <w:bottom w:val="single" w:color="auto" w:sz="4" w:space="0"/>
                    <w:right w:val="single" w:color="auto" w:sz="4" w:space="0"/>
                  </w:tcBorders>
                  <w:vAlign w:val="center"/>
                </w:tcPr>
                <w:p w14:paraId="13671179">
                  <w:pPr>
                    <w:widowControl/>
                    <w:jc w:val="center"/>
                    <w:rPr>
                      <w:b/>
                      <w:bCs/>
                      <w:kern w:val="0"/>
                      <w:szCs w:val="21"/>
                    </w:rPr>
                  </w:pPr>
                  <w:r>
                    <w:rPr>
                      <w:b/>
                      <w:bCs/>
                      <w:kern w:val="0"/>
                      <w:szCs w:val="21"/>
                    </w:rPr>
                    <w:t>SS</w:t>
                  </w:r>
                </w:p>
              </w:tc>
              <w:tc>
                <w:tcPr>
                  <w:tcW w:w="1009" w:type="dxa"/>
                  <w:tcBorders>
                    <w:top w:val="single" w:color="auto" w:sz="4" w:space="0"/>
                    <w:left w:val="single" w:color="auto" w:sz="4" w:space="0"/>
                    <w:bottom w:val="single" w:color="auto" w:sz="4" w:space="0"/>
                    <w:right w:val="single" w:color="auto" w:sz="4" w:space="0"/>
                  </w:tcBorders>
                  <w:vAlign w:val="center"/>
                </w:tcPr>
                <w:p w14:paraId="0F80D045">
                  <w:pPr>
                    <w:widowControl/>
                    <w:jc w:val="center"/>
                    <w:rPr>
                      <w:b/>
                      <w:bCs/>
                      <w:kern w:val="0"/>
                      <w:szCs w:val="21"/>
                    </w:rPr>
                  </w:pPr>
                  <w:r>
                    <w:rPr>
                      <w:b/>
                      <w:bCs/>
                      <w:kern w:val="0"/>
                      <w:szCs w:val="21"/>
                    </w:rPr>
                    <w:t>NH</w:t>
                  </w:r>
                  <w:r>
                    <w:rPr>
                      <w:b/>
                      <w:bCs/>
                      <w:kern w:val="0"/>
                      <w:szCs w:val="21"/>
                      <w:vertAlign w:val="subscript"/>
                    </w:rPr>
                    <w:t>3</w:t>
                  </w:r>
                  <w:r>
                    <w:rPr>
                      <w:b/>
                      <w:bCs/>
                      <w:kern w:val="0"/>
                      <w:szCs w:val="21"/>
                    </w:rPr>
                    <w:t>-N</w:t>
                  </w:r>
                </w:p>
              </w:tc>
              <w:tc>
                <w:tcPr>
                  <w:tcW w:w="1005" w:type="dxa"/>
                  <w:tcBorders>
                    <w:top w:val="single" w:color="auto" w:sz="4" w:space="0"/>
                    <w:left w:val="single" w:color="auto" w:sz="4" w:space="0"/>
                    <w:bottom w:val="single" w:color="auto" w:sz="4" w:space="0"/>
                    <w:right w:val="single" w:color="auto" w:sz="4" w:space="0"/>
                  </w:tcBorders>
                  <w:vAlign w:val="center"/>
                </w:tcPr>
                <w:p w14:paraId="4537C6A4">
                  <w:pPr>
                    <w:widowControl/>
                    <w:jc w:val="center"/>
                    <w:rPr>
                      <w:b/>
                      <w:bCs/>
                      <w:kern w:val="0"/>
                      <w:szCs w:val="21"/>
                    </w:rPr>
                  </w:pPr>
                  <w:r>
                    <w:rPr>
                      <w:b/>
                      <w:bCs/>
                      <w:kern w:val="0"/>
                      <w:szCs w:val="21"/>
                    </w:rPr>
                    <w:t>动植物油</w:t>
                  </w:r>
                </w:p>
              </w:tc>
            </w:tr>
            <w:tr w14:paraId="367B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6" w:type="dxa"/>
                  <w:vMerge w:val="restart"/>
                  <w:tcBorders>
                    <w:top w:val="single" w:color="auto" w:sz="4" w:space="0"/>
                    <w:left w:val="single" w:color="auto" w:sz="4" w:space="0"/>
                    <w:right w:val="single" w:color="auto" w:sz="4" w:space="0"/>
                  </w:tcBorders>
                  <w:vAlign w:val="center"/>
                </w:tcPr>
                <w:p w14:paraId="719B8B97">
                  <w:pPr>
                    <w:widowControl/>
                    <w:jc w:val="center"/>
                    <w:rPr>
                      <w:kern w:val="0"/>
                      <w:szCs w:val="21"/>
                    </w:rPr>
                  </w:pPr>
                  <w:r>
                    <w:rPr>
                      <w:kern w:val="0"/>
                      <w:szCs w:val="21"/>
                    </w:rPr>
                    <w:t>综合废水</w:t>
                  </w:r>
                </w:p>
              </w:tc>
              <w:tc>
                <w:tcPr>
                  <w:tcW w:w="1602" w:type="dxa"/>
                  <w:tcBorders>
                    <w:top w:val="single" w:color="auto" w:sz="4" w:space="0"/>
                    <w:left w:val="single" w:color="auto" w:sz="4" w:space="0"/>
                    <w:bottom w:val="single" w:color="auto" w:sz="4" w:space="0"/>
                    <w:right w:val="single" w:color="auto" w:sz="4" w:space="0"/>
                  </w:tcBorders>
                  <w:vAlign w:val="center"/>
                </w:tcPr>
                <w:p w14:paraId="24360B0A">
                  <w:pPr>
                    <w:widowControl/>
                    <w:jc w:val="center"/>
                    <w:rPr>
                      <w:kern w:val="0"/>
                      <w:szCs w:val="21"/>
                    </w:rPr>
                  </w:pPr>
                  <w:r>
                    <w:rPr>
                      <w:kern w:val="0"/>
                      <w:szCs w:val="21"/>
                    </w:rPr>
                    <w:t>产生浓度（mg/L）</w:t>
                  </w:r>
                </w:p>
              </w:tc>
              <w:tc>
                <w:tcPr>
                  <w:tcW w:w="1307" w:type="dxa"/>
                  <w:vMerge w:val="restart"/>
                  <w:tcBorders>
                    <w:top w:val="single" w:color="auto" w:sz="4" w:space="0"/>
                    <w:left w:val="single" w:color="auto" w:sz="4" w:space="0"/>
                    <w:bottom w:val="single" w:color="auto" w:sz="4" w:space="0"/>
                    <w:right w:val="single" w:color="auto" w:sz="4" w:space="0"/>
                  </w:tcBorders>
                  <w:vAlign w:val="center"/>
                </w:tcPr>
                <w:p w14:paraId="27F6C489">
                  <w:pPr>
                    <w:jc w:val="center"/>
                    <w:rPr>
                      <w:szCs w:val="21"/>
                    </w:rPr>
                  </w:pPr>
                  <w:r>
                    <w:rPr>
                      <w:szCs w:val="21"/>
                    </w:rPr>
                    <w:t>0.026</w:t>
                  </w:r>
                </w:p>
              </w:tc>
              <w:tc>
                <w:tcPr>
                  <w:tcW w:w="1009" w:type="dxa"/>
                  <w:tcBorders>
                    <w:top w:val="single" w:color="auto" w:sz="4" w:space="0"/>
                    <w:left w:val="single" w:color="auto" w:sz="4" w:space="0"/>
                    <w:bottom w:val="single" w:color="auto" w:sz="4" w:space="0"/>
                    <w:right w:val="single" w:color="auto" w:sz="4" w:space="0"/>
                  </w:tcBorders>
                  <w:vAlign w:val="center"/>
                </w:tcPr>
                <w:p w14:paraId="13EBB20F">
                  <w:pPr>
                    <w:jc w:val="center"/>
                    <w:rPr>
                      <w:szCs w:val="21"/>
                      <w:lang w:val="zh-CN"/>
                    </w:rPr>
                  </w:pPr>
                  <w:r>
                    <w:rPr>
                      <w:szCs w:val="21"/>
                      <w:lang w:val="zh-CN"/>
                    </w:rPr>
                    <w:t>350</w:t>
                  </w:r>
                </w:p>
              </w:tc>
              <w:tc>
                <w:tcPr>
                  <w:tcW w:w="1009" w:type="dxa"/>
                  <w:tcBorders>
                    <w:top w:val="single" w:color="auto" w:sz="4" w:space="0"/>
                    <w:left w:val="single" w:color="auto" w:sz="4" w:space="0"/>
                    <w:bottom w:val="single" w:color="auto" w:sz="4" w:space="0"/>
                    <w:right w:val="single" w:color="auto" w:sz="4" w:space="0"/>
                  </w:tcBorders>
                  <w:vAlign w:val="center"/>
                </w:tcPr>
                <w:p w14:paraId="7867033C">
                  <w:pPr>
                    <w:jc w:val="center"/>
                    <w:rPr>
                      <w:szCs w:val="21"/>
                      <w:lang w:val="zh-CN"/>
                    </w:rPr>
                  </w:pPr>
                  <w:r>
                    <w:rPr>
                      <w:szCs w:val="21"/>
                      <w:lang w:val="zh-CN"/>
                    </w:rPr>
                    <w:t>200</w:t>
                  </w:r>
                </w:p>
              </w:tc>
              <w:tc>
                <w:tcPr>
                  <w:tcW w:w="1009" w:type="dxa"/>
                  <w:tcBorders>
                    <w:top w:val="single" w:color="auto" w:sz="4" w:space="0"/>
                    <w:left w:val="single" w:color="auto" w:sz="4" w:space="0"/>
                    <w:bottom w:val="single" w:color="auto" w:sz="4" w:space="0"/>
                    <w:right w:val="single" w:color="auto" w:sz="4" w:space="0"/>
                  </w:tcBorders>
                  <w:vAlign w:val="center"/>
                </w:tcPr>
                <w:p w14:paraId="3CEAA1BA">
                  <w:pPr>
                    <w:jc w:val="center"/>
                    <w:rPr>
                      <w:szCs w:val="21"/>
                      <w:lang w:val="zh-CN"/>
                    </w:rPr>
                  </w:pPr>
                  <w:r>
                    <w:rPr>
                      <w:szCs w:val="21"/>
                      <w:lang w:val="zh-CN"/>
                    </w:rPr>
                    <w:t>220</w:t>
                  </w:r>
                </w:p>
              </w:tc>
              <w:tc>
                <w:tcPr>
                  <w:tcW w:w="1009" w:type="dxa"/>
                  <w:tcBorders>
                    <w:top w:val="single" w:color="auto" w:sz="4" w:space="0"/>
                    <w:left w:val="single" w:color="auto" w:sz="4" w:space="0"/>
                    <w:bottom w:val="single" w:color="auto" w:sz="4" w:space="0"/>
                    <w:right w:val="single" w:color="auto" w:sz="4" w:space="0"/>
                  </w:tcBorders>
                  <w:vAlign w:val="center"/>
                </w:tcPr>
                <w:p w14:paraId="4E257AD2">
                  <w:pPr>
                    <w:jc w:val="center"/>
                    <w:rPr>
                      <w:szCs w:val="21"/>
                    </w:rPr>
                  </w:pPr>
                  <w:r>
                    <w:rPr>
                      <w:szCs w:val="21"/>
                    </w:rPr>
                    <w:t>25</w:t>
                  </w:r>
                </w:p>
              </w:tc>
              <w:tc>
                <w:tcPr>
                  <w:tcW w:w="1005" w:type="dxa"/>
                  <w:tcBorders>
                    <w:top w:val="single" w:color="auto" w:sz="4" w:space="0"/>
                    <w:left w:val="single" w:color="auto" w:sz="4" w:space="0"/>
                    <w:bottom w:val="single" w:color="auto" w:sz="4" w:space="0"/>
                    <w:right w:val="single" w:color="auto" w:sz="4" w:space="0"/>
                  </w:tcBorders>
                  <w:vAlign w:val="center"/>
                </w:tcPr>
                <w:p w14:paraId="5C7A7627">
                  <w:pPr>
                    <w:jc w:val="center"/>
                    <w:rPr>
                      <w:szCs w:val="21"/>
                    </w:rPr>
                  </w:pPr>
                  <w:r>
                    <w:rPr>
                      <w:szCs w:val="21"/>
                    </w:rPr>
                    <w:t>35</w:t>
                  </w:r>
                </w:p>
              </w:tc>
            </w:tr>
            <w:tr w14:paraId="332F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6" w:type="dxa"/>
                  <w:vMerge w:val="continue"/>
                  <w:tcBorders>
                    <w:left w:val="single" w:color="auto" w:sz="4" w:space="0"/>
                    <w:right w:val="single" w:color="auto" w:sz="4" w:space="0"/>
                  </w:tcBorders>
                  <w:vAlign w:val="center"/>
                </w:tcPr>
                <w:p w14:paraId="707775B8">
                  <w:pPr>
                    <w:widowControl/>
                    <w:jc w:val="center"/>
                    <w:rPr>
                      <w:kern w:val="0"/>
                      <w:szCs w:val="21"/>
                    </w:rPr>
                  </w:pPr>
                </w:p>
              </w:tc>
              <w:tc>
                <w:tcPr>
                  <w:tcW w:w="1602" w:type="dxa"/>
                  <w:tcBorders>
                    <w:top w:val="single" w:color="auto" w:sz="4" w:space="0"/>
                    <w:left w:val="single" w:color="auto" w:sz="4" w:space="0"/>
                    <w:bottom w:val="single" w:color="auto" w:sz="4" w:space="0"/>
                    <w:right w:val="single" w:color="auto" w:sz="4" w:space="0"/>
                  </w:tcBorders>
                  <w:vAlign w:val="center"/>
                </w:tcPr>
                <w:p w14:paraId="0C7979F0">
                  <w:pPr>
                    <w:widowControl/>
                    <w:jc w:val="center"/>
                    <w:rPr>
                      <w:kern w:val="0"/>
                      <w:szCs w:val="21"/>
                    </w:rPr>
                  </w:pPr>
                  <w:r>
                    <w:rPr>
                      <w:kern w:val="0"/>
                      <w:szCs w:val="21"/>
                    </w:rPr>
                    <w:t>产生量（t/a）</w:t>
                  </w:r>
                </w:p>
              </w:tc>
              <w:tc>
                <w:tcPr>
                  <w:tcW w:w="1307" w:type="dxa"/>
                  <w:vMerge w:val="continue"/>
                  <w:tcBorders>
                    <w:top w:val="single" w:color="auto" w:sz="4" w:space="0"/>
                    <w:left w:val="single" w:color="auto" w:sz="4" w:space="0"/>
                    <w:bottom w:val="single" w:color="auto" w:sz="4" w:space="0"/>
                    <w:right w:val="single" w:color="auto" w:sz="4" w:space="0"/>
                  </w:tcBorders>
                  <w:vAlign w:val="center"/>
                </w:tcPr>
                <w:p w14:paraId="052F9FBF">
                  <w:pPr>
                    <w:widowControl/>
                    <w:jc w:val="center"/>
                    <w:rPr>
                      <w:szCs w:val="21"/>
                      <w:lang w:val="zh-CN"/>
                    </w:rPr>
                  </w:pPr>
                </w:p>
              </w:tc>
              <w:tc>
                <w:tcPr>
                  <w:tcW w:w="1009" w:type="dxa"/>
                  <w:tcBorders>
                    <w:top w:val="single" w:color="auto" w:sz="4" w:space="0"/>
                    <w:left w:val="single" w:color="auto" w:sz="4" w:space="0"/>
                    <w:bottom w:val="single" w:color="auto" w:sz="4" w:space="0"/>
                    <w:right w:val="single" w:color="auto" w:sz="4" w:space="0"/>
                  </w:tcBorders>
                  <w:vAlign w:val="center"/>
                </w:tcPr>
                <w:p w14:paraId="7B9EEB2C">
                  <w:pPr>
                    <w:widowControl/>
                    <w:jc w:val="center"/>
                    <w:textAlignment w:val="center"/>
                    <w:rPr>
                      <w:kern w:val="0"/>
                      <w:szCs w:val="21"/>
                    </w:rPr>
                  </w:pPr>
                  <w:r>
                    <w:rPr>
                      <w:rFonts w:eastAsia="等线"/>
                      <w:szCs w:val="21"/>
                    </w:rPr>
                    <w:t>9.1</w:t>
                  </w:r>
                </w:p>
              </w:tc>
              <w:tc>
                <w:tcPr>
                  <w:tcW w:w="1009" w:type="dxa"/>
                  <w:tcBorders>
                    <w:top w:val="single" w:color="auto" w:sz="4" w:space="0"/>
                    <w:left w:val="single" w:color="auto" w:sz="4" w:space="0"/>
                    <w:bottom w:val="single" w:color="auto" w:sz="4" w:space="0"/>
                    <w:right w:val="single" w:color="auto" w:sz="4" w:space="0"/>
                  </w:tcBorders>
                  <w:vAlign w:val="center"/>
                </w:tcPr>
                <w:p w14:paraId="17EDD6FA">
                  <w:pPr>
                    <w:widowControl/>
                    <w:jc w:val="center"/>
                    <w:textAlignment w:val="center"/>
                    <w:rPr>
                      <w:szCs w:val="21"/>
                    </w:rPr>
                  </w:pPr>
                  <w:r>
                    <w:rPr>
                      <w:rFonts w:eastAsia="等线"/>
                      <w:szCs w:val="21"/>
                    </w:rPr>
                    <w:t>5.2</w:t>
                  </w:r>
                </w:p>
              </w:tc>
              <w:tc>
                <w:tcPr>
                  <w:tcW w:w="1009" w:type="dxa"/>
                  <w:tcBorders>
                    <w:top w:val="single" w:color="auto" w:sz="4" w:space="0"/>
                    <w:left w:val="single" w:color="auto" w:sz="4" w:space="0"/>
                    <w:bottom w:val="single" w:color="auto" w:sz="4" w:space="0"/>
                    <w:right w:val="single" w:color="auto" w:sz="4" w:space="0"/>
                  </w:tcBorders>
                  <w:vAlign w:val="center"/>
                </w:tcPr>
                <w:p w14:paraId="38BCF03A">
                  <w:pPr>
                    <w:widowControl/>
                    <w:jc w:val="center"/>
                    <w:textAlignment w:val="center"/>
                    <w:rPr>
                      <w:szCs w:val="21"/>
                    </w:rPr>
                  </w:pPr>
                  <w:r>
                    <w:rPr>
                      <w:rFonts w:eastAsia="等线"/>
                      <w:szCs w:val="21"/>
                    </w:rPr>
                    <w:t>5.72</w:t>
                  </w:r>
                </w:p>
              </w:tc>
              <w:tc>
                <w:tcPr>
                  <w:tcW w:w="1009" w:type="dxa"/>
                  <w:tcBorders>
                    <w:top w:val="single" w:color="auto" w:sz="4" w:space="0"/>
                    <w:left w:val="single" w:color="auto" w:sz="4" w:space="0"/>
                    <w:bottom w:val="single" w:color="auto" w:sz="4" w:space="0"/>
                    <w:right w:val="single" w:color="auto" w:sz="4" w:space="0"/>
                  </w:tcBorders>
                  <w:vAlign w:val="center"/>
                </w:tcPr>
                <w:p w14:paraId="01B65074">
                  <w:pPr>
                    <w:widowControl/>
                    <w:jc w:val="center"/>
                    <w:textAlignment w:val="center"/>
                    <w:rPr>
                      <w:szCs w:val="21"/>
                    </w:rPr>
                  </w:pPr>
                  <w:r>
                    <w:rPr>
                      <w:rFonts w:eastAsia="等线"/>
                      <w:szCs w:val="21"/>
                    </w:rPr>
                    <w:t>0.65</w:t>
                  </w:r>
                </w:p>
              </w:tc>
              <w:tc>
                <w:tcPr>
                  <w:tcW w:w="1005" w:type="dxa"/>
                  <w:tcBorders>
                    <w:top w:val="single" w:color="auto" w:sz="4" w:space="0"/>
                    <w:left w:val="single" w:color="auto" w:sz="4" w:space="0"/>
                    <w:bottom w:val="single" w:color="auto" w:sz="4" w:space="0"/>
                    <w:right w:val="single" w:color="auto" w:sz="4" w:space="0"/>
                  </w:tcBorders>
                  <w:vAlign w:val="center"/>
                </w:tcPr>
                <w:p w14:paraId="400D7558">
                  <w:pPr>
                    <w:widowControl/>
                    <w:jc w:val="center"/>
                    <w:textAlignment w:val="center"/>
                    <w:rPr>
                      <w:szCs w:val="21"/>
                    </w:rPr>
                  </w:pPr>
                  <w:r>
                    <w:rPr>
                      <w:rFonts w:eastAsia="等线"/>
                      <w:szCs w:val="21"/>
                    </w:rPr>
                    <w:t>0.91</w:t>
                  </w:r>
                </w:p>
              </w:tc>
            </w:tr>
            <w:tr w14:paraId="01AE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6" w:type="dxa"/>
                  <w:vMerge w:val="continue"/>
                  <w:tcBorders>
                    <w:left w:val="single" w:color="auto" w:sz="4" w:space="0"/>
                    <w:bottom w:val="single" w:color="auto" w:sz="4" w:space="0"/>
                    <w:right w:val="single" w:color="auto" w:sz="4" w:space="0"/>
                  </w:tcBorders>
                  <w:vAlign w:val="center"/>
                </w:tcPr>
                <w:p w14:paraId="0EAD0766">
                  <w:pPr>
                    <w:widowControl/>
                    <w:jc w:val="center"/>
                    <w:rPr>
                      <w:kern w:val="0"/>
                      <w:szCs w:val="21"/>
                    </w:rPr>
                  </w:pPr>
                </w:p>
              </w:tc>
              <w:tc>
                <w:tcPr>
                  <w:tcW w:w="1602" w:type="dxa"/>
                  <w:tcBorders>
                    <w:top w:val="single" w:color="auto" w:sz="4" w:space="0"/>
                    <w:left w:val="single" w:color="auto" w:sz="4" w:space="0"/>
                    <w:bottom w:val="single" w:color="auto" w:sz="4" w:space="0"/>
                    <w:right w:val="single" w:color="auto" w:sz="4" w:space="0"/>
                  </w:tcBorders>
                  <w:vAlign w:val="center"/>
                </w:tcPr>
                <w:p w14:paraId="79F486B0">
                  <w:pPr>
                    <w:widowControl/>
                    <w:jc w:val="center"/>
                    <w:rPr>
                      <w:kern w:val="0"/>
                      <w:szCs w:val="21"/>
                    </w:rPr>
                  </w:pPr>
                  <w:r>
                    <w:rPr>
                      <w:kern w:val="0"/>
                      <w:szCs w:val="21"/>
                    </w:rPr>
                    <w:t>排放量（t/a）</w:t>
                  </w:r>
                </w:p>
              </w:tc>
              <w:tc>
                <w:tcPr>
                  <w:tcW w:w="1307" w:type="dxa"/>
                  <w:vMerge w:val="continue"/>
                  <w:tcBorders>
                    <w:left w:val="single" w:color="auto" w:sz="4" w:space="0"/>
                    <w:bottom w:val="single" w:color="auto" w:sz="4" w:space="0"/>
                    <w:right w:val="single" w:color="auto" w:sz="4" w:space="0"/>
                  </w:tcBorders>
                  <w:vAlign w:val="center"/>
                </w:tcPr>
                <w:p w14:paraId="2BC77066">
                  <w:pPr>
                    <w:widowControl/>
                    <w:jc w:val="center"/>
                    <w:rPr>
                      <w:kern w:val="0"/>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5C9933B5">
                  <w:pPr>
                    <w:jc w:val="center"/>
                    <w:rPr>
                      <w:szCs w:val="21"/>
                    </w:rPr>
                  </w:pPr>
                  <w:r>
                    <w:rPr>
                      <w:szCs w:val="21"/>
                    </w:rPr>
                    <w:t>0</w:t>
                  </w:r>
                </w:p>
              </w:tc>
              <w:tc>
                <w:tcPr>
                  <w:tcW w:w="1009" w:type="dxa"/>
                  <w:tcBorders>
                    <w:top w:val="single" w:color="auto" w:sz="4" w:space="0"/>
                    <w:left w:val="single" w:color="auto" w:sz="4" w:space="0"/>
                    <w:bottom w:val="single" w:color="auto" w:sz="4" w:space="0"/>
                    <w:right w:val="single" w:color="auto" w:sz="4" w:space="0"/>
                  </w:tcBorders>
                  <w:vAlign w:val="center"/>
                </w:tcPr>
                <w:p w14:paraId="65458770">
                  <w:pPr>
                    <w:jc w:val="center"/>
                    <w:rPr>
                      <w:szCs w:val="21"/>
                    </w:rPr>
                  </w:pPr>
                  <w:r>
                    <w:rPr>
                      <w:szCs w:val="21"/>
                    </w:rPr>
                    <w:t>0</w:t>
                  </w:r>
                </w:p>
              </w:tc>
              <w:tc>
                <w:tcPr>
                  <w:tcW w:w="1009" w:type="dxa"/>
                  <w:tcBorders>
                    <w:top w:val="single" w:color="auto" w:sz="4" w:space="0"/>
                    <w:left w:val="single" w:color="auto" w:sz="4" w:space="0"/>
                    <w:bottom w:val="single" w:color="auto" w:sz="4" w:space="0"/>
                    <w:right w:val="single" w:color="auto" w:sz="4" w:space="0"/>
                  </w:tcBorders>
                  <w:vAlign w:val="center"/>
                </w:tcPr>
                <w:p w14:paraId="5179486B">
                  <w:pPr>
                    <w:jc w:val="center"/>
                    <w:rPr>
                      <w:szCs w:val="21"/>
                    </w:rPr>
                  </w:pPr>
                  <w:r>
                    <w:rPr>
                      <w:szCs w:val="21"/>
                    </w:rPr>
                    <w:t>0</w:t>
                  </w:r>
                </w:p>
              </w:tc>
              <w:tc>
                <w:tcPr>
                  <w:tcW w:w="1009" w:type="dxa"/>
                  <w:tcBorders>
                    <w:top w:val="single" w:color="auto" w:sz="4" w:space="0"/>
                    <w:left w:val="single" w:color="auto" w:sz="4" w:space="0"/>
                    <w:bottom w:val="single" w:color="auto" w:sz="4" w:space="0"/>
                    <w:right w:val="single" w:color="auto" w:sz="4" w:space="0"/>
                  </w:tcBorders>
                  <w:vAlign w:val="center"/>
                </w:tcPr>
                <w:p w14:paraId="2DCBF44E">
                  <w:pPr>
                    <w:jc w:val="center"/>
                    <w:rPr>
                      <w:szCs w:val="21"/>
                    </w:rPr>
                  </w:pPr>
                  <w:r>
                    <w:rPr>
                      <w:szCs w:val="21"/>
                    </w:rPr>
                    <w:t>0</w:t>
                  </w:r>
                </w:p>
              </w:tc>
              <w:tc>
                <w:tcPr>
                  <w:tcW w:w="1005" w:type="dxa"/>
                  <w:tcBorders>
                    <w:top w:val="single" w:color="auto" w:sz="4" w:space="0"/>
                    <w:left w:val="single" w:color="auto" w:sz="4" w:space="0"/>
                    <w:bottom w:val="single" w:color="auto" w:sz="4" w:space="0"/>
                    <w:right w:val="single" w:color="auto" w:sz="4" w:space="0"/>
                  </w:tcBorders>
                  <w:vAlign w:val="center"/>
                </w:tcPr>
                <w:p w14:paraId="1AB92B6C">
                  <w:pPr>
                    <w:jc w:val="center"/>
                    <w:rPr>
                      <w:szCs w:val="21"/>
                    </w:rPr>
                  </w:pPr>
                  <w:r>
                    <w:rPr>
                      <w:szCs w:val="21"/>
                    </w:rPr>
                    <w:t>0</w:t>
                  </w:r>
                </w:p>
              </w:tc>
            </w:tr>
          </w:tbl>
          <w:p w14:paraId="1FA47FDB">
            <w:pPr>
              <w:adjustRightInd w:val="0"/>
              <w:snapToGrid w:val="0"/>
              <w:spacing w:line="360" w:lineRule="auto"/>
              <w:ind w:left="420" w:leftChars="200"/>
              <w:rPr>
                <w:b/>
                <w:sz w:val="24"/>
              </w:rPr>
            </w:pPr>
          </w:p>
          <w:p w14:paraId="25DBEE20">
            <w:pPr>
              <w:adjustRightInd w:val="0"/>
              <w:snapToGrid w:val="0"/>
              <w:spacing w:line="360" w:lineRule="auto"/>
              <w:ind w:left="420" w:leftChars="200"/>
              <w:rPr>
                <w:b/>
                <w:sz w:val="24"/>
              </w:rPr>
            </w:pPr>
            <w:r>
              <w:rPr>
                <w:b/>
                <w:sz w:val="24"/>
              </w:rPr>
              <w:t>2.2、废水影响分析</w:t>
            </w:r>
          </w:p>
          <w:p w14:paraId="787CD4CB">
            <w:pPr>
              <w:adjustRightInd w:val="0"/>
              <w:snapToGrid w:val="0"/>
              <w:spacing w:line="360" w:lineRule="auto"/>
              <w:ind w:firstLine="482" w:firstLineChars="200"/>
              <w:rPr>
                <w:sz w:val="24"/>
              </w:rPr>
            </w:pPr>
            <w:r>
              <w:rPr>
                <w:b/>
                <w:sz w:val="24"/>
              </w:rPr>
              <w:t>2.2.1、项目用排水小结</w:t>
            </w:r>
          </w:p>
          <w:p w14:paraId="390773D6">
            <w:pPr>
              <w:tabs>
                <w:tab w:val="left" w:pos="3795"/>
              </w:tabs>
              <w:spacing w:line="360" w:lineRule="auto"/>
              <w:ind w:firstLine="482" w:firstLineChars="200"/>
              <w:rPr>
                <w:b/>
                <w:bCs/>
                <w:sz w:val="24"/>
              </w:rPr>
            </w:pPr>
            <w:r>
              <w:rPr>
                <w:b/>
                <w:sz w:val="24"/>
                <w:szCs w:val="20"/>
              </w:rPr>
              <w:t>（1）项目废水产排小结</w:t>
            </w:r>
          </w:p>
          <w:p w14:paraId="0D3CC907">
            <w:pPr>
              <w:adjustRightInd w:val="0"/>
              <w:snapToGrid w:val="0"/>
              <w:spacing w:line="360" w:lineRule="auto"/>
              <w:ind w:firstLine="480" w:firstLineChars="200"/>
              <w:rPr>
                <w:sz w:val="24"/>
                <w:szCs w:val="22"/>
              </w:rPr>
            </w:pPr>
            <w:r>
              <w:rPr>
                <w:bCs/>
                <w:sz w:val="24"/>
              </w:rPr>
              <w:t>根据上述分析，</w:t>
            </w:r>
            <w:r>
              <w:rPr>
                <w:sz w:val="24"/>
                <w:szCs w:val="22"/>
              </w:rPr>
              <w:t>本项目废水主要为生活废水（办公、生活废水，食堂废水）；生产废水主要为脱硫除尘系统循环水，循环使用，不外排。</w:t>
            </w:r>
          </w:p>
          <w:p w14:paraId="1A254051">
            <w:pPr>
              <w:adjustRightInd w:val="0"/>
              <w:snapToGrid w:val="0"/>
              <w:spacing w:line="360" w:lineRule="auto"/>
              <w:ind w:firstLine="480" w:firstLineChars="200"/>
              <w:rPr>
                <w:bCs/>
                <w:sz w:val="24"/>
              </w:rPr>
            </w:pPr>
            <w:r>
              <w:rPr>
                <w:bCs/>
                <w:sz w:val="24"/>
              </w:rPr>
              <w:t>其中：生活废水产生量为0.88m</w:t>
            </w:r>
            <w:r>
              <w:rPr>
                <w:bCs/>
                <w:sz w:val="24"/>
                <w:vertAlign w:val="superscript"/>
              </w:rPr>
              <w:t>3</w:t>
            </w:r>
            <w:r>
              <w:rPr>
                <w:bCs/>
                <w:sz w:val="24"/>
              </w:rPr>
              <w:t>/d（0.026万m</w:t>
            </w:r>
            <w:r>
              <w:rPr>
                <w:bCs/>
                <w:sz w:val="24"/>
                <w:vertAlign w:val="superscript"/>
              </w:rPr>
              <w:t>3</w:t>
            </w:r>
            <w:r>
              <w:rPr>
                <w:bCs/>
                <w:sz w:val="24"/>
              </w:rPr>
              <w:t>/a），其中食堂废水量0.24m</w:t>
            </w:r>
            <w:r>
              <w:rPr>
                <w:bCs/>
                <w:sz w:val="24"/>
                <w:vertAlign w:val="superscript"/>
              </w:rPr>
              <w:t>3</w:t>
            </w:r>
            <w:r>
              <w:rPr>
                <w:bCs/>
                <w:sz w:val="24"/>
              </w:rPr>
              <w:t>/d，委托周边农户清掏，用于农作物施肥。</w:t>
            </w:r>
          </w:p>
          <w:p w14:paraId="78F6542B">
            <w:pPr>
              <w:adjustRightInd w:val="0"/>
              <w:snapToGrid w:val="0"/>
              <w:spacing w:line="360" w:lineRule="auto"/>
              <w:ind w:firstLine="482" w:firstLineChars="200"/>
              <w:rPr>
                <w:b/>
                <w:bCs/>
                <w:sz w:val="24"/>
              </w:rPr>
            </w:pPr>
            <w:r>
              <w:rPr>
                <w:b/>
                <w:bCs/>
                <w:sz w:val="24"/>
              </w:rPr>
              <w:t>（2）废水处置措施及存在的问题</w:t>
            </w:r>
          </w:p>
          <w:p w14:paraId="2C1DF4BC">
            <w:pPr>
              <w:adjustRightInd w:val="0"/>
              <w:snapToGrid w:val="0"/>
              <w:spacing w:line="360" w:lineRule="auto"/>
              <w:ind w:firstLine="482" w:firstLineChars="200"/>
              <w:rPr>
                <w:b/>
                <w:bCs/>
                <w:sz w:val="24"/>
              </w:rPr>
            </w:pPr>
            <w:r>
              <w:rPr>
                <w:rFonts w:hint="eastAsia" w:ascii="宋体" w:hAnsi="宋体" w:cs="宋体"/>
                <w:b/>
                <w:bCs/>
                <w:sz w:val="24"/>
              </w:rPr>
              <w:t>①</w:t>
            </w:r>
            <w:r>
              <w:rPr>
                <w:b/>
                <w:bCs/>
                <w:sz w:val="24"/>
              </w:rPr>
              <w:t>废水处置现状</w:t>
            </w:r>
          </w:p>
          <w:p w14:paraId="1876229D">
            <w:pPr>
              <w:adjustRightInd w:val="0"/>
              <w:snapToGrid w:val="0"/>
              <w:spacing w:line="360" w:lineRule="auto"/>
              <w:ind w:firstLine="482" w:firstLineChars="200"/>
              <w:rPr>
                <w:sz w:val="24"/>
              </w:rPr>
            </w:pPr>
            <w:r>
              <w:rPr>
                <w:b/>
                <w:sz w:val="24"/>
              </w:rPr>
              <w:t>A、雨水系统</w:t>
            </w:r>
          </w:p>
          <w:p w14:paraId="0AA869F3">
            <w:pPr>
              <w:widowControl/>
              <w:snapToGrid w:val="0"/>
              <w:spacing w:before="60" w:line="360" w:lineRule="auto"/>
              <w:ind w:right="113" w:firstLine="480" w:firstLineChars="200"/>
              <w:rPr>
                <w:kern w:val="0"/>
                <w:sz w:val="24"/>
              </w:rPr>
            </w:pPr>
            <w:r>
              <w:rPr>
                <w:kern w:val="0"/>
                <w:sz w:val="24"/>
              </w:rPr>
              <w:t>项目区已硬化，采用雨、污分流制的排水体制。</w:t>
            </w:r>
          </w:p>
          <w:p w14:paraId="19513C97">
            <w:pPr>
              <w:spacing w:line="360" w:lineRule="auto"/>
              <w:ind w:firstLine="480" w:firstLineChars="200"/>
            </w:pPr>
            <w:r>
              <w:rPr>
                <w:sz w:val="24"/>
              </w:rPr>
              <w:t>根据公式计算出项目场地初期雨水流量为15m</w:t>
            </w:r>
            <w:r>
              <w:rPr>
                <w:sz w:val="24"/>
                <w:vertAlign w:val="superscript"/>
              </w:rPr>
              <w:t>3</w:t>
            </w:r>
            <w:r>
              <w:rPr>
                <w:sz w:val="24"/>
              </w:rPr>
              <w:t>/次。为了有效收集处理初期雨水，采用雨污分流制，在项目区东南侧地势最低处建造15m</w:t>
            </w:r>
            <w:r>
              <w:rPr>
                <w:sz w:val="24"/>
                <w:vertAlign w:val="superscript"/>
              </w:rPr>
              <w:t>3</w:t>
            </w:r>
            <w:r>
              <w:rPr>
                <w:sz w:val="24"/>
              </w:rPr>
              <w:t>的初期雨水收集池，初期雨水收集沉淀后回用于生产或道路降尘，</w:t>
            </w:r>
            <w:r>
              <w:rPr>
                <w:kern w:val="0"/>
                <w:sz w:val="24"/>
              </w:rPr>
              <w:t>项目区其余雨水经厂区雨水沟外排。</w:t>
            </w:r>
          </w:p>
          <w:p w14:paraId="0DB50B46">
            <w:pPr>
              <w:widowControl/>
              <w:snapToGrid w:val="0"/>
              <w:spacing w:before="60" w:line="360" w:lineRule="auto"/>
              <w:ind w:right="113" w:firstLine="482" w:firstLineChars="200"/>
              <w:rPr>
                <w:kern w:val="0"/>
                <w:sz w:val="24"/>
              </w:rPr>
            </w:pPr>
            <w:r>
              <w:rPr>
                <w:b/>
                <w:bCs/>
                <w:kern w:val="0"/>
                <w:sz w:val="24"/>
              </w:rPr>
              <w:t>B、废水处置措施及存在问题</w:t>
            </w:r>
          </w:p>
          <w:p w14:paraId="13580D59">
            <w:pPr>
              <w:widowControl/>
              <w:snapToGrid w:val="0"/>
              <w:spacing w:before="60" w:line="360" w:lineRule="auto"/>
              <w:ind w:right="113" w:firstLine="482" w:firstLineChars="200"/>
              <w:rPr>
                <w:kern w:val="0"/>
                <w:sz w:val="24"/>
              </w:rPr>
            </w:pPr>
            <w:r>
              <w:rPr>
                <w:b/>
                <w:kern w:val="0"/>
                <w:sz w:val="24"/>
              </w:rPr>
              <w:t>现状：</w:t>
            </w:r>
            <w:r>
              <w:rPr>
                <w:kern w:val="0"/>
                <w:sz w:val="24"/>
              </w:rPr>
              <w:t>根据现场调查，本项目未设置隔油池，然后与其它废水经2个化粪池（10m</w:t>
            </w:r>
            <w:r>
              <w:rPr>
                <w:kern w:val="0"/>
                <w:sz w:val="24"/>
                <w:vertAlign w:val="superscript"/>
              </w:rPr>
              <w:t>3</w:t>
            </w:r>
            <w:r>
              <w:rPr>
                <w:kern w:val="0"/>
                <w:sz w:val="24"/>
              </w:rPr>
              <w:t>/个）处理后，</w:t>
            </w:r>
            <w:r>
              <w:rPr>
                <w:bCs/>
                <w:sz w:val="24"/>
              </w:rPr>
              <w:t>委托周边农户清掏，用于农作物施肥</w:t>
            </w:r>
            <w:r>
              <w:rPr>
                <w:kern w:val="0"/>
                <w:sz w:val="24"/>
              </w:rPr>
              <w:t>。</w:t>
            </w:r>
          </w:p>
          <w:p w14:paraId="6CF458BF">
            <w:pPr>
              <w:pStyle w:val="9"/>
              <w:spacing w:before="0" w:line="360" w:lineRule="auto"/>
              <w:ind w:firstLine="480"/>
              <w:rPr>
                <w:rFonts w:ascii="Times New Roman" w:hAnsi="Times New Roman"/>
              </w:rPr>
            </w:pPr>
            <w:r>
              <w:rPr>
                <w:rFonts w:ascii="Times New Roman" w:hAnsi="Times New Roman"/>
                <w:b/>
                <w:kern w:val="0"/>
              </w:rPr>
              <w:t>存在问题：</w:t>
            </w:r>
            <w:r>
              <w:rPr>
                <w:rFonts w:ascii="Times New Roman" w:hAnsi="Times New Roman"/>
              </w:rPr>
              <w:t>本次变更后，生活废水量不增加，仅有化粪池不满足废水处置要求。</w:t>
            </w:r>
          </w:p>
          <w:p w14:paraId="5158BD03">
            <w:pPr>
              <w:pStyle w:val="24"/>
              <w:spacing w:after="0" w:line="360" w:lineRule="auto"/>
              <w:ind w:left="0" w:leftChars="0" w:firstLineChars="200"/>
              <w:rPr>
                <w:spacing w:val="-2"/>
                <w:sz w:val="24"/>
              </w:rPr>
            </w:pPr>
            <w:r>
              <w:t xml:space="preserve"> </w:t>
            </w:r>
            <w:r>
              <w:rPr>
                <w:b/>
                <w:sz w:val="24"/>
              </w:rPr>
              <w:t>整改措施：食堂</w:t>
            </w:r>
            <w:r>
              <w:rPr>
                <w:spacing w:val="-2"/>
                <w:sz w:val="24"/>
              </w:rPr>
              <w:t>新建1个隔油池。</w:t>
            </w:r>
          </w:p>
          <w:p w14:paraId="17E750C4">
            <w:pPr>
              <w:adjustRightInd w:val="0"/>
              <w:snapToGrid w:val="0"/>
              <w:spacing w:line="360" w:lineRule="auto"/>
              <w:ind w:left="420" w:leftChars="200"/>
              <w:rPr>
                <w:b/>
                <w:sz w:val="24"/>
              </w:rPr>
            </w:pPr>
            <w:r>
              <w:rPr>
                <w:b/>
                <w:sz w:val="24"/>
              </w:rPr>
              <w:t>2.2.2、地表水评级等级</w:t>
            </w:r>
          </w:p>
          <w:p w14:paraId="452A5E1A">
            <w:pPr>
              <w:adjustRightInd w:val="0"/>
              <w:snapToGrid w:val="0"/>
              <w:spacing w:line="360" w:lineRule="auto"/>
              <w:ind w:firstLine="480" w:firstLineChars="200"/>
              <w:rPr>
                <w:kern w:val="0"/>
                <w:sz w:val="24"/>
              </w:rPr>
            </w:pPr>
            <w:r>
              <w:rPr>
                <w:sz w:val="24"/>
              </w:rPr>
              <w:t>本项目废水不外排，根据《环境影响评价技术导则地表水环境》（HJ2.3-2018）中“5.2 评价等级确定，本项目评价等级为“三级B”，三级B</w:t>
            </w:r>
            <w:r>
              <w:rPr>
                <w:kern w:val="0"/>
                <w:sz w:val="24"/>
              </w:rPr>
              <w:t>重点是进行废水不外排的可行性进行分析及依托</w:t>
            </w:r>
            <w:r>
              <w:rPr>
                <w:sz w:val="24"/>
              </w:rPr>
              <w:t>污水处理设施</w:t>
            </w:r>
            <w:r>
              <w:rPr>
                <w:kern w:val="0"/>
                <w:sz w:val="24"/>
              </w:rPr>
              <w:t>环境可行性分析。</w:t>
            </w:r>
          </w:p>
          <w:p w14:paraId="17A58D5B">
            <w:pPr>
              <w:adjustRightInd w:val="0"/>
              <w:snapToGrid w:val="0"/>
              <w:spacing w:line="360" w:lineRule="auto"/>
              <w:ind w:left="420" w:leftChars="200"/>
              <w:rPr>
                <w:b/>
                <w:sz w:val="24"/>
              </w:rPr>
            </w:pPr>
            <w:r>
              <w:rPr>
                <w:b/>
                <w:sz w:val="24"/>
              </w:rPr>
              <w:t>2.2.3、污水处理措施设置合理性分析</w:t>
            </w:r>
          </w:p>
          <w:p w14:paraId="1A36C775">
            <w:pPr>
              <w:adjustRightInd w:val="0"/>
              <w:snapToGrid w:val="0"/>
              <w:spacing w:line="360" w:lineRule="auto"/>
              <w:ind w:left="420" w:leftChars="200"/>
              <w:rPr>
                <w:b/>
                <w:sz w:val="24"/>
              </w:rPr>
            </w:pPr>
            <w:r>
              <w:rPr>
                <w:b/>
                <w:sz w:val="24"/>
              </w:rPr>
              <w:t>（1）隔油池设置合理性分析</w:t>
            </w:r>
          </w:p>
          <w:p w14:paraId="219CF9F4">
            <w:pPr>
              <w:widowControl/>
              <w:spacing w:line="360" w:lineRule="auto"/>
              <w:ind w:firstLine="480" w:firstLineChars="200"/>
              <w:rPr>
                <w:sz w:val="24"/>
              </w:rPr>
            </w:pPr>
            <w:r>
              <w:rPr>
                <w:sz w:val="24"/>
              </w:rPr>
              <w:t>根据中华人民共和国国家环境保护标准HJ554-2010《饮食业环境保护技术规范》，隔油池设计符合下列规定：</w:t>
            </w:r>
          </w:p>
          <w:p w14:paraId="271439E9">
            <w:pPr>
              <w:widowControl/>
              <w:spacing w:line="360" w:lineRule="auto"/>
              <w:ind w:firstLine="480" w:firstLineChars="200"/>
              <w:rPr>
                <w:sz w:val="24"/>
              </w:rPr>
            </w:pPr>
            <w:r>
              <w:rPr>
                <w:sz w:val="24"/>
              </w:rPr>
              <w:t>a、含油污水的水力停留时间不宜小于0.5h；</w:t>
            </w:r>
          </w:p>
          <w:p w14:paraId="579887F1">
            <w:pPr>
              <w:widowControl/>
              <w:spacing w:line="360" w:lineRule="auto"/>
              <w:ind w:firstLine="480" w:firstLineChars="200"/>
              <w:rPr>
                <w:sz w:val="24"/>
              </w:rPr>
            </w:pPr>
            <w:r>
              <w:rPr>
                <w:sz w:val="24"/>
              </w:rPr>
              <w:t>b、池内水流流速不宜大于0.005m/s；</w:t>
            </w:r>
          </w:p>
          <w:p w14:paraId="2DA76FE7">
            <w:pPr>
              <w:widowControl/>
              <w:spacing w:line="360" w:lineRule="auto"/>
              <w:ind w:firstLine="480" w:firstLineChars="200"/>
              <w:rPr>
                <w:sz w:val="24"/>
              </w:rPr>
            </w:pPr>
            <w:r>
              <w:rPr>
                <w:sz w:val="24"/>
              </w:rPr>
              <w:t>c、池内分格宜取两档三格；</w:t>
            </w:r>
          </w:p>
          <w:p w14:paraId="2124EAE3">
            <w:pPr>
              <w:widowControl/>
              <w:spacing w:line="360" w:lineRule="auto"/>
              <w:ind w:firstLine="480" w:firstLineChars="200"/>
              <w:rPr>
                <w:sz w:val="24"/>
              </w:rPr>
            </w:pPr>
            <w:r>
              <w:rPr>
                <w:sz w:val="24"/>
              </w:rPr>
              <w:t>d、人工除油的隔油池内存油部分的容积不得小于该池有效容积的25％，隔油池出水管管底至池底的深度，不得小于0.6m。</w:t>
            </w:r>
          </w:p>
          <w:p w14:paraId="7817FF6E">
            <w:pPr>
              <w:adjustRightInd w:val="0"/>
              <w:snapToGrid w:val="0"/>
              <w:spacing w:line="360" w:lineRule="auto"/>
              <w:ind w:firstLine="480"/>
              <w:rPr>
                <w:sz w:val="24"/>
              </w:rPr>
            </w:pPr>
            <w:r>
              <w:rPr>
                <w:sz w:val="24"/>
              </w:rPr>
              <w:t>项目食堂废水产生量为0.24m</w:t>
            </w:r>
            <w:r>
              <w:rPr>
                <w:sz w:val="24"/>
                <w:vertAlign w:val="superscript"/>
              </w:rPr>
              <w:t>3</w:t>
            </w:r>
            <w:r>
              <w:rPr>
                <w:sz w:val="24"/>
              </w:rPr>
              <w:t>/d，食堂废水按每日产生时间3小时计，含油污水在池内的停留时间均为30min，且预留25%的存油空间，则隔油池理论容积应不小于0.1m</w:t>
            </w:r>
            <w:r>
              <w:rPr>
                <w:sz w:val="24"/>
                <w:vertAlign w:val="superscript"/>
              </w:rPr>
              <w:t>3</w:t>
            </w:r>
            <w:r>
              <w:rPr>
                <w:sz w:val="24"/>
              </w:rPr>
              <w:t>。</w:t>
            </w:r>
          </w:p>
          <w:p w14:paraId="362FAD02">
            <w:pPr>
              <w:adjustRightInd w:val="0"/>
              <w:snapToGrid w:val="0"/>
              <w:spacing w:line="360" w:lineRule="auto"/>
              <w:ind w:firstLine="482" w:firstLineChars="200"/>
              <w:rPr>
                <w:b/>
                <w:sz w:val="24"/>
              </w:rPr>
            </w:pPr>
            <w:r>
              <w:rPr>
                <w:b/>
                <w:sz w:val="24"/>
              </w:rPr>
              <w:t>（2）化粪池容积设置合理性分析</w:t>
            </w:r>
          </w:p>
          <w:p w14:paraId="0DDE219D">
            <w:pPr>
              <w:adjustRightInd w:val="0"/>
              <w:snapToGrid w:val="0"/>
              <w:spacing w:line="360" w:lineRule="auto"/>
              <w:ind w:firstLine="482" w:firstLineChars="200"/>
              <w:rPr>
                <w:sz w:val="24"/>
              </w:rPr>
            </w:pPr>
            <w:r>
              <w:rPr>
                <w:b/>
                <w:bCs/>
                <w:sz w:val="24"/>
              </w:rPr>
              <w:t>设置要求：</w:t>
            </w:r>
            <w:r>
              <w:rPr>
                <w:bCs/>
                <w:sz w:val="24"/>
              </w:rPr>
              <w:t>生活废水和生产废水产生量共计0.88m</w:t>
            </w:r>
            <w:r>
              <w:rPr>
                <w:bCs/>
                <w:sz w:val="24"/>
                <w:vertAlign w:val="superscript"/>
              </w:rPr>
              <w:t>3</w:t>
            </w:r>
            <w:r>
              <w:rPr>
                <w:bCs/>
                <w:sz w:val="24"/>
              </w:rPr>
              <w:t>/d</w:t>
            </w:r>
            <w:r>
              <w:rPr>
                <w:sz w:val="24"/>
              </w:rPr>
              <w:t>，为满足</w:t>
            </w:r>
            <w:r>
              <w:rPr>
                <w:bCs/>
                <w:sz w:val="24"/>
              </w:rPr>
              <w:t>生活废水和生产废水</w:t>
            </w:r>
            <w:r>
              <w:rPr>
                <w:sz w:val="24"/>
              </w:rPr>
              <w:t>在化粪池的停留时间不小于24h的要求，最大排水量变化系数取1.2，项目区化粪池容积应不小于1.05m</w:t>
            </w:r>
            <w:r>
              <w:rPr>
                <w:sz w:val="24"/>
                <w:vertAlign w:val="superscript"/>
              </w:rPr>
              <w:t>3</w:t>
            </w:r>
            <w:r>
              <w:rPr>
                <w:sz w:val="24"/>
              </w:rPr>
              <w:t>。</w:t>
            </w:r>
          </w:p>
          <w:p w14:paraId="731CEAA2">
            <w:pPr>
              <w:adjustRightInd w:val="0"/>
              <w:snapToGrid w:val="0"/>
              <w:spacing w:line="360" w:lineRule="auto"/>
              <w:ind w:firstLine="482" w:firstLineChars="200"/>
              <w:rPr>
                <w:b/>
                <w:sz w:val="24"/>
              </w:rPr>
            </w:pPr>
            <w:r>
              <w:rPr>
                <w:b/>
                <w:sz w:val="24"/>
              </w:rPr>
              <w:t>现状：</w:t>
            </w:r>
            <w:r>
              <w:rPr>
                <w:sz w:val="24"/>
              </w:rPr>
              <w:t>项目区</w:t>
            </w:r>
            <w:r>
              <w:rPr>
                <w:iCs/>
                <w:sz w:val="24"/>
              </w:rPr>
              <w:t>设置2个10m</w:t>
            </w:r>
            <w:r>
              <w:rPr>
                <w:iCs/>
                <w:sz w:val="24"/>
                <w:vertAlign w:val="superscript"/>
              </w:rPr>
              <w:t>3</w:t>
            </w:r>
            <w:r>
              <w:rPr>
                <w:iCs/>
                <w:sz w:val="24"/>
              </w:rPr>
              <w:t>的化粪池，化粪池总容积20m</w:t>
            </w:r>
            <w:r>
              <w:rPr>
                <w:iCs/>
                <w:sz w:val="24"/>
                <w:vertAlign w:val="superscript"/>
              </w:rPr>
              <w:t>3</w:t>
            </w:r>
            <w:r>
              <w:rPr>
                <w:iCs/>
                <w:sz w:val="24"/>
              </w:rPr>
              <w:t>，</w:t>
            </w:r>
            <w:r>
              <w:rPr>
                <w:sz w:val="24"/>
              </w:rPr>
              <w:t>能够满足</w:t>
            </w:r>
            <w:r>
              <w:rPr>
                <w:bCs/>
                <w:sz w:val="24"/>
              </w:rPr>
              <w:t>生活废水</w:t>
            </w:r>
            <w:r>
              <w:rPr>
                <w:sz w:val="24"/>
              </w:rPr>
              <w:t>处理需求。</w:t>
            </w:r>
          </w:p>
          <w:p w14:paraId="41B646C0">
            <w:pPr>
              <w:spacing w:line="360" w:lineRule="auto"/>
              <w:ind w:left="105" w:leftChars="50" w:right="105" w:rightChars="50" w:firstLine="482" w:firstLineChars="200"/>
              <w:jc w:val="left"/>
              <w:rPr>
                <w:b/>
                <w:sz w:val="24"/>
                <w:szCs w:val="20"/>
              </w:rPr>
            </w:pPr>
            <w:r>
              <w:rPr>
                <w:b/>
                <w:sz w:val="24"/>
                <w:szCs w:val="20"/>
              </w:rPr>
              <w:t>（4）废水不外排可行性分析</w:t>
            </w:r>
          </w:p>
          <w:p w14:paraId="60CAA14C">
            <w:pPr>
              <w:spacing w:line="360" w:lineRule="auto"/>
              <w:ind w:left="105" w:leftChars="50" w:right="105" w:rightChars="50" w:firstLine="480" w:firstLineChars="200"/>
              <w:jc w:val="left"/>
              <w:rPr>
                <w:b/>
                <w:bCs/>
                <w:sz w:val="24"/>
              </w:rPr>
            </w:pPr>
            <w:r>
              <w:rPr>
                <w:bCs/>
                <w:sz w:val="24"/>
              </w:rPr>
              <w:t>根据废水产排核算，本项目</w:t>
            </w:r>
            <w:r>
              <w:rPr>
                <w:sz w:val="24"/>
              </w:rPr>
              <w:t>共产生活废水量为0.88</w:t>
            </w:r>
            <w:r>
              <w:rPr>
                <w:bCs/>
                <w:sz w:val="24"/>
              </w:rPr>
              <w:t>m</w:t>
            </w:r>
            <w:r>
              <w:rPr>
                <w:bCs/>
                <w:sz w:val="24"/>
                <w:vertAlign w:val="superscript"/>
              </w:rPr>
              <w:t>3</w:t>
            </w:r>
            <w:r>
              <w:rPr>
                <w:bCs/>
                <w:sz w:val="24"/>
              </w:rPr>
              <w:t>/d</w:t>
            </w:r>
            <w:r>
              <w:rPr>
                <w:sz w:val="24"/>
              </w:rPr>
              <w:t>，0.026万</w:t>
            </w:r>
            <w:r>
              <w:rPr>
                <w:bCs/>
                <w:sz w:val="24"/>
              </w:rPr>
              <w:t>m</w:t>
            </w:r>
            <w:r>
              <w:rPr>
                <w:bCs/>
                <w:sz w:val="24"/>
                <w:vertAlign w:val="superscript"/>
              </w:rPr>
              <w:t>3</w:t>
            </w:r>
            <w:r>
              <w:rPr>
                <w:bCs/>
                <w:sz w:val="24"/>
              </w:rPr>
              <w:t>/a；</w:t>
            </w:r>
          </w:p>
          <w:p w14:paraId="7EB68D4C">
            <w:pPr>
              <w:spacing w:line="360" w:lineRule="auto"/>
              <w:ind w:left="105" w:leftChars="50" w:right="105" w:rightChars="50" w:firstLine="480" w:firstLineChars="200"/>
              <w:jc w:val="left"/>
              <w:rPr>
                <w:bCs/>
                <w:sz w:val="24"/>
              </w:rPr>
            </w:pPr>
            <w:r>
              <w:rPr>
                <w:bCs/>
                <w:sz w:val="24"/>
              </w:rPr>
              <w:t>根据建设方提供的设计资料，本项目化粪池容量为20m</w:t>
            </w:r>
            <w:r>
              <w:rPr>
                <w:bCs/>
                <w:sz w:val="24"/>
                <w:vertAlign w:val="superscript"/>
              </w:rPr>
              <w:t>3</w:t>
            </w:r>
            <w:r>
              <w:rPr>
                <w:bCs/>
                <w:sz w:val="24"/>
              </w:rPr>
              <w:t>，能够储存22天的废水，确保雨天废水不外排。</w:t>
            </w:r>
          </w:p>
          <w:p w14:paraId="486CBCE5">
            <w:pPr>
              <w:spacing w:line="360" w:lineRule="auto"/>
              <w:ind w:firstLine="480" w:firstLineChars="200"/>
              <w:rPr>
                <w:sz w:val="24"/>
              </w:rPr>
            </w:pPr>
            <w:r>
              <w:rPr>
                <w:sz w:val="24"/>
              </w:rPr>
              <w:t>综上所述，只要项目加强管理，确保污水不排入周围地表水体，则项目运营期对周围地表水体环境质量影响较小。</w:t>
            </w:r>
          </w:p>
          <w:p w14:paraId="3C64171D">
            <w:pPr>
              <w:spacing w:line="360" w:lineRule="auto"/>
              <w:ind w:firstLine="482" w:firstLineChars="200"/>
              <w:rPr>
                <w:b/>
                <w:sz w:val="24"/>
              </w:rPr>
            </w:pPr>
            <w:r>
              <w:rPr>
                <w:b/>
                <w:sz w:val="24"/>
              </w:rPr>
              <w:t>3、声环境影响分析</w:t>
            </w:r>
          </w:p>
          <w:p w14:paraId="2B1D9016">
            <w:pPr>
              <w:pStyle w:val="82"/>
              <w:adjustRightInd w:val="0"/>
              <w:snapToGrid w:val="0"/>
              <w:spacing w:before="0" w:beforeAutospacing="0" w:after="0" w:afterAutospacing="0"/>
              <w:ind w:firstLine="482" w:firstLineChars="200"/>
              <w:jc w:val="both"/>
              <w:rPr>
                <w:rFonts w:hint="default"/>
                <w:sz w:val="24"/>
                <w:szCs w:val="24"/>
              </w:rPr>
            </w:pPr>
            <w:r>
              <w:rPr>
                <w:rFonts w:hint="default"/>
                <w:sz w:val="24"/>
                <w:szCs w:val="24"/>
              </w:rPr>
              <w:t>3.1、噪声源强分析</w:t>
            </w:r>
          </w:p>
          <w:p w14:paraId="763AC28D">
            <w:pPr>
              <w:spacing w:line="360" w:lineRule="auto"/>
              <w:ind w:firstLine="480" w:firstLineChars="200"/>
              <w:rPr>
                <w:sz w:val="24"/>
              </w:rPr>
            </w:pPr>
            <w:r>
              <w:rPr>
                <w:sz w:val="24"/>
              </w:rPr>
              <w:t>生产设备噪声主要为双轴搅拌机、碾碎机、高速滚动筛等机械设备运行产生的噪声，生产设备噪声在80~85dB(A)之间，详见下表。根据《环境影响评价技术导则 声环境》(HJ2.4-2021)的技术要求，本次评价采取导则上推荐模式。将整体声源看作一个隔声间，其隔声量由房的窗、门、墙等综合而成，隔声量一般在10～25dB(A)之间。本项目取15dB(A)。各作整体声源的周界平均声级见表。</w:t>
            </w:r>
          </w:p>
          <w:p w14:paraId="7724477B">
            <w:pPr>
              <w:spacing w:line="360" w:lineRule="auto"/>
              <w:ind w:firstLine="480" w:firstLineChars="200"/>
              <w:rPr>
                <w:sz w:val="24"/>
              </w:rPr>
            </w:pPr>
            <w:r>
              <w:rPr>
                <w:sz w:val="24"/>
              </w:rPr>
              <w:t>具体噪声值见表4-7。项目主要产噪设备采取基础减震及建筑隔声措施予以控制，噪声削减量约15dB（A）。</w:t>
            </w:r>
          </w:p>
          <w:p w14:paraId="68A18C7F">
            <w:pPr>
              <w:keepLines/>
              <w:jc w:val="center"/>
              <w:rPr>
                <w:b/>
                <w:bCs/>
                <w:sz w:val="24"/>
                <w:szCs w:val="22"/>
              </w:rPr>
            </w:pPr>
            <w:r>
              <w:rPr>
                <w:b/>
                <w:bCs/>
                <w:sz w:val="24"/>
                <w:szCs w:val="22"/>
              </w:rPr>
              <w:t>表4-7  项目营运期噪声源一览表  单位：dB（A）</w:t>
            </w:r>
          </w:p>
          <w:tbl>
            <w:tblPr>
              <w:tblStyle w:val="25"/>
              <w:tblW w:w="90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929"/>
              <w:gridCol w:w="1476"/>
              <w:gridCol w:w="1394"/>
              <w:gridCol w:w="1394"/>
              <w:gridCol w:w="1394"/>
            </w:tblGrid>
            <w:tr w14:paraId="6E9D4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8" w:type="dxa"/>
                  <w:tcBorders>
                    <w:top w:val="single" w:color="auto" w:sz="4" w:space="0"/>
                    <w:left w:val="single" w:color="auto" w:sz="4" w:space="0"/>
                    <w:bottom w:val="single" w:color="auto" w:sz="4" w:space="0"/>
                    <w:tl2br w:val="single" w:color="auto" w:sz="4" w:space="0"/>
                  </w:tcBorders>
                </w:tcPr>
                <w:p w14:paraId="7FF005A0">
                  <w:pPr>
                    <w:snapToGrid w:val="0"/>
                    <w:ind w:firstLine="422" w:firstLineChars="200"/>
                    <w:jc w:val="left"/>
                    <w:rPr>
                      <w:b/>
                      <w:szCs w:val="21"/>
                    </w:rPr>
                  </w:pPr>
                  <w:r>
                    <w:rPr>
                      <w:b/>
                      <w:szCs w:val="21"/>
                    </w:rPr>
                    <w:t>项目</w:t>
                  </w:r>
                </w:p>
                <w:p w14:paraId="7CA573E1">
                  <w:pPr>
                    <w:snapToGrid w:val="0"/>
                    <w:jc w:val="left"/>
                    <w:rPr>
                      <w:b/>
                      <w:szCs w:val="21"/>
                    </w:rPr>
                  </w:pPr>
                </w:p>
                <w:p w14:paraId="1055083B">
                  <w:pPr>
                    <w:snapToGrid w:val="0"/>
                    <w:jc w:val="left"/>
                    <w:rPr>
                      <w:b/>
                      <w:szCs w:val="21"/>
                    </w:rPr>
                  </w:pPr>
                  <w:r>
                    <w:rPr>
                      <w:b/>
                      <w:szCs w:val="21"/>
                    </w:rPr>
                    <w:t>噪声源</w:t>
                  </w:r>
                </w:p>
              </w:tc>
              <w:tc>
                <w:tcPr>
                  <w:tcW w:w="1929" w:type="dxa"/>
                  <w:tcBorders>
                    <w:top w:val="single" w:color="auto" w:sz="4" w:space="0"/>
                    <w:bottom w:val="single" w:color="auto" w:sz="4" w:space="0"/>
                  </w:tcBorders>
                  <w:vAlign w:val="center"/>
                </w:tcPr>
                <w:p w14:paraId="5202F348">
                  <w:pPr>
                    <w:jc w:val="center"/>
                    <w:rPr>
                      <w:b/>
                      <w:szCs w:val="21"/>
                    </w:rPr>
                  </w:pPr>
                  <w:r>
                    <w:rPr>
                      <w:b/>
                      <w:szCs w:val="21"/>
                    </w:rPr>
                    <w:t>设备名称</w:t>
                  </w:r>
                </w:p>
              </w:tc>
              <w:tc>
                <w:tcPr>
                  <w:tcW w:w="1476" w:type="dxa"/>
                  <w:tcBorders>
                    <w:top w:val="single" w:color="auto" w:sz="4" w:space="0"/>
                    <w:bottom w:val="single" w:color="auto" w:sz="4" w:space="0"/>
                  </w:tcBorders>
                  <w:vAlign w:val="center"/>
                </w:tcPr>
                <w:p w14:paraId="250D4671">
                  <w:pPr>
                    <w:jc w:val="center"/>
                    <w:rPr>
                      <w:b/>
                      <w:szCs w:val="21"/>
                    </w:rPr>
                  </w:pPr>
                  <w:r>
                    <w:rPr>
                      <w:b/>
                      <w:bCs/>
                      <w:szCs w:val="21"/>
                    </w:rPr>
                    <w:t>源强dB(A)</w:t>
                  </w:r>
                </w:p>
              </w:tc>
              <w:tc>
                <w:tcPr>
                  <w:tcW w:w="1394" w:type="dxa"/>
                  <w:tcBorders>
                    <w:top w:val="single" w:color="auto" w:sz="4" w:space="0"/>
                    <w:bottom w:val="single" w:color="auto" w:sz="4" w:space="0"/>
                  </w:tcBorders>
                  <w:vAlign w:val="center"/>
                </w:tcPr>
                <w:p w14:paraId="230253CB">
                  <w:pPr>
                    <w:snapToGrid w:val="0"/>
                    <w:jc w:val="center"/>
                    <w:rPr>
                      <w:b/>
                      <w:szCs w:val="21"/>
                    </w:rPr>
                  </w:pPr>
                  <w:r>
                    <w:rPr>
                      <w:b/>
                      <w:bCs/>
                      <w:szCs w:val="21"/>
                    </w:rPr>
                    <w:t>数量（台）</w:t>
                  </w:r>
                </w:p>
              </w:tc>
              <w:tc>
                <w:tcPr>
                  <w:tcW w:w="1394" w:type="dxa"/>
                  <w:tcBorders>
                    <w:top w:val="single" w:color="auto" w:sz="4" w:space="0"/>
                    <w:bottom w:val="single" w:color="auto" w:sz="4" w:space="0"/>
                  </w:tcBorders>
                  <w:vAlign w:val="center"/>
                </w:tcPr>
                <w:p w14:paraId="3D759613">
                  <w:pPr>
                    <w:snapToGrid w:val="0"/>
                    <w:jc w:val="center"/>
                    <w:rPr>
                      <w:b/>
                      <w:szCs w:val="21"/>
                    </w:rPr>
                  </w:pPr>
                  <w:r>
                    <w:rPr>
                      <w:b/>
                      <w:bCs/>
                    </w:rPr>
                    <w:t>降噪措施</w:t>
                  </w:r>
                </w:p>
              </w:tc>
              <w:tc>
                <w:tcPr>
                  <w:tcW w:w="1394" w:type="dxa"/>
                  <w:tcBorders>
                    <w:top w:val="single" w:color="auto" w:sz="4" w:space="0"/>
                    <w:bottom w:val="single" w:color="auto" w:sz="4" w:space="0"/>
                    <w:right w:val="single" w:color="auto" w:sz="4" w:space="0"/>
                  </w:tcBorders>
                  <w:vAlign w:val="center"/>
                </w:tcPr>
                <w:p w14:paraId="4142B4A5">
                  <w:pPr>
                    <w:snapToGrid w:val="0"/>
                    <w:jc w:val="center"/>
                    <w:rPr>
                      <w:b/>
                      <w:szCs w:val="21"/>
                    </w:rPr>
                  </w:pPr>
                  <w:r>
                    <w:rPr>
                      <w:b/>
                      <w:bCs/>
                    </w:rPr>
                    <w:t>降噪后叠加噪声级 dB(A)</w:t>
                  </w:r>
                </w:p>
              </w:tc>
            </w:tr>
            <w:tr w14:paraId="288B7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8" w:type="dxa"/>
                  <w:vMerge w:val="restart"/>
                  <w:tcBorders>
                    <w:top w:val="single" w:color="auto" w:sz="4" w:space="0"/>
                    <w:left w:val="single" w:color="auto" w:sz="4" w:space="0"/>
                    <w:bottom w:val="single" w:color="auto" w:sz="4" w:space="0"/>
                  </w:tcBorders>
                  <w:vAlign w:val="center"/>
                </w:tcPr>
                <w:p w14:paraId="58559B12">
                  <w:pPr>
                    <w:snapToGrid w:val="0"/>
                    <w:jc w:val="center"/>
                    <w:rPr>
                      <w:szCs w:val="21"/>
                    </w:rPr>
                  </w:pPr>
                  <w:r>
                    <w:rPr>
                      <w:szCs w:val="21"/>
                    </w:rPr>
                    <w:t>生产车间</w:t>
                  </w:r>
                </w:p>
              </w:tc>
              <w:tc>
                <w:tcPr>
                  <w:tcW w:w="1929" w:type="dxa"/>
                  <w:tcBorders>
                    <w:top w:val="single" w:color="auto" w:sz="4" w:space="0"/>
                    <w:bottom w:val="single" w:color="auto" w:sz="4" w:space="0"/>
                  </w:tcBorders>
                  <w:vAlign w:val="center"/>
                </w:tcPr>
                <w:p w14:paraId="70EBBE5E">
                  <w:pPr>
                    <w:jc w:val="center"/>
                    <w:rPr>
                      <w:szCs w:val="21"/>
                    </w:rPr>
                  </w:pPr>
                  <w:r>
                    <w:rPr>
                      <w:szCs w:val="21"/>
                    </w:rPr>
                    <w:t>预湿搅拌机</w:t>
                  </w:r>
                </w:p>
              </w:tc>
              <w:tc>
                <w:tcPr>
                  <w:tcW w:w="1476" w:type="dxa"/>
                  <w:tcBorders>
                    <w:top w:val="single" w:color="auto" w:sz="4" w:space="0"/>
                    <w:bottom w:val="single" w:color="auto" w:sz="4" w:space="0"/>
                  </w:tcBorders>
                  <w:vAlign w:val="center"/>
                </w:tcPr>
                <w:p w14:paraId="50198521">
                  <w:pPr>
                    <w:pStyle w:val="7"/>
                    <w:jc w:val="center"/>
                    <w:rPr>
                      <w:szCs w:val="21"/>
                    </w:rPr>
                  </w:pPr>
                  <w:r>
                    <w:rPr>
                      <w:szCs w:val="21"/>
                    </w:rPr>
                    <w:t>80</w:t>
                  </w:r>
                </w:p>
              </w:tc>
              <w:tc>
                <w:tcPr>
                  <w:tcW w:w="1394" w:type="dxa"/>
                  <w:tcBorders>
                    <w:top w:val="single" w:color="auto" w:sz="4" w:space="0"/>
                    <w:bottom w:val="single" w:color="auto" w:sz="4" w:space="0"/>
                  </w:tcBorders>
                  <w:vAlign w:val="center"/>
                </w:tcPr>
                <w:p w14:paraId="1F35AE69">
                  <w:pPr>
                    <w:pStyle w:val="7"/>
                    <w:ind w:firstLine="0" w:firstLineChars="0"/>
                    <w:jc w:val="center"/>
                    <w:rPr>
                      <w:szCs w:val="21"/>
                    </w:rPr>
                  </w:pPr>
                  <w:r>
                    <w:rPr>
                      <w:szCs w:val="21"/>
                    </w:rPr>
                    <w:t>1</w:t>
                  </w:r>
                </w:p>
              </w:tc>
              <w:tc>
                <w:tcPr>
                  <w:tcW w:w="1394" w:type="dxa"/>
                  <w:vMerge w:val="restart"/>
                  <w:tcBorders>
                    <w:top w:val="single" w:color="auto" w:sz="4" w:space="0"/>
                    <w:bottom w:val="single" w:color="auto" w:sz="4" w:space="0"/>
                  </w:tcBorders>
                  <w:vAlign w:val="center"/>
                </w:tcPr>
                <w:p w14:paraId="1586ED58">
                  <w:pPr>
                    <w:pStyle w:val="7"/>
                    <w:jc w:val="center"/>
                    <w:rPr>
                      <w:szCs w:val="21"/>
                    </w:rPr>
                  </w:pPr>
                  <w:r>
                    <w:rPr>
                      <w:szCs w:val="21"/>
                    </w:rPr>
                    <w:t>降噪措施</w:t>
                  </w:r>
                </w:p>
              </w:tc>
              <w:tc>
                <w:tcPr>
                  <w:tcW w:w="1394" w:type="dxa"/>
                  <w:tcBorders>
                    <w:top w:val="single" w:color="auto" w:sz="4" w:space="0"/>
                    <w:bottom w:val="single" w:color="auto" w:sz="4" w:space="0"/>
                    <w:right w:val="single" w:color="auto" w:sz="4" w:space="0"/>
                  </w:tcBorders>
                  <w:vAlign w:val="center"/>
                </w:tcPr>
                <w:p w14:paraId="2DA9075E">
                  <w:pPr>
                    <w:pStyle w:val="7"/>
                    <w:ind w:firstLine="0" w:firstLineChars="0"/>
                    <w:jc w:val="center"/>
                    <w:rPr>
                      <w:szCs w:val="21"/>
                    </w:rPr>
                  </w:pPr>
                  <w:r>
                    <w:rPr>
                      <w:szCs w:val="21"/>
                    </w:rPr>
                    <w:t>65</w:t>
                  </w:r>
                </w:p>
              </w:tc>
            </w:tr>
            <w:tr w14:paraId="07358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8" w:type="dxa"/>
                  <w:vMerge w:val="continue"/>
                  <w:tcBorders>
                    <w:top w:val="single" w:color="auto" w:sz="4" w:space="0"/>
                    <w:left w:val="single" w:color="auto" w:sz="4" w:space="0"/>
                    <w:bottom w:val="single" w:color="auto" w:sz="4" w:space="0"/>
                  </w:tcBorders>
                  <w:vAlign w:val="center"/>
                </w:tcPr>
                <w:p w14:paraId="25609EE7">
                  <w:pPr>
                    <w:snapToGrid w:val="0"/>
                    <w:jc w:val="center"/>
                    <w:rPr>
                      <w:szCs w:val="21"/>
                    </w:rPr>
                  </w:pPr>
                </w:p>
              </w:tc>
              <w:tc>
                <w:tcPr>
                  <w:tcW w:w="1929" w:type="dxa"/>
                  <w:tcBorders>
                    <w:top w:val="single" w:color="auto" w:sz="4" w:space="0"/>
                    <w:bottom w:val="single" w:color="auto" w:sz="4" w:space="0"/>
                  </w:tcBorders>
                  <w:vAlign w:val="center"/>
                </w:tcPr>
                <w:p w14:paraId="1CE2313B">
                  <w:pPr>
                    <w:jc w:val="center"/>
                    <w:rPr>
                      <w:szCs w:val="21"/>
                    </w:rPr>
                  </w:pPr>
                  <w:r>
                    <w:rPr>
                      <w:szCs w:val="21"/>
                    </w:rPr>
                    <w:t>锤式破碎机</w:t>
                  </w:r>
                </w:p>
              </w:tc>
              <w:tc>
                <w:tcPr>
                  <w:tcW w:w="1476" w:type="dxa"/>
                  <w:tcBorders>
                    <w:top w:val="single" w:color="auto" w:sz="4" w:space="0"/>
                    <w:bottom w:val="single" w:color="auto" w:sz="4" w:space="0"/>
                  </w:tcBorders>
                  <w:vAlign w:val="center"/>
                </w:tcPr>
                <w:p w14:paraId="2EE1D059">
                  <w:pPr>
                    <w:pStyle w:val="7"/>
                    <w:jc w:val="center"/>
                    <w:rPr>
                      <w:szCs w:val="21"/>
                    </w:rPr>
                  </w:pPr>
                  <w:r>
                    <w:rPr>
                      <w:szCs w:val="21"/>
                    </w:rPr>
                    <w:t>85</w:t>
                  </w:r>
                </w:p>
              </w:tc>
              <w:tc>
                <w:tcPr>
                  <w:tcW w:w="1394" w:type="dxa"/>
                  <w:tcBorders>
                    <w:top w:val="single" w:color="auto" w:sz="4" w:space="0"/>
                    <w:bottom w:val="single" w:color="auto" w:sz="4" w:space="0"/>
                  </w:tcBorders>
                  <w:vAlign w:val="center"/>
                </w:tcPr>
                <w:p w14:paraId="7BFB86D4">
                  <w:pPr>
                    <w:jc w:val="center"/>
                    <w:rPr>
                      <w:szCs w:val="21"/>
                    </w:rPr>
                  </w:pPr>
                  <w:r>
                    <w:rPr>
                      <w:szCs w:val="21"/>
                    </w:rPr>
                    <w:t>1</w:t>
                  </w:r>
                </w:p>
              </w:tc>
              <w:tc>
                <w:tcPr>
                  <w:tcW w:w="1394" w:type="dxa"/>
                  <w:vMerge w:val="continue"/>
                  <w:tcBorders>
                    <w:top w:val="single" w:color="auto" w:sz="4" w:space="0"/>
                    <w:bottom w:val="single" w:color="auto" w:sz="4" w:space="0"/>
                  </w:tcBorders>
                  <w:vAlign w:val="center"/>
                </w:tcPr>
                <w:p w14:paraId="294CB05D">
                  <w:pPr>
                    <w:jc w:val="center"/>
                    <w:rPr>
                      <w:szCs w:val="21"/>
                    </w:rPr>
                  </w:pPr>
                </w:p>
              </w:tc>
              <w:tc>
                <w:tcPr>
                  <w:tcW w:w="1394" w:type="dxa"/>
                  <w:tcBorders>
                    <w:top w:val="single" w:color="auto" w:sz="4" w:space="0"/>
                    <w:bottom w:val="single" w:color="auto" w:sz="4" w:space="0"/>
                    <w:right w:val="single" w:color="auto" w:sz="4" w:space="0"/>
                  </w:tcBorders>
                  <w:vAlign w:val="center"/>
                </w:tcPr>
                <w:p w14:paraId="77C1561B">
                  <w:pPr>
                    <w:jc w:val="center"/>
                    <w:rPr>
                      <w:szCs w:val="21"/>
                    </w:rPr>
                  </w:pPr>
                  <w:r>
                    <w:rPr>
                      <w:szCs w:val="21"/>
                    </w:rPr>
                    <w:t>70</w:t>
                  </w:r>
                </w:p>
              </w:tc>
            </w:tr>
            <w:tr w14:paraId="4D0DA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8" w:type="dxa"/>
                  <w:vMerge w:val="continue"/>
                  <w:tcBorders>
                    <w:top w:val="single" w:color="auto" w:sz="4" w:space="0"/>
                    <w:left w:val="single" w:color="auto" w:sz="4" w:space="0"/>
                    <w:bottom w:val="single" w:color="auto" w:sz="4" w:space="0"/>
                  </w:tcBorders>
                  <w:vAlign w:val="center"/>
                </w:tcPr>
                <w:p w14:paraId="4AA34BBE">
                  <w:pPr>
                    <w:snapToGrid w:val="0"/>
                    <w:jc w:val="center"/>
                    <w:rPr>
                      <w:szCs w:val="21"/>
                    </w:rPr>
                  </w:pPr>
                </w:p>
              </w:tc>
              <w:tc>
                <w:tcPr>
                  <w:tcW w:w="1929" w:type="dxa"/>
                  <w:tcBorders>
                    <w:top w:val="single" w:color="auto" w:sz="4" w:space="0"/>
                    <w:bottom w:val="single" w:color="auto" w:sz="4" w:space="0"/>
                  </w:tcBorders>
                  <w:vAlign w:val="center"/>
                </w:tcPr>
                <w:p w14:paraId="04EF69B9">
                  <w:pPr>
                    <w:jc w:val="center"/>
                    <w:rPr>
                      <w:szCs w:val="21"/>
                    </w:rPr>
                  </w:pPr>
                  <w:r>
                    <w:rPr>
                      <w:szCs w:val="21"/>
                    </w:rPr>
                    <w:t>高速滚动筛</w:t>
                  </w:r>
                </w:p>
              </w:tc>
              <w:tc>
                <w:tcPr>
                  <w:tcW w:w="1476" w:type="dxa"/>
                  <w:tcBorders>
                    <w:top w:val="single" w:color="auto" w:sz="4" w:space="0"/>
                    <w:bottom w:val="single" w:color="auto" w:sz="4" w:space="0"/>
                  </w:tcBorders>
                  <w:vAlign w:val="center"/>
                </w:tcPr>
                <w:p w14:paraId="21357E15">
                  <w:pPr>
                    <w:pStyle w:val="7"/>
                    <w:jc w:val="center"/>
                    <w:rPr>
                      <w:szCs w:val="21"/>
                    </w:rPr>
                  </w:pPr>
                  <w:r>
                    <w:rPr>
                      <w:szCs w:val="21"/>
                    </w:rPr>
                    <w:t>85</w:t>
                  </w:r>
                </w:p>
              </w:tc>
              <w:tc>
                <w:tcPr>
                  <w:tcW w:w="1394" w:type="dxa"/>
                  <w:tcBorders>
                    <w:top w:val="single" w:color="auto" w:sz="4" w:space="0"/>
                    <w:bottom w:val="single" w:color="auto" w:sz="4" w:space="0"/>
                  </w:tcBorders>
                  <w:vAlign w:val="center"/>
                </w:tcPr>
                <w:p w14:paraId="04D436CE">
                  <w:pPr>
                    <w:jc w:val="center"/>
                    <w:rPr>
                      <w:szCs w:val="21"/>
                    </w:rPr>
                  </w:pPr>
                  <w:r>
                    <w:rPr>
                      <w:szCs w:val="21"/>
                    </w:rPr>
                    <w:t>1</w:t>
                  </w:r>
                </w:p>
              </w:tc>
              <w:tc>
                <w:tcPr>
                  <w:tcW w:w="1394" w:type="dxa"/>
                  <w:vMerge w:val="continue"/>
                  <w:tcBorders>
                    <w:top w:val="single" w:color="auto" w:sz="4" w:space="0"/>
                    <w:bottom w:val="single" w:color="auto" w:sz="4" w:space="0"/>
                  </w:tcBorders>
                  <w:vAlign w:val="center"/>
                </w:tcPr>
                <w:p w14:paraId="69EBC8B5">
                  <w:pPr>
                    <w:jc w:val="center"/>
                    <w:rPr>
                      <w:szCs w:val="21"/>
                    </w:rPr>
                  </w:pPr>
                </w:p>
              </w:tc>
              <w:tc>
                <w:tcPr>
                  <w:tcW w:w="1394" w:type="dxa"/>
                  <w:tcBorders>
                    <w:top w:val="single" w:color="auto" w:sz="4" w:space="0"/>
                    <w:bottom w:val="single" w:color="auto" w:sz="4" w:space="0"/>
                    <w:right w:val="single" w:color="auto" w:sz="4" w:space="0"/>
                  </w:tcBorders>
                  <w:vAlign w:val="center"/>
                </w:tcPr>
                <w:p w14:paraId="403A74DF">
                  <w:pPr>
                    <w:jc w:val="center"/>
                    <w:rPr>
                      <w:szCs w:val="21"/>
                    </w:rPr>
                  </w:pPr>
                  <w:r>
                    <w:rPr>
                      <w:szCs w:val="21"/>
                    </w:rPr>
                    <w:t>70</w:t>
                  </w:r>
                </w:p>
              </w:tc>
            </w:tr>
            <w:tr w14:paraId="6A3CC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8" w:type="dxa"/>
                  <w:vMerge w:val="continue"/>
                  <w:tcBorders>
                    <w:top w:val="single" w:color="auto" w:sz="4" w:space="0"/>
                    <w:left w:val="single" w:color="auto" w:sz="4" w:space="0"/>
                    <w:bottom w:val="single" w:color="auto" w:sz="4" w:space="0"/>
                  </w:tcBorders>
                  <w:vAlign w:val="center"/>
                </w:tcPr>
                <w:p w14:paraId="56BF586C">
                  <w:pPr>
                    <w:snapToGrid w:val="0"/>
                    <w:jc w:val="center"/>
                    <w:rPr>
                      <w:szCs w:val="21"/>
                    </w:rPr>
                  </w:pPr>
                </w:p>
              </w:tc>
              <w:tc>
                <w:tcPr>
                  <w:tcW w:w="1929" w:type="dxa"/>
                  <w:tcBorders>
                    <w:top w:val="single" w:color="auto" w:sz="4" w:space="0"/>
                    <w:bottom w:val="single" w:color="auto" w:sz="4" w:space="0"/>
                  </w:tcBorders>
                  <w:vAlign w:val="center"/>
                </w:tcPr>
                <w:p w14:paraId="061CBD55">
                  <w:pPr>
                    <w:jc w:val="center"/>
                    <w:rPr>
                      <w:szCs w:val="21"/>
                    </w:rPr>
                  </w:pPr>
                  <w:r>
                    <w:rPr>
                      <w:szCs w:val="21"/>
                    </w:rPr>
                    <w:t>隧道窑</w:t>
                  </w:r>
                </w:p>
              </w:tc>
              <w:tc>
                <w:tcPr>
                  <w:tcW w:w="1476" w:type="dxa"/>
                  <w:tcBorders>
                    <w:top w:val="single" w:color="auto" w:sz="4" w:space="0"/>
                    <w:bottom w:val="single" w:color="auto" w:sz="4" w:space="0"/>
                  </w:tcBorders>
                  <w:vAlign w:val="center"/>
                </w:tcPr>
                <w:p w14:paraId="1E037B35">
                  <w:pPr>
                    <w:pStyle w:val="7"/>
                    <w:jc w:val="center"/>
                    <w:rPr>
                      <w:szCs w:val="21"/>
                    </w:rPr>
                  </w:pPr>
                  <w:r>
                    <w:rPr>
                      <w:szCs w:val="21"/>
                    </w:rPr>
                    <w:t>80</w:t>
                  </w:r>
                </w:p>
              </w:tc>
              <w:tc>
                <w:tcPr>
                  <w:tcW w:w="1394" w:type="dxa"/>
                  <w:tcBorders>
                    <w:top w:val="single" w:color="auto" w:sz="4" w:space="0"/>
                    <w:bottom w:val="single" w:color="auto" w:sz="4" w:space="0"/>
                  </w:tcBorders>
                  <w:vAlign w:val="center"/>
                </w:tcPr>
                <w:p w14:paraId="025F9D78">
                  <w:pPr>
                    <w:pStyle w:val="7"/>
                    <w:ind w:firstLine="0" w:firstLineChars="0"/>
                    <w:jc w:val="center"/>
                    <w:rPr>
                      <w:szCs w:val="21"/>
                    </w:rPr>
                  </w:pPr>
                  <w:r>
                    <w:rPr>
                      <w:szCs w:val="21"/>
                    </w:rPr>
                    <w:t>1</w:t>
                  </w:r>
                </w:p>
              </w:tc>
              <w:tc>
                <w:tcPr>
                  <w:tcW w:w="1394" w:type="dxa"/>
                  <w:vMerge w:val="continue"/>
                  <w:tcBorders>
                    <w:top w:val="single" w:color="auto" w:sz="4" w:space="0"/>
                    <w:bottom w:val="single" w:color="auto" w:sz="4" w:space="0"/>
                  </w:tcBorders>
                  <w:vAlign w:val="center"/>
                </w:tcPr>
                <w:p w14:paraId="3D3D806A">
                  <w:pPr>
                    <w:pStyle w:val="7"/>
                    <w:jc w:val="center"/>
                    <w:rPr>
                      <w:szCs w:val="21"/>
                    </w:rPr>
                  </w:pPr>
                </w:p>
              </w:tc>
              <w:tc>
                <w:tcPr>
                  <w:tcW w:w="1394" w:type="dxa"/>
                  <w:tcBorders>
                    <w:top w:val="single" w:color="auto" w:sz="4" w:space="0"/>
                    <w:bottom w:val="single" w:color="auto" w:sz="4" w:space="0"/>
                    <w:right w:val="single" w:color="auto" w:sz="4" w:space="0"/>
                  </w:tcBorders>
                  <w:vAlign w:val="center"/>
                </w:tcPr>
                <w:p w14:paraId="0ED99902">
                  <w:pPr>
                    <w:pStyle w:val="7"/>
                    <w:ind w:firstLine="0" w:firstLineChars="0"/>
                    <w:jc w:val="center"/>
                    <w:rPr>
                      <w:szCs w:val="21"/>
                    </w:rPr>
                  </w:pPr>
                  <w:r>
                    <w:rPr>
                      <w:szCs w:val="21"/>
                    </w:rPr>
                    <w:t>65</w:t>
                  </w:r>
                </w:p>
              </w:tc>
            </w:tr>
            <w:tr w14:paraId="1475F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8" w:type="dxa"/>
                  <w:vMerge w:val="continue"/>
                  <w:tcBorders>
                    <w:top w:val="single" w:color="auto" w:sz="4" w:space="0"/>
                    <w:left w:val="single" w:color="auto" w:sz="4" w:space="0"/>
                    <w:bottom w:val="single" w:color="auto" w:sz="4" w:space="0"/>
                  </w:tcBorders>
                  <w:vAlign w:val="center"/>
                </w:tcPr>
                <w:p w14:paraId="1905F1F9">
                  <w:pPr>
                    <w:snapToGrid w:val="0"/>
                    <w:jc w:val="center"/>
                    <w:rPr>
                      <w:szCs w:val="21"/>
                    </w:rPr>
                  </w:pPr>
                </w:p>
              </w:tc>
              <w:tc>
                <w:tcPr>
                  <w:tcW w:w="1929" w:type="dxa"/>
                  <w:tcBorders>
                    <w:top w:val="single" w:color="auto" w:sz="4" w:space="0"/>
                    <w:bottom w:val="single" w:color="auto" w:sz="4" w:space="0"/>
                  </w:tcBorders>
                  <w:vAlign w:val="center"/>
                </w:tcPr>
                <w:p w14:paraId="1F66A070">
                  <w:pPr>
                    <w:jc w:val="center"/>
                    <w:rPr>
                      <w:szCs w:val="21"/>
                    </w:rPr>
                  </w:pPr>
                  <w:r>
                    <w:rPr>
                      <w:szCs w:val="21"/>
                    </w:rPr>
                    <w:t>制砖机</w:t>
                  </w:r>
                </w:p>
              </w:tc>
              <w:tc>
                <w:tcPr>
                  <w:tcW w:w="1476" w:type="dxa"/>
                  <w:tcBorders>
                    <w:top w:val="single" w:color="auto" w:sz="4" w:space="0"/>
                    <w:bottom w:val="single" w:color="auto" w:sz="4" w:space="0"/>
                  </w:tcBorders>
                  <w:vAlign w:val="center"/>
                </w:tcPr>
                <w:p w14:paraId="4C3C9E3E">
                  <w:pPr>
                    <w:pStyle w:val="7"/>
                    <w:jc w:val="center"/>
                    <w:rPr>
                      <w:szCs w:val="21"/>
                    </w:rPr>
                  </w:pPr>
                  <w:r>
                    <w:rPr>
                      <w:szCs w:val="21"/>
                    </w:rPr>
                    <w:t>80</w:t>
                  </w:r>
                </w:p>
              </w:tc>
              <w:tc>
                <w:tcPr>
                  <w:tcW w:w="1394" w:type="dxa"/>
                  <w:tcBorders>
                    <w:top w:val="single" w:color="auto" w:sz="4" w:space="0"/>
                    <w:bottom w:val="single" w:color="auto" w:sz="4" w:space="0"/>
                  </w:tcBorders>
                  <w:vAlign w:val="center"/>
                </w:tcPr>
                <w:p w14:paraId="11359C4A">
                  <w:pPr>
                    <w:jc w:val="center"/>
                    <w:rPr>
                      <w:szCs w:val="21"/>
                    </w:rPr>
                  </w:pPr>
                  <w:r>
                    <w:rPr>
                      <w:szCs w:val="21"/>
                    </w:rPr>
                    <w:t>1</w:t>
                  </w:r>
                </w:p>
              </w:tc>
              <w:tc>
                <w:tcPr>
                  <w:tcW w:w="1394" w:type="dxa"/>
                  <w:vMerge w:val="continue"/>
                  <w:tcBorders>
                    <w:top w:val="single" w:color="auto" w:sz="4" w:space="0"/>
                    <w:bottom w:val="single" w:color="auto" w:sz="4" w:space="0"/>
                  </w:tcBorders>
                  <w:vAlign w:val="center"/>
                </w:tcPr>
                <w:p w14:paraId="605D6289">
                  <w:pPr>
                    <w:jc w:val="center"/>
                    <w:rPr>
                      <w:szCs w:val="21"/>
                    </w:rPr>
                  </w:pPr>
                </w:p>
              </w:tc>
              <w:tc>
                <w:tcPr>
                  <w:tcW w:w="1394" w:type="dxa"/>
                  <w:tcBorders>
                    <w:top w:val="single" w:color="auto" w:sz="4" w:space="0"/>
                    <w:bottom w:val="single" w:color="auto" w:sz="4" w:space="0"/>
                    <w:right w:val="single" w:color="auto" w:sz="4" w:space="0"/>
                  </w:tcBorders>
                  <w:vAlign w:val="center"/>
                </w:tcPr>
                <w:p w14:paraId="063F5DAD">
                  <w:pPr>
                    <w:jc w:val="center"/>
                    <w:rPr>
                      <w:szCs w:val="21"/>
                    </w:rPr>
                  </w:pPr>
                  <w:r>
                    <w:rPr>
                      <w:szCs w:val="21"/>
                    </w:rPr>
                    <w:t>65</w:t>
                  </w:r>
                </w:p>
              </w:tc>
            </w:tr>
          </w:tbl>
          <w:p w14:paraId="4C402F0F">
            <w:pPr>
              <w:widowControl/>
              <w:spacing w:before="120" w:beforeLines="50" w:line="360" w:lineRule="auto"/>
              <w:ind w:firstLine="482" w:firstLineChars="200"/>
              <w:jc w:val="left"/>
              <w:rPr>
                <w:b/>
                <w:bCs/>
                <w:sz w:val="24"/>
              </w:rPr>
            </w:pPr>
            <w:r>
              <w:rPr>
                <w:b/>
                <w:bCs/>
                <w:sz w:val="24"/>
              </w:rPr>
              <w:t>3.2、预测模型及方法</w:t>
            </w:r>
          </w:p>
          <w:p w14:paraId="68F4591F">
            <w:pPr>
              <w:snapToGrid w:val="0"/>
              <w:spacing w:line="360" w:lineRule="auto"/>
              <w:ind w:firstLine="482"/>
              <w:rPr>
                <w:b/>
                <w:bCs/>
                <w:kern w:val="24"/>
                <w:sz w:val="24"/>
              </w:rPr>
            </w:pPr>
            <w:r>
              <w:rPr>
                <w:b/>
                <w:bCs/>
                <w:sz w:val="24"/>
              </w:rPr>
              <w:t>（1）</w:t>
            </w:r>
            <w:r>
              <w:rPr>
                <w:b/>
                <w:bCs/>
                <w:kern w:val="24"/>
                <w:sz w:val="24"/>
              </w:rPr>
              <w:t>距离衰减公式</w:t>
            </w:r>
          </w:p>
          <w:p w14:paraId="052B5BD7">
            <w:pPr>
              <w:autoSpaceDE w:val="0"/>
              <w:autoSpaceDN w:val="0"/>
              <w:adjustRightInd w:val="0"/>
              <w:snapToGrid w:val="0"/>
              <w:spacing w:line="360" w:lineRule="auto"/>
              <w:ind w:firstLine="480"/>
              <w:jc w:val="center"/>
              <w:rPr>
                <w:sz w:val="24"/>
              </w:rPr>
            </w:pPr>
            <w:r>
              <w:rPr>
                <w:sz w:val="24"/>
              </w:rPr>
              <w:t>LA(r)=Lr</w:t>
            </w:r>
            <w:r>
              <w:rPr>
                <w:sz w:val="24"/>
                <w:vertAlign w:val="subscript"/>
              </w:rPr>
              <w:t>0</w:t>
            </w:r>
            <w:r>
              <w:rPr>
                <w:sz w:val="24"/>
              </w:rPr>
              <w:t>-20lg(r/r</w:t>
            </w:r>
            <w:r>
              <w:rPr>
                <w:sz w:val="24"/>
                <w:vertAlign w:val="subscript"/>
              </w:rPr>
              <w:t>0</w:t>
            </w:r>
            <w:r>
              <w:rPr>
                <w:sz w:val="24"/>
              </w:rPr>
              <w:t>)-</w:t>
            </w:r>
            <w:r>
              <w:rPr>
                <w:rFonts w:ascii="Cambria Math" w:hAnsi="Cambria Math" w:cs="Cambria Math"/>
                <w:sz w:val="24"/>
              </w:rPr>
              <w:t>△</w:t>
            </w:r>
            <w:r>
              <w:rPr>
                <w:sz w:val="24"/>
              </w:rPr>
              <w:t>L</w:t>
            </w:r>
          </w:p>
          <w:p w14:paraId="0996796B">
            <w:pPr>
              <w:autoSpaceDE w:val="0"/>
              <w:autoSpaceDN w:val="0"/>
              <w:adjustRightInd w:val="0"/>
              <w:snapToGrid w:val="0"/>
              <w:spacing w:line="360" w:lineRule="auto"/>
              <w:ind w:firstLine="1680" w:firstLineChars="700"/>
              <w:rPr>
                <w:sz w:val="24"/>
              </w:rPr>
            </w:pPr>
            <w:r>
              <w:rPr>
                <w:sz w:val="24"/>
              </w:rPr>
              <w:t>式中：LA(r)---距声源r米处受声点的A声级；</w:t>
            </w:r>
          </w:p>
          <w:p w14:paraId="447FC968">
            <w:pPr>
              <w:autoSpaceDE w:val="0"/>
              <w:autoSpaceDN w:val="0"/>
              <w:adjustRightInd w:val="0"/>
              <w:snapToGrid w:val="0"/>
              <w:spacing w:line="360" w:lineRule="auto"/>
              <w:ind w:firstLine="2400" w:firstLineChars="1000"/>
              <w:rPr>
                <w:sz w:val="24"/>
              </w:rPr>
            </w:pPr>
            <w:r>
              <w:rPr>
                <w:sz w:val="24"/>
              </w:rPr>
              <w:t>Lr</w:t>
            </w:r>
            <w:r>
              <w:rPr>
                <w:sz w:val="24"/>
                <w:vertAlign w:val="subscript"/>
              </w:rPr>
              <w:t>0</w:t>
            </w:r>
            <w:r>
              <w:rPr>
                <w:sz w:val="24"/>
              </w:rPr>
              <w:t>----参考点声源强度；</w:t>
            </w:r>
          </w:p>
          <w:p w14:paraId="71E642DE">
            <w:pPr>
              <w:autoSpaceDE w:val="0"/>
              <w:autoSpaceDN w:val="0"/>
              <w:adjustRightInd w:val="0"/>
              <w:snapToGrid w:val="0"/>
              <w:spacing w:line="360" w:lineRule="auto"/>
              <w:ind w:firstLine="2400" w:firstLineChars="1000"/>
              <w:rPr>
                <w:sz w:val="24"/>
              </w:rPr>
            </w:pPr>
            <w:r>
              <w:rPr>
                <w:sz w:val="24"/>
              </w:rPr>
              <w:t>r-----预测受声点与源之间的距离（m）；</w:t>
            </w:r>
          </w:p>
          <w:p w14:paraId="356EEE3F">
            <w:pPr>
              <w:autoSpaceDE w:val="0"/>
              <w:autoSpaceDN w:val="0"/>
              <w:adjustRightInd w:val="0"/>
              <w:snapToGrid w:val="0"/>
              <w:spacing w:line="360" w:lineRule="auto"/>
              <w:ind w:firstLine="2400" w:firstLineChars="1000"/>
              <w:rPr>
                <w:sz w:val="24"/>
              </w:rPr>
            </w:pPr>
            <w:r>
              <w:rPr>
                <w:sz w:val="24"/>
              </w:rPr>
              <w:t>r</w:t>
            </w:r>
            <w:r>
              <w:rPr>
                <w:sz w:val="24"/>
                <w:vertAlign w:val="subscript"/>
              </w:rPr>
              <w:t>0</w:t>
            </w:r>
            <w:r>
              <w:rPr>
                <w:sz w:val="24"/>
              </w:rPr>
              <w:t>-----参考点与源之间的距离（m）。</w:t>
            </w:r>
          </w:p>
          <w:p w14:paraId="3F7F382A">
            <w:pPr>
              <w:autoSpaceDE w:val="0"/>
              <w:autoSpaceDN w:val="0"/>
              <w:adjustRightInd w:val="0"/>
              <w:snapToGrid w:val="0"/>
              <w:spacing w:line="360" w:lineRule="auto"/>
              <w:ind w:firstLine="2400" w:firstLineChars="1000"/>
              <w:rPr>
                <w:b/>
                <w:bCs/>
                <w:sz w:val="24"/>
              </w:rPr>
            </w:pPr>
            <w:r>
              <w:rPr>
                <w:rFonts w:ascii="Cambria Math" w:hAnsi="Cambria Math" w:cs="Cambria Math"/>
                <w:sz w:val="24"/>
              </w:rPr>
              <w:t>△</w:t>
            </w:r>
            <w:r>
              <w:rPr>
                <w:sz w:val="24"/>
              </w:rPr>
              <w:t>L---其它衰减因素（厂房隔声、建筑物遮挡等引起的衰减）。</w:t>
            </w:r>
          </w:p>
          <w:p w14:paraId="0276CB98">
            <w:pPr>
              <w:snapToGrid w:val="0"/>
              <w:spacing w:line="360" w:lineRule="auto"/>
              <w:ind w:firstLine="482"/>
              <w:rPr>
                <w:b/>
                <w:bCs/>
                <w:kern w:val="24"/>
                <w:sz w:val="24"/>
              </w:rPr>
            </w:pPr>
            <w:r>
              <w:rPr>
                <w:rFonts w:hint="eastAsia" w:ascii="宋体" w:hAnsi="宋体" w:cs="宋体"/>
                <w:b/>
                <w:bCs/>
                <w:sz w:val="24"/>
              </w:rPr>
              <w:t>②</w:t>
            </w:r>
            <w:r>
              <w:rPr>
                <w:b/>
                <w:bCs/>
                <w:kern w:val="24"/>
                <w:sz w:val="24"/>
              </w:rPr>
              <w:t>预测点的A声级叠加公式</w:t>
            </w:r>
          </w:p>
          <w:p w14:paraId="0513546E">
            <w:pPr>
              <w:autoSpaceDE w:val="0"/>
              <w:autoSpaceDN w:val="0"/>
              <w:adjustRightInd w:val="0"/>
              <w:snapToGrid w:val="0"/>
              <w:spacing w:line="360" w:lineRule="auto"/>
              <w:ind w:firstLine="480"/>
              <w:rPr>
                <w:sz w:val="24"/>
              </w:rPr>
            </w:pPr>
            <w:r>
              <w:rPr>
                <w:sz w:val="24"/>
              </w:rPr>
              <w:t>各受声点的声源叠加按下列公式计算：</w:t>
            </w:r>
          </w:p>
          <w:p w14:paraId="49CC7FF4">
            <w:pPr>
              <w:autoSpaceDE w:val="0"/>
              <w:autoSpaceDN w:val="0"/>
              <w:adjustRightInd w:val="0"/>
              <w:snapToGrid w:val="0"/>
              <w:spacing w:line="360" w:lineRule="auto"/>
              <w:ind w:firstLine="482"/>
              <w:jc w:val="center"/>
              <w:rPr>
                <w:b/>
                <w:sz w:val="24"/>
              </w:rPr>
            </w:pPr>
            <w:r>
              <w:rPr>
                <w:b/>
                <w:position w:val="-34"/>
                <w:sz w:val="24"/>
              </w:rPr>
              <w:object>
                <v:shape id="_x0000_i1027" o:spt="75" type="#_x0000_t75" style="height:40.2pt;width:97.2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5">
                  <o:LockedField>false</o:LockedField>
                </o:OLEObject>
              </w:object>
            </w:r>
          </w:p>
          <w:p w14:paraId="7A72F7F9">
            <w:pPr>
              <w:autoSpaceDE w:val="0"/>
              <w:autoSpaceDN w:val="0"/>
              <w:adjustRightInd w:val="0"/>
              <w:snapToGrid w:val="0"/>
              <w:spacing w:line="360" w:lineRule="auto"/>
              <w:ind w:firstLine="1680" w:firstLineChars="700"/>
              <w:rPr>
                <w:sz w:val="24"/>
              </w:rPr>
            </w:pPr>
            <w:r>
              <w:rPr>
                <w:sz w:val="24"/>
              </w:rPr>
              <w:t>式中：Li---第i个声源声值；</w:t>
            </w:r>
          </w:p>
          <w:p w14:paraId="3B88315D">
            <w:pPr>
              <w:snapToGrid w:val="0"/>
              <w:spacing w:line="360" w:lineRule="auto"/>
              <w:ind w:firstLine="2400" w:firstLineChars="1000"/>
              <w:rPr>
                <w:sz w:val="24"/>
              </w:rPr>
            </w:pPr>
            <w:r>
              <w:rPr>
                <w:sz w:val="24"/>
              </w:rPr>
              <w:t>LA---某点噪声总叠加值；</w:t>
            </w:r>
          </w:p>
          <w:p w14:paraId="249F8520">
            <w:pPr>
              <w:autoSpaceDE w:val="0"/>
              <w:autoSpaceDN w:val="0"/>
              <w:adjustRightInd w:val="0"/>
              <w:snapToGrid w:val="0"/>
              <w:spacing w:line="360" w:lineRule="auto"/>
              <w:ind w:firstLine="2400" w:firstLineChars="1000"/>
              <w:rPr>
                <w:sz w:val="24"/>
              </w:rPr>
            </w:pPr>
            <w:r>
              <w:rPr>
                <w:sz w:val="24"/>
              </w:rPr>
              <w:t>n---声源个数</w:t>
            </w:r>
          </w:p>
          <w:p w14:paraId="4FDD1BBE">
            <w:pPr>
              <w:widowControl/>
              <w:spacing w:line="360" w:lineRule="auto"/>
              <w:ind w:firstLine="482" w:firstLineChars="200"/>
              <w:jc w:val="left"/>
              <w:rPr>
                <w:sz w:val="24"/>
                <w:szCs w:val="16"/>
              </w:rPr>
            </w:pPr>
            <w:r>
              <w:rPr>
                <w:b/>
                <w:bCs/>
                <w:sz w:val="24"/>
              </w:rPr>
              <w:t>（3）</w:t>
            </w:r>
            <w:r>
              <w:rPr>
                <w:b/>
                <w:bCs/>
                <w:kern w:val="24"/>
                <w:sz w:val="24"/>
                <w:szCs w:val="28"/>
              </w:rPr>
              <w:t>预测结果及评价</w:t>
            </w:r>
          </w:p>
          <w:p w14:paraId="4B0A7831">
            <w:pPr>
              <w:autoSpaceDE w:val="0"/>
              <w:autoSpaceDN w:val="0"/>
              <w:adjustRightInd w:val="0"/>
              <w:snapToGrid w:val="0"/>
              <w:spacing w:line="360" w:lineRule="auto"/>
              <w:ind w:firstLine="480"/>
              <w:rPr>
                <w:sz w:val="24"/>
              </w:rPr>
            </w:pPr>
            <w:r>
              <w:rPr>
                <w:sz w:val="24"/>
              </w:rPr>
              <w:t>厂界噪声执行GB12348-2008《工业企业厂界环境噪声排放标准》2类标准，即昼间60dB（A），夜间50dB（A）。影响</w:t>
            </w:r>
            <w:r>
              <w:rPr>
                <w:rFonts w:ascii="Cambria Math" w:hAnsi="Cambria Math" w:cs="Cambria Math"/>
                <w:sz w:val="24"/>
              </w:rPr>
              <w:t>△</w:t>
            </w:r>
            <w:r>
              <w:rPr>
                <w:sz w:val="24"/>
              </w:rPr>
              <w:t>L取值的因素很多，主要考虑减震垫、房屋隔声，本项目取值15dB；空气吸收的衰减很少，在200m内近似为零。</w:t>
            </w:r>
          </w:p>
          <w:p w14:paraId="37666E38">
            <w:pPr>
              <w:autoSpaceDE w:val="0"/>
              <w:autoSpaceDN w:val="0"/>
              <w:adjustRightInd w:val="0"/>
              <w:snapToGrid w:val="0"/>
              <w:spacing w:line="360" w:lineRule="auto"/>
              <w:ind w:firstLine="480"/>
              <w:rPr>
                <w:b/>
                <w:bCs/>
                <w:kern w:val="44"/>
                <w:sz w:val="24"/>
              </w:rPr>
            </w:pPr>
            <w:r>
              <w:rPr>
                <w:sz w:val="24"/>
              </w:rPr>
              <w:t>噪声源距厂界东、南、西、北的距离见表4-8。</w:t>
            </w:r>
          </w:p>
          <w:p w14:paraId="5C0600B0">
            <w:pPr>
              <w:jc w:val="center"/>
              <w:rPr>
                <w:kern w:val="0"/>
                <w:szCs w:val="20"/>
              </w:rPr>
            </w:pPr>
            <w:r>
              <w:rPr>
                <w:b/>
                <w:bCs/>
                <w:kern w:val="0"/>
                <w:sz w:val="24"/>
              </w:rPr>
              <w:t>表4-8  噪声源距预测点距离一览表</w:t>
            </w:r>
          </w:p>
          <w:tbl>
            <w:tblPr>
              <w:tblStyle w:val="26"/>
              <w:tblW w:w="90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1801"/>
              <w:gridCol w:w="1801"/>
              <w:gridCol w:w="1801"/>
              <w:gridCol w:w="1808"/>
            </w:tblGrid>
            <w:tr w14:paraId="29CC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vMerge w:val="restart"/>
                  <w:vAlign w:val="center"/>
                </w:tcPr>
                <w:p w14:paraId="59B487CD">
                  <w:pPr>
                    <w:jc w:val="center"/>
                    <w:rPr>
                      <w:b/>
                      <w:bCs/>
                      <w:kern w:val="0"/>
                      <w:szCs w:val="20"/>
                    </w:rPr>
                  </w:pPr>
                  <w:r>
                    <w:rPr>
                      <w:b/>
                      <w:bCs/>
                      <w:kern w:val="0"/>
                      <w:szCs w:val="20"/>
                    </w:rPr>
                    <w:t>噪声源</w:t>
                  </w:r>
                </w:p>
              </w:tc>
              <w:tc>
                <w:tcPr>
                  <w:tcW w:w="7211" w:type="dxa"/>
                  <w:gridSpan w:val="4"/>
                  <w:vAlign w:val="center"/>
                </w:tcPr>
                <w:p w14:paraId="4868BA46">
                  <w:pPr>
                    <w:jc w:val="center"/>
                    <w:rPr>
                      <w:b/>
                      <w:bCs/>
                      <w:kern w:val="0"/>
                      <w:szCs w:val="20"/>
                    </w:rPr>
                  </w:pPr>
                  <w:r>
                    <w:rPr>
                      <w:b/>
                      <w:bCs/>
                      <w:kern w:val="0"/>
                      <w:szCs w:val="20"/>
                    </w:rPr>
                    <w:t>距预测点距离（m）</w:t>
                  </w:r>
                </w:p>
              </w:tc>
            </w:tr>
            <w:tr w14:paraId="7B2E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802" w:type="dxa"/>
                  <w:vMerge w:val="continue"/>
                  <w:vAlign w:val="center"/>
                </w:tcPr>
                <w:p w14:paraId="02550446">
                  <w:pPr>
                    <w:jc w:val="center"/>
                    <w:rPr>
                      <w:b/>
                      <w:bCs/>
                      <w:kern w:val="0"/>
                      <w:szCs w:val="20"/>
                    </w:rPr>
                  </w:pPr>
                </w:p>
              </w:tc>
              <w:tc>
                <w:tcPr>
                  <w:tcW w:w="1801" w:type="dxa"/>
                  <w:vAlign w:val="center"/>
                </w:tcPr>
                <w:p w14:paraId="7130A923">
                  <w:pPr>
                    <w:jc w:val="center"/>
                    <w:rPr>
                      <w:b/>
                      <w:bCs/>
                      <w:kern w:val="0"/>
                      <w:szCs w:val="20"/>
                    </w:rPr>
                  </w:pPr>
                  <w:r>
                    <w:rPr>
                      <w:b/>
                      <w:bCs/>
                      <w:kern w:val="0"/>
                      <w:szCs w:val="20"/>
                    </w:rPr>
                    <w:t>东厂界</w:t>
                  </w:r>
                </w:p>
              </w:tc>
              <w:tc>
                <w:tcPr>
                  <w:tcW w:w="1801" w:type="dxa"/>
                  <w:vAlign w:val="center"/>
                </w:tcPr>
                <w:p w14:paraId="4AEC7493">
                  <w:pPr>
                    <w:jc w:val="center"/>
                    <w:rPr>
                      <w:b/>
                      <w:bCs/>
                      <w:kern w:val="0"/>
                      <w:szCs w:val="20"/>
                    </w:rPr>
                  </w:pPr>
                  <w:r>
                    <w:rPr>
                      <w:b/>
                      <w:bCs/>
                      <w:kern w:val="0"/>
                      <w:szCs w:val="20"/>
                    </w:rPr>
                    <w:t>西厂界</w:t>
                  </w:r>
                </w:p>
              </w:tc>
              <w:tc>
                <w:tcPr>
                  <w:tcW w:w="1801" w:type="dxa"/>
                  <w:vAlign w:val="center"/>
                </w:tcPr>
                <w:p w14:paraId="3874C8AC">
                  <w:pPr>
                    <w:jc w:val="center"/>
                    <w:rPr>
                      <w:b/>
                      <w:bCs/>
                      <w:kern w:val="0"/>
                      <w:szCs w:val="20"/>
                    </w:rPr>
                  </w:pPr>
                  <w:r>
                    <w:rPr>
                      <w:b/>
                      <w:bCs/>
                      <w:kern w:val="0"/>
                      <w:szCs w:val="20"/>
                    </w:rPr>
                    <w:t>南厂界</w:t>
                  </w:r>
                </w:p>
              </w:tc>
              <w:tc>
                <w:tcPr>
                  <w:tcW w:w="1808" w:type="dxa"/>
                  <w:vAlign w:val="center"/>
                </w:tcPr>
                <w:p w14:paraId="422D67BA">
                  <w:pPr>
                    <w:jc w:val="center"/>
                    <w:rPr>
                      <w:b/>
                      <w:bCs/>
                      <w:kern w:val="0"/>
                      <w:szCs w:val="20"/>
                    </w:rPr>
                  </w:pPr>
                  <w:r>
                    <w:rPr>
                      <w:b/>
                      <w:bCs/>
                      <w:kern w:val="0"/>
                      <w:szCs w:val="20"/>
                    </w:rPr>
                    <w:t>北厂界</w:t>
                  </w:r>
                </w:p>
              </w:tc>
            </w:tr>
            <w:tr w14:paraId="18EE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vAlign w:val="center"/>
                </w:tcPr>
                <w:p w14:paraId="0BC51E45">
                  <w:pPr>
                    <w:jc w:val="center"/>
                    <w:rPr>
                      <w:kern w:val="0"/>
                      <w:szCs w:val="20"/>
                    </w:rPr>
                  </w:pPr>
                  <w:r>
                    <w:rPr>
                      <w:szCs w:val="21"/>
                    </w:rPr>
                    <w:t>预湿搅拌机</w:t>
                  </w:r>
                </w:p>
              </w:tc>
              <w:tc>
                <w:tcPr>
                  <w:tcW w:w="1801" w:type="dxa"/>
                  <w:vAlign w:val="center"/>
                </w:tcPr>
                <w:p w14:paraId="01C3D8A5">
                  <w:pPr>
                    <w:jc w:val="center"/>
                    <w:rPr>
                      <w:kern w:val="0"/>
                      <w:szCs w:val="20"/>
                    </w:rPr>
                  </w:pPr>
                  <w:r>
                    <w:rPr>
                      <w:kern w:val="0"/>
                      <w:szCs w:val="20"/>
                    </w:rPr>
                    <w:t>140</w:t>
                  </w:r>
                </w:p>
              </w:tc>
              <w:tc>
                <w:tcPr>
                  <w:tcW w:w="1801" w:type="dxa"/>
                  <w:vAlign w:val="center"/>
                </w:tcPr>
                <w:p w14:paraId="78B85568">
                  <w:pPr>
                    <w:jc w:val="center"/>
                    <w:rPr>
                      <w:kern w:val="0"/>
                      <w:szCs w:val="20"/>
                    </w:rPr>
                  </w:pPr>
                  <w:r>
                    <w:rPr>
                      <w:kern w:val="0"/>
                      <w:szCs w:val="20"/>
                    </w:rPr>
                    <w:t>55</w:t>
                  </w:r>
                </w:p>
              </w:tc>
              <w:tc>
                <w:tcPr>
                  <w:tcW w:w="1801" w:type="dxa"/>
                  <w:vAlign w:val="center"/>
                </w:tcPr>
                <w:p w14:paraId="4D343113">
                  <w:pPr>
                    <w:jc w:val="center"/>
                    <w:rPr>
                      <w:kern w:val="0"/>
                      <w:szCs w:val="20"/>
                    </w:rPr>
                  </w:pPr>
                  <w:r>
                    <w:rPr>
                      <w:kern w:val="0"/>
                      <w:szCs w:val="20"/>
                    </w:rPr>
                    <w:t>93</w:t>
                  </w:r>
                </w:p>
              </w:tc>
              <w:tc>
                <w:tcPr>
                  <w:tcW w:w="1808" w:type="dxa"/>
                  <w:vAlign w:val="center"/>
                </w:tcPr>
                <w:p w14:paraId="0DE838AC">
                  <w:pPr>
                    <w:jc w:val="center"/>
                    <w:rPr>
                      <w:kern w:val="0"/>
                      <w:szCs w:val="20"/>
                    </w:rPr>
                  </w:pPr>
                  <w:r>
                    <w:rPr>
                      <w:kern w:val="0"/>
                      <w:szCs w:val="20"/>
                    </w:rPr>
                    <w:t>71</w:t>
                  </w:r>
                </w:p>
              </w:tc>
            </w:tr>
            <w:tr w14:paraId="2DA4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vAlign w:val="center"/>
                </w:tcPr>
                <w:p w14:paraId="674FCD8F">
                  <w:pPr>
                    <w:jc w:val="center"/>
                    <w:rPr>
                      <w:kern w:val="0"/>
                      <w:szCs w:val="20"/>
                    </w:rPr>
                  </w:pPr>
                  <w:r>
                    <w:rPr>
                      <w:szCs w:val="21"/>
                    </w:rPr>
                    <w:t>锤式破碎机</w:t>
                  </w:r>
                </w:p>
              </w:tc>
              <w:tc>
                <w:tcPr>
                  <w:tcW w:w="1801" w:type="dxa"/>
                  <w:vAlign w:val="center"/>
                </w:tcPr>
                <w:p w14:paraId="482301E7">
                  <w:pPr>
                    <w:jc w:val="center"/>
                    <w:rPr>
                      <w:kern w:val="0"/>
                      <w:szCs w:val="20"/>
                    </w:rPr>
                  </w:pPr>
                  <w:r>
                    <w:rPr>
                      <w:kern w:val="0"/>
                      <w:szCs w:val="20"/>
                    </w:rPr>
                    <w:t>140</w:t>
                  </w:r>
                </w:p>
              </w:tc>
              <w:tc>
                <w:tcPr>
                  <w:tcW w:w="1801" w:type="dxa"/>
                  <w:vAlign w:val="center"/>
                </w:tcPr>
                <w:p w14:paraId="5901558A">
                  <w:pPr>
                    <w:jc w:val="center"/>
                    <w:rPr>
                      <w:kern w:val="0"/>
                      <w:szCs w:val="20"/>
                    </w:rPr>
                  </w:pPr>
                  <w:r>
                    <w:rPr>
                      <w:kern w:val="0"/>
                      <w:szCs w:val="20"/>
                    </w:rPr>
                    <w:t>55</w:t>
                  </w:r>
                </w:p>
              </w:tc>
              <w:tc>
                <w:tcPr>
                  <w:tcW w:w="1801" w:type="dxa"/>
                  <w:vAlign w:val="center"/>
                </w:tcPr>
                <w:p w14:paraId="6896DCF1">
                  <w:pPr>
                    <w:jc w:val="center"/>
                    <w:rPr>
                      <w:kern w:val="0"/>
                      <w:szCs w:val="20"/>
                    </w:rPr>
                  </w:pPr>
                  <w:r>
                    <w:rPr>
                      <w:kern w:val="0"/>
                      <w:szCs w:val="20"/>
                    </w:rPr>
                    <w:t>70</w:t>
                  </w:r>
                </w:p>
              </w:tc>
              <w:tc>
                <w:tcPr>
                  <w:tcW w:w="1808" w:type="dxa"/>
                  <w:vAlign w:val="center"/>
                </w:tcPr>
                <w:p w14:paraId="57742F2B">
                  <w:pPr>
                    <w:jc w:val="center"/>
                    <w:rPr>
                      <w:kern w:val="0"/>
                      <w:szCs w:val="20"/>
                    </w:rPr>
                  </w:pPr>
                  <w:r>
                    <w:rPr>
                      <w:kern w:val="0"/>
                      <w:szCs w:val="20"/>
                    </w:rPr>
                    <w:t>94</w:t>
                  </w:r>
                </w:p>
              </w:tc>
            </w:tr>
            <w:tr w14:paraId="78D1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vAlign w:val="center"/>
                </w:tcPr>
                <w:p w14:paraId="0B5ECC07">
                  <w:pPr>
                    <w:jc w:val="center"/>
                    <w:rPr>
                      <w:kern w:val="0"/>
                      <w:szCs w:val="20"/>
                    </w:rPr>
                  </w:pPr>
                  <w:r>
                    <w:rPr>
                      <w:szCs w:val="21"/>
                    </w:rPr>
                    <w:t>高速滚动筛</w:t>
                  </w:r>
                </w:p>
              </w:tc>
              <w:tc>
                <w:tcPr>
                  <w:tcW w:w="1801" w:type="dxa"/>
                  <w:vAlign w:val="center"/>
                </w:tcPr>
                <w:p w14:paraId="1567139F">
                  <w:pPr>
                    <w:jc w:val="center"/>
                    <w:rPr>
                      <w:kern w:val="0"/>
                      <w:szCs w:val="20"/>
                    </w:rPr>
                  </w:pPr>
                  <w:r>
                    <w:rPr>
                      <w:kern w:val="0"/>
                      <w:szCs w:val="20"/>
                    </w:rPr>
                    <w:t>140</w:t>
                  </w:r>
                </w:p>
              </w:tc>
              <w:tc>
                <w:tcPr>
                  <w:tcW w:w="1801" w:type="dxa"/>
                  <w:vAlign w:val="center"/>
                </w:tcPr>
                <w:p w14:paraId="2E87E269">
                  <w:pPr>
                    <w:jc w:val="center"/>
                    <w:rPr>
                      <w:kern w:val="0"/>
                      <w:szCs w:val="20"/>
                    </w:rPr>
                  </w:pPr>
                  <w:r>
                    <w:rPr>
                      <w:kern w:val="0"/>
                      <w:szCs w:val="20"/>
                    </w:rPr>
                    <w:t>55</w:t>
                  </w:r>
                </w:p>
              </w:tc>
              <w:tc>
                <w:tcPr>
                  <w:tcW w:w="1801" w:type="dxa"/>
                  <w:vAlign w:val="center"/>
                </w:tcPr>
                <w:p w14:paraId="1F3E3820">
                  <w:pPr>
                    <w:jc w:val="center"/>
                    <w:rPr>
                      <w:kern w:val="0"/>
                      <w:szCs w:val="20"/>
                    </w:rPr>
                  </w:pPr>
                  <w:r>
                    <w:rPr>
                      <w:kern w:val="0"/>
                      <w:szCs w:val="20"/>
                    </w:rPr>
                    <w:t>60</w:t>
                  </w:r>
                </w:p>
              </w:tc>
              <w:tc>
                <w:tcPr>
                  <w:tcW w:w="1808" w:type="dxa"/>
                  <w:vAlign w:val="center"/>
                </w:tcPr>
                <w:p w14:paraId="1A919F97">
                  <w:pPr>
                    <w:jc w:val="center"/>
                    <w:rPr>
                      <w:kern w:val="0"/>
                      <w:szCs w:val="20"/>
                    </w:rPr>
                  </w:pPr>
                  <w:r>
                    <w:rPr>
                      <w:kern w:val="0"/>
                      <w:szCs w:val="20"/>
                    </w:rPr>
                    <w:t>84</w:t>
                  </w:r>
                </w:p>
              </w:tc>
            </w:tr>
            <w:tr w14:paraId="35FE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vAlign w:val="center"/>
                </w:tcPr>
                <w:p w14:paraId="030CB49E">
                  <w:pPr>
                    <w:jc w:val="center"/>
                    <w:rPr>
                      <w:kern w:val="0"/>
                      <w:szCs w:val="20"/>
                    </w:rPr>
                  </w:pPr>
                  <w:r>
                    <w:rPr>
                      <w:szCs w:val="21"/>
                    </w:rPr>
                    <w:t>隧道窑</w:t>
                  </w:r>
                </w:p>
              </w:tc>
              <w:tc>
                <w:tcPr>
                  <w:tcW w:w="1801" w:type="dxa"/>
                  <w:vAlign w:val="center"/>
                </w:tcPr>
                <w:p w14:paraId="02B1F3A3">
                  <w:pPr>
                    <w:jc w:val="center"/>
                    <w:rPr>
                      <w:kern w:val="0"/>
                      <w:szCs w:val="20"/>
                    </w:rPr>
                  </w:pPr>
                  <w:r>
                    <w:rPr>
                      <w:kern w:val="0"/>
                      <w:szCs w:val="20"/>
                    </w:rPr>
                    <w:t>48</w:t>
                  </w:r>
                </w:p>
              </w:tc>
              <w:tc>
                <w:tcPr>
                  <w:tcW w:w="1801" w:type="dxa"/>
                  <w:vAlign w:val="center"/>
                </w:tcPr>
                <w:p w14:paraId="71F71C2E">
                  <w:pPr>
                    <w:jc w:val="center"/>
                    <w:rPr>
                      <w:kern w:val="0"/>
                      <w:szCs w:val="20"/>
                    </w:rPr>
                  </w:pPr>
                  <w:r>
                    <w:rPr>
                      <w:kern w:val="0"/>
                      <w:szCs w:val="20"/>
                    </w:rPr>
                    <w:t>137</w:t>
                  </w:r>
                </w:p>
              </w:tc>
              <w:tc>
                <w:tcPr>
                  <w:tcW w:w="1801" w:type="dxa"/>
                  <w:vAlign w:val="center"/>
                </w:tcPr>
                <w:p w14:paraId="60141ADF">
                  <w:pPr>
                    <w:jc w:val="center"/>
                    <w:rPr>
                      <w:kern w:val="0"/>
                      <w:szCs w:val="20"/>
                    </w:rPr>
                  </w:pPr>
                  <w:r>
                    <w:rPr>
                      <w:kern w:val="0"/>
                      <w:szCs w:val="20"/>
                    </w:rPr>
                    <w:t>42</w:t>
                  </w:r>
                </w:p>
              </w:tc>
              <w:tc>
                <w:tcPr>
                  <w:tcW w:w="1808" w:type="dxa"/>
                  <w:vAlign w:val="center"/>
                </w:tcPr>
                <w:p w14:paraId="013D8FA7">
                  <w:pPr>
                    <w:jc w:val="center"/>
                    <w:rPr>
                      <w:kern w:val="0"/>
                      <w:szCs w:val="20"/>
                    </w:rPr>
                  </w:pPr>
                  <w:r>
                    <w:rPr>
                      <w:kern w:val="0"/>
                      <w:szCs w:val="20"/>
                    </w:rPr>
                    <w:t>51</w:t>
                  </w:r>
                </w:p>
              </w:tc>
            </w:tr>
            <w:tr w14:paraId="3189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vAlign w:val="center"/>
                </w:tcPr>
                <w:p w14:paraId="70F56A45">
                  <w:pPr>
                    <w:jc w:val="center"/>
                    <w:rPr>
                      <w:kern w:val="0"/>
                      <w:szCs w:val="20"/>
                    </w:rPr>
                  </w:pPr>
                  <w:r>
                    <w:rPr>
                      <w:szCs w:val="21"/>
                    </w:rPr>
                    <w:t>制砖机</w:t>
                  </w:r>
                </w:p>
              </w:tc>
              <w:tc>
                <w:tcPr>
                  <w:tcW w:w="1801" w:type="dxa"/>
                  <w:vAlign w:val="center"/>
                </w:tcPr>
                <w:p w14:paraId="7CBBA7DC">
                  <w:pPr>
                    <w:jc w:val="center"/>
                    <w:rPr>
                      <w:kern w:val="0"/>
                      <w:szCs w:val="20"/>
                    </w:rPr>
                  </w:pPr>
                  <w:r>
                    <w:rPr>
                      <w:kern w:val="0"/>
                      <w:szCs w:val="20"/>
                    </w:rPr>
                    <w:t>120</w:t>
                  </w:r>
                </w:p>
              </w:tc>
              <w:tc>
                <w:tcPr>
                  <w:tcW w:w="1801" w:type="dxa"/>
                  <w:vAlign w:val="center"/>
                </w:tcPr>
                <w:p w14:paraId="71640980">
                  <w:pPr>
                    <w:jc w:val="center"/>
                    <w:rPr>
                      <w:kern w:val="0"/>
                      <w:szCs w:val="20"/>
                    </w:rPr>
                  </w:pPr>
                  <w:r>
                    <w:rPr>
                      <w:kern w:val="0"/>
                      <w:szCs w:val="20"/>
                    </w:rPr>
                    <w:t>65</w:t>
                  </w:r>
                </w:p>
              </w:tc>
              <w:tc>
                <w:tcPr>
                  <w:tcW w:w="1801" w:type="dxa"/>
                  <w:vAlign w:val="center"/>
                </w:tcPr>
                <w:p w14:paraId="57AFCFA9">
                  <w:pPr>
                    <w:jc w:val="center"/>
                    <w:rPr>
                      <w:kern w:val="0"/>
                      <w:szCs w:val="20"/>
                    </w:rPr>
                  </w:pPr>
                  <w:r>
                    <w:rPr>
                      <w:kern w:val="0"/>
                      <w:szCs w:val="20"/>
                    </w:rPr>
                    <w:t>45</w:t>
                  </w:r>
                </w:p>
              </w:tc>
              <w:tc>
                <w:tcPr>
                  <w:tcW w:w="1808" w:type="dxa"/>
                  <w:vAlign w:val="center"/>
                </w:tcPr>
                <w:p w14:paraId="012E35CF">
                  <w:pPr>
                    <w:jc w:val="center"/>
                    <w:rPr>
                      <w:kern w:val="0"/>
                      <w:szCs w:val="20"/>
                    </w:rPr>
                  </w:pPr>
                  <w:r>
                    <w:rPr>
                      <w:kern w:val="0"/>
                      <w:szCs w:val="20"/>
                    </w:rPr>
                    <w:t>119</w:t>
                  </w:r>
                </w:p>
              </w:tc>
            </w:tr>
          </w:tbl>
          <w:p w14:paraId="57B73A7B">
            <w:pPr>
              <w:widowControl/>
              <w:snapToGrid w:val="0"/>
              <w:jc w:val="center"/>
              <w:rPr>
                <w:b/>
                <w:bCs/>
                <w:sz w:val="24"/>
                <w:szCs w:val="22"/>
              </w:rPr>
            </w:pPr>
            <w:r>
              <w:rPr>
                <w:b/>
                <w:bCs/>
                <w:sz w:val="24"/>
                <w:szCs w:val="22"/>
              </w:rPr>
              <w:t>表4-9 项目厂界噪声预测及评价</w:t>
            </w:r>
            <w:r>
              <w:rPr>
                <w:rFonts w:hint="eastAsia"/>
                <w:b/>
                <w:bCs/>
                <w:sz w:val="24"/>
                <w:szCs w:val="22"/>
              </w:rPr>
              <w:t xml:space="preserve"> </w:t>
            </w:r>
            <w:r>
              <w:rPr>
                <w:b/>
                <w:bCs/>
                <w:sz w:val="24"/>
                <w:szCs w:val="22"/>
              </w:rPr>
              <w:t xml:space="preserve"> </w:t>
            </w:r>
            <w:r>
              <w:rPr>
                <w:rFonts w:hint="eastAsia"/>
                <w:b/>
                <w:bCs/>
                <w:sz w:val="24"/>
                <w:szCs w:val="22"/>
              </w:rPr>
              <w:t>单位：</w:t>
            </w:r>
            <w:r>
              <w:rPr>
                <w:b/>
                <w:bCs/>
                <w:sz w:val="24"/>
                <w:szCs w:val="22"/>
              </w:rPr>
              <w:t>dB（A）</w:t>
            </w:r>
          </w:p>
          <w:tbl>
            <w:tblPr>
              <w:tblStyle w:val="25"/>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888"/>
              <w:gridCol w:w="1695"/>
              <w:gridCol w:w="1529"/>
              <w:gridCol w:w="2066"/>
            </w:tblGrid>
            <w:tr w14:paraId="0C83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7" w:type="dxa"/>
                  <w:vAlign w:val="center"/>
                </w:tcPr>
                <w:p w14:paraId="65C06034">
                  <w:pPr>
                    <w:keepNext/>
                    <w:keepLines/>
                    <w:adjustRightInd w:val="0"/>
                    <w:snapToGrid w:val="0"/>
                    <w:jc w:val="center"/>
                    <w:outlineLvl w:val="0"/>
                    <w:rPr>
                      <w:kern w:val="44"/>
                      <w:szCs w:val="21"/>
                    </w:rPr>
                  </w:pPr>
                  <w:r>
                    <w:rPr>
                      <w:kern w:val="44"/>
                      <w:szCs w:val="21"/>
                    </w:rPr>
                    <w:t>预测点</w:t>
                  </w:r>
                </w:p>
              </w:tc>
              <w:tc>
                <w:tcPr>
                  <w:tcW w:w="1888" w:type="dxa"/>
                  <w:vAlign w:val="center"/>
                </w:tcPr>
                <w:p w14:paraId="6F21D5AF">
                  <w:pPr>
                    <w:keepNext/>
                    <w:keepLines/>
                    <w:adjustRightInd w:val="0"/>
                    <w:snapToGrid w:val="0"/>
                    <w:jc w:val="center"/>
                    <w:outlineLvl w:val="0"/>
                    <w:rPr>
                      <w:kern w:val="44"/>
                      <w:szCs w:val="21"/>
                    </w:rPr>
                  </w:pPr>
                  <w:r>
                    <w:rPr>
                      <w:kern w:val="44"/>
                      <w:szCs w:val="21"/>
                    </w:rPr>
                    <w:t>时段</w:t>
                  </w:r>
                </w:p>
              </w:tc>
              <w:tc>
                <w:tcPr>
                  <w:tcW w:w="1695" w:type="dxa"/>
                  <w:vAlign w:val="center"/>
                </w:tcPr>
                <w:p w14:paraId="13E76CBC">
                  <w:pPr>
                    <w:keepNext/>
                    <w:keepLines/>
                    <w:adjustRightInd w:val="0"/>
                    <w:snapToGrid w:val="0"/>
                    <w:jc w:val="center"/>
                    <w:outlineLvl w:val="0"/>
                    <w:rPr>
                      <w:kern w:val="44"/>
                      <w:szCs w:val="21"/>
                    </w:rPr>
                  </w:pPr>
                  <w:r>
                    <w:rPr>
                      <w:kern w:val="44"/>
                      <w:szCs w:val="21"/>
                    </w:rPr>
                    <w:t>贡献值</w:t>
                  </w:r>
                </w:p>
              </w:tc>
              <w:tc>
                <w:tcPr>
                  <w:tcW w:w="1529" w:type="dxa"/>
                  <w:vAlign w:val="center"/>
                </w:tcPr>
                <w:p w14:paraId="59A3A237">
                  <w:pPr>
                    <w:keepNext/>
                    <w:keepLines/>
                    <w:adjustRightInd w:val="0"/>
                    <w:snapToGrid w:val="0"/>
                    <w:jc w:val="center"/>
                    <w:outlineLvl w:val="0"/>
                    <w:rPr>
                      <w:kern w:val="44"/>
                      <w:szCs w:val="21"/>
                    </w:rPr>
                  </w:pPr>
                  <w:r>
                    <w:rPr>
                      <w:kern w:val="44"/>
                      <w:szCs w:val="21"/>
                    </w:rPr>
                    <w:t>标准</w:t>
                  </w:r>
                </w:p>
              </w:tc>
              <w:tc>
                <w:tcPr>
                  <w:tcW w:w="2066" w:type="dxa"/>
                  <w:vAlign w:val="center"/>
                </w:tcPr>
                <w:p w14:paraId="200E068E">
                  <w:pPr>
                    <w:keepNext/>
                    <w:keepLines/>
                    <w:adjustRightInd w:val="0"/>
                    <w:snapToGrid w:val="0"/>
                    <w:jc w:val="center"/>
                    <w:outlineLvl w:val="0"/>
                    <w:rPr>
                      <w:kern w:val="44"/>
                      <w:szCs w:val="21"/>
                    </w:rPr>
                  </w:pPr>
                  <w:r>
                    <w:rPr>
                      <w:kern w:val="44"/>
                      <w:szCs w:val="21"/>
                    </w:rPr>
                    <w:t>达标判定</w:t>
                  </w:r>
                </w:p>
              </w:tc>
            </w:tr>
            <w:tr w14:paraId="77A2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7" w:type="dxa"/>
                  <w:vMerge w:val="restart"/>
                  <w:vAlign w:val="center"/>
                </w:tcPr>
                <w:p w14:paraId="6F1CAAE0">
                  <w:pPr>
                    <w:keepNext/>
                    <w:keepLines/>
                    <w:adjustRightInd w:val="0"/>
                    <w:snapToGrid w:val="0"/>
                    <w:jc w:val="center"/>
                    <w:outlineLvl w:val="0"/>
                    <w:rPr>
                      <w:kern w:val="44"/>
                      <w:szCs w:val="21"/>
                    </w:rPr>
                  </w:pPr>
                  <w:bookmarkStart w:id="16" w:name="_Toc101052720"/>
                  <w:r>
                    <w:rPr>
                      <w:kern w:val="44"/>
                      <w:szCs w:val="21"/>
                    </w:rPr>
                    <w:t>厂界东</w:t>
                  </w:r>
                  <w:bookmarkEnd w:id="16"/>
                </w:p>
              </w:tc>
              <w:tc>
                <w:tcPr>
                  <w:tcW w:w="1888" w:type="dxa"/>
                  <w:vAlign w:val="center"/>
                </w:tcPr>
                <w:p w14:paraId="5A4437C8">
                  <w:pPr>
                    <w:keepNext/>
                    <w:keepLines/>
                    <w:adjustRightInd w:val="0"/>
                    <w:snapToGrid w:val="0"/>
                    <w:jc w:val="center"/>
                    <w:outlineLvl w:val="0"/>
                    <w:rPr>
                      <w:kern w:val="44"/>
                      <w:szCs w:val="21"/>
                    </w:rPr>
                  </w:pPr>
                  <w:bookmarkStart w:id="17" w:name="_Toc101052721"/>
                  <w:r>
                    <w:rPr>
                      <w:kern w:val="44"/>
                      <w:szCs w:val="21"/>
                    </w:rPr>
                    <w:t>昼间</w:t>
                  </w:r>
                  <w:bookmarkEnd w:id="17"/>
                </w:p>
              </w:tc>
              <w:tc>
                <w:tcPr>
                  <w:tcW w:w="1695" w:type="dxa"/>
                  <w:vAlign w:val="center"/>
                </w:tcPr>
                <w:p w14:paraId="33BF3015">
                  <w:pPr>
                    <w:keepNext/>
                    <w:keepLines/>
                    <w:adjustRightInd w:val="0"/>
                    <w:snapToGrid w:val="0"/>
                    <w:jc w:val="center"/>
                    <w:outlineLvl w:val="0"/>
                    <w:rPr>
                      <w:kern w:val="44"/>
                      <w:szCs w:val="21"/>
                    </w:rPr>
                  </w:pPr>
                  <w:r>
                    <w:rPr>
                      <w:kern w:val="44"/>
                      <w:szCs w:val="21"/>
                    </w:rPr>
                    <w:t>36.37</w:t>
                  </w:r>
                </w:p>
              </w:tc>
              <w:tc>
                <w:tcPr>
                  <w:tcW w:w="1529" w:type="dxa"/>
                  <w:vAlign w:val="center"/>
                </w:tcPr>
                <w:p w14:paraId="6CE8E538">
                  <w:pPr>
                    <w:keepNext/>
                    <w:keepLines/>
                    <w:adjustRightInd w:val="0"/>
                    <w:snapToGrid w:val="0"/>
                    <w:jc w:val="center"/>
                    <w:outlineLvl w:val="0"/>
                    <w:rPr>
                      <w:kern w:val="44"/>
                      <w:szCs w:val="21"/>
                    </w:rPr>
                  </w:pPr>
                  <w:r>
                    <w:rPr>
                      <w:kern w:val="44"/>
                      <w:szCs w:val="21"/>
                    </w:rPr>
                    <w:t>60</w:t>
                  </w:r>
                </w:p>
              </w:tc>
              <w:tc>
                <w:tcPr>
                  <w:tcW w:w="2066" w:type="dxa"/>
                  <w:vAlign w:val="center"/>
                </w:tcPr>
                <w:p w14:paraId="53B36695">
                  <w:pPr>
                    <w:keepNext/>
                    <w:keepLines/>
                    <w:adjustRightInd w:val="0"/>
                    <w:snapToGrid w:val="0"/>
                    <w:jc w:val="center"/>
                    <w:outlineLvl w:val="0"/>
                    <w:rPr>
                      <w:kern w:val="44"/>
                      <w:szCs w:val="21"/>
                    </w:rPr>
                  </w:pPr>
                  <w:r>
                    <w:rPr>
                      <w:szCs w:val="21"/>
                    </w:rPr>
                    <w:t>达标</w:t>
                  </w:r>
                </w:p>
              </w:tc>
            </w:tr>
            <w:tr w14:paraId="1C88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7" w:type="dxa"/>
                  <w:vMerge w:val="continue"/>
                  <w:vAlign w:val="center"/>
                </w:tcPr>
                <w:p w14:paraId="70E09630">
                  <w:pPr>
                    <w:keepNext/>
                    <w:keepLines/>
                    <w:adjustRightInd w:val="0"/>
                    <w:snapToGrid w:val="0"/>
                    <w:jc w:val="center"/>
                    <w:outlineLvl w:val="0"/>
                    <w:rPr>
                      <w:kern w:val="44"/>
                      <w:szCs w:val="21"/>
                    </w:rPr>
                  </w:pPr>
                </w:p>
              </w:tc>
              <w:tc>
                <w:tcPr>
                  <w:tcW w:w="1888" w:type="dxa"/>
                  <w:vAlign w:val="center"/>
                </w:tcPr>
                <w:p w14:paraId="6D2B845E">
                  <w:pPr>
                    <w:keepNext/>
                    <w:keepLines/>
                    <w:adjustRightInd w:val="0"/>
                    <w:snapToGrid w:val="0"/>
                    <w:jc w:val="center"/>
                    <w:outlineLvl w:val="0"/>
                    <w:rPr>
                      <w:kern w:val="44"/>
                      <w:szCs w:val="21"/>
                    </w:rPr>
                  </w:pPr>
                  <w:r>
                    <w:rPr>
                      <w:kern w:val="44"/>
                      <w:szCs w:val="21"/>
                    </w:rPr>
                    <w:t>夜间</w:t>
                  </w:r>
                </w:p>
              </w:tc>
              <w:tc>
                <w:tcPr>
                  <w:tcW w:w="1695" w:type="dxa"/>
                  <w:vAlign w:val="center"/>
                </w:tcPr>
                <w:p w14:paraId="0AB18524">
                  <w:pPr>
                    <w:keepNext/>
                    <w:keepLines/>
                    <w:adjustRightInd w:val="0"/>
                    <w:snapToGrid w:val="0"/>
                    <w:jc w:val="center"/>
                    <w:outlineLvl w:val="0"/>
                    <w:rPr>
                      <w:kern w:val="44"/>
                      <w:szCs w:val="21"/>
                    </w:rPr>
                  </w:pPr>
                  <w:r>
                    <w:rPr>
                      <w:kern w:val="44"/>
                      <w:szCs w:val="21"/>
                    </w:rPr>
                    <w:t>36.37</w:t>
                  </w:r>
                </w:p>
              </w:tc>
              <w:tc>
                <w:tcPr>
                  <w:tcW w:w="1529" w:type="dxa"/>
                  <w:vAlign w:val="center"/>
                </w:tcPr>
                <w:p w14:paraId="7105EBB5">
                  <w:pPr>
                    <w:keepNext/>
                    <w:keepLines/>
                    <w:adjustRightInd w:val="0"/>
                    <w:snapToGrid w:val="0"/>
                    <w:jc w:val="center"/>
                    <w:outlineLvl w:val="0"/>
                    <w:rPr>
                      <w:kern w:val="44"/>
                      <w:szCs w:val="21"/>
                    </w:rPr>
                  </w:pPr>
                  <w:r>
                    <w:rPr>
                      <w:kern w:val="44"/>
                      <w:szCs w:val="21"/>
                    </w:rPr>
                    <w:t>50</w:t>
                  </w:r>
                </w:p>
              </w:tc>
              <w:tc>
                <w:tcPr>
                  <w:tcW w:w="2066" w:type="dxa"/>
                  <w:vAlign w:val="center"/>
                </w:tcPr>
                <w:p w14:paraId="0B024633">
                  <w:pPr>
                    <w:keepNext/>
                    <w:keepLines/>
                    <w:adjustRightInd w:val="0"/>
                    <w:snapToGrid w:val="0"/>
                    <w:jc w:val="center"/>
                    <w:outlineLvl w:val="0"/>
                    <w:rPr>
                      <w:kern w:val="44"/>
                      <w:szCs w:val="21"/>
                    </w:rPr>
                  </w:pPr>
                  <w:r>
                    <w:rPr>
                      <w:szCs w:val="21"/>
                    </w:rPr>
                    <w:t>达标</w:t>
                  </w:r>
                </w:p>
              </w:tc>
            </w:tr>
            <w:tr w14:paraId="3417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7" w:type="dxa"/>
                  <w:vMerge w:val="restart"/>
                  <w:vAlign w:val="center"/>
                </w:tcPr>
                <w:p w14:paraId="334B11DC">
                  <w:pPr>
                    <w:keepNext/>
                    <w:keepLines/>
                    <w:adjustRightInd w:val="0"/>
                    <w:snapToGrid w:val="0"/>
                    <w:jc w:val="center"/>
                    <w:outlineLvl w:val="0"/>
                    <w:rPr>
                      <w:kern w:val="44"/>
                      <w:szCs w:val="21"/>
                    </w:rPr>
                  </w:pPr>
                  <w:bookmarkStart w:id="18" w:name="_Toc101052727"/>
                  <w:r>
                    <w:rPr>
                      <w:kern w:val="44"/>
                      <w:szCs w:val="21"/>
                    </w:rPr>
                    <w:t>厂界南</w:t>
                  </w:r>
                  <w:bookmarkEnd w:id="18"/>
                </w:p>
              </w:tc>
              <w:tc>
                <w:tcPr>
                  <w:tcW w:w="1888" w:type="dxa"/>
                  <w:vAlign w:val="center"/>
                </w:tcPr>
                <w:p w14:paraId="4F3CAD94">
                  <w:pPr>
                    <w:keepNext/>
                    <w:keepLines/>
                    <w:adjustRightInd w:val="0"/>
                    <w:snapToGrid w:val="0"/>
                    <w:jc w:val="center"/>
                    <w:outlineLvl w:val="0"/>
                    <w:rPr>
                      <w:kern w:val="44"/>
                      <w:szCs w:val="21"/>
                    </w:rPr>
                  </w:pPr>
                  <w:bookmarkStart w:id="19" w:name="_Toc101052728"/>
                  <w:r>
                    <w:rPr>
                      <w:kern w:val="44"/>
                      <w:szCs w:val="21"/>
                    </w:rPr>
                    <w:t>昼间</w:t>
                  </w:r>
                  <w:bookmarkEnd w:id="19"/>
                </w:p>
              </w:tc>
              <w:tc>
                <w:tcPr>
                  <w:tcW w:w="1695" w:type="dxa"/>
                  <w:vAlign w:val="center"/>
                </w:tcPr>
                <w:p w14:paraId="2D713514">
                  <w:pPr>
                    <w:keepNext/>
                    <w:keepLines/>
                    <w:adjustRightInd w:val="0"/>
                    <w:snapToGrid w:val="0"/>
                    <w:jc w:val="center"/>
                    <w:outlineLvl w:val="0"/>
                    <w:rPr>
                      <w:kern w:val="44"/>
                      <w:szCs w:val="21"/>
                    </w:rPr>
                  </w:pPr>
                  <w:r>
                    <w:rPr>
                      <w:kern w:val="44"/>
                      <w:szCs w:val="21"/>
                    </w:rPr>
                    <w:t>37.53</w:t>
                  </w:r>
                </w:p>
              </w:tc>
              <w:tc>
                <w:tcPr>
                  <w:tcW w:w="1529" w:type="dxa"/>
                  <w:vAlign w:val="center"/>
                </w:tcPr>
                <w:p w14:paraId="35DEC5BF">
                  <w:pPr>
                    <w:keepNext/>
                    <w:keepLines/>
                    <w:adjustRightInd w:val="0"/>
                    <w:snapToGrid w:val="0"/>
                    <w:jc w:val="center"/>
                    <w:outlineLvl w:val="0"/>
                    <w:rPr>
                      <w:kern w:val="44"/>
                      <w:szCs w:val="21"/>
                    </w:rPr>
                  </w:pPr>
                  <w:r>
                    <w:rPr>
                      <w:kern w:val="44"/>
                      <w:szCs w:val="21"/>
                    </w:rPr>
                    <w:t>60</w:t>
                  </w:r>
                </w:p>
              </w:tc>
              <w:tc>
                <w:tcPr>
                  <w:tcW w:w="2066" w:type="dxa"/>
                  <w:vAlign w:val="center"/>
                </w:tcPr>
                <w:p w14:paraId="3787CC2D">
                  <w:pPr>
                    <w:jc w:val="center"/>
                    <w:rPr>
                      <w:szCs w:val="21"/>
                    </w:rPr>
                  </w:pPr>
                  <w:r>
                    <w:rPr>
                      <w:szCs w:val="21"/>
                    </w:rPr>
                    <w:t>达标</w:t>
                  </w:r>
                </w:p>
              </w:tc>
            </w:tr>
            <w:tr w14:paraId="3CE1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7" w:type="dxa"/>
                  <w:vMerge w:val="continue"/>
                  <w:vAlign w:val="center"/>
                </w:tcPr>
                <w:p w14:paraId="26339944">
                  <w:pPr>
                    <w:keepNext/>
                    <w:keepLines/>
                    <w:adjustRightInd w:val="0"/>
                    <w:snapToGrid w:val="0"/>
                    <w:jc w:val="center"/>
                    <w:outlineLvl w:val="0"/>
                    <w:rPr>
                      <w:kern w:val="44"/>
                      <w:szCs w:val="21"/>
                    </w:rPr>
                  </w:pPr>
                </w:p>
              </w:tc>
              <w:tc>
                <w:tcPr>
                  <w:tcW w:w="1888" w:type="dxa"/>
                  <w:vAlign w:val="center"/>
                </w:tcPr>
                <w:p w14:paraId="1B1FA270">
                  <w:pPr>
                    <w:keepNext/>
                    <w:keepLines/>
                    <w:adjustRightInd w:val="0"/>
                    <w:snapToGrid w:val="0"/>
                    <w:jc w:val="center"/>
                    <w:outlineLvl w:val="0"/>
                    <w:rPr>
                      <w:kern w:val="44"/>
                      <w:szCs w:val="21"/>
                    </w:rPr>
                  </w:pPr>
                  <w:r>
                    <w:rPr>
                      <w:kern w:val="44"/>
                      <w:szCs w:val="21"/>
                    </w:rPr>
                    <w:t>夜间</w:t>
                  </w:r>
                </w:p>
              </w:tc>
              <w:tc>
                <w:tcPr>
                  <w:tcW w:w="1695" w:type="dxa"/>
                  <w:vAlign w:val="center"/>
                </w:tcPr>
                <w:p w14:paraId="5BC338D2">
                  <w:pPr>
                    <w:keepNext/>
                    <w:keepLines/>
                    <w:adjustRightInd w:val="0"/>
                    <w:snapToGrid w:val="0"/>
                    <w:jc w:val="center"/>
                    <w:outlineLvl w:val="0"/>
                    <w:rPr>
                      <w:kern w:val="44"/>
                      <w:szCs w:val="21"/>
                    </w:rPr>
                  </w:pPr>
                  <w:r>
                    <w:rPr>
                      <w:kern w:val="44"/>
                      <w:szCs w:val="21"/>
                    </w:rPr>
                    <w:t>37.53</w:t>
                  </w:r>
                </w:p>
              </w:tc>
              <w:tc>
                <w:tcPr>
                  <w:tcW w:w="1529" w:type="dxa"/>
                  <w:vAlign w:val="center"/>
                </w:tcPr>
                <w:p w14:paraId="5AA76E9C">
                  <w:pPr>
                    <w:keepNext/>
                    <w:keepLines/>
                    <w:adjustRightInd w:val="0"/>
                    <w:snapToGrid w:val="0"/>
                    <w:jc w:val="center"/>
                    <w:outlineLvl w:val="0"/>
                    <w:rPr>
                      <w:kern w:val="44"/>
                      <w:szCs w:val="21"/>
                    </w:rPr>
                  </w:pPr>
                  <w:r>
                    <w:rPr>
                      <w:kern w:val="44"/>
                      <w:szCs w:val="21"/>
                    </w:rPr>
                    <w:t>50</w:t>
                  </w:r>
                </w:p>
              </w:tc>
              <w:tc>
                <w:tcPr>
                  <w:tcW w:w="2066" w:type="dxa"/>
                  <w:vAlign w:val="center"/>
                </w:tcPr>
                <w:p w14:paraId="58E1C5E9">
                  <w:pPr>
                    <w:jc w:val="center"/>
                    <w:rPr>
                      <w:szCs w:val="21"/>
                    </w:rPr>
                  </w:pPr>
                  <w:r>
                    <w:rPr>
                      <w:szCs w:val="21"/>
                    </w:rPr>
                    <w:t>达标</w:t>
                  </w:r>
                </w:p>
              </w:tc>
            </w:tr>
            <w:tr w14:paraId="1808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7" w:type="dxa"/>
                  <w:vMerge w:val="restart"/>
                  <w:vAlign w:val="center"/>
                </w:tcPr>
                <w:p w14:paraId="77AFDDC0">
                  <w:pPr>
                    <w:keepNext/>
                    <w:keepLines/>
                    <w:adjustRightInd w:val="0"/>
                    <w:snapToGrid w:val="0"/>
                    <w:jc w:val="center"/>
                    <w:outlineLvl w:val="0"/>
                    <w:rPr>
                      <w:kern w:val="44"/>
                      <w:szCs w:val="21"/>
                    </w:rPr>
                  </w:pPr>
                  <w:bookmarkStart w:id="20" w:name="_Toc101052733"/>
                  <w:r>
                    <w:rPr>
                      <w:kern w:val="44"/>
                      <w:szCs w:val="21"/>
                    </w:rPr>
                    <w:t>厂界西</w:t>
                  </w:r>
                  <w:bookmarkEnd w:id="20"/>
                </w:p>
              </w:tc>
              <w:tc>
                <w:tcPr>
                  <w:tcW w:w="1888" w:type="dxa"/>
                  <w:vAlign w:val="center"/>
                </w:tcPr>
                <w:p w14:paraId="3E094268">
                  <w:pPr>
                    <w:keepNext/>
                    <w:keepLines/>
                    <w:adjustRightInd w:val="0"/>
                    <w:snapToGrid w:val="0"/>
                    <w:jc w:val="center"/>
                    <w:outlineLvl w:val="0"/>
                    <w:rPr>
                      <w:kern w:val="44"/>
                      <w:szCs w:val="21"/>
                    </w:rPr>
                  </w:pPr>
                  <w:bookmarkStart w:id="21" w:name="_Toc101052734"/>
                  <w:r>
                    <w:rPr>
                      <w:kern w:val="44"/>
                      <w:szCs w:val="21"/>
                    </w:rPr>
                    <w:t>昼间</w:t>
                  </w:r>
                  <w:bookmarkEnd w:id="21"/>
                </w:p>
              </w:tc>
              <w:tc>
                <w:tcPr>
                  <w:tcW w:w="1695" w:type="dxa"/>
                  <w:vAlign w:val="center"/>
                </w:tcPr>
                <w:p w14:paraId="4B543465">
                  <w:pPr>
                    <w:keepNext/>
                    <w:keepLines/>
                    <w:adjustRightInd w:val="0"/>
                    <w:snapToGrid w:val="0"/>
                    <w:jc w:val="center"/>
                    <w:outlineLvl w:val="0"/>
                    <w:rPr>
                      <w:kern w:val="44"/>
                      <w:szCs w:val="21"/>
                    </w:rPr>
                  </w:pPr>
                  <w:r>
                    <w:rPr>
                      <w:kern w:val="44"/>
                      <w:szCs w:val="21"/>
                    </w:rPr>
                    <w:t>35.19</w:t>
                  </w:r>
                </w:p>
              </w:tc>
              <w:tc>
                <w:tcPr>
                  <w:tcW w:w="1529" w:type="dxa"/>
                  <w:vAlign w:val="center"/>
                </w:tcPr>
                <w:p w14:paraId="4A2C7270">
                  <w:pPr>
                    <w:keepNext/>
                    <w:keepLines/>
                    <w:adjustRightInd w:val="0"/>
                    <w:snapToGrid w:val="0"/>
                    <w:jc w:val="center"/>
                    <w:outlineLvl w:val="0"/>
                    <w:rPr>
                      <w:kern w:val="44"/>
                      <w:szCs w:val="21"/>
                    </w:rPr>
                  </w:pPr>
                  <w:r>
                    <w:rPr>
                      <w:kern w:val="44"/>
                      <w:szCs w:val="21"/>
                    </w:rPr>
                    <w:t>60</w:t>
                  </w:r>
                </w:p>
              </w:tc>
              <w:tc>
                <w:tcPr>
                  <w:tcW w:w="2066" w:type="dxa"/>
                  <w:vAlign w:val="center"/>
                </w:tcPr>
                <w:p w14:paraId="46EE530F">
                  <w:pPr>
                    <w:jc w:val="center"/>
                    <w:rPr>
                      <w:szCs w:val="21"/>
                    </w:rPr>
                  </w:pPr>
                  <w:r>
                    <w:rPr>
                      <w:szCs w:val="21"/>
                    </w:rPr>
                    <w:t>达标</w:t>
                  </w:r>
                </w:p>
              </w:tc>
            </w:tr>
            <w:tr w14:paraId="7939B26D">
              <w:tblPrEx>
                <w:tblCellMar>
                  <w:top w:w="0" w:type="dxa"/>
                  <w:left w:w="108" w:type="dxa"/>
                  <w:bottom w:w="0" w:type="dxa"/>
                  <w:right w:w="108" w:type="dxa"/>
                </w:tblCellMar>
              </w:tblPrEx>
              <w:trPr>
                <w:trHeight w:val="23" w:hRule="atLeast"/>
                <w:jc w:val="center"/>
              </w:trPr>
              <w:tc>
                <w:tcPr>
                  <w:tcW w:w="1837" w:type="dxa"/>
                  <w:vMerge w:val="continue"/>
                  <w:vAlign w:val="center"/>
                </w:tcPr>
                <w:p w14:paraId="5E9C0B80">
                  <w:pPr>
                    <w:keepNext/>
                    <w:keepLines/>
                    <w:adjustRightInd w:val="0"/>
                    <w:snapToGrid w:val="0"/>
                    <w:jc w:val="center"/>
                    <w:outlineLvl w:val="0"/>
                    <w:rPr>
                      <w:kern w:val="44"/>
                      <w:szCs w:val="21"/>
                    </w:rPr>
                  </w:pPr>
                </w:p>
              </w:tc>
              <w:tc>
                <w:tcPr>
                  <w:tcW w:w="1888" w:type="dxa"/>
                  <w:vAlign w:val="center"/>
                </w:tcPr>
                <w:p w14:paraId="0A4F7D66">
                  <w:pPr>
                    <w:keepNext/>
                    <w:keepLines/>
                    <w:adjustRightInd w:val="0"/>
                    <w:snapToGrid w:val="0"/>
                    <w:jc w:val="center"/>
                    <w:outlineLvl w:val="0"/>
                    <w:rPr>
                      <w:kern w:val="44"/>
                      <w:szCs w:val="21"/>
                    </w:rPr>
                  </w:pPr>
                  <w:r>
                    <w:rPr>
                      <w:kern w:val="44"/>
                      <w:szCs w:val="21"/>
                    </w:rPr>
                    <w:t>夜间</w:t>
                  </w:r>
                </w:p>
              </w:tc>
              <w:tc>
                <w:tcPr>
                  <w:tcW w:w="1695" w:type="dxa"/>
                  <w:vAlign w:val="center"/>
                </w:tcPr>
                <w:p w14:paraId="0ECE0F48">
                  <w:pPr>
                    <w:keepNext/>
                    <w:keepLines/>
                    <w:adjustRightInd w:val="0"/>
                    <w:snapToGrid w:val="0"/>
                    <w:jc w:val="center"/>
                    <w:outlineLvl w:val="0"/>
                    <w:rPr>
                      <w:kern w:val="44"/>
                      <w:szCs w:val="21"/>
                    </w:rPr>
                  </w:pPr>
                  <w:r>
                    <w:rPr>
                      <w:kern w:val="44"/>
                      <w:szCs w:val="21"/>
                    </w:rPr>
                    <w:t>35.19</w:t>
                  </w:r>
                </w:p>
              </w:tc>
              <w:tc>
                <w:tcPr>
                  <w:tcW w:w="1529" w:type="dxa"/>
                  <w:vAlign w:val="center"/>
                </w:tcPr>
                <w:p w14:paraId="57BC692E">
                  <w:pPr>
                    <w:keepNext/>
                    <w:keepLines/>
                    <w:adjustRightInd w:val="0"/>
                    <w:snapToGrid w:val="0"/>
                    <w:jc w:val="center"/>
                    <w:outlineLvl w:val="0"/>
                    <w:rPr>
                      <w:kern w:val="44"/>
                      <w:szCs w:val="21"/>
                    </w:rPr>
                  </w:pPr>
                  <w:r>
                    <w:rPr>
                      <w:kern w:val="44"/>
                      <w:szCs w:val="21"/>
                    </w:rPr>
                    <w:t>50</w:t>
                  </w:r>
                </w:p>
              </w:tc>
              <w:tc>
                <w:tcPr>
                  <w:tcW w:w="2066" w:type="dxa"/>
                  <w:vAlign w:val="center"/>
                </w:tcPr>
                <w:p w14:paraId="697D4DAC">
                  <w:pPr>
                    <w:jc w:val="center"/>
                    <w:rPr>
                      <w:szCs w:val="21"/>
                    </w:rPr>
                  </w:pPr>
                  <w:r>
                    <w:rPr>
                      <w:szCs w:val="21"/>
                    </w:rPr>
                    <w:t>达标</w:t>
                  </w:r>
                </w:p>
              </w:tc>
            </w:tr>
            <w:tr w14:paraId="48F7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7" w:type="dxa"/>
                  <w:vMerge w:val="restart"/>
                  <w:vAlign w:val="center"/>
                </w:tcPr>
                <w:p w14:paraId="2F5F2FEA">
                  <w:pPr>
                    <w:keepNext/>
                    <w:keepLines/>
                    <w:adjustRightInd w:val="0"/>
                    <w:snapToGrid w:val="0"/>
                    <w:jc w:val="center"/>
                    <w:outlineLvl w:val="0"/>
                    <w:rPr>
                      <w:kern w:val="44"/>
                      <w:szCs w:val="21"/>
                    </w:rPr>
                  </w:pPr>
                  <w:bookmarkStart w:id="22" w:name="_Toc101052739"/>
                  <w:r>
                    <w:rPr>
                      <w:kern w:val="44"/>
                      <w:szCs w:val="21"/>
                    </w:rPr>
                    <w:t>厂界北</w:t>
                  </w:r>
                  <w:bookmarkEnd w:id="22"/>
                </w:p>
              </w:tc>
              <w:tc>
                <w:tcPr>
                  <w:tcW w:w="1888" w:type="dxa"/>
                  <w:vAlign w:val="center"/>
                </w:tcPr>
                <w:p w14:paraId="00055E42">
                  <w:pPr>
                    <w:keepNext/>
                    <w:keepLines/>
                    <w:adjustRightInd w:val="0"/>
                    <w:snapToGrid w:val="0"/>
                    <w:jc w:val="center"/>
                    <w:outlineLvl w:val="0"/>
                    <w:rPr>
                      <w:kern w:val="44"/>
                      <w:szCs w:val="21"/>
                    </w:rPr>
                  </w:pPr>
                  <w:bookmarkStart w:id="23" w:name="_Toc101052740"/>
                  <w:r>
                    <w:rPr>
                      <w:kern w:val="44"/>
                      <w:szCs w:val="21"/>
                    </w:rPr>
                    <w:t>昼间</w:t>
                  </w:r>
                  <w:bookmarkEnd w:id="23"/>
                </w:p>
              </w:tc>
              <w:tc>
                <w:tcPr>
                  <w:tcW w:w="1695" w:type="dxa"/>
                  <w:vAlign w:val="center"/>
                </w:tcPr>
                <w:p w14:paraId="6F9FAA05">
                  <w:pPr>
                    <w:keepNext/>
                    <w:keepLines/>
                    <w:adjustRightInd w:val="0"/>
                    <w:snapToGrid w:val="0"/>
                    <w:jc w:val="center"/>
                    <w:outlineLvl w:val="0"/>
                    <w:rPr>
                      <w:kern w:val="44"/>
                      <w:szCs w:val="21"/>
                    </w:rPr>
                  </w:pPr>
                  <w:r>
                    <w:rPr>
                      <w:kern w:val="44"/>
                      <w:szCs w:val="21"/>
                    </w:rPr>
                    <w:t>35.84</w:t>
                  </w:r>
                </w:p>
              </w:tc>
              <w:tc>
                <w:tcPr>
                  <w:tcW w:w="1529" w:type="dxa"/>
                  <w:vAlign w:val="center"/>
                </w:tcPr>
                <w:p w14:paraId="62897C30">
                  <w:pPr>
                    <w:keepNext/>
                    <w:keepLines/>
                    <w:adjustRightInd w:val="0"/>
                    <w:snapToGrid w:val="0"/>
                    <w:jc w:val="center"/>
                    <w:outlineLvl w:val="0"/>
                    <w:rPr>
                      <w:kern w:val="44"/>
                      <w:szCs w:val="21"/>
                    </w:rPr>
                  </w:pPr>
                  <w:r>
                    <w:rPr>
                      <w:kern w:val="44"/>
                      <w:szCs w:val="21"/>
                    </w:rPr>
                    <w:t>60</w:t>
                  </w:r>
                </w:p>
              </w:tc>
              <w:tc>
                <w:tcPr>
                  <w:tcW w:w="2066" w:type="dxa"/>
                  <w:vAlign w:val="center"/>
                </w:tcPr>
                <w:p w14:paraId="0A36388F">
                  <w:pPr>
                    <w:jc w:val="center"/>
                    <w:rPr>
                      <w:szCs w:val="21"/>
                    </w:rPr>
                  </w:pPr>
                  <w:r>
                    <w:rPr>
                      <w:szCs w:val="21"/>
                    </w:rPr>
                    <w:t>达标</w:t>
                  </w:r>
                </w:p>
              </w:tc>
            </w:tr>
            <w:tr w14:paraId="5891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837" w:type="dxa"/>
                  <w:vMerge w:val="continue"/>
                  <w:vAlign w:val="center"/>
                </w:tcPr>
                <w:p w14:paraId="76DF5878">
                  <w:pPr>
                    <w:keepNext/>
                    <w:keepLines/>
                    <w:adjustRightInd w:val="0"/>
                    <w:snapToGrid w:val="0"/>
                    <w:jc w:val="center"/>
                    <w:outlineLvl w:val="0"/>
                    <w:rPr>
                      <w:kern w:val="44"/>
                      <w:szCs w:val="21"/>
                    </w:rPr>
                  </w:pPr>
                </w:p>
              </w:tc>
              <w:tc>
                <w:tcPr>
                  <w:tcW w:w="1888" w:type="dxa"/>
                  <w:vAlign w:val="center"/>
                </w:tcPr>
                <w:p w14:paraId="466BBE49">
                  <w:pPr>
                    <w:keepNext/>
                    <w:keepLines/>
                    <w:adjustRightInd w:val="0"/>
                    <w:snapToGrid w:val="0"/>
                    <w:jc w:val="center"/>
                    <w:outlineLvl w:val="0"/>
                    <w:rPr>
                      <w:kern w:val="44"/>
                      <w:szCs w:val="21"/>
                    </w:rPr>
                  </w:pPr>
                  <w:r>
                    <w:rPr>
                      <w:kern w:val="44"/>
                      <w:szCs w:val="21"/>
                    </w:rPr>
                    <w:t>夜间</w:t>
                  </w:r>
                </w:p>
              </w:tc>
              <w:tc>
                <w:tcPr>
                  <w:tcW w:w="1695" w:type="dxa"/>
                  <w:vAlign w:val="center"/>
                </w:tcPr>
                <w:p w14:paraId="625F18F9">
                  <w:pPr>
                    <w:keepNext/>
                    <w:keepLines/>
                    <w:adjustRightInd w:val="0"/>
                    <w:snapToGrid w:val="0"/>
                    <w:jc w:val="center"/>
                    <w:outlineLvl w:val="0"/>
                    <w:rPr>
                      <w:kern w:val="44"/>
                      <w:szCs w:val="21"/>
                    </w:rPr>
                  </w:pPr>
                  <w:r>
                    <w:rPr>
                      <w:kern w:val="44"/>
                      <w:szCs w:val="21"/>
                    </w:rPr>
                    <w:t>35.84</w:t>
                  </w:r>
                </w:p>
              </w:tc>
              <w:tc>
                <w:tcPr>
                  <w:tcW w:w="1529" w:type="dxa"/>
                  <w:vAlign w:val="center"/>
                </w:tcPr>
                <w:p w14:paraId="70683C57">
                  <w:pPr>
                    <w:keepNext/>
                    <w:keepLines/>
                    <w:adjustRightInd w:val="0"/>
                    <w:snapToGrid w:val="0"/>
                    <w:jc w:val="center"/>
                    <w:outlineLvl w:val="0"/>
                    <w:rPr>
                      <w:kern w:val="44"/>
                      <w:szCs w:val="21"/>
                    </w:rPr>
                  </w:pPr>
                  <w:r>
                    <w:rPr>
                      <w:kern w:val="44"/>
                      <w:szCs w:val="21"/>
                    </w:rPr>
                    <w:t>50</w:t>
                  </w:r>
                </w:p>
              </w:tc>
              <w:tc>
                <w:tcPr>
                  <w:tcW w:w="2066" w:type="dxa"/>
                  <w:vAlign w:val="center"/>
                </w:tcPr>
                <w:p w14:paraId="065D3F93">
                  <w:pPr>
                    <w:jc w:val="center"/>
                    <w:rPr>
                      <w:szCs w:val="21"/>
                    </w:rPr>
                  </w:pPr>
                  <w:r>
                    <w:rPr>
                      <w:szCs w:val="21"/>
                    </w:rPr>
                    <w:t>达标</w:t>
                  </w:r>
                </w:p>
              </w:tc>
            </w:tr>
          </w:tbl>
          <w:p w14:paraId="5DC06D1A">
            <w:pPr>
              <w:keepNext/>
              <w:keepLines/>
              <w:adjustRightInd w:val="0"/>
              <w:snapToGrid w:val="0"/>
              <w:spacing w:before="120" w:beforeLines="50" w:line="360" w:lineRule="auto"/>
              <w:ind w:firstLine="482" w:firstLineChars="200"/>
              <w:outlineLvl w:val="2"/>
              <w:rPr>
                <w:b/>
                <w:bCs/>
                <w:sz w:val="24"/>
              </w:rPr>
            </w:pPr>
            <w:r>
              <w:rPr>
                <w:b/>
                <w:bCs/>
                <w:sz w:val="24"/>
              </w:rPr>
              <w:t>（4）厂界达标分析</w:t>
            </w:r>
          </w:p>
          <w:p w14:paraId="1C3DAFB7">
            <w:pPr>
              <w:keepNext/>
              <w:keepLines/>
              <w:adjustRightInd w:val="0"/>
              <w:snapToGrid w:val="0"/>
              <w:spacing w:line="360" w:lineRule="auto"/>
              <w:ind w:firstLine="480" w:firstLineChars="200"/>
              <w:outlineLvl w:val="2"/>
              <w:rPr>
                <w:sz w:val="24"/>
              </w:rPr>
            </w:pPr>
            <w:r>
              <w:rPr>
                <w:sz w:val="24"/>
              </w:rPr>
              <w:t>根据上述预测结果，本项目厂界东、南、西、北均能满足GB12348-2008《工业企业厂界环境噪声排放标准》2类标准。</w:t>
            </w:r>
          </w:p>
          <w:p w14:paraId="4F184E6B">
            <w:pPr>
              <w:adjustRightInd w:val="0"/>
              <w:snapToGrid w:val="0"/>
              <w:spacing w:line="360" w:lineRule="auto"/>
              <w:ind w:firstLine="482" w:firstLineChars="200"/>
              <w:rPr>
                <w:b/>
                <w:bCs/>
                <w:sz w:val="24"/>
              </w:rPr>
            </w:pPr>
            <w:r>
              <w:rPr>
                <w:b/>
                <w:bCs/>
                <w:sz w:val="24"/>
              </w:rPr>
              <w:t>（5）保护目标达标分析</w:t>
            </w:r>
          </w:p>
          <w:p w14:paraId="2EEEA6B2">
            <w:pPr>
              <w:keepNext/>
              <w:keepLines/>
              <w:adjustRightInd w:val="0"/>
              <w:snapToGrid w:val="0"/>
              <w:spacing w:line="360" w:lineRule="auto"/>
              <w:ind w:firstLine="480" w:firstLineChars="200"/>
              <w:outlineLvl w:val="2"/>
              <w:rPr>
                <w:sz w:val="24"/>
              </w:rPr>
            </w:pPr>
            <w:r>
              <w:rPr>
                <w:bCs/>
                <w:sz w:val="24"/>
              </w:rPr>
              <w:t>根据现场调查，项目厂界200m范围内无敏感点，距离项目区最近的保护目标为距离项目区南侧218m的南相章村。</w:t>
            </w:r>
            <w:r>
              <w:rPr>
                <w:sz w:val="24"/>
              </w:rPr>
              <w:t>项目运营期产生的噪声对周围环境保护目标影响较小，</w:t>
            </w:r>
            <w:r>
              <w:rPr>
                <w:sz w:val="24"/>
                <w:szCs w:val="32"/>
              </w:rPr>
              <w:t>不会改变周围声环境功能类别。</w:t>
            </w:r>
          </w:p>
          <w:p w14:paraId="34E90B0C">
            <w:pPr>
              <w:keepNext/>
              <w:keepLines/>
              <w:adjustRightInd w:val="0"/>
              <w:snapToGrid w:val="0"/>
              <w:spacing w:line="360" w:lineRule="auto"/>
              <w:ind w:firstLine="480" w:firstLineChars="200"/>
              <w:outlineLvl w:val="2"/>
              <w:rPr>
                <w:sz w:val="24"/>
              </w:rPr>
            </w:pPr>
            <w:r>
              <w:rPr>
                <w:sz w:val="24"/>
              </w:rPr>
              <w:t>为了减小噪声对区域声环境的不利影响，采取如下噪声防治措施：</w:t>
            </w:r>
          </w:p>
          <w:p w14:paraId="678DE9D1">
            <w:pPr>
              <w:keepNext/>
              <w:keepLines/>
              <w:adjustRightInd w:val="0"/>
              <w:snapToGrid w:val="0"/>
              <w:spacing w:line="360" w:lineRule="auto"/>
              <w:ind w:firstLine="480" w:firstLineChars="200"/>
              <w:outlineLvl w:val="2"/>
              <w:rPr>
                <w:sz w:val="24"/>
              </w:rPr>
            </w:pPr>
            <w:r>
              <w:rPr>
                <w:rFonts w:hint="eastAsia" w:ascii="宋体" w:hAnsi="宋体" w:cs="宋体"/>
                <w:sz w:val="24"/>
              </w:rPr>
              <w:t>①</w:t>
            </w:r>
            <w:r>
              <w:rPr>
                <w:sz w:val="24"/>
              </w:rPr>
              <w:t>对设备采取隔声措施，安装减振垫。对于空气动力性噪声的机械设备，出风口加装消声器，并将风机布置在封闭机房内；</w:t>
            </w:r>
          </w:p>
          <w:p w14:paraId="58177C1D">
            <w:pPr>
              <w:keepNext/>
              <w:keepLines/>
              <w:adjustRightInd w:val="0"/>
              <w:snapToGrid w:val="0"/>
              <w:spacing w:line="360" w:lineRule="auto"/>
              <w:ind w:firstLine="480" w:firstLineChars="200"/>
              <w:outlineLvl w:val="2"/>
              <w:rPr>
                <w:sz w:val="24"/>
              </w:rPr>
            </w:pPr>
            <w:r>
              <w:rPr>
                <w:rFonts w:hint="eastAsia" w:ascii="宋体" w:hAnsi="宋体" w:cs="宋体"/>
                <w:sz w:val="24"/>
              </w:rPr>
              <w:t>②</w:t>
            </w:r>
            <w:r>
              <w:rPr>
                <w:sz w:val="24"/>
              </w:rPr>
              <w:t>强化行车管理制度，厂区内严禁鸣号，进入厂区低速行驶，最大限度减少流动噪声源；</w:t>
            </w:r>
          </w:p>
          <w:p w14:paraId="0B857234">
            <w:pPr>
              <w:keepNext/>
              <w:keepLines/>
              <w:adjustRightInd w:val="0"/>
              <w:snapToGrid w:val="0"/>
              <w:spacing w:line="360" w:lineRule="auto"/>
              <w:ind w:firstLine="480" w:firstLineChars="200"/>
              <w:outlineLvl w:val="2"/>
              <w:rPr>
                <w:sz w:val="24"/>
              </w:rPr>
            </w:pPr>
            <w:r>
              <w:rPr>
                <w:rFonts w:hint="eastAsia" w:ascii="宋体" w:hAnsi="宋体" w:cs="宋体"/>
                <w:sz w:val="24"/>
              </w:rPr>
              <w:t>③</w:t>
            </w:r>
            <w:r>
              <w:rPr>
                <w:sz w:val="24"/>
              </w:rPr>
              <w:t>建立设备定期维护、保养的管理制度，避免设备运转非正常噪声。</w:t>
            </w:r>
          </w:p>
          <w:p w14:paraId="13CBD790">
            <w:pPr>
              <w:keepNext/>
              <w:keepLines/>
              <w:adjustRightInd w:val="0"/>
              <w:snapToGrid w:val="0"/>
              <w:spacing w:line="360" w:lineRule="auto"/>
              <w:ind w:firstLine="480" w:firstLineChars="200"/>
              <w:outlineLvl w:val="2"/>
              <w:rPr>
                <w:b/>
                <w:bCs/>
                <w:sz w:val="28"/>
                <w:szCs w:val="32"/>
              </w:rPr>
            </w:pPr>
            <w:r>
              <w:rPr>
                <w:sz w:val="24"/>
              </w:rPr>
              <w:t>在严格采取上述对策防治措施后，项目厂界噪声可达GB12348-2008《工业企业厂界环境噪声排放标准》2类标准，噪声对区域声环境影响不大。</w:t>
            </w:r>
          </w:p>
          <w:p w14:paraId="4A8D27DC">
            <w:pPr>
              <w:adjustRightInd w:val="0"/>
              <w:snapToGrid w:val="0"/>
              <w:spacing w:line="360" w:lineRule="auto"/>
              <w:ind w:firstLine="480" w:firstLineChars="200"/>
              <w:rPr>
                <w:sz w:val="24"/>
              </w:rPr>
            </w:pPr>
          </w:p>
          <w:p w14:paraId="4B6BFA57">
            <w:pPr>
              <w:adjustRightInd w:val="0"/>
              <w:snapToGrid w:val="0"/>
              <w:spacing w:line="360" w:lineRule="auto"/>
              <w:ind w:firstLine="482" w:firstLineChars="200"/>
              <w:rPr>
                <w:b/>
                <w:bCs/>
                <w:kern w:val="0"/>
                <w:sz w:val="24"/>
              </w:rPr>
            </w:pPr>
            <w:r>
              <w:rPr>
                <w:b/>
                <w:bCs/>
                <w:kern w:val="0"/>
                <w:sz w:val="24"/>
              </w:rPr>
              <w:t>4、</w:t>
            </w:r>
            <w:r>
              <w:rPr>
                <w:b/>
                <w:bCs/>
                <w:kern w:val="0"/>
                <w:sz w:val="24"/>
                <w:lang w:bidi="ar"/>
              </w:rPr>
              <w:t>固体废物影响和保护措施</w:t>
            </w:r>
          </w:p>
          <w:p w14:paraId="230C3BDB">
            <w:pPr>
              <w:adjustRightInd w:val="0"/>
              <w:snapToGrid w:val="0"/>
              <w:spacing w:line="360" w:lineRule="auto"/>
              <w:ind w:firstLine="482" w:firstLineChars="200"/>
              <w:rPr>
                <w:b/>
                <w:bCs/>
                <w:kern w:val="0"/>
                <w:sz w:val="24"/>
              </w:rPr>
            </w:pPr>
            <w:r>
              <w:rPr>
                <w:b/>
                <w:bCs/>
                <w:kern w:val="0"/>
                <w:sz w:val="24"/>
              </w:rPr>
              <w:t>4.1、固体废物污染物核算</w:t>
            </w:r>
          </w:p>
          <w:p w14:paraId="3E543ABC">
            <w:pPr>
              <w:spacing w:line="360" w:lineRule="auto"/>
              <w:ind w:firstLine="480" w:firstLineChars="200"/>
              <w:rPr>
                <w:sz w:val="24"/>
              </w:rPr>
            </w:pPr>
            <w:r>
              <w:rPr>
                <w:sz w:val="24"/>
              </w:rPr>
              <w:t>项目生产过程中产生的固体废物主要有生活垃圾、一般固废和危险废物等。根据业主提供的资料，项目区主要固体废物产生量如下。</w:t>
            </w:r>
          </w:p>
          <w:p w14:paraId="5C06A304">
            <w:pPr>
              <w:spacing w:line="360" w:lineRule="auto"/>
              <w:ind w:firstLine="482" w:firstLineChars="200"/>
              <w:rPr>
                <w:b/>
                <w:sz w:val="24"/>
              </w:rPr>
            </w:pPr>
            <w:r>
              <w:rPr>
                <w:b/>
                <w:sz w:val="24"/>
              </w:rPr>
              <w:t>（1）生活垃圾</w:t>
            </w:r>
          </w:p>
          <w:p w14:paraId="6DFA18D9">
            <w:pPr>
              <w:adjustRightInd w:val="0"/>
              <w:snapToGrid w:val="0"/>
              <w:spacing w:line="360" w:lineRule="auto"/>
              <w:ind w:firstLine="482" w:firstLineChars="200"/>
              <w:rPr>
                <w:b/>
                <w:bCs/>
                <w:kern w:val="0"/>
                <w:sz w:val="24"/>
              </w:rPr>
            </w:pPr>
            <w:r>
              <w:rPr>
                <w:rFonts w:hint="eastAsia" w:ascii="宋体" w:hAnsi="宋体" w:cs="宋体"/>
                <w:b/>
                <w:bCs/>
                <w:kern w:val="0"/>
                <w:sz w:val="24"/>
              </w:rPr>
              <w:t>①</w:t>
            </w:r>
            <w:r>
              <w:rPr>
                <w:b/>
                <w:bCs/>
                <w:kern w:val="0"/>
                <w:sz w:val="24"/>
              </w:rPr>
              <w:t>生活垃圾</w:t>
            </w:r>
          </w:p>
          <w:p w14:paraId="1AD4A96D">
            <w:pPr>
              <w:adjustRightInd w:val="0"/>
              <w:snapToGrid w:val="0"/>
              <w:spacing w:line="360" w:lineRule="auto"/>
              <w:ind w:firstLine="480" w:firstLineChars="200"/>
              <w:rPr>
                <w:kern w:val="0"/>
                <w:sz w:val="24"/>
              </w:rPr>
            </w:pPr>
            <w:r>
              <w:rPr>
                <w:kern w:val="0"/>
                <w:sz w:val="24"/>
              </w:rPr>
              <w:t>生活垃圾来源于职工日常生活，项目拟定劳动定员为10人，员工在项目区内食宿，生活垃圾产生量按0.5kg/d计，经计算，产生量为5kg/d，1.5/a。</w:t>
            </w:r>
          </w:p>
          <w:p w14:paraId="18D5FF5A">
            <w:pPr>
              <w:adjustRightInd w:val="0"/>
              <w:snapToGrid w:val="0"/>
              <w:spacing w:line="360" w:lineRule="auto"/>
              <w:ind w:firstLine="480" w:firstLineChars="200"/>
              <w:rPr>
                <w:kern w:val="0"/>
                <w:sz w:val="24"/>
              </w:rPr>
            </w:pPr>
            <w:r>
              <w:rPr>
                <w:kern w:val="0"/>
                <w:sz w:val="24"/>
              </w:rPr>
              <w:t>生活垃圾集中收集后，自行清运至附近垃圾</w:t>
            </w:r>
            <w:r>
              <w:rPr>
                <w:snapToGrid w:val="0"/>
                <w:kern w:val="0"/>
                <w:sz w:val="24"/>
              </w:rPr>
              <w:t>收集</w:t>
            </w:r>
            <w:r>
              <w:rPr>
                <w:kern w:val="0"/>
                <w:sz w:val="24"/>
              </w:rPr>
              <w:t>点处置。</w:t>
            </w:r>
          </w:p>
          <w:p w14:paraId="664B6684">
            <w:pPr>
              <w:adjustRightInd w:val="0"/>
              <w:snapToGrid w:val="0"/>
              <w:spacing w:line="360" w:lineRule="auto"/>
              <w:ind w:firstLine="482" w:firstLineChars="200"/>
              <w:rPr>
                <w:b/>
                <w:bCs/>
                <w:kern w:val="0"/>
                <w:sz w:val="24"/>
              </w:rPr>
            </w:pPr>
            <w:r>
              <w:rPr>
                <w:rFonts w:hint="eastAsia" w:ascii="宋体" w:hAnsi="宋体" w:cs="宋体"/>
                <w:b/>
                <w:bCs/>
                <w:kern w:val="0"/>
                <w:sz w:val="24"/>
              </w:rPr>
              <w:t>②</w:t>
            </w:r>
            <w:r>
              <w:rPr>
                <w:b/>
                <w:bCs/>
                <w:kern w:val="0"/>
                <w:sz w:val="24"/>
              </w:rPr>
              <w:t>食堂泔水</w:t>
            </w:r>
          </w:p>
          <w:p w14:paraId="01073DE2">
            <w:pPr>
              <w:adjustRightInd w:val="0"/>
              <w:snapToGrid w:val="0"/>
              <w:spacing w:line="360" w:lineRule="auto"/>
              <w:ind w:firstLine="480" w:firstLineChars="200"/>
              <w:rPr>
                <w:sz w:val="24"/>
              </w:rPr>
            </w:pPr>
            <w:r>
              <w:rPr>
                <w:sz w:val="24"/>
              </w:rPr>
              <w:t>员工食堂泔水产生量按0.2kg/人.d 计，本项目职工10人，泔水产生量约2kg/d，0.6t/a，设置1个带盖泔水桶统一收集后，委托有资质的单位进行处置。</w:t>
            </w:r>
          </w:p>
          <w:p w14:paraId="4120D42C">
            <w:pPr>
              <w:adjustRightInd w:val="0"/>
              <w:snapToGrid w:val="0"/>
              <w:spacing w:line="360" w:lineRule="auto"/>
              <w:ind w:firstLine="482" w:firstLineChars="200"/>
              <w:rPr>
                <w:b/>
                <w:sz w:val="24"/>
              </w:rPr>
            </w:pPr>
            <w:r>
              <w:rPr>
                <w:b/>
                <w:sz w:val="24"/>
              </w:rPr>
              <w:t>（2）一般生产固废</w:t>
            </w:r>
          </w:p>
          <w:p w14:paraId="506D1D01">
            <w:pPr>
              <w:adjustRightInd w:val="0"/>
              <w:snapToGrid w:val="0"/>
              <w:spacing w:line="360" w:lineRule="auto"/>
              <w:ind w:firstLine="482" w:firstLineChars="200"/>
              <w:rPr>
                <w:b/>
                <w:bCs/>
                <w:sz w:val="24"/>
              </w:rPr>
            </w:pPr>
            <w:r>
              <w:rPr>
                <w:rFonts w:hint="eastAsia" w:ascii="宋体" w:hAnsi="宋体" w:cs="宋体"/>
                <w:b/>
                <w:bCs/>
                <w:sz w:val="24"/>
              </w:rPr>
              <w:t>①</w:t>
            </w:r>
            <w:r>
              <w:rPr>
                <w:b/>
                <w:bCs/>
                <w:sz w:val="24"/>
              </w:rPr>
              <w:t>不合格品</w:t>
            </w:r>
          </w:p>
          <w:p w14:paraId="682D62E3">
            <w:pPr>
              <w:adjustRightInd w:val="0"/>
              <w:snapToGrid w:val="0"/>
              <w:spacing w:line="360" w:lineRule="auto"/>
              <w:ind w:firstLine="480" w:firstLineChars="200"/>
              <w:rPr>
                <w:bCs/>
                <w:sz w:val="24"/>
              </w:rPr>
            </w:pPr>
            <w:r>
              <w:rPr>
                <w:bCs/>
                <w:sz w:val="24"/>
              </w:rPr>
              <w:t>生产过程中的不合格品约占原料使用量的0.1%，结合项目的原料使用量，则此部分固废产生量约22.5t/a，可破碎后重新回用于制砖。</w:t>
            </w:r>
          </w:p>
          <w:p w14:paraId="074B3990">
            <w:pPr>
              <w:adjustRightInd w:val="0"/>
              <w:snapToGrid w:val="0"/>
              <w:spacing w:line="360" w:lineRule="auto"/>
              <w:ind w:firstLine="482" w:firstLineChars="200"/>
              <w:rPr>
                <w:b/>
                <w:bCs/>
                <w:sz w:val="24"/>
              </w:rPr>
            </w:pPr>
            <w:r>
              <w:rPr>
                <w:rFonts w:hint="eastAsia" w:ascii="宋体" w:hAnsi="宋体" w:cs="宋体"/>
                <w:b/>
                <w:bCs/>
                <w:sz w:val="24"/>
              </w:rPr>
              <w:t>②</w:t>
            </w:r>
            <w:r>
              <w:rPr>
                <w:b/>
                <w:bCs/>
                <w:sz w:val="24"/>
              </w:rPr>
              <w:t>布袋除尘器收集的粉尘</w:t>
            </w:r>
          </w:p>
          <w:p w14:paraId="5FC24059">
            <w:pPr>
              <w:adjustRightInd w:val="0"/>
              <w:snapToGrid w:val="0"/>
              <w:spacing w:line="360" w:lineRule="auto"/>
              <w:ind w:firstLine="480" w:firstLineChars="200"/>
              <w:rPr>
                <w:bCs/>
                <w:sz w:val="24"/>
              </w:rPr>
            </w:pPr>
            <w:r>
              <w:rPr>
                <w:bCs/>
                <w:sz w:val="24"/>
              </w:rPr>
              <w:t>根据工程分析，布袋除尘器收集的粉尘为8.86t/a，重新回用于制砖。</w:t>
            </w:r>
          </w:p>
          <w:p w14:paraId="6948B773">
            <w:pPr>
              <w:adjustRightInd w:val="0"/>
              <w:snapToGrid w:val="0"/>
              <w:spacing w:line="360" w:lineRule="auto"/>
              <w:ind w:firstLine="482" w:firstLineChars="200"/>
              <w:rPr>
                <w:b/>
                <w:bCs/>
                <w:sz w:val="24"/>
              </w:rPr>
            </w:pPr>
            <w:r>
              <w:rPr>
                <w:rFonts w:hint="eastAsia" w:ascii="宋体" w:hAnsi="宋体" w:cs="宋体"/>
                <w:b/>
                <w:bCs/>
                <w:sz w:val="24"/>
              </w:rPr>
              <w:t>③</w:t>
            </w:r>
            <w:r>
              <w:rPr>
                <w:b/>
                <w:bCs/>
                <w:sz w:val="24"/>
              </w:rPr>
              <w:t>脱硫除尘渣</w:t>
            </w:r>
          </w:p>
          <w:p w14:paraId="6B108945">
            <w:pPr>
              <w:adjustRightInd w:val="0"/>
              <w:snapToGrid w:val="0"/>
              <w:spacing w:line="360" w:lineRule="auto"/>
              <w:ind w:firstLine="480" w:firstLineChars="200"/>
              <w:rPr>
                <w:bCs/>
                <w:sz w:val="24"/>
              </w:rPr>
            </w:pPr>
            <w:r>
              <w:rPr>
                <w:bCs/>
                <w:sz w:val="24"/>
              </w:rPr>
              <w:t>项目脱硫除尘工艺会有脱硫渣产生，根据烟尘量、二氧化硫浓度、脱硫效率、钙硫比 （1.03）、石灰纯度（92%）计算，项目产生 SO</w:t>
            </w:r>
            <w:r>
              <w:rPr>
                <w:bCs/>
                <w:sz w:val="24"/>
                <w:vertAlign w:val="subscript"/>
              </w:rPr>
              <w:t>2</w:t>
            </w:r>
            <w:r>
              <w:rPr>
                <w:bCs/>
                <w:sz w:val="24"/>
              </w:rPr>
              <w:t xml:space="preserve"> 量为133.2t/a，通过湿式脱硫除尘处理后，113.2t/a的SO</w:t>
            </w:r>
            <w:r>
              <w:rPr>
                <w:bCs/>
                <w:sz w:val="24"/>
                <w:vertAlign w:val="subscript"/>
              </w:rPr>
              <w:t>2</w:t>
            </w:r>
            <w:r>
              <w:rPr>
                <w:bCs/>
                <w:sz w:val="24"/>
              </w:rPr>
              <w:t>被去除，项目年产生脱硫渣量为118t。</w:t>
            </w:r>
          </w:p>
          <w:p w14:paraId="7836EF75">
            <w:pPr>
              <w:adjustRightInd w:val="0"/>
              <w:snapToGrid w:val="0"/>
              <w:spacing w:line="360" w:lineRule="auto"/>
              <w:ind w:firstLine="480" w:firstLineChars="200"/>
              <w:rPr>
                <w:bCs/>
                <w:sz w:val="24"/>
              </w:rPr>
            </w:pPr>
            <w:r>
              <w:rPr>
                <w:bCs/>
                <w:sz w:val="24"/>
              </w:rPr>
              <w:t>根据对照《国家危险废物名录》（2021 年版）项目产生的脱硫渣不属于危险废物，对脱硫渣集中收集，返回生产线做原料重新利用，不外排。</w:t>
            </w:r>
          </w:p>
          <w:p w14:paraId="2457078E">
            <w:pPr>
              <w:adjustRightInd w:val="0"/>
              <w:snapToGrid w:val="0"/>
              <w:spacing w:line="360" w:lineRule="auto"/>
              <w:ind w:firstLine="482" w:firstLineChars="200"/>
              <w:rPr>
                <w:b/>
                <w:sz w:val="24"/>
              </w:rPr>
            </w:pPr>
            <w:r>
              <w:rPr>
                <w:b/>
                <w:sz w:val="24"/>
              </w:rPr>
              <w:t>（3）危险废物</w:t>
            </w:r>
          </w:p>
          <w:p w14:paraId="24729851">
            <w:pPr>
              <w:autoSpaceDE w:val="0"/>
              <w:autoSpaceDN w:val="0"/>
              <w:adjustRightInd w:val="0"/>
              <w:spacing w:line="360" w:lineRule="auto"/>
              <w:ind w:firstLine="482" w:firstLineChars="200"/>
              <w:jc w:val="left"/>
              <w:rPr>
                <w:b/>
                <w:kern w:val="0"/>
                <w:sz w:val="24"/>
              </w:rPr>
            </w:pPr>
            <w:r>
              <w:rPr>
                <w:b/>
                <w:kern w:val="0"/>
                <w:sz w:val="24"/>
              </w:rPr>
              <w:t>废矿物油</w:t>
            </w:r>
          </w:p>
          <w:p w14:paraId="7DE0CF31">
            <w:pPr>
              <w:widowControl/>
              <w:spacing w:line="360" w:lineRule="auto"/>
              <w:ind w:firstLine="480" w:firstLineChars="200"/>
              <w:jc w:val="left"/>
              <w:rPr>
                <w:sz w:val="24"/>
              </w:rPr>
            </w:pPr>
            <w:r>
              <w:rPr>
                <w:kern w:val="0"/>
                <w:sz w:val="24"/>
              </w:rPr>
              <w:t>设备检修产生的废机油，根据工程生产经验，产生量约1.3t/a。该部分废机油为危废，编号为HW08废矿物油与含矿物油废物（900-249-08），用于厂区设备润滑。</w:t>
            </w:r>
          </w:p>
          <w:p w14:paraId="190CDFD0">
            <w:pPr>
              <w:widowControl/>
              <w:spacing w:line="360" w:lineRule="auto"/>
              <w:ind w:firstLine="482" w:firstLineChars="200"/>
              <w:jc w:val="left"/>
              <w:rPr>
                <w:b/>
                <w:bCs/>
                <w:kern w:val="0"/>
                <w:sz w:val="24"/>
                <w:lang w:bidi="ar"/>
              </w:rPr>
            </w:pPr>
            <w:r>
              <w:rPr>
                <w:b/>
                <w:bCs/>
                <w:kern w:val="0"/>
                <w:sz w:val="24"/>
                <w:lang w:bidi="ar"/>
              </w:rPr>
              <w:t>4.3、项目固体废物贮存场所管理要求</w:t>
            </w:r>
          </w:p>
          <w:p w14:paraId="24153005">
            <w:pPr>
              <w:widowControl/>
              <w:spacing w:line="360" w:lineRule="auto"/>
              <w:ind w:firstLine="482" w:firstLineChars="200"/>
              <w:jc w:val="left"/>
              <w:rPr>
                <w:b/>
                <w:bCs/>
                <w:kern w:val="0"/>
                <w:sz w:val="24"/>
                <w:lang w:bidi="ar"/>
              </w:rPr>
            </w:pPr>
            <w:r>
              <w:rPr>
                <w:b/>
                <w:bCs/>
                <w:kern w:val="0"/>
                <w:sz w:val="24"/>
                <w:lang w:bidi="ar"/>
              </w:rPr>
              <w:t>4.3.1、一般工业固废收集、贮存要求</w:t>
            </w:r>
          </w:p>
          <w:p w14:paraId="40F743FE">
            <w:pPr>
              <w:adjustRightInd w:val="0"/>
              <w:snapToGrid w:val="0"/>
              <w:spacing w:line="360" w:lineRule="auto"/>
              <w:ind w:firstLine="480" w:firstLineChars="200"/>
              <w:rPr>
                <w:bCs/>
                <w:sz w:val="24"/>
              </w:rPr>
            </w:pPr>
            <w:r>
              <w:rPr>
                <w:bCs/>
                <w:sz w:val="24"/>
              </w:rPr>
              <w:t>建设方在生产区北侧车间内设置了一般固废堆存处，占地50m</w:t>
            </w:r>
            <w:r>
              <w:rPr>
                <w:bCs/>
                <w:sz w:val="24"/>
                <w:vertAlign w:val="superscript"/>
              </w:rPr>
              <w:t>2</w:t>
            </w:r>
            <w:r>
              <w:rPr>
                <w:bCs/>
                <w:sz w:val="24"/>
              </w:rPr>
              <w:t>。</w:t>
            </w:r>
          </w:p>
          <w:p w14:paraId="454513AC">
            <w:pPr>
              <w:adjustRightInd w:val="0"/>
              <w:snapToGrid w:val="0"/>
              <w:spacing w:line="360" w:lineRule="auto"/>
              <w:ind w:firstLine="480" w:firstLineChars="200"/>
              <w:rPr>
                <w:bCs/>
                <w:sz w:val="24"/>
              </w:rPr>
            </w:pPr>
            <w:r>
              <w:rPr>
                <w:bCs/>
                <w:sz w:val="24"/>
              </w:rPr>
              <w:t>一般固废贮存采取防风防雨防晒措施、各类固废应分类收集、装贴环保图形标志；设置符合《一般工业固体废物贮存、处置场污染控制标准》（GB18599-2020）要求；在贮存过程中不会对环境空气、地表水、地下水、土壤等产生影响。</w:t>
            </w:r>
          </w:p>
          <w:p w14:paraId="4026E122">
            <w:pPr>
              <w:adjustRightInd w:val="0"/>
              <w:snapToGrid w:val="0"/>
              <w:spacing w:line="360" w:lineRule="auto"/>
              <w:ind w:firstLine="480" w:firstLineChars="200"/>
              <w:rPr>
                <w:bCs/>
                <w:sz w:val="24"/>
              </w:rPr>
            </w:pPr>
            <w:r>
              <w:rPr>
                <w:bCs/>
                <w:sz w:val="24"/>
              </w:rPr>
              <w:t>建设单位应严格按照《中华人民共和国固体废物污染环境防治法》要求，建立健全一般工业固废产生、收集、贮存、运输、利用、处置全过程的污染环境防治责任制度，建立工业固体废物管理台账，如实记录产生一般工业固废的种类、数量、流向、贮存、利用、处置等信息，实现一般工业固体废物可追溯、可查询。</w:t>
            </w:r>
          </w:p>
          <w:p w14:paraId="0C5C8A42">
            <w:pPr>
              <w:adjustRightInd w:val="0"/>
              <w:snapToGrid w:val="0"/>
              <w:spacing w:line="360" w:lineRule="auto"/>
              <w:ind w:firstLine="480" w:firstLineChars="200"/>
              <w:rPr>
                <w:bCs/>
                <w:sz w:val="24"/>
              </w:rPr>
            </w:pPr>
            <w:r>
              <w:rPr>
                <w:bCs/>
                <w:sz w:val="24"/>
              </w:rPr>
              <w:t>按照《一般工业固体废物管理台账制定指南》（试行），规范一般工业固体废物管理台账制定工作。</w:t>
            </w:r>
          </w:p>
          <w:p w14:paraId="0C4DD487">
            <w:pPr>
              <w:widowControl/>
              <w:spacing w:line="360" w:lineRule="auto"/>
              <w:ind w:firstLine="482" w:firstLineChars="200"/>
              <w:jc w:val="left"/>
              <w:rPr>
                <w:b/>
                <w:bCs/>
                <w:sz w:val="24"/>
              </w:rPr>
            </w:pPr>
            <w:r>
              <w:rPr>
                <w:b/>
                <w:bCs/>
                <w:kern w:val="0"/>
                <w:sz w:val="24"/>
                <w:lang w:bidi="ar"/>
              </w:rPr>
              <w:t>4.4、危险废物收集、贮存要求</w:t>
            </w:r>
          </w:p>
          <w:p w14:paraId="00D3C07E">
            <w:pPr>
              <w:widowControl/>
              <w:spacing w:line="360" w:lineRule="auto"/>
              <w:ind w:firstLine="482" w:firstLineChars="200"/>
              <w:jc w:val="left"/>
              <w:rPr>
                <w:b/>
                <w:bCs/>
                <w:kern w:val="0"/>
                <w:sz w:val="24"/>
                <w:lang w:bidi="ar"/>
              </w:rPr>
            </w:pPr>
            <w:r>
              <w:rPr>
                <w:b/>
                <w:bCs/>
                <w:kern w:val="0"/>
                <w:sz w:val="24"/>
                <w:lang w:bidi="ar"/>
              </w:rPr>
              <w:t>4.4.1、危废暂存区要求</w:t>
            </w:r>
          </w:p>
          <w:p w14:paraId="296F4518">
            <w:pPr>
              <w:widowControl/>
              <w:spacing w:line="360" w:lineRule="auto"/>
              <w:ind w:firstLine="482" w:firstLineChars="200"/>
              <w:jc w:val="left"/>
              <w:rPr>
                <w:b/>
                <w:bCs/>
                <w:sz w:val="24"/>
              </w:rPr>
            </w:pPr>
            <w:r>
              <w:rPr>
                <w:b/>
                <w:bCs/>
                <w:kern w:val="0"/>
                <w:sz w:val="24"/>
                <w:lang w:bidi="ar"/>
              </w:rPr>
              <w:t>（1）危废暂存区设置要求</w:t>
            </w:r>
          </w:p>
          <w:p w14:paraId="0E0549AA">
            <w:pPr>
              <w:widowControl/>
              <w:spacing w:line="360" w:lineRule="auto"/>
              <w:ind w:firstLine="480" w:firstLineChars="200"/>
              <w:jc w:val="left"/>
              <w:rPr>
                <w:sz w:val="24"/>
              </w:rPr>
            </w:pPr>
            <w:r>
              <w:rPr>
                <w:kern w:val="0"/>
                <w:sz w:val="24"/>
                <w:lang w:bidi="ar"/>
              </w:rPr>
              <w:t>危险废物暂存时应按照《危险废物贮存污染控制标准》（GB18597-2001）及其修改单的要求进行贮存，危废暂存间应符合下列要求：</w:t>
            </w:r>
          </w:p>
          <w:p w14:paraId="651A9D73">
            <w:pPr>
              <w:widowControl/>
              <w:spacing w:line="360" w:lineRule="auto"/>
              <w:ind w:firstLine="480" w:firstLineChars="200"/>
              <w:jc w:val="left"/>
              <w:rPr>
                <w:sz w:val="24"/>
              </w:rPr>
            </w:pPr>
            <w:r>
              <w:rPr>
                <w:rFonts w:hint="eastAsia" w:ascii="宋体" w:hAnsi="宋体" w:cs="宋体"/>
                <w:kern w:val="0"/>
                <w:sz w:val="24"/>
                <w:lang w:bidi="ar"/>
              </w:rPr>
              <w:t>①</w:t>
            </w:r>
            <w:r>
              <w:rPr>
                <w:kern w:val="0"/>
                <w:sz w:val="24"/>
                <w:lang w:bidi="ar"/>
              </w:rPr>
              <w:t>危废暂存间地面与裙脚要用坚固、防渗的材料建造，按设计要求做防渗处理，建筑材料必须与危险废物相容。</w:t>
            </w:r>
          </w:p>
          <w:p w14:paraId="57E41444">
            <w:pPr>
              <w:widowControl/>
              <w:spacing w:line="360" w:lineRule="auto"/>
              <w:ind w:firstLine="480" w:firstLineChars="200"/>
              <w:jc w:val="left"/>
              <w:rPr>
                <w:sz w:val="24"/>
              </w:rPr>
            </w:pPr>
            <w:r>
              <w:rPr>
                <w:rFonts w:hint="eastAsia" w:ascii="宋体" w:hAnsi="宋体" w:cs="宋体"/>
                <w:kern w:val="0"/>
                <w:sz w:val="24"/>
                <w:lang w:bidi="ar"/>
              </w:rPr>
              <w:t>②</w:t>
            </w:r>
            <w:r>
              <w:rPr>
                <w:kern w:val="0"/>
                <w:sz w:val="24"/>
                <w:lang w:bidi="ar"/>
              </w:rPr>
              <w:t>应按GB15562.2和环保部门制定的专用危险废物警示标识要求，在暂存间外的明显处设置危险废物的警示标识。</w:t>
            </w:r>
          </w:p>
          <w:p w14:paraId="3ADA31A9">
            <w:pPr>
              <w:widowControl/>
              <w:spacing w:line="360" w:lineRule="auto"/>
              <w:ind w:firstLine="480" w:firstLineChars="200"/>
              <w:jc w:val="left"/>
              <w:rPr>
                <w:kern w:val="0"/>
                <w:sz w:val="24"/>
                <w:lang w:bidi="ar"/>
              </w:rPr>
            </w:pPr>
            <w:r>
              <w:rPr>
                <w:rFonts w:hint="eastAsia" w:ascii="宋体" w:hAnsi="宋体" w:cs="宋体"/>
                <w:kern w:val="0"/>
                <w:sz w:val="24"/>
                <w:lang w:bidi="ar"/>
              </w:rPr>
              <w:t>③</w:t>
            </w:r>
            <w:r>
              <w:rPr>
                <w:kern w:val="0"/>
                <w:sz w:val="24"/>
                <w:lang w:bidi="ar"/>
              </w:rPr>
              <w:t>危废暂存间内要有安全照明设施和消防设施。</w:t>
            </w:r>
          </w:p>
          <w:p w14:paraId="5C06591C">
            <w:pPr>
              <w:widowControl/>
              <w:spacing w:line="360" w:lineRule="auto"/>
              <w:ind w:firstLine="482" w:firstLineChars="200"/>
              <w:jc w:val="left"/>
              <w:rPr>
                <w:b/>
                <w:kern w:val="0"/>
                <w:sz w:val="24"/>
                <w:lang w:bidi="ar"/>
              </w:rPr>
            </w:pPr>
            <w:r>
              <w:rPr>
                <w:b/>
                <w:kern w:val="0"/>
                <w:sz w:val="24"/>
                <w:lang w:bidi="ar"/>
              </w:rPr>
              <w:t>（2）建设要求</w:t>
            </w:r>
          </w:p>
          <w:p w14:paraId="451D6E7F">
            <w:pPr>
              <w:widowControl/>
              <w:spacing w:line="360" w:lineRule="auto"/>
              <w:ind w:firstLine="480" w:firstLineChars="200"/>
              <w:jc w:val="left"/>
              <w:rPr>
                <w:kern w:val="0"/>
                <w:sz w:val="24"/>
                <w:lang w:bidi="ar"/>
              </w:rPr>
            </w:pPr>
            <w:r>
              <w:rPr>
                <w:rFonts w:hint="eastAsia" w:ascii="宋体" w:hAnsi="宋体" w:cs="宋体"/>
                <w:kern w:val="0"/>
                <w:sz w:val="24"/>
                <w:lang w:bidi="ar"/>
              </w:rPr>
              <w:t>①</w:t>
            </w:r>
            <w:r>
              <w:rPr>
                <w:kern w:val="0"/>
                <w:sz w:val="24"/>
                <w:lang w:bidi="ar"/>
              </w:rPr>
              <w:t>地面与裙角要用坚固、防渗的材料建筑，建筑材料必须与危险废物相容；</w:t>
            </w:r>
          </w:p>
          <w:p w14:paraId="354E8657">
            <w:pPr>
              <w:widowControl/>
              <w:spacing w:line="360" w:lineRule="auto"/>
              <w:ind w:firstLine="480" w:firstLineChars="200"/>
              <w:jc w:val="left"/>
              <w:rPr>
                <w:kern w:val="0"/>
                <w:sz w:val="24"/>
                <w:lang w:bidi="ar"/>
              </w:rPr>
            </w:pPr>
            <w:r>
              <w:rPr>
                <w:rFonts w:hint="eastAsia" w:ascii="宋体" w:hAnsi="宋体" w:cs="宋体"/>
                <w:kern w:val="0"/>
                <w:sz w:val="24"/>
                <w:lang w:bidi="ar"/>
              </w:rPr>
              <w:t>②</w:t>
            </w:r>
            <w:r>
              <w:rPr>
                <w:kern w:val="0"/>
                <w:sz w:val="24"/>
                <w:lang w:bidi="ar"/>
              </w:rPr>
              <w:t>设施内要有安全照明设施和观察窗口；</w:t>
            </w:r>
          </w:p>
          <w:p w14:paraId="65FCEDAD">
            <w:pPr>
              <w:widowControl/>
              <w:spacing w:line="360" w:lineRule="auto"/>
              <w:ind w:firstLine="480" w:firstLineChars="200"/>
              <w:jc w:val="left"/>
              <w:rPr>
                <w:kern w:val="0"/>
                <w:sz w:val="24"/>
                <w:lang w:bidi="ar"/>
              </w:rPr>
            </w:pPr>
            <w:r>
              <w:rPr>
                <w:rFonts w:hint="eastAsia" w:ascii="宋体" w:hAnsi="宋体" w:cs="宋体"/>
                <w:kern w:val="0"/>
                <w:sz w:val="24"/>
                <w:lang w:bidi="ar"/>
              </w:rPr>
              <w:t>③</w:t>
            </w:r>
            <w:r>
              <w:rPr>
                <w:kern w:val="0"/>
                <w:sz w:val="24"/>
                <w:lang w:bidi="ar"/>
              </w:rPr>
              <w:t>用以存放装载液体、半固体危险废物危险品存放的地方，必须有耐腐蚀的硬化地面，且表面无裂隙；</w:t>
            </w:r>
          </w:p>
          <w:p w14:paraId="4AF3A3D6">
            <w:pPr>
              <w:widowControl/>
              <w:spacing w:line="360" w:lineRule="auto"/>
              <w:ind w:firstLine="480" w:firstLineChars="200"/>
              <w:jc w:val="left"/>
              <w:rPr>
                <w:kern w:val="0"/>
                <w:sz w:val="24"/>
                <w:lang w:bidi="ar"/>
              </w:rPr>
            </w:pPr>
            <w:r>
              <w:rPr>
                <w:rFonts w:hint="eastAsia" w:ascii="宋体" w:hAnsi="宋体" w:cs="宋体"/>
                <w:kern w:val="0"/>
                <w:sz w:val="24"/>
                <w:lang w:bidi="ar"/>
              </w:rPr>
              <w:t>④</w:t>
            </w:r>
            <w:r>
              <w:rPr>
                <w:kern w:val="0"/>
                <w:sz w:val="24"/>
                <w:lang w:bidi="ar"/>
              </w:rPr>
              <w:t>基础必须防渗，防渗层为至少1m厚黏土层（渗透系数≤10-7cm/s），或2mm 厚高密度聚乙烯，或至少2mm厚的其他人工材料，渗透系数≤10-10cm/s。</w:t>
            </w:r>
          </w:p>
          <w:p w14:paraId="522C8457">
            <w:pPr>
              <w:widowControl/>
              <w:spacing w:line="360" w:lineRule="auto"/>
              <w:ind w:firstLine="480" w:firstLineChars="200"/>
              <w:jc w:val="left"/>
              <w:rPr>
                <w:kern w:val="0"/>
                <w:sz w:val="24"/>
                <w:lang w:bidi="ar"/>
              </w:rPr>
            </w:pPr>
            <w:r>
              <w:rPr>
                <w:rFonts w:hint="eastAsia" w:ascii="宋体" w:hAnsi="宋体" w:cs="宋体"/>
                <w:kern w:val="0"/>
                <w:sz w:val="24"/>
                <w:lang w:bidi="ar"/>
              </w:rPr>
              <w:t>⑤</w:t>
            </w:r>
            <w:r>
              <w:rPr>
                <w:kern w:val="0"/>
                <w:sz w:val="24"/>
                <w:lang w:bidi="ar"/>
              </w:rPr>
              <w:t>应设计堵截泄漏的裙脚，地面与裙角所围的容积不得低于堵截最大容器的最大储量或总储量的1/5。</w:t>
            </w:r>
          </w:p>
          <w:p w14:paraId="0401E176">
            <w:pPr>
              <w:widowControl/>
              <w:spacing w:line="360" w:lineRule="auto"/>
              <w:ind w:firstLine="480" w:firstLineChars="200"/>
              <w:jc w:val="left"/>
              <w:rPr>
                <w:kern w:val="0"/>
                <w:sz w:val="24"/>
                <w:lang w:bidi="ar"/>
              </w:rPr>
            </w:pPr>
            <w:r>
              <w:rPr>
                <w:rFonts w:hint="eastAsia" w:ascii="宋体" w:hAnsi="宋体" w:cs="宋体"/>
                <w:kern w:val="0"/>
                <w:sz w:val="24"/>
                <w:lang w:bidi="ar"/>
              </w:rPr>
              <w:t>⑥</w:t>
            </w:r>
            <w:r>
              <w:rPr>
                <w:kern w:val="0"/>
                <w:sz w:val="24"/>
                <w:lang w:bidi="ar"/>
              </w:rPr>
              <w:t>不相容的危险废物必须分开存放，并设有隔离间隔断；</w:t>
            </w:r>
          </w:p>
          <w:p w14:paraId="10EB0C57">
            <w:pPr>
              <w:widowControl/>
              <w:spacing w:line="360" w:lineRule="auto"/>
              <w:ind w:firstLine="480" w:firstLineChars="200"/>
              <w:jc w:val="left"/>
              <w:rPr>
                <w:kern w:val="0"/>
                <w:sz w:val="24"/>
                <w:lang w:bidi="ar"/>
              </w:rPr>
            </w:pPr>
            <w:r>
              <w:rPr>
                <w:rFonts w:hint="eastAsia" w:ascii="宋体" w:hAnsi="宋体" w:cs="宋体"/>
                <w:kern w:val="0"/>
                <w:sz w:val="24"/>
                <w:lang w:bidi="ar"/>
              </w:rPr>
              <w:t>⑦</w:t>
            </w:r>
            <w:r>
              <w:rPr>
                <w:kern w:val="0"/>
                <w:sz w:val="24"/>
                <w:lang w:bidi="ar"/>
              </w:rPr>
              <w:t>对于危险废物暂存库应建为有屋顶的封闭建筑，并保持良好的通风；库内的地面必须水泥硬化，硬化地面下设置至少1m的粘土防渗或是设置人工防渗层。与危险废物处置中心签订委托处置服务协议书，委托其定期清运处置，并按危废中心要求完善危废转移联单制度，填写好转移联单。设专人负责危废的日常管理工作，产生的危废应分类收集，不得与生活垃圾相混。危废间室内外悬挂的危险废物警告标志形状为等边三角形，边长40cm，背景为黄色，图形为黑色，警告标志外檐2.5cm；危废间室内外悬挂的危险废物标签尺寸为40cm*40cm，底色为醒目的橘黄色，字体为黑体字，字体颜色为黑色，危险类别按危险废物种类选择；粘贴于危险废物储存容器上的危险废物标签尺寸为20cm*20cm，底色为醒目的橘黄色，字体为黑体字，字体颜色为黑色，危险类别按危险废物种类选择；挂于袋装危险废物包装物上的危险废物标签尺寸为10cm*10cm，底色为醒目的橘黄色，字体为黑体字，字体颜色为黑色，危险类别按危险废物种类选择。</w:t>
            </w:r>
          </w:p>
          <w:p w14:paraId="5BC6D51D">
            <w:pPr>
              <w:widowControl/>
              <w:spacing w:line="360" w:lineRule="auto"/>
              <w:ind w:firstLine="482" w:firstLineChars="200"/>
              <w:jc w:val="left"/>
              <w:rPr>
                <w:b/>
                <w:bCs/>
                <w:sz w:val="24"/>
              </w:rPr>
            </w:pPr>
            <w:r>
              <w:rPr>
                <w:b/>
                <w:bCs/>
                <w:kern w:val="0"/>
                <w:sz w:val="24"/>
                <w:lang w:bidi="ar"/>
              </w:rPr>
              <w:t>（4）危险废物收集、贮存及管理要求</w:t>
            </w:r>
          </w:p>
          <w:p w14:paraId="0B29DA21">
            <w:pPr>
              <w:widowControl/>
              <w:spacing w:line="360" w:lineRule="auto"/>
              <w:ind w:firstLine="480" w:firstLineChars="200"/>
              <w:jc w:val="left"/>
              <w:rPr>
                <w:sz w:val="24"/>
              </w:rPr>
            </w:pPr>
            <w:r>
              <w:rPr>
                <w:kern w:val="0"/>
                <w:sz w:val="24"/>
                <w:lang w:bidi="ar"/>
              </w:rPr>
              <w:t>废机油在厂内收集、贮存应该按照国家环境保护总局令第5号《危险废物转移联单管理办法》及《危险废物收集贮存运输技术规范》（HJ 2025-2012）相关要求严格执行，具体要求如下：</w:t>
            </w:r>
          </w:p>
          <w:p w14:paraId="3A9C4817">
            <w:pPr>
              <w:widowControl/>
              <w:spacing w:line="360" w:lineRule="auto"/>
              <w:ind w:firstLine="480" w:firstLineChars="200"/>
              <w:jc w:val="left"/>
              <w:rPr>
                <w:sz w:val="24"/>
              </w:rPr>
            </w:pPr>
            <w:r>
              <w:rPr>
                <w:rFonts w:hint="eastAsia" w:ascii="宋体" w:hAnsi="宋体" w:cs="宋体"/>
                <w:kern w:val="0"/>
                <w:sz w:val="24"/>
                <w:lang w:bidi="ar"/>
              </w:rPr>
              <w:t>①</w:t>
            </w:r>
            <w:r>
              <w:rPr>
                <w:kern w:val="0"/>
                <w:sz w:val="24"/>
                <w:lang w:bidi="ar"/>
              </w:rPr>
              <w:t>危险废物收集时应根据危险废物的数量、危险特性、物理形态等因素确定包装形式，包装材料要与危险废物相容。</w:t>
            </w:r>
          </w:p>
          <w:p w14:paraId="47365AC9">
            <w:pPr>
              <w:widowControl/>
              <w:spacing w:line="360" w:lineRule="auto"/>
              <w:ind w:firstLine="480" w:firstLineChars="200"/>
              <w:jc w:val="left"/>
              <w:rPr>
                <w:sz w:val="24"/>
              </w:rPr>
            </w:pPr>
            <w:r>
              <w:rPr>
                <w:rFonts w:hint="eastAsia" w:ascii="宋体" w:hAnsi="宋体" w:cs="宋体"/>
                <w:kern w:val="0"/>
                <w:sz w:val="24"/>
                <w:lang w:bidi="ar"/>
              </w:rPr>
              <w:t>②</w:t>
            </w:r>
            <w:r>
              <w:rPr>
                <w:kern w:val="0"/>
                <w:sz w:val="24"/>
                <w:lang w:bidi="ar"/>
              </w:rPr>
              <w:t>装载液体、半固体危险废物的容器内须留足够空间，容器顶部与液体表面之间保留100mm以上的空间；盛装危险废物的容器上必须粘贴危险废物标签。</w:t>
            </w:r>
          </w:p>
          <w:p w14:paraId="09E8BA1E">
            <w:pPr>
              <w:widowControl/>
              <w:spacing w:line="360" w:lineRule="auto"/>
              <w:ind w:firstLine="480" w:firstLineChars="200"/>
              <w:jc w:val="left"/>
              <w:rPr>
                <w:sz w:val="24"/>
              </w:rPr>
            </w:pPr>
            <w:r>
              <w:rPr>
                <w:rFonts w:hint="eastAsia" w:ascii="宋体" w:hAnsi="宋体" w:cs="宋体"/>
                <w:kern w:val="0"/>
                <w:sz w:val="24"/>
                <w:lang w:bidi="ar"/>
              </w:rPr>
              <w:t>③</w:t>
            </w:r>
            <w:r>
              <w:rPr>
                <w:kern w:val="0"/>
                <w:sz w:val="24"/>
                <w:lang w:bidi="ar"/>
              </w:rPr>
              <w:t>必须定期对所贮存的危险废物包装容器及贮存设施进行检查，发现破损，应及时采取措施清理更换。</w:t>
            </w:r>
          </w:p>
          <w:p w14:paraId="769477EB">
            <w:pPr>
              <w:widowControl/>
              <w:spacing w:line="360" w:lineRule="auto"/>
              <w:ind w:firstLine="480" w:firstLineChars="200"/>
              <w:jc w:val="left"/>
              <w:rPr>
                <w:kern w:val="0"/>
                <w:sz w:val="24"/>
                <w:lang w:bidi="ar"/>
              </w:rPr>
            </w:pPr>
            <w:r>
              <w:rPr>
                <w:rFonts w:hint="eastAsia" w:ascii="宋体" w:hAnsi="宋体" w:cs="宋体"/>
                <w:kern w:val="0"/>
                <w:sz w:val="24"/>
                <w:lang w:bidi="ar"/>
              </w:rPr>
              <w:t>③</w:t>
            </w:r>
            <w:r>
              <w:rPr>
                <w:kern w:val="0"/>
                <w:sz w:val="24"/>
                <w:lang w:bidi="ar"/>
              </w:rPr>
              <w:t xml:space="preserve">设置相关运行管理台账，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 </w:t>
            </w:r>
          </w:p>
          <w:p w14:paraId="793BFF53">
            <w:pPr>
              <w:widowControl/>
              <w:spacing w:line="360" w:lineRule="auto"/>
              <w:ind w:firstLine="482" w:firstLineChars="200"/>
              <w:jc w:val="left"/>
              <w:rPr>
                <w:b/>
                <w:bCs/>
                <w:sz w:val="24"/>
              </w:rPr>
            </w:pPr>
            <w:r>
              <w:rPr>
                <w:b/>
                <w:bCs/>
                <w:kern w:val="0"/>
                <w:sz w:val="24"/>
                <w:lang w:bidi="ar"/>
              </w:rPr>
              <w:t>4.4.2、危废暂存区符合性分析</w:t>
            </w:r>
          </w:p>
          <w:p w14:paraId="0F5C7FE0">
            <w:pPr>
              <w:widowControl/>
              <w:spacing w:line="360" w:lineRule="auto"/>
              <w:ind w:firstLine="480" w:firstLineChars="200"/>
              <w:jc w:val="left"/>
              <w:rPr>
                <w:bCs/>
                <w:sz w:val="24"/>
              </w:rPr>
            </w:pPr>
            <w:r>
              <w:rPr>
                <w:bCs/>
                <w:sz w:val="24"/>
              </w:rPr>
              <w:t>根据调查，项目区北侧设置一间危险废物暂存间（10m</w:t>
            </w:r>
            <w:r>
              <w:rPr>
                <w:bCs/>
                <w:sz w:val="24"/>
                <w:vertAlign w:val="superscript"/>
              </w:rPr>
              <w:t>2</w:t>
            </w:r>
            <w:r>
              <w:rPr>
                <w:bCs/>
                <w:sz w:val="24"/>
              </w:rPr>
              <w:t>），用于暂存项目运行过程中产生的危险废物，贮存设施已按《环境保护图形标志(GB15562-1995)》的规定设置警示标志，废机油暂存后用于机器润滑。</w:t>
            </w:r>
          </w:p>
          <w:p w14:paraId="5C3241AE">
            <w:pPr>
              <w:adjustRightInd w:val="0"/>
              <w:snapToGrid w:val="0"/>
              <w:spacing w:line="360" w:lineRule="auto"/>
              <w:ind w:firstLine="480" w:firstLineChars="200"/>
              <w:rPr>
                <w:bCs/>
                <w:sz w:val="24"/>
              </w:rPr>
            </w:pPr>
            <w:r>
              <w:rPr>
                <w:bCs/>
                <w:sz w:val="24"/>
              </w:rPr>
              <w:t>本项目一般固废、危险废物按照以上要求处理后，项目产生的固体废物均不会对周围环境造成不良影响。</w:t>
            </w:r>
          </w:p>
          <w:p w14:paraId="4415AF7C">
            <w:pPr>
              <w:adjustRightInd w:val="0"/>
              <w:snapToGrid w:val="0"/>
              <w:spacing w:line="360" w:lineRule="auto"/>
              <w:ind w:firstLine="480" w:firstLineChars="200"/>
              <w:rPr>
                <w:b/>
                <w:bCs/>
                <w:kern w:val="0"/>
                <w:sz w:val="24"/>
              </w:rPr>
            </w:pPr>
            <w:r>
              <w:rPr>
                <w:kern w:val="0"/>
                <w:sz w:val="24"/>
                <w:lang w:bidi="ar"/>
              </w:rPr>
              <w:t>综上所述，项目运营期产生的所有固体废弃物均得到妥善处置，去向明确，处置率达100%，对周围环境的影响较小。</w:t>
            </w:r>
          </w:p>
          <w:p w14:paraId="5C2613E9">
            <w:pPr>
              <w:adjustRightInd w:val="0"/>
              <w:snapToGrid w:val="0"/>
              <w:spacing w:line="360" w:lineRule="auto"/>
              <w:ind w:firstLine="482" w:firstLineChars="200"/>
              <w:rPr>
                <w:b/>
                <w:bCs/>
                <w:kern w:val="0"/>
                <w:sz w:val="24"/>
              </w:rPr>
            </w:pPr>
            <w:r>
              <w:rPr>
                <w:b/>
                <w:bCs/>
                <w:kern w:val="0"/>
                <w:sz w:val="24"/>
              </w:rPr>
              <w:t>5、生态</w:t>
            </w:r>
          </w:p>
          <w:p w14:paraId="401D17A3">
            <w:pPr>
              <w:adjustRightInd w:val="0"/>
              <w:snapToGrid w:val="0"/>
              <w:spacing w:line="360" w:lineRule="auto"/>
              <w:ind w:firstLine="480" w:firstLineChars="200"/>
              <w:rPr>
                <w:kern w:val="0"/>
                <w:sz w:val="24"/>
              </w:rPr>
            </w:pPr>
            <w:r>
              <w:rPr>
                <w:kern w:val="0"/>
                <w:sz w:val="24"/>
              </w:rPr>
              <w:t>本项目在已有厂区及厂房基础上改造，不涉及生态环境。</w:t>
            </w:r>
          </w:p>
          <w:p w14:paraId="33D2AB8B">
            <w:pPr>
              <w:spacing w:line="360" w:lineRule="auto"/>
              <w:ind w:firstLine="482" w:firstLineChars="200"/>
              <w:rPr>
                <w:b/>
                <w:bCs/>
                <w:sz w:val="24"/>
                <w:szCs w:val="22"/>
              </w:rPr>
            </w:pPr>
            <w:r>
              <w:rPr>
                <w:b/>
                <w:bCs/>
                <w:sz w:val="24"/>
                <w:szCs w:val="22"/>
              </w:rPr>
              <w:t>6、地下水、土壤环境影响分析</w:t>
            </w:r>
          </w:p>
          <w:p w14:paraId="099922D2">
            <w:pPr>
              <w:widowControl/>
              <w:spacing w:line="360" w:lineRule="auto"/>
              <w:ind w:firstLine="480" w:firstLineChars="200"/>
              <w:jc w:val="left"/>
              <w:rPr>
                <w:kern w:val="0"/>
                <w:sz w:val="24"/>
                <w:lang w:bidi="ar"/>
              </w:rPr>
            </w:pPr>
            <w:r>
              <w:rPr>
                <w:kern w:val="0"/>
                <w:sz w:val="24"/>
                <w:lang w:bidi="ar"/>
              </w:rPr>
              <w:t>根据《环境影响评价技术导则 地下水环境》（HJ 610-2016），本项目属于“附录 A  中 “64 砖瓦制造”“其他”类别，地下水环境影响评价项目类别为Ⅳ类，不开展地下水环境影响评价。</w:t>
            </w:r>
          </w:p>
          <w:p w14:paraId="3FE5D4FD">
            <w:pPr>
              <w:widowControl/>
              <w:spacing w:line="360" w:lineRule="auto"/>
              <w:ind w:firstLine="480" w:firstLineChars="200"/>
              <w:jc w:val="left"/>
              <w:rPr>
                <w:kern w:val="0"/>
                <w:sz w:val="24"/>
                <w:lang w:bidi="ar"/>
              </w:rPr>
            </w:pPr>
            <w:r>
              <w:rPr>
                <w:kern w:val="0"/>
                <w:sz w:val="24"/>
                <w:lang w:bidi="ar"/>
              </w:rPr>
              <w:t>本项目为砖瓦制造，根据《环境影响评价技术导则 土壤环境》（HJ 964-2018）对照附录 A，项目属于其他行业类别，为 IV 类。IV 类建设项目不开展土壤环境影响评价，故本项目不进行土壤环境影响评价。</w:t>
            </w:r>
          </w:p>
          <w:p w14:paraId="7EF117E2">
            <w:pPr>
              <w:widowControl/>
              <w:spacing w:line="360" w:lineRule="auto"/>
              <w:ind w:firstLine="480" w:firstLineChars="200"/>
              <w:jc w:val="left"/>
              <w:rPr>
                <w:sz w:val="24"/>
              </w:rPr>
            </w:pPr>
            <w:r>
              <w:rPr>
                <w:kern w:val="0"/>
                <w:sz w:val="24"/>
                <w:lang w:bidi="ar"/>
              </w:rPr>
              <w:t>项目土壤污染源主要为危废暂存间，主要污染物为石油类（柴油）。</w:t>
            </w:r>
          </w:p>
          <w:p w14:paraId="61045306">
            <w:pPr>
              <w:widowControl/>
              <w:spacing w:line="360" w:lineRule="auto"/>
              <w:ind w:firstLine="482" w:firstLineChars="200"/>
              <w:jc w:val="left"/>
              <w:rPr>
                <w:sz w:val="24"/>
              </w:rPr>
            </w:pPr>
            <w:r>
              <w:rPr>
                <w:b/>
                <w:bCs/>
                <w:kern w:val="0"/>
                <w:sz w:val="24"/>
                <w:lang w:bidi="ar"/>
              </w:rPr>
              <w:t xml:space="preserve">（1）污染途径 </w:t>
            </w:r>
          </w:p>
          <w:p w14:paraId="0FED7970">
            <w:pPr>
              <w:widowControl/>
              <w:spacing w:line="360" w:lineRule="auto"/>
              <w:ind w:firstLine="480" w:firstLineChars="200"/>
              <w:jc w:val="left"/>
              <w:rPr>
                <w:sz w:val="24"/>
              </w:rPr>
            </w:pPr>
            <w:r>
              <w:rPr>
                <w:kern w:val="0"/>
                <w:sz w:val="24"/>
                <w:lang w:bidi="ar"/>
              </w:rPr>
              <w:t>污染途径：危废暂存间防渗层破裂，导致储存的废机油、废柴油下渗进入土壤中，污染土壤、地下水。</w:t>
            </w:r>
          </w:p>
          <w:p w14:paraId="313D260D">
            <w:pPr>
              <w:widowControl/>
              <w:spacing w:line="360" w:lineRule="auto"/>
              <w:ind w:firstLine="482" w:firstLineChars="200"/>
              <w:rPr>
                <w:sz w:val="24"/>
              </w:rPr>
            </w:pPr>
            <w:r>
              <w:rPr>
                <w:b/>
                <w:bCs/>
                <w:kern w:val="0"/>
                <w:sz w:val="24"/>
                <w:lang w:bidi="ar"/>
              </w:rPr>
              <w:t>（2）土壤防控措施</w:t>
            </w:r>
          </w:p>
          <w:p w14:paraId="703BD4E6">
            <w:pPr>
              <w:widowControl/>
              <w:spacing w:line="360" w:lineRule="auto"/>
              <w:ind w:firstLine="480" w:firstLineChars="200"/>
              <w:rPr>
                <w:sz w:val="24"/>
              </w:rPr>
            </w:pPr>
            <w:r>
              <w:rPr>
                <w:kern w:val="0"/>
                <w:sz w:val="24"/>
                <w:lang w:bidi="ar"/>
              </w:rPr>
              <w:t>根据调查，危废暂存间地面已采取重点防渗，已采取混凝土地面，并加铺2mm厚高密度聚乙烯，满足《危险废物贮存污染控制标准》（GB18597-2001）要求，避免废机油外渗污染土壤。</w:t>
            </w:r>
          </w:p>
          <w:p w14:paraId="12C59429">
            <w:pPr>
              <w:adjustRightInd w:val="0"/>
              <w:snapToGrid w:val="0"/>
              <w:spacing w:line="360" w:lineRule="auto"/>
              <w:ind w:firstLine="482" w:firstLineChars="200"/>
              <w:rPr>
                <w:b/>
                <w:bCs/>
                <w:kern w:val="0"/>
                <w:sz w:val="24"/>
              </w:rPr>
            </w:pPr>
            <w:r>
              <w:rPr>
                <w:b/>
                <w:sz w:val="24"/>
              </w:rPr>
              <w:t>7、</w:t>
            </w:r>
            <w:r>
              <w:rPr>
                <w:b/>
                <w:bCs/>
                <w:kern w:val="0"/>
                <w:sz w:val="24"/>
              </w:rPr>
              <w:t>环境风险</w:t>
            </w:r>
          </w:p>
          <w:p w14:paraId="5416B4D5">
            <w:pPr>
              <w:spacing w:line="360" w:lineRule="auto"/>
              <w:ind w:firstLine="482" w:firstLineChars="200"/>
              <w:rPr>
                <w:b/>
                <w:bCs/>
                <w:sz w:val="24"/>
              </w:rPr>
            </w:pPr>
            <w:r>
              <w:rPr>
                <w:b/>
                <w:bCs/>
                <w:sz w:val="24"/>
              </w:rPr>
              <w:t>7.1、环境风险分析的目的</w:t>
            </w:r>
          </w:p>
          <w:p w14:paraId="02B19DA8">
            <w:pPr>
              <w:spacing w:line="360" w:lineRule="auto"/>
              <w:ind w:firstLine="480" w:firstLineChars="200"/>
              <w:rPr>
                <w:sz w:val="24"/>
              </w:rPr>
            </w:pPr>
            <w:r>
              <w:rPr>
                <w:sz w:val="24"/>
              </w:rPr>
              <w:t>环境风险分析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369D8344">
            <w:pPr>
              <w:adjustRightInd w:val="0"/>
              <w:snapToGrid w:val="0"/>
              <w:spacing w:line="360" w:lineRule="auto"/>
              <w:ind w:firstLine="482" w:firstLineChars="200"/>
              <w:rPr>
                <w:b/>
                <w:sz w:val="24"/>
              </w:rPr>
            </w:pPr>
            <w:r>
              <w:rPr>
                <w:b/>
                <w:sz w:val="24"/>
              </w:rPr>
              <w:t>7.2、环境风险识别</w:t>
            </w:r>
          </w:p>
          <w:p w14:paraId="3ECA1C90">
            <w:pPr>
              <w:spacing w:line="360" w:lineRule="auto"/>
              <w:ind w:firstLine="480" w:firstLineChars="200"/>
              <w:rPr>
                <w:b/>
                <w:sz w:val="24"/>
              </w:rPr>
            </w:pPr>
            <w:r>
              <w:rPr>
                <w:sz w:val="24"/>
              </w:rPr>
              <w:t>风险识别范围包括生产设备风险识别和生产过程所涉及的物质风险识别。生产设备风险识别包括主要生产装置、储运系统、公用工程系统、工程环保设施及辅助生产设施等；物质风险识别范围包括主要原材料及辅助材料、燃料、中间产品、最终产品以及生产过程中排放的“三废”污染物等。</w:t>
            </w:r>
          </w:p>
          <w:p w14:paraId="02115496">
            <w:pPr>
              <w:adjustRightInd w:val="0"/>
              <w:snapToGrid w:val="0"/>
              <w:spacing w:line="360" w:lineRule="auto"/>
              <w:ind w:firstLine="482" w:firstLineChars="200"/>
              <w:rPr>
                <w:b/>
                <w:sz w:val="24"/>
              </w:rPr>
            </w:pPr>
            <w:r>
              <w:rPr>
                <w:b/>
                <w:sz w:val="24"/>
              </w:rPr>
              <w:t>7.3、</w:t>
            </w:r>
            <w:r>
              <w:rPr>
                <w:b/>
                <w:bCs/>
                <w:sz w:val="24"/>
              </w:rPr>
              <w:t>评价等级</w:t>
            </w:r>
          </w:p>
          <w:p w14:paraId="752F383C">
            <w:pPr>
              <w:spacing w:line="360" w:lineRule="auto"/>
              <w:ind w:firstLine="480" w:firstLineChars="200"/>
            </w:pPr>
            <w:r>
              <w:rPr>
                <w:sz w:val="24"/>
              </w:rPr>
              <w:t>按《建设项目环境风险评价技术导则》（HJ 169—2018）所提供的方法，根据项目的物质危险性和功能单元重大危险源判定结果，以及环境敏感程度等因素确定项目风险评价工作级别。风险评价工作级别按下表划分。</w:t>
            </w:r>
          </w:p>
          <w:p w14:paraId="4ED1BC28">
            <w:pPr>
              <w:pStyle w:val="2"/>
              <w:adjustRightInd w:val="0"/>
              <w:spacing w:line="240" w:lineRule="auto"/>
              <w:ind w:right="-45"/>
              <w:jc w:val="center"/>
              <w:rPr>
                <w:rFonts w:ascii="Times New Roman" w:hAnsi="Times New Roman"/>
                <w:b/>
                <w:sz w:val="24"/>
                <w:szCs w:val="24"/>
              </w:rPr>
            </w:pPr>
            <w:r>
              <w:rPr>
                <w:rFonts w:ascii="Times New Roman" w:hAnsi="Times New Roman"/>
                <w:b/>
                <w:sz w:val="24"/>
                <w:szCs w:val="24"/>
              </w:rPr>
              <w:t>表4-10  环境风险评价等级的确定依据</w:t>
            </w:r>
          </w:p>
          <w:tbl>
            <w:tblPr>
              <w:tblStyle w:val="25"/>
              <w:tblW w:w="9005"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01"/>
              <w:gridCol w:w="1801"/>
              <w:gridCol w:w="1801"/>
              <w:gridCol w:w="1801"/>
              <w:gridCol w:w="1801"/>
            </w:tblGrid>
            <w:tr w14:paraId="4B6556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801" w:type="dxa"/>
                  <w:tcBorders>
                    <w:tl2br w:val="nil"/>
                    <w:tr2bl w:val="nil"/>
                  </w:tcBorders>
                </w:tcPr>
                <w:p w14:paraId="0BEBE9C6">
                  <w:pPr>
                    <w:widowControl/>
                    <w:autoSpaceDE w:val="0"/>
                    <w:autoSpaceDN w:val="0"/>
                    <w:ind w:left="105" w:leftChars="50" w:right="105" w:rightChars="50"/>
                    <w:jc w:val="center"/>
                    <w:rPr>
                      <w:kern w:val="0"/>
                      <w:szCs w:val="21"/>
                    </w:rPr>
                  </w:pPr>
                  <w:r>
                    <w:rPr>
                      <w:kern w:val="0"/>
                      <w:szCs w:val="21"/>
                    </w:rPr>
                    <w:t>环境风险潜势</w:t>
                  </w:r>
                </w:p>
              </w:tc>
              <w:tc>
                <w:tcPr>
                  <w:tcW w:w="1801" w:type="dxa"/>
                  <w:tcBorders>
                    <w:tl2br w:val="nil"/>
                    <w:tr2bl w:val="nil"/>
                  </w:tcBorders>
                </w:tcPr>
                <w:p w14:paraId="545295B8">
                  <w:pPr>
                    <w:widowControl/>
                    <w:autoSpaceDE w:val="0"/>
                    <w:autoSpaceDN w:val="0"/>
                    <w:ind w:left="105" w:leftChars="50" w:right="105" w:rightChars="50"/>
                    <w:jc w:val="center"/>
                    <w:rPr>
                      <w:kern w:val="0"/>
                      <w:szCs w:val="21"/>
                    </w:rPr>
                  </w:pPr>
                  <w:r>
                    <w:rPr>
                      <w:kern w:val="0"/>
                      <w:szCs w:val="21"/>
                    </w:rPr>
                    <w:t>Ⅳ、Ⅳ*</w:t>
                  </w:r>
                </w:p>
              </w:tc>
              <w:tc>
                <w:tcPr>
                  <w:tcW w:w="1801" w:type="dxa"/>
                  <w:tcBorders>
                    <w:tl2br w:val="nil"/>
                    <w:tr2bl w:val="nil"/>
                  </w:tcBorders>
                </w:tcPr>
                <w:p w14:paraId="653E95D0">
                  <w:pPr>
                    <w:widowControl/>
                    <w:autoSpaceDE w:val="0"/>
                    <w:autoSpaceDN w:val="0"/>
                    <w:ind w:left="105" w:leftChars="50" w:right="105" w:rightChars="50"/>
                    <w:jc w:val="center"/>
                    <w:rPr>
                      <w:kern w:val="0"/>
                      <w:szCs w:val="21"/>
                    </w:rPr>
                  </w:pPr>
                  <w:r>
                    <w:rPr>
                      <w:kern w:val="0"/>
                      <w:szCs w:val="21"/>
                    </w:rPr>
                    <w:t>Ⅲ</w:t>
                  </w:r>
                </w:p>
              </w:tc>
              <w:tc>
                <w:tcPr>
                  <w:tcW w:w="1801" w:type="dxa"/>
                  <w:tcBorders>
                    <w:tl2br w:val="nil"/>
                    <w:tr2bl w:val="nil"/>
                  </w:tcBorders>
                </w:tcPr>
                <w:p w14:paraId="4FD5C16B">
                  <w:pPr>
                    <w:widowControl/>
                    <w:autoSpaceDE w:val="0"/>
                    <w:autoSpaceDN w:val="0"/>
                    <w:ind w:left="105" w:leftChars="50" w:right="105" w:rightChars="50"/>
                    <w:jc w:val="center"/>
                    <w:rPr>
                      <w:kern w:val="0"/>
                      <w:szCs w:val="21"/>
                    </w:rPr>
                  </w:pPr>
                  <w:r>
                    <w:rPr>
                      <w:kern w:val="0"/>
                      <w:szCs w:val="21"/>
                    </w:rPr>
                    <w:t>Ⅱ</w:t>
                  </w:r>
                </w:p>
              </w:tc>
              <w:tc>
                <w:tcPr>
                  <w:tcW w:w="1801" w:type="dxa"/>
                  <w:tcBorders>
                    <w:tl2br w:val="nil"/>
                    <w:tr2bl w:val="nil"/>
                  </w:tcBorders>
                </w:tcPr>
                <w:p w14:paraId="3BB4DC1E">
                  <w:pPr>
                    <w:widowControl/>
                    <w:autoSpaceDE w:val="0"/>
                    <w:autoSpaceDN w:val="0"/>
                    <w:ind w:left="105" w:leftChars="50" w:right="105" w:rightChars="50"/>
                    <w:jc w:val="center"/>
                    <w:rPr>
                      <w:kern w:val="0"/>
                      <w:szCs w:val="21"/>
                    </w:rPr>
                  </w:pPr>
                  <w:r>
                    <w:rPr>
                      <w:kern w:val="0"/>
                      <w:szCs w:val="21"/>
                    </w:rPr>
                    <w:t>Ⅰ</w:t>
                  </w:r>
                </w:p>
              </w:tc>
            </w:tr>
            <w:tr w14:paraId="582C3A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801" w:type="dxa"/>
                  <w:tcBorders>
                    <w:tl2br w:val="nil"/>
                    <w:tr2bl w:val="nil"/>
                  </w:tcBorders>
                </w:tcPr>
                <w:p w14:paraId="7B7457AD">
                  <w:pPr>
                    <w:widowControl/>
                    <w:autoSpaceDE w:val="0"/>
                    <w:autoSpaceDN w:val="0"/>
                    <w:ind w:left="105" w:leftChars="50" w:right="105" w:rightChars="50"/>
                    <w:jc w:val="center"/>
                    <w:rPr>
                      <w:kern w:val="0"/>
                      <w:szCs w:val="21"/>
                    </w:rPr>
                  </w:pPr>
                  <w:r>
                    <w:rPr>
                      <w:kern w:val="0"/>
                      <w:szCs w:val="21"/>
                    </w:rPr>
                    <w:t>评价工作等级</w:t>
                  </w:r>
                </w:p>
              </w:tc>
              <w:tc>
                <w:tcPr>
                  <w:tcW w:w="1801" w:type="dxa"/>
                  <w:tcBorders>
                    <w:tl2br w:val="nil"/>
                    <w:tr2bl w:val="nil"/>
                  </w:tcBorders>
                </w:tcPr>
                <w:p w14:paraId="21324C23">
                  <w:pPr>
                    <w:widowControl/>
                    <w:autoSpaceDE w:val="0"/>
                    <w:autoSpaceDN w:val="0"/>
                    <w:ind w:left="105" w:leftChars="50" w:right="105" w:rightChars="50"/>
                    <w:jc w:val="center"/>
                    <w:rPr>
                      <w:kern w:val="0"/>
                      <w:szCs w:val="21"/>
                    </w:rPr>
                  </w:pPr>
                  <w:r>
                    <w:rPr>
                      <w:kern w:val="0"/>
                      <w:szCs w:val="21"/>
                    </w:rPr>
                    <w:t>一</w:t>
                  </w:r>
                </w:p>
              </w:tc>
              <w:tc>
                <w:tcPr>
                  <w:tcW w:w="1801" w:type="dxa"/>
                  <w:tcBorders>
                    <w:tl2br w:val="nil"/>
                    <w:tr2bl w:val="nil"/>
                  </w:tcBorders>
                </w:tcPr>
                <w:p w14:paraId="6B09DA63">
                  <w:pPr>
                    <w:widowControl/>
                    <w:autoSpaceDE w:val="0"/>
                    <w:autoSpaceDN w:val="0"/>
                    <w:ind w:left="105" w:leftChars="50" w:right="105" w:rightChars="50"/>
                    <w:jc w:val="center"/>
                    <w:rPr>
                      <w:kern w:val="0"/>
                      <w:szCs w:val="21"/>
                    </w:rPr>
                  </w:pPr>
                  <w:r>
                    <w:rPr>
                      <w:kern w:val="0"/>
                      <w:szCs w:val="21"/>
                    </w:rPr>
                    <w:t>二</w:t>
                  </w:r>
                </w:p>
              </w:tc>
              <w:tc>
                <w:tcPr>
                  <w:tcW w:w="1801" w:type="dxa"/>
                  <w:tcBorders>
                    <w:tl2br w:val="nil"/>
                    <w:tr2bl w:val="nil"/>
                  </w:tcBorders>
                </w:tcPr>
                <w:p w14:paraId="319C77E4">
                  <w:pPr>
                    <w:widowControl/>
                    <w:autoSpaceDE w:val="0"/>
                    <w:autoSpaceDN w:val="0"/>
                    <w:ind w:left="105" w:leftChars="50" w:right="105" w:rightChars="50"/>
                    <w:jc w:val="center"/>
                    <w:rPr>
                      <w:kern w:val="0"/>
                      <w:szCs w:val="21"/>
                    </w:rPr>
                  </w:pPr>
                  <w:r>
                    <w:rPr>
                      <w:kern w:val="0"/>
                      <w:szCs w:val="21"/>
                    </w:rPr>
                    <w:t>三</w:t>
                  </w:r>
                </w:p>
              </w:tc>
              <w:tc>
                <w:tcPr>
                  <w:tcW w:w="1801" w:type="dxa"/>
                  <w:tcBorders>
                    <w:tl2br w:val="nil"/>
                    <w:tr2bl w:val="nil"/>
                  </w:tcBorders>
                </w:tcPr>
                <w:p w14:paraId="33A74BF6">
                  <w:pPr>
                    <w:widowControl/>
                    <w:autoSpaceDE w:val="0"/>
                    <w:autoSpaceDN w:val="0"/>
                    <w:ind w:left="105" w:leftChars="50" w:right="105" w:rightChars="50"/>
                    <w:jc w:val="center"/>
                    <w:rPr>
                      <w:kern w:val="0"/>
                      <w:szCs w:val="21"/>
                    </w:rPr>
                  </w:pPr>
                  <w:r>
                    <w:rPr>
                      <w:kern w:val="0"/>
                      <w:szCs w:val="21"/>
                    </w:rPr>
                    <w:t>简单分析</w:t>
                  </w:r>
                </w:p>
              </w:tc>
            </w:tr>
          </w:tbl>
          <w:p w14:paraId="6AF672C6">
            <w:pPr>
              <w:pStyle w:val="2"/>
              <w:adjustRightInd w:val="0"/>
              <w:spacing w:before="120" w:beforeLines="50" w:line="240" w:lineRule="auto"/>
              <w:ind w:right="-45"/>
              <w:jc w:val="center"/>
              <w:rPr>
                <w:rFonts w:ascii="Times New Roman" w:hAnsi="Times New Roman"/>
                <w:b/>
                <w:sz w:val="24"/>
                <w:szCs w:val="24"/>
              </w:rPr>
            </w:pPr>
            <w:r>
              <w:rPr>
                <w:rFonts w:ascii="Times New Roman" w:hAnsi="Times New Roman"/>
                <w:b/>
                <w:sz w:val="24"/>
                <w:szCs w:val="24"/>
              </w:rPr>
              <w:t>表4-11  建设项目环境风险潜势划分</w:t>
            </w:r>
          </w:p>
          <w:tbl>
            <w:tblPr>
              <w:tblStyle w:val="25"/>
              <w:tblW w:w="9005"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03"/>
              <w:gridCol w:w="1650"/>
              <w:gridCol w:w="1652"/>
              <w:gridCol w:w="1650"/>
              <w:gridCol w:w="1650"/>
            </w:tblGrid>
            <w:tr w14:paraId="245E20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2403" w:type="dxa"/>
                  <w:vMerge w:val="restart"/>
                  <w:tcBorders>
                    <w:tl2br w:val="nil"/>
                    <w:tr2bl w:val="nil"/>
                  </w:tcBorders>
                </w:tcPr>
                <w:p w14:paraId="5949421F">
                  <w:pPr>
                    <w:widowControl/>
                    <w:autoSpaceDE w:val="0"/>
                    <w:autoSpaceDN w:val="0"/>
                    <w:ind w:left="105" w:leftChars="50" w:right="105" w:rightChars="50"/>
                    <w:jc w:val="center"/>
                    <w:rPr>
                      <w:kern w:val="0"/>
                      <w:szCs w:val="21"/>
                    </w:rPr>
                  </w:pPr>
                  <w:r>
                    <w:rPr>
                      <w:kern w:val="0"/>
                      <w:szCs w:val="21"/>
                    </w:rPr>
                    <w:t>环境敏感程度（E）</w:t>
                  </w:r>
                </w:p>
              </w:tc>
              <w:tc>
                <w:tcPr>
                  <w:tcW w:w="6602" w:type="dxa"/>
                  <w:gridSpan w:val="4"/>
                  <w:tcBorders>
                    <w:tl2br w:val="nil"/>
                    <w:tr2bl w:val="nil"/>
                  </w:tcBorders>
                </w:tcPr>
                <w:p w14:paraId="308F2B9B">
                  <w:pPr>
                    <w:widowControl/>
                    <w:autoSpaceDE w:val="0"/>
                    <w:autoSpaceDN w:val="0"/>
                    <w:ind w:left="105" w:leftChars="50" w:right="105" w:rightChars="50"/>
                    <w:jc w:val="center"/>
                    <w:rPr>
                      <w:kern w:val="0"/>
                      <w:szCs w:val="21"/>
                    </w:rPr>
                  </w:pPr>
                  <w:r>
                    <w:rPr>
                      <w:kern w:val="0"/>
                      <w:szCs w:val="21"/>
                    </w:rPr>
                    <w:t>危险物质及工艺系统危险性（P）</w:t>
                  </w:r>
                </w:p>
              </w:tc>
            </w:tr>
            <w:tr w14:paraId="309065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2403" w:type="dxa"/>
                  <w:vMerge w:val="continue"/>
                  <w:tcBorders>
                    <w:tl2br w:val="nil"/>
                    <w:tr2bl w:val="nil"/>
                  </w:tcBorders>
                </w:tcPr>
                <w:p w14:paraId="05E29584">
                  <w:pPr>
                    <w:widowControl/>
                    <w:autoSpaceDE w:val="0"/>
                    <w:autoSpaceDN w:val="0"/>
                    <w:ind w:left="105" w:leftChars="50" w:right="105" w:rightChars="50"/>
                    <w:jc w:val="center"/>
                    <w:rPr>
                      <w:kern w:val="0"/>
                      <w:szCs w:val="21"/>
                    </w:rPr>
                  </w:pPr>
                </w:p>
              </w:tc>
              <w:tc>
                <w:tcPr>
                  <w:tcW w:w="1650" w:type="dxa"/>
                  <w:tcBorders>
                    <w:tl2br w:val="nil"/>
                    <w:tr2bl w:val="nil"/>
                  </w:tcBorders>
                </w:tcPr>
                <w:p w14:paraId="40DBC130">
                  <w:pPr>
                    <w:pStyle w:val="66"/>
                    <w:widowControl/>
                    <w:ind w:left="105" w:leftChars="50" w:right="105"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极高危害（P1）</w:t>
                  </w:r>
                </w:p>
              </w:tc>
              <w:tc>
                <w:tcPr>
                  <w:tcW w:w="1652" w:type="dxa"/>
                  <w:tcBorders>
                    <w:tl2br w:val="nil"/>
                    <w:tr2bl w:val="nil"/>
                  </w:tcBorders>
                </w:tcPr>
                <w:p w14:paraId="100AA086">
                  <w:pPr>
                    <w:pStyle w:val="66"/>
                    <w:widowControl/>
                    <w:ind w:left="105" w:leftChars="50" w:right="105"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高度危害（P2）</w:t>
                  </w:r>
                </w:p>
              </w:tc>
              <w:tc>
                <w:tcPr>
                  <w:tcW w:w="1650" w:type="dxa"/>
                  <w:tcBorders>
                    <w:tl2br w:val="nil"/>
                    <w:tr2bl w:val="nil"/>
                  </w:tcBorders>
                </w:tcPr>
                <w:p w14:paraId="27C5F712">
                  <w:pPr>
                    <w:pStyle w:val="66"/>
                    <w:widowControl/>
                    <w:ind w:left="105" w:leftChars="50" w:right="105"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中度危害（P3）</w:t>
                  </w:r>
                </w:p>
              </w:tc>
              <w:tc>
                <w:tcPr>
                  <w:tcW w:w="1650" w:type="dxa"/>
                  <w:tcBorders>
                    <w:tl2br w:val="nil"/>
                    <w:tr2bl w:val="nil"/>
                  </w:tcBorders>
                </w:tcPr>
                <w:p w14:paraId="188CB0A6">
                  <w:pPr>
                    <w:pStyle w:val="66"/>
                    <w:widowControl/>
                    <w:ind w:left="105" w:leftChars="50" w:right="105" w:rightChars="50"/>
                    <w:jc w:val="center"/>
                    <w:rPr>
                      <w:rFonts w:ascii="Times New Roman" w:hAnsi="Times New Roman" w:cs="Times New Roman"/>
                      <w:sz w:val="21"/>
                      <w:szCs w:val="21"/>
                      <w:lang w:eastAsia="zh-CN"/>
                    </w:rPr>
                  </w:pPr>
                  <w:r>
                    <w:rPr>
                      <w:rFonts w:ascii="Times New Roman" w:hAnsi="Times New Roman" w:cs="Times New Roman"/>
                      <w:sz w:val="21"/>
                      <w:szCs w:val="21"/>
                      <w:lang w:eastAsia="zh-CN"/>
                    </w:rPr>
                    <w:t>轻度危害（P4）</w:t>
                  </w:r>
                </w:p>
              </w:tc>
            </w:tr>
            <w:tr w14:paraId="1389D7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2403" w:type="dxa"/>
                  <w:tcBorders>
                    <w:tl2br w:val="nil"/>
                    <w:tr2bl w:val="nil"/>
                  </w:tcBorders>
                </w:tcPr>
                <w:p w14:paraId="5E8CE80E">
                  <w:pPr>
                    <w:widowControl/>
                    <w:autoSpaceDE w:val="0"/>
                    <w:autoSpaceDN w:val="0"/>
                    <w:ind w:left="105" w:leftChars="50" w:right="105" w:rightChars="50"/>
                    <w:jc w:val="center"/>
                    <w:rPr>
                      <w:kern w:val="0"/>
                      <w:szCs w:val="21"/>
                    </w:rPr>
                  </w:pPr>
                  <w:r>
                    <w:rPr>
                      <w:kern w:val="0"/>
                      <w:szCs w:val="21"/>
                    </w:rPr>
                    <w:t>环境高度敏感区（E1）</w:t>
                  </w:r>
                </w:p>
              </w:tc>
              <w:tc>
                <w:tcPr>
                  <w:tcW w:w="1650" w:type="dxa"/>
                  <w:tcBorders>
                    <w:tl2br w:val="nil"/>
                    <w:tr2bl w:val="nil"/>
                  </w:tcBorders>
                </w:tcPr>
                <w:p w14:paraId="73A656BC">
                  <w:pPr>
                    <w:widowControl/>
                    <w:autoSpaceDE w:val="0"/>
                    <w:autoSpaceDN w:val="0"/>
                    <w:ind w:left="105" w:leftChars="50" w:right="105" w:rightChars="50"/>
                    <w:jc w:val="center"/>
                    <w:rPr>
                      <w:kern w:val="0"/>
                      <w:szCs w:val="21"/>
                    </w:rPr>
                  </w:pPr>
                  <w:r>
                    <w:rPr>
                      <w:kern w:val="0"/>
                      <w:szCs w:val="21"/>
                    </w:rPr>
                    <w:t>Ⅳ*</w:t>
                  </w:r>
                </w:p>
              </w:tc>
              <w:tc>
                <w:tcPr>
                  <w:tcW w:w="1652" w:type="dxa"/>
                  <w:tcBorders>
                    <w:tl2br w:val="nil"/>
                    <w:tr2bl w:val="nil"/>
                  </w:tcBorders>
                </w:tcPr>
                <w:p w14:paraId="16C9FB07">
                  <w:pPr>
                    <w:widowControl/>
                    <w:autoSpaceDE w:val="0"/>
                    <w:autoSpaceDN w:val="0"/>
                    <w:ind w:left="105" w:leftChars="50" w:right="105" w:rightChars="50"/>
                    <w:jc w:val="center"/>
                    <w:rPr>
                      <w:kern w:val="0"/>
                      <w:szCs w:val="21"/>
                    </w:rPr>
                  </w:pPr>
                  <w:r>
                    <w:rPr>
                      <w:kern w:val="0"/>
                      <w:szCs w:val="21"/>
                    </w:rPr>
                    <w:t>Ⅳ</w:t>
                  </w:r>
                </w:p>
              </w:tc>
              <w:tc>
                <w:tcPr>
                  <w:tcW w:w="1650" w:type="dxa"/>
                  <w:tcBorders>
                    <w:tl2br w:val="nil"/>
                    <w:tr2bl w:val="nil"/>
                  </w:tcBorders>
                </w:tcPr>
                <w:p w14:paraId="5FA6227D">
                  <w:pPr>
                    <w:widowControl/>
                    <w:autoSpaceDE w:val="0"/>
                    <w:autoSpaceDN w:val="0"/>
                    <w:ind w:left="105" w:leftChars="50" w:right="105" w:rightChars="50"/>
                    <w:jc w:val="center"/>
                    <w:rPr>
                      <w:kern w:val="0"/>
                      <w:szCs w:val="21"/>
                    </w:rPr>
                  </w:pPr>
                  <w:r>
                    <w:rPr>
                      <w:kern w:val="0"/>
                      <w:szCs w:val="21"/>
                    </w:rPr>
                    <w:t>Ⅲ</w:t>
                  </w:r>
                </w:p>
              </w:tc>
              <w:tc>
                <w:tcPr>
                  <w:tcW w:w="1650" w:type="dxa"/>
                  <w:tcBorders>
                    <w:tl2br w:val="nil"/>
                    <w:tr2bl w:val="nil"/>
                  </w:tcBorders>
                </w:tcPr>
                <w:p w14:paraId="1AE05870">
                  <w:pPr>
                    <w:widowControl/>
                    <w:autoSpaceDE w:val="0"/>
                    <w:autoSpaceDN w:val="0"/>
                    <w:ind w:left="105" w:leftChars="50" w:right="105" w:rightChars="50"/>
                    <w:jc w:val="center"/>
                    <w:rPr>
                      <w:kern w:val="0"/>
                      <w:szCs w:val="21"/>
                    </w:rPr>
                  </w:pPr>
                  <w:r>
                    <w:rPr>
                      <w:kern w:val="0"/>
                      <w:szCs w:val="21"/>
                    </w:rPr>
                    <w:t>Ⅲ</w:t>
                  </w:r>
                </w:p>
              </w:tc>
            </w:tr>
            <w:tr w14:paraId="651FAB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2403" w:type="dxa"/>
                  <w:tcBorders>
                    <w:tl2br w:val="nil"/>
                    <w:tr2bl w:val="nil"/>
                  </w:tcBorders>
                </w:tcPr>
                <w:p w14:paraId="4FD28326">
                  <w:pPr>
                    <w:widowControl/>
                    <w:autoSpaceDE w:val="0"/>
                    <w:autoSpaceDN w:val="0"/>
                    <w:ind w:left="105" w:leftChars="50" w:right="105" w:rightChars="50"/>
                    <w:jc w:val="center"/>
                    <w:rPr>
                      <w:kern w:val="0"/>
                      <w:szCs w:val="21"/>
                    </w:rPr>
                  </w:pPr>
                  <w:r>
                    <w:rPr>
                      <w:kern w:val="0"/>
                      <w:szCs w:val="21"/>
                    </w:rPr>
                    <w:t>环境中度敏感区（E1）</w:t>
                  </w:r>
                </w:p>
              </w:tc>
              <w:tc>
                <w:tcPr>
                  <w:tcW w:w="1650" w:type="dxa"/>
                  <w:tcBorders>
                    <w:tl2br w:val="nil"/>
                    <w:tr2bl w:val="nil"/>
                  </w:tcBorders>
                </w:tcPr>
                <w:p w14:paraId="30E26713">
                  <w:pPr>
                    <w:widowControl/>
                    <w:autoSpaceDE w:val="0"/>
                    <w:autoSpaceDN w:val="0"/>
                    <w:ind w:left="105" w:leftChars="50" w:right="105" w:rightChars="50"/>
                    <w:jc w:val="center"/>
                    <w:rPr>
                      <w:kern w:val="0"/>
                      <w:szCs w:val="21"/>
                    </w:rPr>
                  </w:pPr>
                  <w:r>
                    <w:rPr>
                      <w:kern w:val="0"/>
                      <w:szCs w:val="21"/>
                    </w:rPr>
                    <w:t>Ⅳ</w:t>
                  </w:r>
                </w:p>
              </w:tc>
              <w:tc>
                <w:tcPr>
                  <w:tcW w:w="1652" w:type="dxa"/>
                  <w:tcBorders>
                    <w:tl2br w:val="nil"/>
                    <w:tr2bl w:val="nil"/>
                  </w:tcBorders>
                </w:tcPr>
                <w:p w14:paraId="1E62EFCB">
                  <w:pPr>
                    <w:widowControl/>
                    <w:autoSpaceDE w:val="0"/>
                    <w:autoSpaceDN w:val="0"/>
                    <w:ind w:left="105" w:leftChars="50" w:right="105" w:rightChars="50"/>
                    <w:jc w:val="center"/>
                    <w:rPr>
                      <w:kern w:val="0"/>
                      <w:szCs w:val="21"/>
                    </w:rPr>
                  </w:pPr>
                  <w:r>
                    <w:rPr>
                      <w:kern w:val="0"/>
                      <w:szCs w:val="21"/>
                    </w:rPr>
                    <w:t>Ⅲ</w:t>
                  </w:r>
                </w:p>
              </w:tc>
              <w:tc>
                <w:tcPr>
                  <w:tcW w:w="1650" w:type="dxa"/>
                  <w:tcBorders>
                    <w:tl2br w:val="nil"/>
                    <w:tr2bl w:val="nil"/>
                  </w:tcBorders>
                </w:tcPr>
                <w:p w14:paraId="5A7110A3">
                  <w:pPr>
                    <w:widowControl/>
                    <w:autoSpaceDE w:val="0"/>
                    <w:autoSpaceDN w:val="0"/>
                    <w:ind w:left="105" w:leftChars="50" w:right="105" w:rightChars="50"/>
                    <w:jc w:val="center"/>
                    <w:rPr>
                      <w:kern w:val="0"/>
                      <w:szCs w:val="21"/>
                    </w:rPr>
                  </w:pPr>
                  <w:r>
                    <w:rPr>
                      <w:kern w:val="0"/>
                      <w:szCs w:val="21"/>
                    </w:rPr>
                    <w:t>Ⅲ</w:t>
                  </w:r>
                </w:p>
              </w:tc>
              <w:tc>
                <w:tcPr>
                  <w:tcW w:w="1650" w:type="dxa"/>
                  <w:tcBorders>
                    <w:tl2br w:val="nil"/>
                    <w:tr2bl w:val="nil"/>
                  </w:tcBorders>
                </w:tcPr>
                <w:p w14:paraId="17CAFBDB">
                  <w:pPr>
                    <w:widowControl/>
                    <w:autoSpaceDE w:val="0"/>
                    <w:autoSpaceDN w:val="0"/>
                    <w:ind w:left="105" w:leftChars="50" w:right="105" w:rightChars="50"/>
                    <w:jc w:val="center"/>
                    <w:rPr>
                      <w:kern w:val="0"/>
                      <w:szCs w:val="21"/>
                    </w:rPr>
                  </w:pPr>
                  <w:r>
                    <w:rPr>
                      <w:kern w:val="0"/>
                      <w:szCs w:val="21"/>
                    </w:rPr>
                    <w:t>Ⅱ</w:t>
                  </w:r>
                </w:p>
              </w:tc>
            </w:tr>
            <w:tr w14:paraId="74F646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2403" w:type="dxa"/>
                  <w:tcBorders>
                    <w:tl2br w:val="nil"/>
                    <w:tr2bl w:val="nil"/>
                  </w:tcBorders>
                </w:tcPr>
                <w:p w14:paraId="29C9EBB8">
                  <w:pPr>
                    <w:widowControl/>
                    <w:autoSpaceDE w:val="0"/>
                    <w:autoSpaceDN w:val="0"/>
                    <w:ind w:left="105" w:leftChars="50" w:right="105" w:rightChars="50"/>
                    <w:jc w:val="center"/>
                    <w:rPr>
                      <w:kern w:val="0"/>
                      <w:szCs w:val="21"/>
                    </w:rPr>
                  </w:pPr>
                  <w:r>
                    <w:rPr>
                      <w:kern w:val="0"/>
                      <w:szCs w:val="21"/>
                    </w:rPr>
                    <w:t>环境低度敏感区（E1）</w:t>
                  </w:r>
                </w:p>
              </w:tc>
              <w:tc>
                <w:tcPr>
                  <w:tcW w:w="1650" w:type="dxa"/>
                  <w:tcBorders>
                    <w:tl2br w:val="nil"/>
                    <w:tr2bl w:val="nil"/>
                  </w:tcBorders>
                </w:tcPr>
                <w:p w14:paraId="4A175F58">
                  <w:pPr>
                    <w:widowControl/>
                    <w:autoSpaceDE w:val="0"/>
                    <w:autoSpaceDN w:val="0"/>
                    <w:ind w:left="105" w:leftChars="50" w:right="105" w:rightChars="50"/>
                    <w:jc w:val="center"/>
                    <w:rPr>
                      <w:kern w:val="0"/>
                      <w:szCs w:val="21"/>
                    </w:rPr>
                  </w:pPr>
                  <w:r>
                    <w:rPr>
                      <w:kern w:val="0"/>
                      <w:szCs w:val="21"/>
                    </w:rPr>
                    <w:t>Ⅲ</w:t>
                  </w:r>
                </w:p>
              </w:tc>
              <w:tc>
                <w:tcPr>
                  <w:tcW w:w="1652" w:type="dxa"/>
                  <w:tcBorders>
                    <w:tl2br w:val="nil"/>
                    <w:tr2bl w:val="nil"/>
                  </w:tcBorders>
                </w:tcPr>
                <w:p w14:paraId="0BEC8F46">
                  <w:pPr>
                    <w:widowControl/>
                    <w:autoSpaceDE w:val="0"/>
                    <w:autoSpaceDN w:val="0"/>
                    <w:ind w:left="105" w:leftChars="50" w:right="105" w:rightChars="50"/>
                    <w:jc w:val="center"/>
                    <w:rPr>
                      <w:kern w:val="0"/>
                      <w:szCs w:val="21"/>
                    </w:rPr>
                  </w:pPr>
                  <w:r>
                    <w:rPr>
                      <w:kern w:val="0"/>
                      <w:szCs w:val="21"/>
                    </w:rPr>
                    <w:t>Ⅲ</w:t>
                  </w:r>
                </w:p>
              </w:tc>
              <w:tc>
                <w:tcPr>
                  <w:tcW w:w="1650" w:type="dxa"/>
                  <w:tcBorders>
                    <w:tl2br w:val="nil"/>
                    <w:tr2bl w:val="nil"/>
                  </w:tcBorders>
                </w:tcPr>
                <w:p w14:paraId="53ADA105">
                  <w:pPr>
                    <w:widowControl/>
                    <w:autoSpaceDE w:val="0"/>
                    <w:autoSpaceDN w:val="0"/>
                    <w:ind w:left="105" w:leftChars="50" w:right="105" w:rightChars="50"/>
                    <w:jc w:val="center"/>
                    <w:rPr>
                      <w:kern w:val="0"/>
                      <w:szCs w:val="21"/>
                    </w:rPr>
                  </w:pPr>
                  <w:r>
                    <w:rPr>
                      <w:kern w:val="0"/>
                      <w:szCs w:val="21"/>
                    </w:rPr>
                    <w:t>Ⅱ</w:t>
                  </w:r>
                </w:p>
              </w:tc>
              <w:tc>
                <w:tcPr>
                  <w:tcW w:w="1650" w:type="dxa"/>
                  <w:tcBorders>
                    <w:tl2br w:val="nil"/>
                    <w:tr2bl w:val="nil"/>
                  </w:tcBorders>
                </w:tcPr>
                <w:p w14:paraId="22F89DBE">
                  <w:pPr>
                    <w:widowControl/>
                    <w:autoSpaceDE w:val="0"/>
                    <w:autoSpaceDN w:val="0"/>
                    <w:ind w:left="105" w:leftChars="50" w:right="105" w:rightChars="50"/>
                    <w:jc w:val="center"/>
                    <w:rPr>
                      <w:kern w:val="0"/>
                      <w:szCs w:val="21"/>
                    </w:rPr>
                  </w:pPr>
                  <w:r>
                    <w:rPr>
                      <w:kern w:val="0"/>
                      <w:szCs w:val="21"/>
                    </w:rPr>
                    <w:t>Ⅰ</w:t>
                  </w:r>
                </w:p>
              </w:tc>
            </w:tr>
          </w:tbl>
          <w:p w14:paraId="271D4C2A">
            <w:pPr>
              <w:spacing w:before="120" w:beforeLines="50" w:line="360" w:lineRule="auto"/>
              <w:ind w:firstLine="480" w:firstLineChars="200"/>
              <w:rPr>
                <w:sz w:val="24"/>
              </w:rPr>
            </w:pPr>
            <w:r>
              <w:rPr>
                <w:sz w:val="24"/>
              </w:rPr>
              <w:t>危险物质及工艺系统危险性（P）分级：</w:t>
            </w:r>
          </w:p>
          <w:p w14:paraId="2809C540">
            <w:pPr>
              <w:spacing w:line="360" w:lineRule="auto"/>
              <w:ind w:firstLine="480" w:firstLineChars="200"/>
              <w:rPr>
                <w:sz w:val="24"/>
              </w:rPr>
            </w:pPr>
            <w:r>
              <w:rPr>
                <w:sz w:val="24"/>
              </w:rPr>
              <w:t>计算所涉及的每种危险物质在厂界内的最大存在总量与其在《建设项目环境风险评价技术导则》（HJ169—2018）附录 B 中对应临界量的比值Q。在不同厂区的同一种物质，按其在厂界内的最大存在总量计算。对于长输管线项目，按照两个截断阀室之间管段危险物质最大存在总量计算。</w:t>
            </w:r>
          </w:p>
          <w:p w14:paraId="13637E91">
            <w:pPr>
              <w:spacing w:line="360" w:lineRule="auto"/>
              <w:ind w:firstLine="480" w:firstLineChars="200"/>
              <w:rPr>
                <w:sz w:val="24"/>
              </w:rPr>
            </w:pPr>
            <w:r>
              <w:rPr>
                <w:sz w:val="24"/>
              </w:rPr>
              <w:t>当只涉及一种危险物质时，计算该物质的总量与其临界量比值，即为Q；</w:t>
            </w:r>
          </w:p>
          <w:p w14:paraId="779BBF5E">
            <w:pPr>
              <w:spacing w:line="360" w:lineRule="auto"/>
              <w:ind w:firstLine="480" w:firstLineChars="200"/>
              <w:rPr>
                <w:sz w:val="24"/>
              </w:rPr>
            </w:pPr>
            <w:r>
              <w:rPr>
                <w:sz w:val="24"/>
              </w:rPr>
              <w:t>当存在多种危险物质时，则按式（C.1）计算物质总量与其临界量比值（Q）：</w:t>
            </w:r>
          </w:p>
          <w:p w14:paraId="37293764">
            <w:pPr>
              <w:pStyle w:val="44"/>
              <w:rPr>
                <w:rFonts w:ascii="Times New Roman" w:hAnsi="Times New Roman" w:cs="Times New Roman"/>
                <w:color w:val="auto"/>
              </w:rPr>
            </w:pPr>
            <w:r>
              <w:rPr>
                <w:rFonts w:ascii="Times New Roman" w:hAnsi="Times New Roman" w:cs="Times New Roman"/>
                <w:color w:val="auto"/>
              </w:rPr>
              <w:drawing>
                <wp:inline distT="0" distB="0" distL="0" distR="0">
                  <wp:extent cx="2009775" cy="533400"/>
                  <wp:effectExtent l="0" t="0" r="0" b="0"/>
                  <wp:docPr id="8"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09775" cy="533400"/>
                          </a:xfrm>
                          <a:prstGeom prst="rect">
                            <a:avLst/>
                          </a:prstGeom>
                          <a:noFill/>
                          <a:ln>
                            <a:noFill/>
                          </a:ln>
                        </pic:spPr>
                      </pic:pic>
                    </a:graphicData>
                  </a:graphic>
                </wp:inline>
              </w:drawing>
            </w:r>
            <w:r>
              <w:rPr>
                <w:rFonts w:ascii="Times New Roman" w:hAnsi="Times New Roman" w:cs="Times New Roman"/>
                <w:color w:val="auto"/>
              </w:rPr>
              <w:t xml:space="preserve">     （C.1）</w:t>
            </w:r>
          </w:p>
          <w:p w14:paraId="1A497673">
            <w:pPr>
              <w:spacing w:line="360" w:lineRule="auto"/>
              <w:ind w:firstLine="480" w:firstLineChars="200"/>
              <w:rPr>
                <w:sz w:val="24"/>
              </w:rPr>
            </w:pPr>
            <w:r>
              <w:rPr>
                <w:sz w:val="24"/>
              </w:rPr>
              <w:t>式中：q1，q2，...，qn——每种危险物质的最大存在总量，t；</w:t>
            </w:r>
          </w:p>
          <w:p w14:paraId="3938BCA4">
            <w:pPr>
              <w:spacing w:line="360" w:lineRule="auto"/>
              <w:ind w:firstLine="480" w:firstLineChars="200"/>
              <w:rPr>
                <w:sz w:val="24"/>
              </w:rPr>
            </w:pPr>
            <w:r>
              <w:rPr>
                <w:sz w:val="24"/>
              </w:rPr>
              <w:t>Q1,Q2,...,Qn——每种危险物质的临界量，t。</w:t>
            </w:r>
          </w:p>
          <w:p w14:paraId="1B59D183">
            <w:pPr>
              <w:spacing w:line="360" w:lineRule="auto"/>
              <w:ind w:firstLine="480" w:firstLineChars="200"/>
              <w:rPr>
                <w:sz w:val="24"/>
              </w:rPr>
            </w:pPr>
            <w:r>
              <w:rPr>
                <w:sz w:val="24"/>
              </w:rPr>
              <w:t>当Q＜1时，该项目环境风险潜势为Ⅰ。</w:t>
            </w:r>
          </w:p>
          <w:p w14:paraId="3C783CDA">
            <w:pPr>
              <w:spacing w:line="360" w:lineRule="auto"/>
              <w:ind w:firstLine="480" w:firstLineChars="200"/>
              <w:rPr>
                <w:sz w:val="24"/>
              </w:rPr>
            </w:pPr>
            <w:r>
              <w:rPr>
                <w:sz w:val="24"/>
              </w:rPr>
              <w:t>当Q≥1时，将Q值划分为：</w:t>
            </w:r>
          </w:p>
          <w:p w14:paraId="56A997B5">
            <w:pPr>
              <w:spacing w:line="360" w:lineRule="auto"/>
              <w:ind w:firstLine="480" w:firstLineChars="200"/>
              <w:rPr>
                <w:sz w:val="24"/>
              </w:rPr>
            </w:pPr>
            <w:r>
              <w:rPr>
                <w:sz w:val="24"/>
              </w:rPr>
              <w:t>（1）1≤Q＜10；</w:t>
            </w:r>
          </w:p>
          <w:p w14:paraId="440EB376">
            <w:pPr>
              <w:spacing w:line="360" w:lineRule="auto"/>
              <w:ind w:firstLine="480" w:firstLineChars="200"/>
              <w:rPr>
                <w:sz w:val="24"/>
              </w:rPr>
            </w:pPr>
            <w:r>
              <w:rPr>
                <w:sz w:val="24"/>
              </w:rPr>
              <w:t>（2）10≤Q＜100；</w:t>
            </w:r>
          </w:p>
          <w:p w14:paraId="6E33C337">
            <w:pPr>
              <w:spacing w:line="360" w:lineRule="auto"/>
              <w:ind w:firstLine="480" w:firstLineChars="200"/>
              <w:rPr>
                <w:sz w:val="24"/>
              </w:rPr>
            </w:pPr>
            <w:r>
              <w:rPr>
                <w:sz w:val="24"/>
              </w:rPr>
              <w:t>（3）Q≥100。</w:t>
            </w:r>
          </w:p>
          <w:p w14:paraId="6E2CFA97">
            <w:pPr>
              <w:spacing w:line="360" w:lineRule="auto"/>
              <w:ind w:firstLine="480" w:firstLineChars="200"/>
              <w:rPr>
                <w:sz w:val="24"/>
              </w:rPr>
            </w:pPr>
            <w:r>
              <w:rPr>
                <w:sz w:val="24"/>
              </w:rPr>
              <w:t>根据参照《建设项目环境风险评价技术 导则》（HJ/T169-2018）附录B“重点关注的危险物质及临界量”中相关内容，本项目风险物质为废矿物油。</w:t>
            </w:r>
          </w:p>
          <w:p w14:paraId="711887C6">
            <w:pPr>
              <w:adjustRightInd w:val="0"/>
              <w:snapToGrid w:val="0"/>
              <w:jc w:val="center"/>
              <w:rPr>
                <w:b/>
                <w:sz w:val="24"/>
              </w:rPr>
            </w:pPr>
            <w:r>
              <w:rPr>
                <w:b/>
                <w:sz w:val="24"/>
              </w:rPr>
              <w:t>表4-12  项目危险物质总量与临界量比值（Q）结果</w:t>
            </w:r>
          </w:p>
          <w:tbl>
            <w:tblPr>
              <w:tblStyle w:val="26"/>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553"/>
              <w:gridCol w:w="2429"/>
              <w:gridCol w:w="1803"/>
              <w:gridCol w:w="1803"/>
            </w:tblGrid>
            <w:tr w14:paraId="69F1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vAlign w:val="center"/>
                </w:tcPr>
                <w:p w14:paraId="72DA99F0">
                  <w:pPr>
                    <w:adjustRightInd w:val="0"/>
                    <w:snapToGrid w:val="0"/>
                    <w:jc w:val="center"/>
                    <w:rPr>
                      <w:bCs/>
                      <w:szCs w:val="21"/>
                    </w:rPr>
                  </w:pPr>
                  <w:r>
                    <w:rPr>
                      <w:bCs/>
                      <w:szCs w:val="21"/>
                    </w:rPr>
                    <w:t>物质名称</w:t>
                  </w:r>
                </w:p>
              </w:tc>
              <w:tc>
                <w:tcPr>
                  <w:tcW w:w="1553" w:type="dxa"/>
                  <w:vAlign w:val="center"/>
                </w:tcPr>
                <w:p w14:paraId="26F5B3D6">
                  <w:pPr>
                    <w:adjustRightInd w:val="0"/>
                    <w:snapToGrid w:val="0"/>
                    <w:jc w:val="center"/>
                    <w:rPr>
                      <w:bCs/>
                      <w:szCs w:val="21"/>
                    </w:rPr>
                  </w:pPr>
                  <w:r>
                    <w:rPr>
                      <w:bCs/>
                      <w:szCs w:val="21"/>
                    </w:rPr>
                    <w:t>CAS号</w:t>
                  </w:r>
                </w:p>
              </w:tc>
              <w:tc>
                <w:tcPr>
                  <w:tcW w:w="2429" w:type="dxa"/>
                  <w:vAlign w:val="center"/>
                </w:tcPr>
                <w:p w14:paraId="09A9B6A0">
                  <w:pPr>
                    <w:adjustRightInd w:val="0"/>
                    <w:snapToGrid w:val="0"/>
                    <w:jc w:val="center"/>
                    <w:rPr>
                      <w:bCs/>
                      <w:szCs w:val="21"/>
                    </w:rPr>
                  </w:pPr>
                  <w:r>
                    <w:rPr>
                      <w:bCs/>
                      <w:szCs w:val="21"/>
                    </w:rPr>
                    <w:t>项目内最大存储量（t）</w:t>
                  </w:r>
                </w:p>
              </w:tc>
              <w:tc>
                <w:tcPr>
                  <w:tcW w:w="1803" w:type="dxa"/>
                  <w:vAlign w:val="center"/>
                </w:tcPr>
                <w:p w14:paraId="552411DD">
                  <w:pPr>
                    <w:adjustRightInd w:val="0"/>
                    <w:snapToGrid w:val="0"/>
                    <w:jc w:val="center"/>
                    <w:rPr>
                      <w:szCs w:val="21"/>
                    </w:rPr>
                  </w:pPr>
                  <w:r>
                    <w:rPr>
                      <w:szCs w:val="21"/>
                    </w:rPr>
                    <w:t>临界量（t）</w:t>
                  </w:r>
                </w:p>
              </w:tc>
              <w:tc>
                <w:tcPr>
                  <w:tcW w:w="1803" w:type="dxa"/>
                  <w:vAlign w:val="center"/>
                </w:tcPr>
                <w:p w14:paraId="23ED0ADE">
                  <w:pPr>
                    <w:adjustRightInd w:val="0"/>
                    <w:snapToGrid w:val="0"/>
                    <w:jc w:val="center"/>
                    <w:rPr>
                      <w:bCs/>
                      <w:szCs w:val="21"/>
                    </w:rPr>
                  </w:pPr>
                  <w:r>
                    <w:rPr>
                      <w:bCs/>
                      <w:szCs w:val="21"/>
                    </w:rPr>
                    <w:t>Q</w:t>
                  </w:r>
                </w:p>
              </w:tc>
            </w:tr>
            <w:tr w14:paraId="543C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vAlign w:val="center"/>
                </w:tcPr>
                <w:p w14:paraId="02DE58DC">
                  <w:pPr>
                    <w:adjustRightInd w:val="0"/>
                    <w:snapToGrid w:val="0"/>
                    <w:jc w:val="center"/>
                    <w:rPr>
                      <w:bCs/>
                      <w:szCs w:val="21"/>
                    </w:rPr>
                  </w:pPr>
                  <w:r>
                    <w:rPr>
                      <w:bCs/>
                      <w:szCs w:val="21"/>
                    </w:rPr>
                    <w:t>氢氧化钠</w:t>
                  </w:r>
                </w:p>
              </w:tc>
              <w:tc>
                <w:tcPr>
                  <w:tcW w:w="1553" w:type="dxa"/>
                  <w:vAlign w:val="center"/>
                </w:tcPr>
                <w:p w14:paraId="09A7374D">
                  <w:pPr>
                    <w:adjustRightInd w:val="0"/>
                    <w:snapToGrid w:val="0"/>
                    <w:jc w:val="center"/>
                    <w:rPr>
                      <w:bCs/>
                      <w:szCs w:val="21"/>
                    </w:rPr>
                  </w:pPr>
                  <w:r>
                    <w:rPr>
                      <w:bCs/>
                      <w:szCs w:val="21"/>
                    </w:rPr>
                    <w:t>/</w:t>
                  </w:r>
                </w:p>
              </w:tc>
              <w:tc>
                <w:tcPr>
                  <w:tcW w:w="2429" w:type="dxa"/>
                  <w:vAlign w:val="center"/>
                </w:tcPr>
                <w:p w14:paraId="495D09FC">
                  <w:pPr>
                    <w:adjustRightInd w:val="0"/>
                    <w:snapToGrid w:val="0"/>
                    <w:jc w:val="center"/>
                    <w:rPr>
                      <w:bCs/>
                      <w:szCs w:val="21"/>
                    </w:rPr>
                  </w:pPr>
                  <w:r>
                    <w:rPr>
                      <w:bCs/>
                      <w:szCs w:val="21"/>
                    </w:rPr>
                    <w:t>3</w:t>
                  </w:r>
                </w:p>
              </w:tc>
              <w:tc>
                <w:tcPr>
                  <w:tcW w:w="1803" w:type="dxa"/>
                  <w:vAlign w:val="center"/>
                </w:tcPr>
                <w:p w14:paraId="30DBAB85">
                  <w:pPr>
                    <w:adjustRightInd w:val="0"/>
                    <w:snapToGrid w:val="0"/>
                    <w:jc w:val="center"/>
                    <w:rPr>
                      <w:szCs w:val="21"/>
                    </w:rPr>
                  </w:pPr>
                  <w:r>
                    <w:rPr>
                      <w:szCs w:val="21"/>
                    </w:rPr>
                    <w:t>5</w:t>
                  </w:r>
                </w:p>
              </w:tc>
              <w:tc>
                <w:tcPr>
                  <w:tcW w:w="1803" w:type="dxa"/>
                  <w:vAlign w:val="center"/>
                </w:tcPr>
                <w:p w14:paraId="74DA8642">
                  <w:pPr>
                    <w:adjustRightInd w:val="0"/>
                    <w:snapToGrid w:val="0"/>
                    <w:jc w:val="center"/>
                    <w:rPr>
                      <w:bCs/>
                      <w:szCs w:val="21"/>
                    </w:rPr>
                  </w:pPr>
                  <w:r>
                    <w:rPr>
                      <w:bCs/>
                      <w:szCs w:val="21"/>
                    </w:rPr>
                    <w:t>0.6</w:t>
                  </w:r>
                </w:p>
              </w:tc>
            </w:tr>
            <w:tr w14:paraId="7A19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vAlign w:val="center"/>
                </w:tcPr>
                <w:p w14:paraId="5182405E">
                  <w:pPr>
                    <w:adjustRightInd w:val="0"/>
                    <w:snapToGrid w:val="0"/>
                    <w:jc w:val="center"/>
                    <w:rPr>
                      <w:bCs/>
                      <w:szCs w:val="21"/>
                    </w:rPr>
                  </w:pPr>
                  <w:r>
                    <w:rPr>
                      <w:bCs/>
                      <w:szCs w:val="21"/>
                    </w:rPr>
                    <w:t>合计</w:t>
                  </w:r>
                </w:p>
              </w:tc>
              <w:tc>
                <w:tcPr>
                  <w:tcW w:w="1553" w:type="dxa"/>
                  <w:vAlign w:val="center"/>
                </w:tcPr>
                <w:p w14:paraId="2E1679F1">
                  <w:pPr>
                    <w:adjustRightInd w:val="0"/>
                    <w:snapToGrid w:val="0"/>
                    <w:jc w:val="center"/>
                    <w:rPr>
                      <w:bCs/>
                      <w:szCs w:val="21"/>
                    </w:rPr>
                  </w:pPr>
                  <w:r>
                    <w:rPr>
                      <w:bCs/>
                      <w:szCs w:val="21"/>
                    </w:rPr>
                    <w:t>/</w:t>
                  </w:r>
                </w:p>
              </w:tc>
              <w:tc>
                <w:tcPr>
                  <w:tcW w:w="2429" w:type="dxa"/>
                  <w:vAlign w:val="center"/>
                </w:tcPr>
                <w:p w14:paraId="188062C9">
                  <w:pPr>
                    <w:adjustRightInd w:val="0"/>
                    <w:snapToGrid w:val="0"/>
                    <w:jc w:val="center"/>
                    <w:rPr>
                      <w:bCs/>
                      <w:szCs w:val="21"/>
                    </w:rPr>
                  </w:pPr>
                  <w:r>
                    <w:rPr>
                      <w:bCs/>
                      <w:szCs w:val="21"/>
                    </w:rPr>
                    <w:t>/</w:t>
                  </w:r>
                </w:p>
              </w:tc>
              <w:tc>
                <w:tcPr>
                  <w:tcW w:w="1803" w:type="dxa"/>
                  <w:vAlign w:val="center"/>
                </w:tcPr>
                <w:p w14:paraId="011873A2">
                  <w:pPr>
                    <w:adjustRightInd w:val="0"/>
                    <w:snapToGrid w:val="0"/>
                    <w:jc w:val="center"/>
                    <w:rPr>
                      <w:bCs/>
                      <w:szCs w:val="21"/>
                    </w:rPr>
                  </w:pPr>
                  <w:r>
                    <w:rPr>
                      <w:bCs/>
                      <w:szCs w:val="21"/>
                    </w:rPr>
                    <w:t>/</w:t>
                  </w:r>
                </w:p>
              </w:tc>
              <w:tc>
                <w:tcPr>
                  <w:tcW w:w="1803" w:type="dxa"/>
                  <w:vAlign w:val="center"/>
                </w:tcPr>
                <w:p w14:paraId="031D498F">
                  <w:pPr>
                    <w:adjustRightInd w:val="0"/>
                    <w:snapToGrid w:val="0"/>
                    <w:jc w:val="center"/>
                    <w:rPr>
                      <w:bCs/>
                      <w:szCs w:val="21"/>
                    </w:rPr>
                  </w:pPr>
                  <w:r>
                    <w:rPr>
                      <w:bCs/>
                      <w:szCs w:val="21"/>
                    </w:rPr>
                    <w:t>0.02076</w:t>
                  </w:r>
                </w:p>
              </w:tc>
            </w:tr>
          </w:tbl>
          <w:p w14:paraId="3B271478">
            <w:pPr>
              <w:spacing w:line="360" w:lineRule="auto"/>
              <w:ind w:firstLine="480" w:firstLineChars="200"/>
              <w:rPr>
                <w:sz w:val="24"/>
              </w:rPr>
            </w:pPr>
            <w:r>
              <w:rPr>
                <w:sz w:val="24"/>
              </w:rPr>
              <w:t>注：天然气不储存。</w:t>
            </w:r>
          </w:p>
          <w:p w14:paraId="26784198">
            <w:pPr>
              <w:spacing w:line="360" w:lineRule="auto"/>
              <w:ind w:firstLine="480" w:firstLineChars="200"/>
              <w:rPr>
                <w:b/>
                <w:sz w:val="24"/>
              </w:rPr>
            </w:pPr>
            <w:r>
              <w:rPr>
                <w:sz w:val="24"/>
              </w:rPr>
              <w:t>通过计算可知Q=0.6&lt;1，项目环境风险潜势为I。评价工作等级为简单分析。简单分析基本内容按根据《建设项目环境风险评价技术导则》（HJ169-2018）附录A进行分析。</w:t>
            </w:r>
          </w:p>
          <w:p w14:paraId="2A374654">
            <w:pPr>
              <w:adjustRightInd w:val="0"/>
              <w:snapToGrid w:val="0"/>
              <w:spacing w:line="360" w:lineRule="auto"/>
              <w:ind w:firstLine="482" w:firstLineChars="200"/>
              <w:rPr>
                <w:b/>
                <w:sz w:val="24"/>
              </w:rPr>
            </w:pPr>
            <w:r>
              <w:rPr>
                <w:b/>
                <w:sz w:val="24"/>
              </w:rPr>
              <w:t>7.4、环境风险分析及防范措施</w:t>
            </w:r>
          </w:p>
          <w:p w14:paraId="17C115CE">
            <w:pPr>
              <w:spacing w:line="360" w:lineRule="auto"/>
              <w:ind w:firstLine="480"/>
              <w:rPr>
                <w:b/>
                <w:sz w:val="24"/>
              </w:rPr>
            </w:pPr>
            <w:r>
              <w:rPr>
                <w:b/>
                <w:sz w:val="24"/>
              </w:rPr>
              <w:t xml:space="preserve">（1）生产过程风险防范措施 </w:t>
            </w:r>
          </w:p>
          <w:p w14:paraId="56772ED0">
            <w:pPr>
              <w:spacing w:line="360" w:lineRule="auto"/>
              <w:ind w:firstLine="480"/>
              <w:rPr>
                <w:sz w:val="24"/>
              </w:rPr>
            </w:pPr>
            <w:r>
              <w:rPr>
                <w:sz w:val="24"/>
              </w:rPr>
              <w:t>安全生产是企业立厂之本，一定要强化风险意识、加强安全管理，主要要求包括：</w:t>
            </w:r>
          </w:p>
          <w:p w14:paraId="1C266CAA">
            <w:pPr>
              <w:numPr>
                <w:ilvl w:val="0"/>
                <w:numId w:val="1"/>
              </w:numPr>
              <w:spacing w:line="360" w:lineRule="auto"/>
              <w:ind w:firstLine="480" w:firstLineChars="200"/>
              <w:rPr>
                <w:sz w:val="24"/>
              </w:rPr>
            </w:pPr>
            <w:r>
              <w:rPr>
                <w:sz w:val="24"/>
              </w:rPr>
              <w:t>必须将“安全第一，预防为主”作为企业经营的基本原则；</w:t>
            </w:r>
          </w:p>
          <w:p w14:paraId="09BA89C5">
            <w:pPr>
              <w:spacing w:line="360" w:lineRule="auto"/>
              <w:ind w:firstLine="480"/>
              <w:rPr>
                <w:sz w:val="24"/>
              </w:rPr>
            </w:pPr>
            <w:r>
              <w:rPr>
                <w:sz w:val="24"/>
              </w:rPr>
              <w:t>B、在设计、施工、生产、经营等各方面必须严格执行有关的法律、法规，如《中华人民共和国消防法》、《危险化学品安全管理条例》、《仓库防火安全管理规则》等；</w:t>
            </w:r>
          </w:p>
          <w:p w14:paraId="2E296C10">
            <w:pPr>
              <w:spacing w:line="360" w:lineRule="auto"/>
              <w:ind w:firstLine="480"/>
              <w:rPr>
                <w:sz w:val="24"/>
              </w:rPr>
            </w:pPr>
            <w:r>
              <w:rPr>
                <w:sz w:val="24"/>
              </w:rPr>
              <w:t>C、建立健全全厂安全管理、技术体系，建立完备的应急组织体系，提高事故预防能力，确保安全生产；</w:t>
            </w:r>
          </w:p>
          <w:p w14:paraId="4B537B14">
            <w:pPr>
              <w:spacing w:line="360" w:lineRule="auto"/>
              <w:ind w:firstLine="480"/>
              <w:rPr>
                <w:sz w:val="24"/>
              </w:rPr>
            </w:pPr>
            <w:r>
              <w:rPr>
                <w:sz w:val="24"/>
              </w:rPr>
              <w:t>D、建立完善的安全生产管理制度，加强安全生产的宣传和教育；</w:t>
            </w:r>
          </w:p>
          <w:p w14:paraId="095D604C">
            <w:pPr>
              <w:spacing w:line="360" w:lineRule="auto"/>
              <w:ind w:firstLine="480"/>
              <w:rPr>
                <w:sz w:val="24"/>
              </w:rPr>
            </w:pPr>
            <w:r>
              <w:rPr>
                <w:sz w:val="24"/>
              </w:rPr>
              <w:t>E、为职工提供劳动安全条件和劳动防护用品。</w:t>
            </w:r>
          </w:p>
          <w:p w14:paraId="4C3AA4F0">
            <w:pPr>
              <w:widowControl/>
              <w:spacing w:line="360" w:lineRule="auto"/>
              <w:ind w:firstLine="482" w:firstLineChars="200"/>
              <w:jc w:val="left"/>
              <w:rPr>
                <w:b/>
                <w:bCs/>
              </w:rPr>
            </w:pPr>
            <w:r>
              <w:rPr>
                <w:b/>
                <w:bCs/>
                <w:kern w:val="0"/>
                <w:sz w:val="24"/>
                <w:lang w:bidi="ar"/>
              </w:rPr>
              <w:t>（2）氢氧化钠泄漏风险分析</w:t>
            </w:r>
          </w:p>
          <w:p w14:paraId="4AF79596">
            <w:pPr>
              <w:widowControl/>
              <w:spacing w:line="360" w:lineRule="auto"/>
              <w:ind w:firstLine="480" w:firstLineChars="200"/>
              <w:jc w:val="left"/>
              <w:rPr>
                <w:kern w:val="0"/>
                <w:sz w:val="24"/>
                <w:lang w:bidi="ar"/>
              </w:rPr>
            </w:pPr>
            <w:r>
              <w:rPr>
                <w:kern w:val="0"/>
                <w:sz w:val="24"/>
                <w:lang w:bidi="ar"/>
              </w:rPr>
              <w:t>氢氧化钠通常称为烧碱，或叫火碱、苛性钠，具有腐蚀性。氢氧化钠固体流失进入土壤和水体对其影响较大；另外溶水后的氢氧化钠溶液对环境和人体危害较大，较浓的氢氧化钠溶液观到皮肤上，会腐蚀表皮，造成烧伤。它对蛋白质有溶解作用，有强烈刺激性和腐蚀性。粉尘刺激眼和呼吸道，腐蚀鼻中隔；溅到皮肤上，尤其是溅到粘膜，会产生软痴，并能渗入深层组织， 灼伤后留有伤痕；溅入眼内，不仅损伤角膜，而且可使眼睛深部组织损伤， 严重者可致失明；误服可造成消化道灼伤，绞痛、黏膜糜烂、呕吐血性胃内容物、血性膜泻，有时发生声哑、香咽困难、休克、消化道穿孔，后期会发生胃肠道狭窄。由于强碱性，对水体可造成污染，对植物和水生生物造成影响。</w:t>
            </w:r>
          </w:p>
          <w:p w14:paraId="5E065A4D">
            <w:pPr>
              <w:pStyle w:val="2"/>
              <w:rPr>
                <w:rFonts w:ascii="Times New Roman" w:hAnsi="Times New Roman"/>
              </w:rPr>
            </w:pPr>
          </w:p>
          <w:p w14:paraId="740B85BE">
            <w:pPr>
              <w:spacing w:line="360" w:lineRule="auto"/>
              <w:ind w:firstLine="480"/>
              <w:rPr>
                <w:b/>
                <w:sz w:val="24"/>
              </w:rPr>
            </w:pPr>
            <w:r>
              <w:rPr>
                <w:b/>
                <w:sz w:val="24"/>
              </w:rPr>
              <w:t>（3）废机油泄漏</w:t>
            </w:r>
            <w:r>
              <w:rPr>
                <w:b/>
                <w:bCs/>
                <w:kern w:val="0"/>
                <w:sz w:val="24"/>
                <w:lang w:bidi="ar"/>
              </w:rPr>
              <w:t>风险分析</w:t>
            </w:r>
          </w:p>
          <w:p w14:paraId="3EF8DCFA">
            <w:pPr>
              <w:widowControl/>
              <w:spacing w:line="360" w:lineRule="auto"/>
              <w:ind w:firstLine="480" w:firstLineChars="200"/>
              <w:jc w:val="left"/>
              <w:rPr>
                <w:bCs/>
                <w:kern w:val="0"/>
                <w:sz w:val="24"/>
                <w:lang w:bidi="ar"/>
              </w:rPr>
            </w:pPr>
            <w:r>
              <w:rPr>
                <w:bCs/>
                <w:kern w:val="0"/>
                <w:sz w:val="24"/>
                <w:lang w:bidi="ar"/>
              </w:rPr>
              <w:t>废机油储存设施破损引起泄漏，全部进入环境，对河流、土壤、生物等造成污染，尤其对水体和土壤环境的影响将是一个相当长的过程，被污染的水体和土壤中的各种生物及植被将全部死亡，这种污染一般是范围较广，面积较大、后果较为严重，达到自然环境的完全恢复需要相当长的时间。</w:t>
            </w:r>
          </w:p>
          <w:p w14:paraId="05C1426C">
            <w:pPr>
              <w:widowControl/>
              <w:spacing w:line="360" w:lineRule="auto"/>
              <w:ind w:firstLine="480" w:firstLineChars="200"/>
              <w:jc w:val="left"/>
              <w:rPr>
                <w:bCs/>
                <w:kern w:val="0"/>
                <w:sz w:val="24"/>
                <w:lang w:bidi="ar"/>
              </w:rPr>
            </w:pPr>
            <w:r>
              <w:rPr>
                <w:bCs/>
                <w:kern w:val="0"/>
                <w:sz w:val="24"/>
                <w:lang w:bidi="ar"/>
              </w:rPr>
              <w:t>废机油储存设施破损引起泄漏在遇明火时易发生火灾。燃烧引起的后果不但会造成人员伤亡和财产损失，大量废机油泄漏和燃烧，烃类气体将直接进去大气环境，导致区域环境空气质量下降，且短时间内不易恢复。</w:t>
            </w:r>
          </w:p>
          <w:p w14:paraId="1D79C5D3">
            <w:pPr>
              <w:widowControl/>
              <w:spacing w:line="360" w:lineRule="auto"/>
              <w:ind w:firstLine="482" w:firstLineChars="200"/>
              <w:jc w:val="left"/>
              <w:rPr>
                <w:b/>
                <w:bCs/>
                <w:kern w:val="0"/>
                <w:sz w:val="24"/>
                <w:lang w:bidi="ar"/>
              </w:rPr>
            </w:pPr>
            <w:r>
              <w:rPr>
                <w:b/>
                <w:bCs/>
                <w:kern w:val="0"/>
                <w:sz w:val="24"/>
                <w:lang w:bidi="ar"/>
              </w:rPr>
              <w:t>（4）环境风险防范措施</w:t>
            </w:r>
          </w:p>
          <w:p w14:paraId="7337EDE8">
            <w:pPr>
              <w:widowControl/>
              <w:spacing w:line="360" w:lineRule="auto"/>
              <w:ind w:firstLine="482" w:firstLineChars="200"/>
              <w:jc w:val="left"/>
              <w:rPr>
                <w:b/>
                <w:bCs/>
                <w:kern w:val="0"/>
                <w:sz w:val="24"/>
                <w:lang w:bidi="ar"/>
              </w:rPr>
            </w:pPr>
            <w:r>
              <w:rPr>
                <w:b/>
                <w:bCs/>
                <w:kern w:val="0"/>
                <w:sz w:val="24"/>
                <w:lang w:bidi="ar"/>
              </w:rPr>
              <w:t>氢氧化钠泄露风险防范措施</w:t>
            </w:r>
          </w:p>
          <w:p w14:paraId="180B90E1">
            <w:pPr>
              <w:widowControl/>
              <w:spacing w:line="360" w:lineRule="auto"/>
              <w:ind w:firstLine="480" w:firstLineChars="200"/>
              <w:jc w:val="left"/>
              <w:rPr>
                <w:bCs/>
                <w:kern w:val="0"/>
                <w:sz w:val="24"/>
                <w:lang w:bidi="ar"/>
              </w:rPr>
            </w:pPr>
            <w:r>
              <w:rPr>
                <w:rFonts w:hint="eastAsia" w:ascii="宋体" w:hAnsi="宋体" w:cs="宋体"/>
                <w:bCs/>
                <w:kern w:val="0"/>
                <w:sz w:val="24"/>
                <w:lang w:bidi="ar"/>
              </w:rPr>
              <w:t>①</w:t>
            </w:r>
            <w:r>
              <w:rPr>
                <w:bCs/>
                <w:kern w:val="0"/>
                <w:sz w:val="24"/>
                <w:lang w:bidi="ar"/>
              </w:rPr>
              <w:t>建设专用存储间，做到防雨淋、防渗、防腐蚀。储存于干燥清洁的储存内，注意防潮和雨淋，应与易燃或可燃物及酸类分开存放，分装和搬运作业要注意个人防护，搬运时要轻装轻卸，防止包装及容器损坏。雨天不宜运输。</w:t>
            </w:r>
          </w:p>
          <w:p w14:paraId="3F3A5C8B">
            <w:pPr>
              <w:widowControl/>
              <w:spacing w:line="360" w:lineRule="auto"/>
              <w:ind w:firstLine="480" w:firstLineChars="200"/>
              <w:jc w:val="left"/>
              <w:rPr>
                <w:bCs/>
                <w:kern w:val="0"/>
                <w:sz w:val="24"/>
                <w:lang w:bidi="ar"/>
              </w:rPr>
            </w:pPr>
            <w:r>
              <w:rPr>
                <w:rFonts w:hint="eastAsia" w:ascii="宋体" w:hAnsi="宋体" w:cs="宋体"/>
                <w:bCs/>
                <w:kern w:val="0"/>
                <w:sz w:val="24"/>
                <w:lang w:bidi="ar"/>
              </w:rPr>
              <w:t>②</w:t>
            </w:r>
            <w:r>
              <w:rPr>
                <w:bCs/>
                <w:kern w:val="0"/>
                <w:sz w:val="24"/>
                <w:lang w:bidi="ar"/>
              </w:rPr>
              <w:t>专人管理，定期培训、定期巡查。</w:t>
            </w:r>
          </w:p>
          <w:p w14:paraId="42C90FC3">
            <w:pPr>
              <w:widowControl/>
              <w:spacing w:line="360" w:lineRule="auto"/>
              <w:ind w:firstLine="480" w:firstLineChars="200"/>
              <w:jc w:val="left"/>
              <w:rPr>
                <w:bCs/>
                <w:kern w:val="0"/>
                <w:sz w:val="24"/>
                <w:lang w:bidi="ar"/>
              </w:rPr>
            </w:pPr>
            <w:r>
              <w:rPr>
                <w:rFonts w:hint="eastAsia" w:ascii="宋体" w:hAnsi="宋体" w:cs="宋体"/>
                <w:bCs/>
                <w:kern w:val="0"/>
                <w:sz w:val="24"/>
                <w:lang w:bidi="ar"/>
              </w:rPr>
              <w:t>③</w:t>
            </w:r>
            <w:r>
              <w:rPr>
                <w:bCs/>
                <w:kern w:val="0"/>
                <w:sz w:val="24"/>
                <w:lang w:bidi="ar"/>
              </w:rPr>
              <w:t>建立使用台账。</w:t>
            </w:r>
          </w:p>
          <w:p w14:paraId="719D316B">
            <w:pPr>
              <w:widowControl/>
              <w:spacing w:line="360" w:lineRule="auto"/>
              <w:ind w:firstLine="482" w:firstLineChars="200"/>
              <w:jc w:val="left"/>
              <w:rPr>
                <w:b/>
                <w:bCs/>
                <w:kern w:val="0"/>
                <w:sz w:val="24"/>
                <w:lang w:bidi="ar"/>
              </w:rPr>
            </w:pPr>
            <w:r>
              <w:rPr>
                <w:b/>
                <w:bCs/>
                <w:kern w:val="0"/>
                <w:sz w:val="24"/>
                <w:lang w:bidi="ar"/>
              </w:rPr>
              <w:t>危废间管理风险防范措施</w:t>
            </w:r>
          </w:p>
          <w:p w14:paraId="43E031A8">
            <w:pPr>
              <w:widowControl/>
              <w:spacing w:line="360" w:lineRule="auto"/>
              <w:ind w:firstLine="480" w:firstLineChars="200"/>
              <w:jc w:val="left"/>
              <w:rPr>
                <w:bCs/>
                <w:kern w:val="0"/>
                <w:sz w:val="24"/>
                <w:lang w:bidi="ar"/>
              </w:rPr>
            </w:pPr>
            <w:r>
              <w:rPr>
                <w:rFonts w:hint="eastAsia" w:ascii="宋体" w:hAnsi="宋体" w:cs="宋体"/>
                <w:bCs/>
                <w:kern w:val="0"/>
                <w:sz w:val="24"/>
                <w:lang w:bidi="ar"/>
              </w:rPr>
              <w:t>①</w:t>
            </w:r>
            <w:r>
              <w:rPr>
                <w:bCs/>
                <w:kern w:val="0"/>
                <w:sz w:val="24"/>
                <w:lang w:bidi="ar"/>
              </w:rPr>
              <w:t>危废间设置“四防”措施，定期对防渗措施进行检修；设置规范的标识标牌。</w:t>
            </w:r>
          </w:p>
          <w:p w14:paraId="06E8DE1D">
            <w:pPr>
              <w:widowControl/>
              <w:spacing w:line="360" w:lineRule="auto"/>
              <w:ind w:firstLine="480" w:firstLineChars="200"/>
              <w:jc w:val="left"/>
              <w:rPr>
                <w:bCs/>
                <w:kern w:val="0"/>
                <w:sz w:val="24"/>
                <w:lang w:bidi="ar"/>
              </w:rPr>
            </w:pPr>
            <w:r>
              <w:rPr>
                <w:rFonts w:hint="eastAsia" w:ascii="宋体" w:hAnsi="宋体" w:cs="宋体"/>
                <w:bCs/>
                <w:kern w:val="0"/>
                <w:sz w:val="24"/>
                <w:lang w:bidi="ar"/>
              </w:rPr>
              <w:t>②</w:t>
            </w:r>
            <w:r>
              <w:rPr>
                <w:bCs/>
                <w:kern w:val="0"/>
                <w:sz w:val="24"/>
                <w:lang w:bidi="ar"/>
              </w:rPr>
              <w:t>建立危险废物管理台账。</w:t>
            </w:r>
          </w:p>
          <w:p w14:paraId="64EC5F03">
            <w:pPr>
              <w:spacing w:before="120" w:beforeLines="50" w:line="360" w:lineRule="auto"/>
              <w:ind w:firstLine="482" w:firstLineChars="200"/>
              <w:rPr>
                <w:b/>
                <w:bCs/>
                <w:sz w:val="24"/>
              </w:rPr>
            </w:pPr>
            <w:r>
              <w:rPr>
                <w:b/>
                <w:bCs/>
                <w:sz w:val="24"/>
              </w:rPr>
              <w:t>7.5、结论</w:t>
            </w:r>
          </w:p>
          <w:p w14:paraId="491F0799">
            <w:pPr>
              <w:spacing w:line="360" w:lineRule="auto"/>
              <w:ind w:firstLine="480"/>
              <w:rPr>
                <w:sz w:val="24"/>
              </w:rPr>
            </w:pPr>
            <w:r>
              <w:rPr>
                <w:sz w:val="24"/>
              </w:rPr>
              <w:t>经采取提出的风险防范措施后，该项目风险可以得到有效控制。企业应该认真做好各项风险防范措施，完善原有管理制度，储运过程应该严格操作，杜绝风险事故。严格履行风险应急预案，一旦发生突发事故，企业除了根据内部制定和履行最快最有效的应急预案自救外，应立即报当地环保部门。在上级环保部门到达之后，要从大局考虑，服从环保部门的领导，共同协商统一部署，将污染事故降低到最小。</w:t>
            </w:r>
          </w:p>
          <w:p w14:paraId="5CA1805C">
            <w:pPr>
              <w:spacing w:line="360" w:lineRule="auto"/>
              <w:ind w:firstLine="480"/>
              <w:rPr>
                <w:sz w:val="24"/>
              </w:rPr>
            </w:pPr>
            <w:r>
              <w:rPr>
                <w:sz w:val="24"/>
              </w:rPr>
              <w:t>总之，事故风险是存在的，但只要加强管理，建立健全相应的并得到认真落实的防范与应急措施，就可将风险消灭在萌芽状态，或得到及时妥善的处置。</w:t>
            </w:r>
          </w:p>
          <w:p w14:paraId="317FD9D8">
            <w:pPr>
              <w:jc w:val="center"/>
              <w:rPr>
                <w:b/>
                <w:bCs/>
                <w:sz w:val="24"/>
              </w:rPr>
            </w:pPr>
            <w:r>
              <w:rPr>
                <w:b/>
                <w:bCs/>
                <w:sz w:val="24"/>
              </w:rPr>
              <w:t>表4-13   建设项目环境风险简单分析内容表</w:t>
            </w:r>
          </w:p>
          <w:tbl>
            <w:tblPr>
              <w:tblStyle w:val="25"/>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7088"/>
            </w:tblGrid>
            <w:tr w14:paraId="0CF7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shd w:val="clear" w:color="auto" w:fill="auto"/>
                  <w:vAlign w:val="center"/>
                </w:tcPr>
                <w:p w14:paraId="5EA88FBF">
                  <w:pPr>
                    <w:jc w:val="center"/>
                    <w:rPr>
                      <w:szCs w:val="21"/>
                    </w:rPr>
                  </w:pPr>
                  <w:r>
                    <w:rPr>
                      <w:szCs w:val="21"/>
                    </w:rPr>
                    <w:t>建设项目名称</w:t>
                  </w:r>
                </w:p>
              </w:tc>
              <w:tc>
                <w:tcPr>
                  <w:tcW w:w="7088" w:type="dxa"/>
                  <w:shd w:val="clear" w:color="auto" w:fill="auto"/>
                  <w:vAlign w:val="center"/>
                </w:tcPr>
                <w:p w14:paraId="1F261336">
                  <w:pPr>
                    <w:jc w:val="center"/>
                    <w:rPr>
                      <w:szCs w:val="21"/>
                    </w:rPr>
                  </w:pPr>
                  <w:r>
                    <w:rPr>
                      <w:szCs w:val="21"/>
                    </w:rPr>
                    <w:t>芒市吉盛建材中心节能环保改造项目</w:t>
                  </w:r>
                </w:p>
              </w:tc>
            </w:tr>
            <w:tr w14:paraId="4527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shd w:val="clear" w:color="auto" w:fill="auto"/>
                  <w:vAlign w:val="center"/>
                </w:tcPr>
                <w:p w14:paraId="47154D86">
                  <w:pPr>
                    <w:jc w:val="center"/>
                    <w:rPr>
                      <w:szCs w:val="21"/>
                    </w:rPr>
                  </w:pPr>
                  <w:r>
                    <w:rPr>
                      <w:szCs w:val="21"/>
                    </w:rPr>
                    <w:t>建设地点</w:t>
                  </w:r>
                </w:p>
              </w:tc>
              <w:tc>
                <w:tcPr>
                  <w:tcW w:w="7088" w:type="dxa"/>
                  <w:shd w:val="clear" w:color="auto" w:fill="auto"/>
                  <w:vAlign w:val="center"/>
                </w:tcPr>
                <w:p w14:paraId="13FB0496">
                  <w:pPr>
                    <w:jc w:val="center"/>
                    <w:rPr>
                      <w:szCs w:val="21"/>
                    </w:rPr>
                  </w:pPr>
                  <w:r>
                    <w:rPr>
                      <w:szCs w:val="21"/>
                    </w:rPr>
                    <w:t>云南省德宏州芒市风平镇帕底村委会南相章村民小组</w:t>
                  </w:r>
                </w:p>
              </w:tc>
            </w:tr>
            <w:tr w14:paraId="258B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shd w:val="clear" w:color="auto" w:fill="auto"/>
                  <w:vAlign w:val="center"/>
                </w:tcPr>
                <w:p w14:paraId="2A3C00FE">
                  <w:pPr>
                    <w:jc w:val="center"/>
                    <w:rPr>
                      <w:szCs w:val="21"/>
                    </w:rPr>
                  </w:pPr>
                  <w:r>
                    <w:rPr>
                      <w:szCs w:val="21"/>
                    </w:rPr>
                    <w:t>地理坐标</w:t>
                  </w:r>
                </w:p>
              </w:tc>
              <w:tc>
                <w:tcPr>
                  <w:tcW w:w="7088" w:type="dxa"/>
                  <w:shd w:val="clear" w:color="auto" w:fill="auto"/>
                  <w:vAlign w:val="center"/>
                </w:tcPr>
                <w:p w14:paraId="2FB60DB9">
                  <w:pPr>
                    <w:jc w:val="center"/>
                    <w:rPr>
                      <w:szCs w:val="21"/>
                    </w:rPr>
                  </w:pPr>
                  <w:r>
                    <w:rPr>
                      <w:szCs w:val="21"/>
                    </w:rPr>
                    <w:t>东经 98 度 28分 41.310 秒，北纬 24 度 20 分 35.480 秒</w:t>
                  </w:r>
                </w:p>
              </w:tc>
            </w:tr>
            <w:tr w14:paraId="0891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shd w:val="clear" w:color="auto" w:fill="auto"/>
                  <w:vAlign w:val="center"/>
                </w:tcPr>
                <w:p w14:paraId="78AE2D85">
                  <w:pPr>
                    <w:jc w:val="center"/>
                    <w:rPr>
                      <w:szCs w:val="21"/>
                    </w:rPr>
                  </w:pPr>
                  <w:r>
                    <w:rPr>
                      <w:szCs w:val="21"/>
                    </w:rPr>
                    <w:t>主要危险物质及分布</w:t>
                  </w:r>
                </w:p>
              </w:tc>
              <w:tc>
                <w:tcPr>
                  <w:tcW w:w="7088" w:type="dxa"/>
                  <w:shd w:val="clear" w:color="auto" w:fill="auto"/>
                  <w:vAlign w:val="center"/>
                </w:tcPr>
                <w:p w14:paraId="5A7D2BB9">
                  <w:pPr>
                    <w:ind w:firstLine="420" w:firstLineChars="200"/>
                    <w:rPr>
                      <w:szCs w:val="21"/>
                    </w:rPr>
                  </w:pPr>
                  <w:r>
                    <w:rPr>
                      <w:szCs w:val="21"/>
                    </w:rPr>
                    <w:t>本项目涉及的危险物质为氢氧化钠、废机油。</w:t>
                  </w:r>
                </w:p>
              </w:tc>
            </w:tr>
            <w:tr w14:paraId="2CEE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shd w:val="clear" w:color="auto" w:fill="auto"/>
                  <w:vAlign w:val="center"/>
                </w:tcPr>
                <w:p w14:paraId="2BCCC2D1">
                  <w:pPr>
                    <w:jc w:val="center"/>
                    <w:rPr>
                      <w:szCs w:val="21"/>
                    </w:rPr>
                  </w:pPr>
                  <w:r>
                    <w:rPr>
                      <w:szCs w:val="21"/>
                    </w:rPr>
                    <w:t>环境影响</w:t>
                  </w:r>
                  <w:r>
                    <w:rPr>
                      <w:rFonts w:hint="eastAsia"/>
                      <w:szCs w:val="21"/>
                      <w:lang w:val="en-US" w:eastAsia="zh-CN"/>
                    </w:rPr>
                    <w:t>途径</w:t>
                  </w:r>
                  <w:r>
                    <w:rPr>
                      <w:szCs w:val="21"/>
                    </w:rPr>
                    <w:t>及危险后果</w:t>
                  </w:r>
                </w:p>
              </w:tc>
              <w:tc>
                <w:tcPr>
                  <w:tcW w:w="7088" w:type="dxa"/>
                  <w:shd w:val="clear" w:color="auto" w:fill="auto"/>
                  <w:vAlign w:val="center"/>
                </w:tcPr>
                <w:p w14:paraId="201508A0">
                  <w:pPr>
                    <w:widowControl/>
                    <w:ind w:firstLine="422" w:firstLineChars="200"/>
                    <w:jc w:val="left"/>
                    <w:rPr>
                      <w:b/>
                      <w:bCs/>
                      <w:kern w:val="0"/>
                      <w:szCs w:val="21"/>
                      <w:lang w:bidi="ar"/>
                    </w:rPr>
                  </w:pPr>
                  <w:r>
                    <w:rPr>
                      <w:b/>
                      <w:bCs/>
                      <w:kern w:val="0"/>
                      <w:szCs w:val="21"/>
                      <w:lang w:bidi="ar"/>
                    </w:rPr>
                    <w:t>（1）氢氧化钠泄漏风险分析</w:t>
                  </w:r>
                </w:p>
                <w:p w14:paraId="1E5EEAF4">
                  <w:pPr>
                    <w:widowControl/>
                    <w:ind w:firstLine="420" w:firstLineChars="200"/>
                    <w:jc w:val="left"/>
                    <w:rPr>
                      <w:kern w:val="0"/>
                      <w:szCs w:val="21"/>
                      <w:lang w:bidi="ar"/>
                    </w:rPr>
                  </w:pPr>
                  <w:r>
                    <w:rPr>
                      <w:kern w:val="0"/>
                      <w:szCs w:val="21"/>
                      <w:lang w:bidi="ar"/>
                    </w:rPr>
                    <w:t>氢氧化钠通常称为烧碱，或叫火碱、苛性钠，具有腐蚀性。氢氧化钠固体流失进入土壤和水体对其影响较大；另外溶水后的氢氧化钠溶液对环境和人体危害较大，较浓的氢氧化钠溶液观到皮肤上，会腐蚀表皮，造成烧伤。它对蛋白质有溶解作用，有强烈刺激性和腐蚀性。粉尘刺激眼和呼吸道，腐蚀鼻中隔；溅到皮肤上，尤其是溅到粘膜，会产生软痴，并能渗入深层组织， 灼伤后留有伤痕；溅入眼内，不仅损伤角膜，而且可使眼睛深部组织损伤， 严重者可致失明；误服可造成消化道灼伤，绞痛、黏膜糜烂、呕吐血性胃内容物、血性膜泻，有时发生声哑、香咽困难、休克、消化道穿孔，后期会发生胃肠道狭窄。由于强碱性，对水体可造成污染，对植物和水生生物造成影响。</w:t>
                  </w:r>
                </w:p>
                <w:p w14:paraId="7F9D51C6">
                  <w:pPr>
                    <w:widowControl/>
                    <w:ind w:firstLine="422" w:firstLineChars="200"/>
                    <w:jc w:val="left"/>
                    <w:rPr>
                      <w:b/>
                      <w:kern w:val="0"/>
                      <w:szCs w:val="21"/>
                      <w:lang w:bidi="ar"/>
                    </w:rPr>
                  </w:pPr>
                  <w:r>
                    <w:rPr>
                      <w:b/>
                      <w:kern w:val="0"/>
                      <w:szCs w:val="21"/>
                      <w:lang w:bidi="ar"/>
                    </w:rPr>
                    <w:t>（2）废机油泄漏</w:t>
                  </w:r>
                  <w:r>
                    <w:rPr>
                      <w:b/>
                      <w:bCs/>
                      <w:kern w:val="0"/>
                      <w:szCs w:val="21"/>
                      <w:lang w:bidi="ar"/>
                    </w:rPr>
                    <w:t>风险分析</w:t>
                  </w:r>
                </w:p>
                <w:p w14:paraId="02086EDA">
                  <w:pPr>
                    <w:widowControl/>
                    <w:ind w:firstLine="420" w:firstLineChars="200"/>
                    <w:jc w:val="left"/>
                    <w:rPr>
                      <w:bCs/>
                      <w:kern w:val="0"/>
                      <w:szCs w:val="21"/>
                      <w:lang w:bidi="ar"/>
                    </w:rPr>
                  </w:pPr>
                  <w:r>
                    <w:rPr>
                      <w:bCs/>
                      <w:kern w:val="0"/>
                      <w:szCs w:val="21"/>
                      <w:lang w:bidi="ar"/>
                    </w:rPr>
                    <w:t>废机油储存设施破损引起泄漏，全部进入环境，对河流、土壤、生物等造成污染，尤其对水体和土壤环境的影响将是一个相当长的过程，被污染的水体和土壤中的各种生物及植被将全部死亡，这种污染一般是范围较广，面积较大、后果较为严重，达到自然环境的完全恢复需要相当长的时间。</w:t>
                  </w:r>
                </w:p>
                <w:p w14:paraId="719ABF53">
                  <w:pPr>
                    <w:widowControl/>
                    <w:ind w:firstLine="420" w:firstLineChars="200"/>
                    <w:jc w:val="left"/>
                    <w:rPr>
                      <w:bCs/>
                      <w:kern w:val="0"/>
                      <w:szCs w:val="21"/>
                      <w:lang w:bidi="ar"/>
                    </w:rPr>
                  </w:pPr>
                  <w:r>
                    <w:rPr>
                      <w:bCs/>
                      <w:kern w:val="0"/>
                      <w:szCs w:val="21"/>
                      <w:lang w:bidi="ar"/>
                    </w:rPr>
                    <w:t>废机油储存设施破损引起泄漏在遇明火时易发生火灾。燃烧引起的后果不但会造成人员伤亡和财产损失，大量废机油泄漏和燃烧，烃类气体将直接进去大气环境，导致区域环境空气质量下降，且短时间内不易恢复。</w:t>
                  </w:r>
                </w:p>
                <w:p w14:paraId="2F626385">
                  <w:pPr>
                    <w:widowControl/>
                    <w:ind w:firstLine="420" w:firstLineChars="200"/>
                    <w:jc w:val="left"/>
                    <w:rPr>
                      <w:szCs w:val="21"/>
                    </w:rPr>
                  </w:pPr>
                </w:p>
              </w:tc>
            </w:tr>
            <w:tr w14:paraId="1F3F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shd w:val="clear" w:color="auto" w:fill="auto"/>
                  <w:vAlign w:val="center"/>
                </w:tcPr>
                <w:p w14:paraId="147A8B44">
                  <w:pPr>
                    <w:jc w:val="center"/>
                    <w:rPr>
                      <w:szCs w:val="21"/>
                    </w:rPr>
                  </w:pPr>
                  <w:r>
                    <w:rPr>
                      <w:szCs w:val="21"/>
                    </w:rPr>
                    <w:t>风险防范措施要求</w:t>
                  </w:r>
                </w:p>
              </w:tc>
              <w:tc>
                <w:tcPr>
                  <w:tcW w:w="7088" w:type="dxa"/>
                  <w:shd w:val="clear" w:color="auto" w:fill="auto"/>
                  <w:vAlign w:val="center"/>
                </w:tcPr>
                <w:p w14:paraId="5EA94113">
                  <w:pPr>
                    <w:widowControl/>
                    <w:ind w:firstLine="422" w:firstLineChars="200"/>
                    <w:jc w:val="left"/>
                    <w:rPr>
                      <w:b/>
                      <w:bCs/>
                      <w:kern w:val="0"/>
                      <w:szCs w:val="21"/>
                      <w:lang w:bidi="ar"/>
                    </w:rPr>
                  </w:pPr>
                  <w:r>
                    <w:rPr>
                      <w:b/>
                      <w:bCs/>
                      <w:kern w:val="0"/>
                      <w:szCs w:val="21"/>
                      <w:lang w:bidi="ar"/>
                    </w:rPr>
                    <w:t>氢氧化钠泄露风险防范措施</w:t>
                  </w:r>
                </w:p>
                <w:p w14:paraId="27FE90ED">
                  <w:pPr>
                    <w:widowControl/>
                    <w:ind w:firstLine="420" w:firstLineChars="200"/>
                    <w:jc w:val="left"/>
                    <w:rPr>
                      <w:bCs/>
                      <w:kern w:val="0"/>
                      <w:szCs w:val="21"/>
                      <w:lang w:bidi="ar"/>
                    </w:rPr>
                  </w:pPr>
                  <w:r>
                    <w:rPr>
                      <w:rFonts w:hint="eastAsia" w:ascii="宋体" w:hAnsi="宋体" w:cs="宋体"/>
                      <w:bCs/>
                      <w:kern w:val="0"/>
                      <w:szCs w:val="21"/>
                      <w:lang w:bidi="ar"/>
                    </w:rPr>
                    <w:t>①</w:t>
                  </w:r>
                  <w:r>
                    <w:rPr>
                      <w:bCs/>
                      <w:kern w:val="0"/>
                      <w:szCs w:val="21"/>
                      <w:lang w:bidi="ar"/>
                    </w:rPr>
                    <w:t>建设专用存储间，做到防雨淋、防渗、防腐蚀。储存于干燥清洁的储存内，注意防潮和雨淋，应与易燃或可燃物及酸类分开存放，分装和搬运作业要注意个人防护，搬运时要轻装轻卸，防止包装及容器损坏。雨天不宜运输。</w:t>
                  </w:r>
                </w:p>
                <w:p w14:paraId="59CA0BFF">
                  <w:pPr>
                    <w:widowControl/>
                    <w:ind w:firstLine="420" w:firstLineChars="200"/>
                    <w:jc w:val="left"/>
                    <w:rPr>
                      <w:bCs/>
                      <w:kern w:val="0"/>
                      <w:szCs w:val="21"/>
                      <w:lang w:bidi="ar"/>
                    </w:rPr>
                  </w:pPr>
                  <w:r>
                    <w:rPr>
                      <w:rFonts w:hint="eastAsia" w:ascii="宋体" w:hAnsi="宋体" w:cs="宋体"/>
                      <w:bCs/>
                      <w:kern w:val="0"/>
                      <w:szCs w:val="21"/>
                      <w:lang w:bidi="ar"/>
                    </w:rPr>
                    <w:t>②</w:t>
                  </w:r>
                  <w:r>
                    <w:rPr>
                      <w:bCs/>
                      <w:kern w:val="0"/>
                      <w:szCs w:val="21"/>
                      <w:lang w:bidi="ar"/>
                    </w:rPr>
                    <w:t>专人管理，定期培训、定期巡查。</w:t>
                  </w:r>
                </w:p>
                <w:p w14:paraId="45CFE72E">
                  <w:pPr>
                    <w:widowControl/>
                    <w:ind w:firstLine="420" w:firstLineChars="200"/>
                    <w:jc w:val="left"/>
                    <w:rPr>
                      <w:bCs/>
                      <w:kern w:val="0"/>
                      <w:szCs w:val="21"/>
                      <w:lang w:bidi="ar"/>
                    </w:rPr>
                  </w:pPr>
                  <w:r>
                    <w:rPr>
                      <w:rFonts w:hint="eastAsia" w:ascii="宋体" w:hAnsi="宋体" w:cs="宋体"/>
                      <w:bCs/>
                      <w:kern w:val="0"/>
                      <w:szCs w:val="21"/>
                      <w:lang w:bidi="ar"/>
                    </w:rPr>
                    <w:t>③</w:t>
                  </w:r>
                  <w:r>
                    <w:rPr>
                      <w:bCs/>
                      <w:kern w:val="0"/>
                      <w:szCs w:val="21"/>
                      <w:lang w:bidi="ar"/>
                    </w:rPr>
                    <w:t>建立使用台账。</w:t>
                  </w:r>
                </w:p>
                <w:p w14:paraId="2E39F5D6">
                  <w:pPr>
                    <w:widowControl/>
                    <w:ind w:firstLine="422" w:firstLineChars="200"/>
                    <w:jc w:val="left"/>
                    <w:rPr>
                      <w:b/>
                      <w:bCs/>
                      <w:kern w:val="0"/>
                      <w:szCs w:val="21"/>
                      <w:lang w:bidi="ar"/>
                    </w:rPr>
                  </w:pPr>
                  <w:r>
                    <w:rPr>
                      <w:b/>
                      <w:bCs/>
                      <w:kern w:val="0"/>
                      <w:szCs w:val="21"/>
                      <w:lang w:bidi="ar"/>
                    </w:rPr>
                    <w:t>危废间管理风险防范措施</w:t>
                  </w:r>
                </w:p>
                <w:p w14:paraId="3319F91D">
                  <w:pPr>
                    <w:widowControl/>
                    <w:ind w:firstLine="420" w:firstLineChars="200"/>
                    <w:jc w:val="left"/>
                    <w:rPr>
                      <w:bCs/>
                      <w:kern w:val="0"/>
                      <w:szCs w:val="21"/>
                      <w:lang w:bidi="ar"/>
                    </w:rPr>
                  </w:pPr>
                  <w:r>
                    <w:rPr>
                      <w:rFonts w:hint="eastAsia" w:ascii="宋体" w:hAnsi="宋体" w:cs="宋体"/>
                      <w:bCs/>
                      <w:kern w:val="0"/>
                      <w:szCs w:val="21"/>
                      <w:lang w:bidi="ar"/>
                    </w:rPr>
                    <w:t>①</w:t>
                  </w:r>
                  <w:r>
                    <w:rPr>
                      <w:bCs/>
                      <w:kern w:val="0"/>
                      <w:szCs w:val="21"/>
                      <w:lang w:bidi="ar"/>
                    </w:rPr>
                    <w:t>危废间设置“四防”措施，定期对防渗措施进行检修；设置规范的标识标牌。</w:t>
                  </w:r>
                </w:p>
                <w:p w14:paraId="7C2F6189">
                  <w:pPr>
                    <w:widowControl/>
                    <w:ind w:firstLine="420" w:firstLineChars="200"/>
                    <w:jc w:val="left"/>
                    <w:rPr>
                      <w:szCs w:val="21"/>
                    </w:rPr>
                  </w:pPr>
                  <w:r>
                    <w:rPr>
                      <w:rFonts w:hint="eastAsia" w:ascii="宋体" w:hAnsi="宋体" w:cs="宋体"/>
                      <w:bCs/>
                      <w:kern w:val="0"/>
                      <w:szCs w:val="21"/>
                      <w:lang w:bidi="ar"/>
                    </w:rPr>
                    <w:t>②</w:t>
                  </w:r>
                  <w:r>
                    <w:rPr>
                      <w:bCs/>
                      <w:kern w:val="0"/>
                      <w:szCs w:val="21"/>
                      <w:lang w:bidi="ar"/>
                    </w:rPr>
                    <w:t>建立危险废物管理台账。</w:t>
                  </w:r>
                </w:p>
              </w:tc>
            </w:tr>
            <w:tr w14:paraId="5FA6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gridSpan w:val="2"/>
                  <w:shd w:val="clear" w:color="auto" w:fill="auto"/>
                  <w:vAlign w:val="center"/>
                </w:tcPr>
                <w:p w14:paraId="720693DC">
                  <w:pPr>
                    <w:jc w:val="center"/>
                    <w:rPr>
                      <w:szCs w:val="21"/>
                    </w:rPr>
                  </w:pPr>
                  <w:r>
                    <w:rPr>
                      <w:szCs w:val="21"/>
                    </w:rPr>
                    <w:t>填表说明（列出项目相关信息及评价说明）：无</w:t>
                  </w:r>
                </w:p>
              </w:tc>
            </w:tr>
          </w:tbl>
          <w:p w14:paraId="23A454ED">
            <w:pPr>
              <w:spacing w:before="120" w:beforeLines="50" w:line="360" w:lineRule="auto"/>
              <w:ind w:firstLine="482" w:firstLineChars="200"/>
              <w:rPr>
                <w:b/>
                <w:bCs/>
                <w:sz w:val="24"/>
                <w:szCs w:val="21"/>
              </w:rPr>
            </w:pPr>
            <w:r>
              <w:rPr>
                <w:b/>
                <w:bCs/>
                <w:sz w:val="24"/>
                <w:szCs w:val="21"/>
              </w:rPr>
              <w:t>8、固定污染源排污许可</w:t>
            </w:r>
          </w:p>
          <w:p w14:paraId="7D948519">
            <w:pPr>
              <w:spacing w:line="360" w:lineRule="auto"/>
              <w:ind w:firstLine="480" w:firstLineChars="200"/>
              <w:rPr>
                <w:sz w:val="24"/>
                <w:szCs w:val="21"/>
              </w:rPr>
            </w:pPr>
            <w:r>
              <w:rPr>
                <w:sz w:val="24"/>
                <w:szCs w:val="21"/>
              </w:rPr>
              <w:t>根据《固定污染源排污许可分类管理名录（2019年版）》：国家根据排放污染物的企业事业单位和其他生产经营者（以下简称排污单位）污染物产生量、排放量、对环境的影响程度等因素，实行排污许可重点管理、简化管理和登记管理。对污染物产生量、排放量或者对环境的影响程度较大的排污单位，实行排污许可重点管理；对污染物产生量、排放量和对环境的影响程度较小的排污单位，实行排污许可简化管理。对污染物产生量、排放量和对环境的影响程度很小的排污单位，实行排污登记管理。</w:t>
            </w:r>
          </w:p>
          <w:p w14:paraId="18FBA88A">
            <w:pPr>
              <w:spacing w:line="360" w:lineRule="auto"/>
              <w:ind w:firstLine="480" w:firstLineChars="200"/>
              <w:rPr>
                <w:sz w:val="24"/>
                <w:szCs w:val="21"/>
              </w:rPr>
            </w:pPr>
            <w:r>
              <w:rPr>
                <w:sz w:val="24"/>
                <w:szCs w:val="21"/>
              </w:rPr>
              <w:t>根据《固定污染源排污许可分类管理名录（2019年版）》，需进行重点管理。</w:t>
            </w:r>
          </w:p>
          <w:p w14:paraId="52688E34">
            <w:pPr>
              <w:spacing w:line="360" w:lineRule="auto"/>
              <w:ind w:firstLine="480" w:firstLineChars="200"/>
              <w:rPr>
                <w:sz w:val="24"/>
                <w:szCs w:val="21"/>
              </w:rPr>
            </w:pPr>
            <w:r>
              <w:rPr>
                <w:sz w:val="24"/>
                <w:szCs w:val="21"/>
              </w:rPr>
              <w:t>因此，建设单位应根据《排污许可证申请与核发技术规范 总则》（HJ942-2018）、HJ 954-2018《排污许可证申请与核发技术规范 陶瓷砖瓦工业》到德宏州生态环境局或到全国排污许可证管理信息平台－公开端办理相关排污许可材料。</w:t>
            </w:r>
          </w:p>
          <w:p w14:paraId="5322D069">
            <w:pPr>
              <w:spacing w:before="120" w:beforeLines="50" w:line="360" w:lineRule="auto"/>
              <w:ind w:firstLine="482" w:firstLineChars="200"/>
              <w:rPr>
                <w:b/>
                <w:bCs/>
                <w:sz w:val="24"/>
                <w:szCs w:val="21"/>
              </w:rPr>
            </w:pPr>
            <w:r>
              <w:rPr>
                <w:b/>
                <w:bCs/>
                <w:sz w:val="24"/>
                <w:szCs w:val="21"/>
              </w:rPr>
              <w:t>9、排污口规范化管理要求</w:t>
            </w:r>
          </w:p>
          <w:p w14:paraId="1042C7E3">
            <w:pPr>
              <w:pStyle w:val="93"/>
              <w:wordWrap w:val="0"/>
              <w:topLinePunct/>
              <w:spacing w:line="360" w:lineRule="auto"/>
              <w:ind w:firstLine="480"/>
              <w:jc w:val="left"/>
              <w:rPr>
                <w:color w:val="auto"/>
                <w:sz w:val="24"/>
                <w:szCs w:val="24"/>
              </w:rPr>
            </w:pPr>
            <w:r>
              <w:rPr>
                <w:color w:val="auto"/>
                <w:sz w:val="24"/>
                <w:szCs w:val="24"/>
              </w:rPr>
              <w:t>（1）要求使用环境保护管理部门规范的《中华人民共和国规范化排污口标志登记证》，并按要求填写有关内容。</w:t>
            </w:r>
          </w:p>
          <w:p w14:paraId="141D3BEE">
            <w:pPr>
              <w:pStyle w:val="93"/>
              <w:wordWrap w:val="0"/>
              <w:topLinePunct/>
              <w:spacing w:line="360" w:lineRule="auto"/>
              <w:ind w:firstLine="480"/>
              <w:jc w:val="left"/>
              <w:rPr>
                <w:color w:val="auto"/>
                <w:sz w:val="24"/>
                <w:szCs w:val="24"/>
              </w:rPr>
            </w:pPr>
            <w:r>
              <w:rPr>
                <w:color w:val="auto"/>
                <w:sz w:val="24"/>
                <w:szCs w:val="24"/>
              </w:rPr>
              <w:t>（2）根据排污口管理档案内容要求，项目建成投产营运后，应将主要污染物种类、数量、浓度、排放去向、立标情况及设施运行情况记录于档案内。</w:t>
            </w:r>
          </w:p>
          <w:p w14:paraId="3D006158">
            <w:pPr>
              <w:pStyle w:val="93"/>
              <w:wordWrap w:val="0"/>
              <w:topLinePunct/>
              <w:spacing w:line="360" w:lineRule="auto"/>
              <w:ind w:firstLine="480"/>
              <w:jc w:val="left"/>
              <w:rPr>
                <w:color w:val="auto"/>
                <w:sz w:val="24"/>
                <w:szCs w:val="24"/>
              </w:rPr>
            </w:pPr>
            <w:r>
              <w:rPr>
                <w:color w:val="auto"/>
                <w:sz w:val="24"/>
                <w:szCs w:val="24"/>
              </w:rPr>
              <w:t>（3）大气污染物排污口应按照环监（96）470号文件和《云南省排污口管理办法》要求进行规范化管理，设置排放口标志牌，环境保护图形标志牌应设置在靠近采样点的醒目处。</w:t>
            </w:r>
          </w:p>
          <w:p w14:paraId="14E4E35F">
            <w:pPr>
              <w:pStyle w:val="93"/>
              <w:wordWrap w:val="0"/>
              <w:topLinePunct/>
              <w:spacing w:line="360" w:lineRule="auto"/>
              <w:ind w:firstLine="480"/>
              <w:jc w:val="left"/>
              <w:rPr>
                <w:color w:val="auto"/>
                <w:sz w:val="24"/>
                <w:szCs w:val="24"/>
              </w:rPr>
            </w:pPr>
            <w:r>
              <w:rPr>
                <w:color w:val="auto"/>
                <w:sz w:val="24"/>
                <w:szCs w:val="24"/>
              </w:rPr>
              <w:t>（4）排污口信息：见下表。</w:t>
            </w:r>
          </w:p>
          <w:p w14:paraId="25301928">
            <w:pPr>
              <w:pStyle w:val="93"/>
              <w:wordWrap w:val="0"/>
              <w:topLinePunct/>
              <w:spacing w:line="360" w:lineRule="auto"/>
              <w:ind w:firstLine="480"/>
              <w:jc w:val="left"/>
              <w:rPr>
                <w:color w:val="auto"/>
                <w:sz w:val="24"/>
                <w:szCs w:val="24"/>
              </w:rPr>
            </w:pPr>
            <w:r>
              <w:rPr>
                <w:color w:val="auto"/>
                <w:sz w:val="24"/>
                <w:szCs w:val="24"/>
              </w:rPr>
              <w:t>（5）排污口图形标志：</w:t>
            </w:r>
          </w:p>
          <w:p w14:paraId="0AA55A9E">
            <w:pPr>
              <w:ind w:firstLine="480"/>
              <w:jc w:val="center"/>
              <w:rPr>
                <w:b/>
                <w:sz w:val="24"/>
              </w:rPr>
            </w:pPr>
            <w:r>
              <w:rPr>
                <w:b/>
                <w:sz w:val="24"/>
              </w:rPr>
              <w:t>表4-14  排放口图形标志</w:t>
            </w:r>
          </w:p>
          <w:tbl>
            <w:tblPr>
              <w:tblStyle w:val="25"/>
              <w:tblW w:w="8946" w:type="dxa"/>
              <w:tblInd w:w="0" w:type="dxa"/>
              <w:tblBorders>
                <w:top w:val="single" w:color="000000" w:sz="6" w:space="0"/>
                <w:left w:val="single" w:color="000000" w:sz="4" w:space="0"/>
                <w:bottom w:val="single" w:color="000000" w:sz="6"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0"/>
              <w:gridCol w:w="2527"/>
              <w:gridCol w:w="2527"/>
              <w:gridCol w:w="2532"/>
            </w:tblGrid>
            <w:tr w14:paraId="51A9CEFA">
              <w:tblPrEx>
                <w:tblBorders>
                  <w:top w:val="single" w:color="000000" w:sz="6" w:space="0"/>
                  <w:left w:val="single" w:color="000000" w:sz="4"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1360" w:type="dxa"/>
                  <w:tcBorders>
                    <w:tl2br w:val="nil"/>
                    <w:tr2bl w:val="nil"/>
                  </w:tcBorders>
                  <w:vAlign w:val="center"/>
                </w:tcPr>
                <w:p w14:paraId="78253B7A">
                  <w:pPr>
                    <w:snapToGrid w:val="0"/>
                    <w:ind w:left="325" w:hanging="325" w:hangingChars="155"/>
                    <w:jc w:val="center"/>
                    <w:rPr>
                      <w:szCs w:val="21"/>
                    </w:rPr>
                  </w:pPr>
                  <w:r>
                    <w:rPr>
                      <w:szCs w:val="21"/>
                    </w:rPr>
                    <w:t>排放口</w:t>
                  </w:r>
                </w:p>
              </w:tc>
              <w:tc>
                <w:tcPr>
                  <w:tcW w:w="2527" w:type="dxa"/>
                  <w:tcBorders>
                    <w:tl2br w:val="nil"/>
                    <w:tr2bl w:val="nil"/>
                  </w:tcBorders>
                  <w:vAlign w:val="center"/>
                </w:tcPr>
                <w:p w14:paraId="43819948">
                  <w:pPr>
                    <w:snapToGrid w:val="0"/>
                    <w:jc w:val="center"/>
                    <w:rPr>
                      <w:szCs w:val="21"/>
                    </w:rPr>
                  </w:pPr>
                  <w:r>
                    <w:rPr>
                      <w:szCs w:val="21"/>
                    </w:rPr>
                    <w:t>废气排口</w:t>
                  </w:r>
                </w:p>
              </w:tc>
              <w:tc>
                <w:tcPr>
                  <w:tcW w:w="2527" w:type="dxa"/>
                  <w:tcBorders>
                    <w:tl2br w:val="nil"/>
                    <w:tr2bl w:val="nil"/>
                  </w:tcBorders>
                  <w:vAlign w:val="center"/>
                </w:tcPr>
                <w:p w14:paraId="5665E9D0">
                  <w:pPr>
                    <w:snapToGrid w:val="0"/>
                    <w:jc w:val="center"/>
                    <w:rPr>
                      <w:szCs w:val="21"/>
                    </w:rPr>
                  </w:pPr>
                  <w:r>
                    <w:rPr>
                      <w:szCs w:val="21"/>
                    </w:rPr>
                    <w:t>废水排口</w:t>
                  </w:r>
                </w:p>
              </w:tc>
              <w:tc>
                <w:tcPr>
                  <w:tcW w:w="2532" w:type="dxa"/>
                  <w:tcBorders>
                    <w:tl2br w:val="nil"/>
                    <w:tr2bl w:val="nil"/>
                  </w:tcBorders>
                  <w:vAlign w:val="center"/>
                </w:tcPr>
                <w:p w14:paraId="3CA22BDB">
                  <w:pPr>
                    <w:snapToGrid w:val="0"/>
                    <w:ind w:left="548" w:hanging="548" w:hangingChars="261"/>
                    <w:jc w:val="center"/>
                    <w:rPr>
                      <w:szCs w:val="21"/>
                    </w:rPr>
                  </w:pPr>
                  <w:r>
                    <w:rPr>
                      <w:szCs w:val="21"/>
                    </w:rPr>
                    <w:t>噪声源</w:t>
                  </w:r>
                </w:p>
              </w:tc>
            </w:tr>
            <w:tr w14:paraId="1DD0E4B7">
              <w:tblPrEx>
                <w:tblBorders>
                  <w:top w:val="single" w:color="000000" w:sz="6" w:space="0"/>
                  <w:left w:val="single" w:color="000000" w:sz="4"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3" w:hRule="exact"/>
              </w:trPr>
              <w:tc>
                <w:tcPr>
                  <w:tcW w:w="1360" w:type="dxa"/>
                  <w:tcBorders>
                    <w:tl2br w:val="nil"/>
                    <w:tr2bl w:val="nil"/>
                  </w:tcBorders>
                  <w:vAlign w:val="center"/>
                </w:tcPr>
                <w:p w14:paraId="31A9C2B1">
                  <w:pPr>
                    <w:snapToGrid w:val="0"/>
                    <w:ind w:left="220" w:hanging="220" w:hangingChars="105"/>
                    <w:jc w:val="center"/>
                    <w:rPr>
                      <w:szCs w:val="21"/>
                    </w:rPr>
                  </w:pPr>
                  <w:r>
                    <w:rPr>
                      <w:szCs w:val="21"/>
                    </w:rPr>
                    <w:t>图形符号</w:t>
                  </w:r>
                </w:p>
              </w:tc>
              <w:tc>
                <w:tcPr>
                  <w:tcW w:w="2527" w:type="dxa"/>
                  <w:tcBorders>
                    <w:tl2br w:val="nil"/>
                    <w:tr2bl w:val="nil"/>
                  </w:tcBorders>
                  <w:vAlign w:val="center"/>
                </w:tcPr>
                <w:p w14:paraId="36CD585B">
                  <w:pPr>
                    <w:snapToGrid w:val="0"/>
                    <w:ind w:left="253"/>
                    <w:jc w:val="center"/>
                    <w:rPr>
                      <w:szCs w:val="21"/>
                    </w:rPr>
                  </w:pPr>
                  <w:r>
                    <w:rPr>
                      <w:szCs w:val="21"/>
                    </w:rPr>
                    <w:drawing>
                      <wp:inline distT="0" distB="0" distL="114300" distR="114300">
                        <wp:extent cx="786130" cy="777240"/>
                        <wp:effectExtent l="0" t="0" r="6350"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18"/>
                                <a:stretch>
                                  <a:fillRect/>
                                </a:stretch>
                              </pic:blipFill>
                              <pic:spPr>
                                <a:xfrm>
                                  <a:off x="0" y="0"/>
                                  <a:ext cx="786130" cy="777240"/>
                                </a:xfrm>
                                <a:prstGeom prst="rect">
                                  <a:avLst/>
                                </a:prstGeom>
                                <a:noFill/>
                                <a:ln>
                                  <a:noFill/>
                                </a:ln>
                              </pic:spPr>
                            </pic:pic>
                          </a:graphicData>
                        </a:graphic>
                      </wp:inline>
                    </w:drawing>
                  </w:r>
                </w:p>
              </w:tc>
              <w:tc>
                <w:tcPr>
                  <w:tcW w:w="2527" w:type="dxa"/>
                  <w:tcBorders>
                    <w:tl2br w:val="nil"/>
                    <w:tr2bl w:val="nil"/>
                  </w:tcBorders>
                  <w:vAlign w:val="center"/>
                </w:tcPr>
                <w:p w14:paraId="604E3F02">
                  <w:pPr>
                    <w:snapToGrid w:val="0"/>
                    <w:ind w:left="289" w:right="1730"/>
                    <w:jc w:val="center"/>
                    <w:rPr>
                      <w:szCs w:val="21"/>
                    </w:rPr>
                  </w:pPr>
                  <w:r>
                    <w:rPr>
                      <w:szCs w:val="21"/>
                    </w:rPr>
                    <w:drawing>
                      <wp:anchor distT="0" distB="0" distL="114300" distR="114300" simplePos="0" relativeHeight="251660288" behindDoc="0" locked="0" layoutInCell="1" allowOverlap="1">
                        <wp:simplePos x="0" y="0"/>
                        <wp:positionH relativeFrom="column">
                          <wp:posOffset>381635</wp:posOffset>
                        </wp:positionH>
                        <wp:positionV relativeFrom="paragraph">
                          <wp:posOffset>180975</wp:posOffset>
                        </wp:positionV>
                        <wp:extent cx="736600" cy="671830"/>
                        <wp:effectExtent l="0" t="0" r="10160" b="13970"/>
                        <wp:wrapTopAndBottom/>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9"/>
                                <a:stretch>
                                  <a:fillRect/>
                                </a:stretch>
                              </pic:blipFill>
                              <pic:spPr>
                                <a:xfrm>
                                  <a:off x="0" y="0"/>
                                  <a:ext cx="736600" cy="671830"/>
                                </a:xfrm>
                                <a:prstGeom prst="rect">
                                  <a:avLst/>
                                </a:prstGeom>
                                <a:noFill/>
                                <a:ln>
                                  <a:noFill/>
                                </a:ln>
                              </pic:spPr>
                            </pic:pic>
                          </a:graphicData>
                        </a:graphic>
                      </wp:anchor>
                    </w:drawing>
                  </w:r>
                </w:p>
              </w:tc>
              <w:tc>
                <w:tcPr>
                  <w:tcW w:w="2532" w:type="dxa"/>
                  <w:tcBorders>
                    <w:tl2br w:val="nil"/>
                    <w:tr2bl w:val="nil"/>
                  </w:tcBorders>
                  <w:vAlign w:val="center"/>
                </w:tcPr>
                <w:p w14:paraId="7D005DB3">
                  <w:pPr>
                    <w:snapToGrid w:val="0"/>
                    <w:ind w:left="105" w:right="1916"/>
                    <w:jc w:val="center"/>
                    <w:rPr>
                      <w:szCs w:val="21"/>
                    </w:rPr>
                  </w:pPr>
                  <w:r>
                    <w:rPr>
                      <w:szCs w:val="21"/>
                    </w:rPr>
                    <w:drawing>
                      <wp:anchor distT="0" distB="0" distL="114300" distR="114300" simplePos="0" relativeHeight="251661312" behindDoc="0" locked="0" layoutInCell="1" allowOverlap="1">
                        <wp:simplePos x="0" y="0"/>
                        <wp:positionH relativeFrom="column">
                          <wp:posOffset>363855</wp:posOffset>
                        </wp:positionH>
                        <wp:positionV relativeFrom="paragraph">
                          <wp:posOffset>161925</wp:posOffset>
                        </wp:positionV>
                        <wp:extent cx="826770" cy="713105"/>
                        <wp:effectExtent l="0" t="0" r="11430" b="3175"/>
                        <wp:wrapTopAndBottom/>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0"/>
                                <a:stretch>
                                  <a:fillRect/>
                                </a:stretch>
                              </pic:blipFill>
                              <pic:spPr>
                                <a:xfrm>
                                  <a:off x="0" y="0"/>
                                  <a:ext cx="826770" cy="713105"/>
                                </a:xfrm>
                                <a:prstGeom prst="rect">
                                  <a:avLst/>
                                </a:prstGeom>
                                <a:noFill/>
                                <a:ln>
                                  <a:noFill/>
                                </a:ln>
                              </pic:spPr>
                            </pic:pic>
                          </a:graphicData>
                        </a:graphic>
                      </wp:anchor>
                    </w:drawing>
                  </w:r>
                </w:p>
              </w:tc>
            </w:tr>
            <w:tr w14:paraId="198A417F">
              <w:tblPrEx>
                <w:tblBorders>
                  <w:top w:val="single" w:color="000000" w:sz="6" w:space="0"/>
                  <w:left w:val="single" w:color="000000" w:sz="4"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1360" w:type="dxa"/>
                  <w:tcBorders>
                    <w:tl2br w:val="nil"/>
                    <w:tr2bl w:val="nil"/>
                  </w:tcBorders>
                  <w:vAlign w:val="center"/>
                </w:tcPr>
                <w:p w14:paraId="333D6385">
                  <w:pPr>
                    <w:snapToGrid w:val="0"/>
                    <w:ind w:left="220"/>
                    <w:jc w:val="center"/>
                    <w:rPr>
                      <w:szCs w:val="21"/>
                    </w:rPr>
                  </w:pPr>
                  <w:r>
                    <w:rPr>
                      <w:szCs w:val="21"/>
                    </w:rPr>
                    <w:t>背景颜色</w:t>
                  </w:r>
                </w:p>
              </w:tc>
              <w:tc>
                <w:tcPr>
                  <w:tcW w:w="7586" w:type="dxa"/>
                  <w:gridSpan w:val="3"/>
                  <w:tcBorders>
                    <w:tl2br w:val="nil"/>
                    <w:tr2bl w:val="nil"/>
                  </w:tcBorders>
                  <w:vAlign w:val="center"/>
                </w:tcPr>
                <w:p w14:paraId="2FEDF79A">
                  <w:pPr>
                    <w:snapToGrid w:val="0"/>
                    <w:ind w:left="3378" w:right="3378"/>
                    <w:jc w:val="center"/>
                    <w:rPr>
                      <w:szCs w:val="21"/>
                    </w:rPr>
                  </w:pPr>
                  <w:r>
                    <w:rPr>
                      <w:spacing w:val="-1"/>
                      <w:szCs w:val="21"/>
                    </w:rPr>
                    <w:t>绿色</w:t>
                  </w:r>
                </w:p>
              </w:tc>
            </w:tr>
            <w:tr w14:paraId="2CF0FADA">
              <w:tblPrEx>
                <w:tblBorders>
                  <w:top w:val="single" w:color="000000" w:sz="6" w:space="0"/>
                  <w:left w:val="single" w:color="000000" w:sz="4"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1360" w:type="dxa"/>
                  <w:tcBorders>
                    <w:tl2br w:val="nil"/>
                    <w:tr2bl w:val="nil"/>
                  </w:tcBorders>
                  <w:vAlign w:val="center"/>
                </w:tcPr>
                <w:p w14:paraId="72920A5F">
                  <w:pPr>
                    <w:snapToGrid w:val="0"/>
                    <w:ind w:left="220"/>
                    <w:jc w:val="center"/>
                    <w:rPr>
                      <w:szCs w:val="21"/>
                    </w:rPr>
                  </w:pPr>
                  <w:r>
                    <w:rPr>
                      <w:szCs w:val="21"/>
                    </w:rPr>
                    <w:t>图形颜色</w:t>
                  </w:r>
                </w:p>
              </w:tc>
              <w:tc>
                <w:tcPr>
                  <w:tcW w:w="7586" w:type="dxa"/>
                  <w:gridSpan w:val="3"/>
                  <w:tcBorders>
                    <w:tl2br w:val="nil"/>
                    <w:tr2bl w:val="nil"/>
                  </w:tcBorders>
                  <w:vAlign w:val="center"/>
                </w:tcPr>
                <w:p w14:paraId="76900415">
                  <w:pPr>
                    <w:snapToGrid w:val="0"/>
                    <w:ind w:left="3378" w:right="3378"/>
                    <w:jc w:val="center"/>
                    <w:rPr>
                      <w:szCs w:val="21"/>
                    </w:rPr>
                  </w:pPr>
                  <w:r>
                    <w:rPr>
                      <w:spacing w:val="-1"/>
                      <w:szCs w:val="21"/>
                    </w:rPr>
                    <w:t>白色</w:t>
                  </w:r>
                </w:p>
              </w:tc>
            </w:tr>
          </w:tbl>
          <w:p w14:paraId="651EB989">
            <w:pPr>
              <w:pStyle w:val="93"/>
              <w:wordWrap w:val="0"/>
              <w:topLinePunct/>
              <w:spacing w:line="360" w:lineRule="auto"/>
              <w:ind w:firstLine="480"/>
              <w:jc w:val="left"/>
              <w:rPr>
                <w:color w:val="auto"/>
                <w:sz w:val="24"/>
                <w:szCs w:val="24"/>
              </w:rPr>
            </w:pPr>
            <w:r>
              <w:rPr>
                <w:color w:val="auto"/>
                <w:sz w:val="24"/>
                <w:szCs w:val="24"/>
              </w:rPr>
              <w:t>（6）废气排气筒设置便于采样、监测的采样孔和采样平台。</w:t>
            </w:r>
          </w:p>
          <w:p w14:paraId="511D3893">
            <w:pPr>
              <w:pStyle w:val="2"/>
              <w:rPr>
                <w:rFonts w:ascii="Times New Roman" w:hAnsi="Times New Roman"/>
              </w:rPr>
            </w:pPr>
          </w:p>
          <w:p w14:paraId="3FAD29DF">
            <w:pPr>
              <w:adjustRightInd w:val="0"/>
              <w:snapToGrid w:val="0"/>
              <w:spacing w:line="360" w:lineRule="auto"/>
              <w:ind w:firstLine="482" w:firstLineChars="200"/>
              <w:rPr>
                <w:b/>
                <w:sz w:val="24"/>
              </w:rPr>
            </w:pPr>
            <w:r>
              <w:rPr>
                <w:b/>
                <w:sz w:val="24"/>
              </w:rPr>
              <w:t>10、环境监测计划</w:t>
            </w:r>
          </w:p>
          <w:p w14:paraId="4CBB9E7D">
            <w:pPr>
              <w:pStyle w:val="10"/>
              <w:adjustRightInd w:val="0"/>
              <w:snapToGrid w:val="0"/>
              <w:spacing w:line="360" w:lineRule="auto"/>
              <w:ind w:firstLine="480" w:firstLineChars="200"/>
              <w:jc w:val="both"/>
            </w:pPr>
            <w:r>
              <w:t>为了掌握项目排污情况，监督排放标准的执行，检查环保治理设施的运行情况，同时确保项目符合所有管理标准，从而减少对环境的影响，使受建设项目影响的区域环境质量保持一定的水平，必须建立完整的监测计划，监测计划的实施应贯穿工程的全过程，并由有资质的监测单位进行此项工作。</w:t>
            </w:r>
          </w:p>
          <w:p w14:paraId="7869DD3E">
            <w:pPr>
              <w:jc w:val="center"/>
              <w:rPr>
                <w:b/>
                <w:bCs/>
                <w:sz w:val="24"/>
              </w:rPr>
            </w:pPr>
            <w:r>
              <w:rPr>
                <w:b/>
                <w:bCs/>
                <w:sz w:val="24"/>
              </w:rPr>
              <w:t>表4-15  环境监测计划表</w:t>
            </w:r>
          </w:p>
          <w:tbl>
            <w:tblPr>
              <w:tblStyle w:val="25"/>
              <w:tblW w:w="9001"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0"/>
              <w:gridCol w:w="1689"/>
              <w:gridCol w:w="1566"/>
              <w:gridCol w:w="2976"/>
              <w:gridCol w:w="1098"/>
              <w:gridCol w:w="952"/>
            </w:tblGrid>
            <w:tr w14:paraId="353069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0" w:type="dxa"/>
                  <w:vAlign w:val="center"/>
                </w:tcPr>
                <w:p w14:paraId="24E2B5AB">
                  <w:pPr>
                    <w:jc w:val="center"/>
                    <w:rPr>
                      <w:b/>
                      <w:szCs w:val="21"/>
                    </w:rPr>
                  </w:pPr>
                  <w:r>
                    <w:rPr>
                      <w:b/>
                      <w:szCs w:val="21"/>
                    </w:rPr>
                    <w:t>类别</w:t>
                  </w:r>
                </w:p>
              </w:tc>
              <w:tc>
                <w:tcPr>
                  <w:tcW w:w="1689" w:type="dxa"/>
                  <w:vAlign w:val="center"/>
                </w:tcPr>
                <w:p w14:paraId="2E1BC32F">
                  <w:pPr>
                    <w:jc w:val="center"/>
                    <w:rPr>
                      <w:b/>
                      <w:szCs w:val="21"/>
                    </w:rPr>
                  </w:pPr>
                  <w:r>
                    <w:rPr>
                      <w:b/>
                      <w:szCs w:val="21"/>
                    </w:rPr>
                    <w:t>监测项目</w:t>
                  </w:r>
                </w:p>
              </w:tc>
              <w:tc>
                <w:tcPr>
                  <w:tcW w:w="1566" w:type="dxa"/>
                  <w:vAlign w:val="center"/>
                </w:tcPr>
                <w:p w14:paraId="0E3BEA70">
                  <w:pPr>
                    <w:jc w:val="center"/>
                    <w:rPr>
                      <w:b/>
                      <w:szCs w:val="21"/>
                    </w:rPr>
                  </w:pPr>
                  <w:r>
                    <w:rPr>
                      <w:b/>
                      <w:szCs w:val="21"/>
                    </w:rPr>
                    <w:t>监测位置</w:t>
                  </w:r>
                </w:p>
              </w:tc>
              <w:tc>
                <w:tcPr>
                  <w:tcW w:w="2976" w:type="dxa"/>
                  <w:vAlign w:val="center"/>
                </w:tcPr>
                <w:p w14:paraId="499560A7">
                  <w:pPr>
                    <w:jc w:val="center"/>
                    <w:rPr>
                      <w:b/>
                      <w:szCs w:val="21"/>
                    </w:rPr>
                  </w:pPr>
                  <w:r>
                    <w:rPr>
                      <w:b/>
                      <w:szCs w:val="21"/>
                    </w:rPr>
                    <w:t>标准</w:t>
                  </w:r>
                </w:p>
              </w:tc>
              <w:tc>
                <w:tcPr>
                  <w:tcW w:w="1098" w:type="dxa"/>
                  <w:vAlign w:val="center"/>
                </w:tcPr>
                <w:p w14:paraId="53279EA3">
                  <w:pPr>
                    <w:jc w:val="center"/>
                    <w:rPr>
                      <w:b/>
                      <w:szCs w:val="21"/>
                    </w:rPr>
                  </w:pPr>
                  <w:r>
                    <w:rPr>
                      <w:b/>
                      <w:szCs w:val="21"/>
                    </w:rPr>
                    <w:t>监测频率</w:t>
                  </w:r>
                </w:p>
              </w:tc>
              <w:tc>
                <w:tcPr>
                  <w:tcW w:w="952" w:type="dxa"/>
                  <w:vAlign w:val="center"/>
                </w:tcPr>
                <w:p w14:paraId="79CAAD5A">
                  <w:pPr>
                    <w:jc w:val="center"/>
                    <w:rPr>
                      <w:b/>
                      <w:szCs w:val="21"/>
                    </w:rPr>
                  </w:pPr>
                  <w:r>
                    <w:rPr>
                      <w:b/>
                      <w:szCs w:val="21"/>
                    </w:rPr>
                    <w:t>实施单位</w:t>
                  </w:r>
                </w:p>
              </w:tc>
            </w:tr>
            <w:tr w14:paraId="1C8876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0" w:type="dxa"/>
                  <w:vMerge w:val="restart"/>
                  <w:vAlign w:val="center"/>
                </w:tcPr>
                <w:p w14:paraId="094A30F0">
                  <w:pPr>
                    <w:jc w:val="center"/>
                    <w:rPr>
                      <w:szCs w:val="21"/>
                    </w:rPr>
                  </w:pPr>
                  <w:r>
                    <w:rPr>
                      <w:szCs w:val="21"/>
                    </w:rPr>
                    <w:t>废气</w:t>
                  </w:r>
                </w:p>
              </w:tc>
              <w:tc>
                <w:tcPr>
                  <w:tcW w:w="1689" w:type="dxa"/>
                  <w:vAlign w:val="center"/>
                </w:tcPr>
                <w:p w14:paraId="083091F2">
                  <w:pPr>
                    <w:jc w:val="center"/>
                    <w:rPr>
                      <w:szCs w:val="21"/>
                    </w:rPr>
                  </w:pPr>
                  <w:r>
                    <w:rPr>
                      <w:szCs w:val="21"/>
                    </w:rPr>
                    <w:t>颗粒物、SO</w:t>
                  </w:r>
                  <w:r>
                    <w:rPr>
                      <w:szCs w:val="21"/>
                      <w:vertAlign w:val="subscript"/>
                    </w:rPr>
                    <w:t>2</w:t>
                  </w:r>
                  <w:r>
                    <w:rPr>
                      <w:szCs w:val="21"/>
                    </w:rPr>
                    <w:t>、NO</w:t>
                  </w:r>
                  <w:r>
                    <w:rPr>
                      <w:szCs w:val="21"/>
                      <w:vertAlign w:val="subscript"/>
                    </w:rPr>
                    <w:t>x</w:t>
                  </w:r>
                  <w:r>
                    <w:rPr>
                      <w:szCs w:val="21"/>
                    </w:rPr>
                    <w:t>、氟化物</w:t>
                  </w:r>
                </w:p>
              </w:tc>
              <w:tc>
                <w:tcPr>
                  <w:tcW w:w="1566" w:type="dxa"/>
                  <w:vAlign w:val="center"/>
                </w:tcPr>
                <w:p w14:paraId="25180401">
                  <w:pPr>
                    <w:jc w:val="center"/>
                    <w:rPr>
                      <w:szCs w:val="21"/>
                    </w:rPr>
                  </w:pPr>
                  <w:r>
                    <w:rPr>
                      <w:bCs/>
                      <w:szCs w:val="21"/>
                    </w:rPr>
                    <w:t>隧道窑烧结废气烟囱</w:t>
                  </w:r>
                  <w:r>
                    <w:rPr>
                      <w:szCs w:val="21"/>
                    </w:rPr>
                    <w:t>DA001</w:t>
                  </w:r>
                </w:p>
              </w:tc>
              <w:tc>
                <w:tcPr>
                  <w:tcW w:w="2976" w:type="dxa"/>
                  <w:vAlign w:val="center"/>
                </w:tcPr>
                <w:p w14:paraId="6EB10CD6">
                  <w:pPr>
                    <w:jc w:val="center"/>
                    <w:rPr>
                      <w:iCs/>
                      <w:szCs w:val="21"/>
                    </w:rPr>
                  </w:pPr>
                  <w:r>
                    <w:rPr>
                      <w:iCs/>
                      <w:szCs w:val="21"/>
                    </w:rPr>
                    <w:t>《砖瓦工业大气污染物排放标准》（GB29620-2013）表2新建企业大气污染物排放限值</w:t>
                  </w:r>
                </w:p>
              </w:tc>
              <w:tc>
                <w:tcPr>
                  <w:tcW w:w="1098" w:type="dxa"/>
                  <w:vAlign w:val="center"/>
                </w:tcPr>
                <w:p w14:paraId="786D3095">
                  <w:pPr>
                    <w:jc w:val="center"/>
                    <w:rPr>
                      <w:szCs w:val="21"/>
                    </w:rPr>
                  </w:pPr>
                  <w:r>
                    <w:rPr>
                      <w:szCs w:val="21"/>
                    </w:rPr>
                    <w:t>半年/次</w:t>
                  </w:r>
                </w:p>
              </w:tc>
              <w:tc>
                <w:tcPr>
                  <w:tcW w:w="952" w:type="dxa"/>
                  <w:vMerge w:val="restart"/>
                  <w:vAlign w:val="center"/>
                </w:tcPr>
                <w:p w14:paraId="3549F1F7">
                  <w:pPr>
                    <w:pStyle w:val="57"/>
                    <w:rPr>
                      <w:szCs w:val="21"/>
                    </w:rPr>
                  </w:pPr>
                  <w:r>
                    <w:rPr>
                      <w:szCs w:val="21"/>
                    </w:rPr>
                    <w:t>委托</w:t>
                  </w:r>
                </w:p>
                <w:p w14:paraId="42FB444C">
                  <w:pPr>
                    <w:pStyle w:val="57"/>
                    <w:rPr>
                      <w:szCs w:val="21"/>
                    </w:rPr>
                  </w:pPr>
                  <w:r>
                    <w:rPr>
                      <w:szCs w:val="21"/>
                    </w:rPr>
                    <w:t>具有</w:t>
                  </w:r>
                </w:p>
                <w:p w14:paraId="7E1DC7C9">
                  <w:pPr>
                    <w:pStyle w:val="57"/>
                    <w:rPr>
                      <w:szCs w:val="21"/>
                    </w:rPr>
                  </w:pPr>
                  <w:r>
                    <w:rPr>
                      <w:szCs w:val="21"/>
                    </w:rPr>
                    <w:t>资质</w:t>
                  </w:r>
                </w:p>
                <w:p w14:paraId="3E38412F">
                  <w:pPr>
                    <w:pStyle w:val="57"/>
                    <w:rPr>
                      <w:szCs w:val="21"/>
                    </w:rPr>
                  </w:pPr>
                  <w:r>
                    <w:rPr>
                      <w:szCs w:val="21"/>
                    </w:rPr>
                    <w:t>的环</w:t>
                  </w:r>
                </w:p>
                <w:p w14:paraId="02AD4D8D">
                  <w:pPr>
                    <w:pStyle w:val="57"/>
                    <w:rPr>
                      <w:szCs w:val="21"/>
                    </w:rPr>
                  </w:pPr>
                  <w:r>
                    <w:rPr>
                      <w:szCs w:val="21"/>
                    </w:rPr>
                    <w:t>境监</w:t>
                  </w:r>
                </w:p>
                <w:p w14:paraId="48FEF184">
                  <w:pPr>
                    <w:pStyle w:val="57"/>
                    <w:rPr>
                      <w:szCs w:val="21"/>
                    </w:rPr>
                  </w:pPr>
                  <w:r>
                    <w:rPr>
                      <w:szCs w:val="21"/>
                    </w:rPr>
                    <w:t>测单</w:t>
                  </w:r>
                </w:p>
                <w:p w14:paraId="1A56BCDD">
                  <w:pPr>
                    <w:jc w:val="center"/>
                    <w:rPr>
                      <w:szCs w:val="21"/>
                    </w:rPr>
                  </w:pPr>
                  <w:r>
                    <w:rPr>
                      <w:szCs w:val="21"/>
                    </w:rPr>
                    <w:t>位</w:t>
                  </w:r>
                </w:p>
              </w:tc>
            </w:tr>
            <w:tr w14:paraId="7215B4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0" w:type="dxa"/>
                  <w:vMerge w:val="continue"/>
                  <w:vAlign w:val="center"/>
                </w:tcPr>
                <w:p w14:paraId="318182C8">
                  <w:pPr>
                    <w:jc w:val="center"/>
                    <w:rPr>
                      <w:szCs w:val="21"/>
                    </w:rPr>
                  </w:pPr>
                </w:p>
              </w:tc>
              <w:tc>
                <w:tcPr>
                  <w:tcW w:w="1689" w:type="dxa"/>
                  <w:vAlign w:val="center"/>
                </w:tcPr>
                <w:p w14:paraId="64A2307C">
                  <w:pPr>
                    <w:jc w:val="center"/>
                    <w:rPr>
                      <w:szCs w:val="21"/>
                    </w:rPr>
                  </w:pPr>
                  <w:r>
                    <w:rPr>
                      <w:szCs w:val="21"/>
                    </w:rPr>
                    <w:t>颗粒物、SO</w:t>
                  </w:r>
                  <w:r>
                    <w:rPr>
                      <w:szCs w:val="21"/>
                      <w:vertAlign w:val="subscript"/>
                    </w:rPr>
                    <w:t>2</w:t>
                  </w:r>
                  <w:r>
                    <w:rPr>
                      <w:szCs w:val="21"/>
                    </w:rPr>
                    <w:t>、氟化物</w:t>
                  </w:r>
                </w:p>
              </w:tc>
              <w:tc>
                <w:tcPr>
                  <w:tcW w:w="1566" w:type="dxa"/>
                  <w:vAlign w:val="center"/>
                </w:tcPr>
                <w:p w14:paraId="362377CC">
                  <w:pPr>
                    <w:jc w:val="center"/>
                    <w:rPr>
                      <w:szCs w:val="21"/>
                    </w:rPr>
                  </w:pPr>
                  <w:r>
                    <w:rPr>
                      <w:szCs w:val="21"/>
                    </w:rPr>
                    <w:t>厂界</w:t>
                  </w:r>
                </w:p>
              </w:tc>
              <w:tc>
                <w:tcPr>
                  <w:tcW w:w="2976" w:type="dxa"/>
                  <w:vAlign w:val="center"/>
                </w:tcPr>
                <w:p w14:paraId="396EC7F7">
                  <w:pPr>
                    <w:jc w:val="center"/>
                    <w:rPr>
                      <w:iCs/>
                      <w:szCs w:val="21"/>
                    </w:rPr>
                  </w:pPr>
                  <w:r>
                    <w:rPr>
                      <w:iCs/>
                      <w:szCs w:val="21"/>
                    </w:rPr>
                    <w:t>砖瓦工业大气污染物排放标准》（GB29620-2013）表2新建企业大气污染物排放限值</w:t>
                  </w:r>
                </w:p>
              </w:tc>
              <w:tc>
                <w:tcPr>
                  <w:tcW w:w="1098" w:type="dxa"/>
                  <w:vAlign w:val="center"/>
                </w:tcPr>
                <w:p w14:paraId="074C8560">
                  <w:pPr>
                    <w:jc w:val="center"/>
                    <w:rPr>
                      <w:szCs w:val="21"/>
                    </w:rPr>
                  </w:pPr>
                  <w:r>
                    <w:rPr>
                      <w:szCs w:val="21"/>
                    </w:rPr>
                    <w:t>年/次</w:t>
                  </w:r>
                </w:p>
              </w:tc>
              <w:tc>
                <w:tcPr>
                  <w:tcW w:w="952" w:type="dxa"/>
                  <w:vMerge w:val="continue"/>
                  <w:vAlign w:val="center"/>
                </w:tcPr>
                <w:p w14:paraId="53052164">
                  <w:pPr>
                    <w:jc w:val="center"/>
                    <w:rPr>
                      <w:szCs w:val="21"/>
                    </w:rPr>
                  </w:pPr>
                </w:p>
              </w:tc>
            </w:tr>
            <w:tr w14:paraId="0E4D37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0" w:type="dxa"/>
                  <w:vAlign w:val="center"/>
                </w:tcPr>
                <w:p w14:paraId="0A32B2E4">
                  <w:pPr>
                    <w:jc w:val="center"/>
                    <w:rPr>
                      <w:szCs w:val="21"/>
                    </w:rPr>
                  </w:pPr>
                  <w:r>
                    <w:rPr>
                      <w:szCs w:val="21"/>
                    </w:rPr>
                    <w:t>废水</w:t>
                  </w:r>
                </w:p>
              </w:tc>
              <w:tc>
                <w:tcPr>
                  <w:tcW w:w="1689" w:type="dxa"/>
                  <w:vAlign w:val="center"/>
                </w:tcPr>
                <w:p w14:paraId="7BC1FA31">
                  <w:pPr>
                    <w:jc w:val="center"/>
                    <w:rPr>
                      <w:szCs w:val="21"/>
                    </w:rPr>
                  </w:pPr>
                  <w:r>
                    <w:rPr>
                      <w:szCs w:val="21"/>
                    </w:rPr>
                    <w:t xml:space="preserve">COD </w:t>
                  </w:r>
                </w:p>
              </w:tc>
              <w:tc>
                <w:tcPr>
                  <w:tcW w:w="1566" w:type="dxa"/>
                  <w:vAlign w:val="center"/>
                </w:tcPr>
                <w:p w14:paraId="13773597">
                  <w:pPr>
                    <w:jc w:val="center"/>
                    <w:rPr>
                      <w:szCs w:val="21"/>
                    </w:rPr>
                  </w:pPr>
                  <w:r>
                    <w:rPr>
                      <w:szCs w:val="21"/>
                    </w:rPr>
                    <w:t>雨水排口</w:t>
                  </w:r>
                </w:p>
              </w:tc>
              <w:tc>
                <w:tcPr>
                  <w:tcW w:w="2976" w:type="dxa"/>
                  <w:vAlign w:val="center"/>
                </w:tcPr>
                <w:p w14:paraId="6A18E448">
                  <w:pPr>
                    <w:jc w:val="center"/>
                    <w:rPr>
                      <w:bCs/>
                      <w:iCs/>
                      <w:szCs w:val="21"/>
                    </w:rPr>
                  </w:pPr>
                  <w:r>
                    <w:rPr>
                      <w:bCs/>
                      <w:iCs/>
                      <w:szCs w:val="21"/>
                    </w:rPr>
                    <w:t>/</w:t>
                  </w:r>
                </w:p>
              </w:tc>
              <w:tc>
                <w:tcPr>
                  <w:tcW w:w="1098" w:type="dxa"/>
                  <w:vAlign w:val="center"/>
                </w:tcPr>
                <w:p w14:paraId="1D75C1F9">
                  <w:pPr>
                    <w:jc w:val="center"/>
                    <w:rPr>
                      <w:szCs w:val="21"/>
                    </w:rPr>
                  </w:pPr>
                  <w:r>
                    <w:rPr>
                      <w:bCs/>
                      <w:iCs/>
                      <w:szCs w:val="21"/>
                    </w:rPr>
                    <w:t>排放口有流动水排放时开展监测,排放期间按日监测</w:t>
                  </w:r>
                </w:p>
              </w:tc>
              <w:tc>
                <w:tcPr>
                  <w:tcW w:w="952" w:type="dxa"/>
                  <w:vMerge w:val="continue"/>
                  <w:vAlign w:val="center"/>
                </w:tcPr>
                <w:p w14:paraId="10DAC307">
                  <w:pPr>
                    <w:jc w:val="center"/>
                    <w:rPr>
                      <w:szCs w:val="21"/>
                    </w:rPr>
                  </w:pPr>
                </w:p>
              </w:tc>
            </w:tr>
            <w:tr w14:paraId="58B616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0" w:type="dxa"/>
                  <w:vAlign w:val="center"/>
                </w:tcPr>
                <w:p w14:paraId="0776B009">
                  <w:pPr>
                    <w:jc w:val="center"/>
                    <w:rPr>
                      <w:szCs w:val="21"/>
                    </w:rPr>
                  </w:pPr>
                  <w:r>
                    <w:rPr>
                      <w:szCs w:val="21"/>
                    </w:rPr>
                    <w:t>噪声</w:t>
                  </w:r>
                </w:p>
              </w:tc>
              <w:tc>
                <w:tcPr>
                  <w:tcW w:w="1689" w:type="dxa"/>
                  <w:vAlign w:val="center"/>
                </w:tcPr>
                <w:p w14:paraId="0FBC93BC">
                  <w:pPr>
                    <w:jc w:val="center"/>
                    <w:rPr>
                      <w:szCs w:val="21"/>
                    </w:rPr>
                  </w:pPr>
                  <w:r>
                    <w:rPr>
                      <w:szCs w:val="21"/>
                    </w:rPr>
                    <w:t>昼、夜等效</w:t>
                  </w:r>
                </w:p>
                <w:p w14:paraId="0A0CAFEE">
                  <w:pPr>
                    <w:jc w:val="center"/>
                    <w:rPr>
                      <w:szCs w:val="21"/>
                    </w:rPr>
                  </w:pPr>
                  <w:r>
                    <w:rPr>
                      <w:szCs w:val="21"/>
                    </w:rPr>
                    <w:t>连续A声级</w:t>
                  </w:r>
                </w:p>
              </w:tc>
              <w:tc>
                <w:tcPr>
                  <w:tcW w:w="1566" w:type="dxa"/>
                  <w:vAlign w:val="center"/>
                </w:tcPr>
                <w:p w14:paraId="688F7577">
                  <w:pPr>
                    <w:jc w:val="center"/>
                    <w:rPr>
                      <w:szCs w:val="21"/>
                    </w:rPr>
                  </w:pPr>
                  <w:r>
                    <w:rPr>
                      <w:szCs w:val="21"/>
                    </w:rPr>
                    <w:t>厂界四周</w:t>
                  </w:r>
                </w:p>
              </w:tc>
              <w:tc>
                <w:tcPr>
                  <w:tcW w:w="2976" w:type="dxa"/>
                  <w:vAlign w:val="center"/>
                </w:tcPr>
                <w:p w14:paraId="108E9772">
                  <w:pPr>
                    <w:jc w:val="center"/>
                    <w:rPr>
                      <w:szCs w:val="21"/>
                    </w:rPr>
                  </w:pPr>
                  <w:r>
                    <w:rPr>
                      <w:szCs w:val="21"/>
                    </w:rPr>
                    <w:t>《工业企业厂界环境噪声排放标准》（GB12348-2008）中2类标准</w:t>
                  </w:r>
                </w:p>
              </w:tc>
              <w:tc>
                <w:tcPr>
                  <w:tcW w:w="1098" w:type="dxa"/>
                  <w:vAlign w:val="center"/>
                </w:tcPr>
                <w:p w14:paraId="4BE7C7A3">
                  <w:pPr>
                    <w:jc w:val="center"/>
                    <w:rPr>
                      <w:szCs w:val="21"/>
                    </w:rPr>
                  </w:pPr>
                  <w:r>
                    <w:rPr>
                      <w:szCs w:val="21"/>
                    </w:rPr>
                    <w:t>年/次</w:t>
                  </w:r>
                </w:p>
              </w:tc>
              <w:tc>
                <w:tcPr>
                  <w:tcW w:w="952" w:type="dxa"/>
                  <w:vMerge w:val="continue"/>
                  <w:vAlign w:val="center"/>
                </w:tcPr>
                <w:p w14:paraId="4FB52D4D">
                  <w:pPr>
                    <w:jc w:val="center"/>
                    <w:rPr>
                      <w:szCs w:val="21"/>
                    </w:rPr>
                  </w:pPr>
                </w:p>
              </w:tc>
            </w:tr>
          </w:tbl>
          <w:p w14:paraId="161F0216">
            <w:pPr>
              <w:adjustRightInd w:val="0"/>
              <w:snapToGrid w:val="0"/>
              <w:spacing w:line="360" w:lineRule="auto"/>
              <w:ind w:firstLine="480" w:firstLineChars="200"/>
              <w:rPr>
                <w:kern w:val="0"/>
                <w:sz w:val="24"/>
              </w:rPr>
            </w:pPr>
          </w:p>
          <w:p w14:paraId="47F074FA">
            <w:pPr>
              <w:pStyle w:val="2"/>
              <w:rPr>
                <w:rFonts w:ascii="Times New Roman" w:hAnsi="Times New Roman"/>
              </w:rPr>
            </w:pPr>
          </w:p>
          <w:p w14:paraId="781BAA72"/>
          <w:p w14:paraId="35B0B2DF">
            <w:pPr>
              <w:pStyle w:val="2"/>
              <w:rPr>
                <w:rFonts w:ascii="Times New Roman" w:hAnsi="Times New Roman"/>
              </w:rPr>
            </w:pPr>
          </w:p>
          <w:p w14:paraId="195ACE92"/>
          <w:p w14:paraId="0F133192">
            <w:pPr>
              <w:pStyle w:val="2"/>
              <w:rPr>
                <w:rFonts w:ascii="Times New Roman" w:hAnsi="Times New Roman"/>
              </w:rPr>
            </w:pPr>
          </w:p>
          <w:p w14:paraId="3986C489"/>
          <w:p w14:paraId="53999FE0">
            <w:pPr>
              <w:pStyle w:val="2"/>
              <w:rPr>
                <w:rFonts w:ascii="Times New Roman" w:hAnsi="Times New Roman"/>
              </w:rPr>
            </w:pPr>
          </w:p>
          <w:p w14:paraId="36188CCD"/>
          <w:p w14:paraId="1ACCFDE7">
            <w:pPr>
              <w:pStyle w:val="2"/>
              <w:rPr>
                <w:rFonts w:ascii="Times New Roman" w:hAnsi="Times New Roman"/>
              </w:rPr>
            </w:pPr>
          </w:p>
          <w:p w14:paraId="35509233">
            <w:pPr>
              <w:adjustRightInd w:val="0"/>
              <w:snapToGrid w:val="0"/>
              <w:spacing w:line="360" w:lineRule="auto"/>
              <w:ind w:firstLine="480" w:firstLineChars="200"/>
              <w:rPr>
                <w:kern w:val="0"/>
                <w:sz w:val="24"/>
              </w:rPr>
            </w:pPr>
          </w:p>
          <w:p w14:paraId="138B1CBC">
            <w:pPr>
              <w:adjustRightInd w:val="0"/>
              <w:snapToGrid w:val="0"/>
              <w:spacing w:line="360" w:lineRule="auto"/>
              <w:ind w:firstLine="480" w:firstLineChars="200"/>
              <w:rPr>
                <w:kern w:val="0"/>
                <w:sz w:val="24"/>
              </w:rPr>
            </w:pPr>
            <w:r>
              <w:rPr>
                <w:kern w:val="0"/>
                <w:sz w:val="24"/>
              </w:rPr>
              <w:t xml:space="preserve"> </w:t>
            </w:r>
          </w:p>
        </w:tc>
      </w:tr>
    </w:tbl>
    <w:p w14:paraId="1CCB4DF9">
      <w:pPr>
        <w:adjustRightInd w:val="0"/>
        <w:snapToGrid w:val="0"/>
        <w:jc w:val="center"/>
        <w:rPr>
          <w:b/>
          <w:bCs/>
          <w:sz w:val="24"/>
        </w:rPr>
        <w:sectPr>
          <w:pgSz w:w="11907" w:h="16840"/>
          <w:pgMar w:top="1134" w:right="1134" w:bottom="1134" w:left="1134" w:header="851" w:footer="851" w:gutter="0"/>
          <w:cols w:space="720" w:num="1"/>
          <w:docGrid w:linePitch="312" w:charSpace="0"/>
        </w:sectPr>
      </w:pPr>
    </w:p>
    <w:p w14:paraId="11A3BF1E">
      <w:pPr>
        <w:pStyle w:val="20"/>
        <w:spacing w:before="0" w:beforeAutospacing="0" w:after="0" w:afterAutospacing="0"/>
        <w:jc w:val="center"/>
        <w:outlineLvl w:val="0"/>
        <w:rPr>
          <w:rFonts w:ascii="Times New Roman" w:hAnsi="Times New Roman"/>
          <w:snapToGrid w:val="0"/>
        </w:rPr>
      </w:pPr>
      <w:bookmarkStart w:id="24" w:name="_Toc14944"/>
      <w:bookmarkStart w:id="25" w:name="_Toc101052745"/>
      <w:r>
        <w:rPr>
          <w:rFonts w:ascii="Times New Roman" w:hAnsi="Times New Roman"/>
          <w:b/>
          <w:bCs/>
          <w:snapToGrid w:val="0"/>
          <w:sz w:val="32"/>
          <w:szCs w:val="32"/>
        </w:rPr>
        <w:t>五、</w:t>
      </w:r>
      <w:bookmarkStart w:id="26" w:name="_Hlk54167917"/>
      <w:r>
        <w:rPr>
          <w:rFonts w:ascii="Times New Roman" w:hAnsi="Times New Roman"/>
          <w:b/>
          <w:bCs/>
          <w:snapToGrid w:val="0"/>
          <w:sz w:val="32"/>
          <w:szCs w:val="32"/>
        </w:rPr>
        <w:t>环境保护措施监督检查清单</w:t>
      </w:r>
      <w:bookmarkEnd w:id="24"/>
      <w:bookmarkEnd w:id="25"/>
      <w:bookmarkEnd w:id="26"/>
    </w:p>
    <w:tbl>
      <w:tblPr>
        <w:tblStyle w:val="25"/>
        <w:tblW w:w="95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732"/>
        <w:gridCol w:w="1486"/>
        <w:gridCol w:w="2756"/>
        <w:gridCol w:w="1959"/>
      </w:tblGrid>
      <w:tr w14:paraId="4E6FF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0" w:type="dxa"/>
            <w:tcBorders>
              <w:tl2br w:val="single" w:color="auto" w:sz="4" w:space="0"/>
            </w:tcBorders>
          </w:tcPr>
          <w:p w14:paraId="2D350628">
            <w:pPr>
              <w:adjustRightInd w:val="0"/>
              <w:snapToGrid w:val="0"/>
              <w:ind w:firstLine="723" w:firstLineChars="300"/>
              <w:rPr>
                <w:b/>
                <w:bCs/>
                <w:sz w:val="24"/>
              </w:rPr>
            </w:pPr>
            <w:r>
              <w:rPr>
                <w:b/>
                <w:bCs/>
                <w:sz w:val="24"/>
              </w:rPr>
              <w:t>内容</w:t>
            </w:r>
          </w:p>
          <w:p w14:paraId="4D23A645">
            <w:pPr>
              <w:adjustRightInd w:val="0"/>
              <w:snapToGrid w:val="0"/>
              <w:rPr>
                <w:b/>
                <w:bCs/>
                <w:sz w:val="24"/>
              </w:rPr>
            </w:pPr>
            <w:r>
              <w:rPr>
                <w:b/>
                <w:bCs/>
                <w:sz w:val="24"/>
              </w:rPr>
              <w:t>要素</w:t>
            </w:r>
          </w:p>
        </w:tc>
        <w:tc>
          <w:tcPr>
            <w:tcW w:w="1732" w:type="dxa"/>
            <w:vAlign w:val="center"/>
          </w:tcPr>
          <w:p w14:paraId="5567645E">
            <w:pPr>
              <w:adjustRightInd w:val="0"/>
              <w:snapToGrid w:val="0"/>
              <w:jc w:val="center"/>
              <w:rPr>
                <w:b/>
                <w:bCs/>
                <w:sz w:val="24"/>
              </w:rPr>
            </w:pPr>
            <w:r>
              <w:rPr>
                <w:b/>
                <w:bCs/>
                <w:sz w:val="24"/>
              </w:rPr>
              <w:t>排放口(编号、</w:t>
            </w:r>
          </w:p>
          <w:p w14:paraId="394B347C">
            <w:pPr>
              <w:adjustRightInd w:val="0"/>
              <w:snapToGrid w:val="0"/>
              <w:jc w:val="center"/>
              <w:rPr>
                <w:b/>
                <w:bCs/>
                <w:sz w:val="24"/>
              </w:rPr>
            </w:pPr>
            <w:r>
              <w:rPr>
                <w:b/>
                <w:bCs/>
                <w:sz w:val="24"/>
              </w:rPr>
              <w:t>名称)/污染源</w:t>
            </w:r>
          </w:p>
        </w:tc>
        <w:tc>
          <w:tcPr>
            <w:tcW w:w="1486" w:type="dxa"/>
            <w:vAlign w:val="center"/>
          </w:tcPr>
          <w:p w14:paraId="23E32ACA">
            <w:pPr>
              <w:adjustRightInd w:val="0"/>
              <w:snapToGrid w:val="0"/>
              <w:jc w:val="center"/>
              <w:rPr>
                <w:b/>
                <w:bCs/>
                <w:sz w:val="24"/>
              </w:rPr>
            </w:pPr>
            <w:r>
              <w:rPr>
                <w:b/>
                <w:bCs/>
                <w:sz w:val="24"/>
              </w:rPr>
              <w:t>污染物项目</w:t>
            </w:r>
          </w:p>
        </w:tc>
        <w:tc>
          <w:tcPr>
            <w:tcW w:w="2756" w:type="dxa"/>
            <w:vAlign w:val="center"/>
          </w:tcPr>
          <w:p w14:paraId="473C04C4">
            <w:pPr>
              <w:adjustRightInd w:val="0"/>
              <w:snapToGrid w:val="0"/>
              <w:jc w:val="center"/>
              <w:rPr>
                <w:b/>
                <w:bCs/>
                <w:sz w:val="24"/>
              </w:rPr>
            </w:pPr>
            <w:r>
              <w:rPr>
                <w:b/>
                <w:bCs/>
                <w:sz w:val="24"/>
              </w:rPr>
              <w:t>环境保护措施</w:t>
            </w:r>
          </w:p>
        </w:tc>
        <w:tc>
          <w:tcPr>
            <w:tcW w:w="1959" w:type="dxa"/>
            <w:vAlign w:val="center"/>
          </w:tcPr>
          <w:p w14:paraId="4855A8B0">
            <w:pPr>
              <w:adjustRightInd w:val="0"/>
              <w:snapToGrid w:val="0"/>
              <w:jc w:val="center"/>
              <w:rPr>
                <w:b/>
                <w:bCs/>
                <w:sz w:val="24"/>
              </w:rPr>
            </w:pPr>
            <w:r>
              <w:rPr>
                <w:b/>
                <w:bCs/>
                <w:sz w:val="24"/>
              </w:rPr>
              <w:t>执行标准</w:t>
            </w:r>
          </w:p>
        </w:tc>
      </w:tr>
      <w:tr w14:paraId="6B92F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0" w:type="dxa"/>
            <w:vMerge w:val="restart"/>
            <w:vAlign w:val="center"/>
          </w:tcPr>
          <w:p w14:paraId="3F010C00">
            <w:pPr>
              <w:adjustRightInd w:val="0"/>
              <w:snapToGrid w:val="0"/>
              <w:jc w:val="center"/>
              <w:rPr>
                <w:sz w:val="24"/>
              </w:rPr>
            </w:pPr>
            <w:r>
              <w:rPr>
                <w:sz w:val="24"/>
              </w:rPr>
              <w:t>大气环境</w:t>
            </w:r>
          </w:p>
        </w:tc>
        <w:tc>
          <w:tcPr>
            <w:tcW w:w="1732" w:type="dxa"/>
            <w:vAlign w:val="center"/>
          </w:tcPr>
          <w:p w14:paraId="54BEBA9D">
            <w:pPr>
              <w:jc w:val="center"/>
              <w:rPr>
                <w:bCs/>
                <w:sz w:val="24"/>
              </w:rPr>
            </w:pPr>
            <w:r>
              <w:rPr>
                <w:bCs/>
                <w:sz w:val="24"/>
              </w:rPr>
              <w:t>隧道窑烧结废气烟囱</w:t>
            </w:r>
            <w:r>
              <w:rPr>
                <w:sz w:val="24"/>
              </w:rPr>
              <w:t>DA001</w:t>
            </w:r>
          </w:p>
        </w:tc>
        <w:tc>
          <w:tcPr>
            <w:tcW w:w="1486" w:type="dxa"/>
            <w:vAlign w:val="center"/>
          </w:tcPr>
          <w:p w14:paraId="5E3E448D">
            <w:pPr>
              <w:jc w:val="center"/>
              <w:rPr>
                <w:sz w:val="24"/>
              </w:rPr>
            </w:pPr>
            <w:r>
              <w:rPr>
                <w:sz w:val="24"/>
              </w:rPr>
              <w:t>颗粒物、SO</w:t>
            </w:r>
            <w:r>
              <w:rPr>
                <w:sz w:val="24"/>
                <w:vertAlign w:val="subscript"/>
              </w:rPr>
              <w:t>2</w:t>
            </w:r>
            <w:r>
              <w:rPr>
                <w:sz w:val="24"/>
              </w:rPr>
              <w:t>、NO</w:t>
            </w:r>
            <w:r>
              <w:rPr>
                <w:sz w:val="24"/>
                <w:vertAlign w:val="subscript"/>
              </w:rPr>
              <w:t>x</w:t>
            </w:r>
            <w:r>
              <w:rPr>
                <w:sz w:val="24"/>
              </w:rPr>
              <w:t>、氟化物</w:t>
            </w:r>
          </w:p>
        </w:tc>
        <w:tc>
          <w:tcPr>
            <w:tcW w:w="2756" w:type="dxa"/>
            <w:vAlign w:val="center"/>
          </w:tcPr>
          <w:p w14:paraId="3671DCE9">
            <w:pPr>
              <w:pStyle w:val="53"/>
              <w:ind w:firstLine="472"/>
              <w:jc w:val="left"/>
              <w:rPr>
                <w:rFonts w:ascii="Times New Roman" w:hAnsi="Times New Roman"/>
                <w:sz w:val="24"/>
                <w:szCs w:val="24"/>
              </w:rPr>
            </w:pPr>
            <w:r>
              <w:rPr>
                <w:rFonts w:ascii="Times New Roman" w:hAnsi="Times New Roman"/>
                <w:bCs/>
                <w:sz w:val="24"/>
              </w:rPr>
              <w:t>隧道窑烧结废气经</w:t>
            </w:r>
            <w:r>
              <w:rPr>
                <w:rFonts w:ascii="Times New Roman" w:hAnsi="Times New Roman"/>
                <w:sz w:val="24"/>
              </w:rPr>
              <w:t>一套脱硫除尘尾气处理设施处理，通过25m烟囱排放（内径2m）；</w:t>
            </w:r>
            <w:r>
              <w:rPr>
                <w:rFonts w:ascii="Times New Roman" w:hAnsi="Times New Roman"/>
                <w:spacing w:val="-2"/>
                <w:sz w:val="24"/>
                <w:szCs w:val="24"/>
              </w:rPr>
              <w:t>对烟尘、二氧化硫的处理效率分别为95%、85%。</w:t>
            </w:r>
          </w:p>
        </w:tc>
        <w:tc>
          <w:tcPr>
            <w:tcW w:w="1959" w:type="dxa"/>
            <w:vAlign w:val="center"/>
          </w:tcPr>
          <w:p w14:paraId="08C2AF91">
            <w:pPr>
              <w:pStyle w:val="53"/>
              <w:jc w:val="center"/>
              <w:rPr>
                <w:rFonts w:ascii="Times New Roman" w:hAnsi="Times New Roman"/>
                <w:sz w:val="24"/>
                <w:szCs w:val="24"/>
              </w:rPr>
            </w:pPr>
            <w:r>
              <w:rPr>
                <w:rFonts w:ascii="Times New Roman" w:hAnsi="Times New Roman"/>
                <w:iCs/>
                <w:sz w:val="24"/>
                <w:szCs w:val="24"/>
              </w:rPr>
              <w:t>《砖瓦工业大气污染物排放标准》（GB29620-2013）表2新建企业大气污染物排放限值</w:t>
            </w:r>
          </w:p>
        </w:tc>
      </w:tr>
      <w:tr w14:paraId="5D1D7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0" w:type="dxa"/>
            <w:vMerge w:val="continue"/>
            <w:vAlign w:val="center"/>
          </w:tcPr>
          <w:p w14:paraId="24D5D398">
            <w:pPr>
              <w:adjustRightInd w:val="0"/>
              <w:snapToGrid w:val="0"/>
              <w:jc w:val="center"/>
              <w:rPr>
                <w:sz w:val="24"/>
              </w:rPr>
            </w:pPr>
          </w:p>
        </w:tc>
        <w:tc>
          <w:tcPr>
            <w:tcW w:w="1732" w:type="dxa"/>
            <w:vAlign w:val="center"/>
          </w:tcPr>
          <w:p w14:paraId="028445E9">
            <w:pPr>
              <w:jc w:val="center"/>
              <w:rPr>
                <w:bCs/>
                <w:sz w:val="24"/>
              </w:rPr>
            </w:pPr>
            <w:r>
              <w:rPr>
                <w:sz w:val="24"/>
              </w:rPr>
              <w:t>破碎筛分G1、</w:t>
            </w:r>
            <w:r>
              <w:rPr>
                <w:bCs/>
                <w:sz w:val="24"/>
              </w:rPr>
              <w:t>原料堆场</w:t>
            </w:r>
          </w:p>
        </w:tc>
        <w:tc>
          <w:tcPr>
            <w:tcW w:w="1486" w:type="dxa"/>
            <w:vAlign w:val="center"/>
          </w:tcPr>
          <w:p w14:paraId="34E02B15">
            <w:pPr>
              <w:jc w:val="center"/>
              <w:rPr>
                <w:sz w:val="24"/>
              </w:rPr>
            </w:pPr>
            <w:r>
              <w:rPr>
                <w:sz w:val="24"/>
              </w:rPr>
              <w:t>颗粒物</w:t>
            </w:r>
          </w:p>
        </w:tc>
        <w:tc>
          <w:tcPr>
            <w:tcW w:w="2756" w:type="dxa"/>
            <w:vAlign w:val="center"/>
          </w:tcPr>
          <w:p w14:paraId="6FFB6514">
            <w:pPr>
              <w:pStyle w:val="53"/>
              <w:ind w:firstLine="472"/>
              <w:jc w:val="center"/>
              <w:rPr>
                <w:rFonts w:ascii="Times New Roman" w:hAnsi="Times New Roman"/>
                <w:sz w:val="24"/>
                <w:szCs w:val="24"/>
              </w:rPr>
            </w:pPr>
            <w:r>
              <w:rPr>
                <w:rFonts w:ascii="Times New Roman" w:hAnsi="Times New Roman"/>
                <w:b/>
                <w:sz w:val="24"/>
                <w:szCs w:val="24"/>
              </w:rPr>
              <w:t>1、破碎筛分：</w:t>
            </w:r>
            <w:r>
              <w:rPr>
                <w:rFonts w:ascii="Times New Roman" w:hAnsi="Times New Roman"/>
                <w:sz w:val="24"/>
                <w:szCs w:val="24"/>
              </w:rPr>
              <w:t>工序密闭处理，并配套2套集气罩+1套布袋除尘器，收集效率为80%，布袋除尘器处理效率为99%；</w:t>
            </w:r>
          </w:p>
          <w:p w14:paraId="106EDDD2">
            <w:pPr>
              <w:pStyle w:val="53"/>
              <w:ind w:firstLine="472"/>
              <w:jc w:val="center"/>
              <w:rPr>
                <w:rFonts w:ascii="Times New Roman" w:hAnsi="Times New Roman"/>
                <w:sz w:val="24"/>
                <w:szCs w:val="24"/>
              </w:rPr>
            </w:pPr>
            <w:r>
              <w:rPr>
                <w:rFonts w:ascii="Times New Roman" w:hAnsi="Times New Roman"/>
                <w:b/>
                <w:sz w:val="24"/>
                <w:szCs w:val="24"/>
              </w:rPr>
              <w:t>2、原料堆场：</w:t>
            </w:r>
            <w:r>
              <w:rPr>
                <w:rFonts w:ascii="Times New Roman" w:hAnsi="Times New Roman"/>
                <w:bCs/>
                <w:sz w:val="24"/>
              </w:rPr>
              <w:t>原料堆场堆棚四周设置防风抑尘网、挡风墙，且高度不低于堆存物料高度的1.1 倍，以及采取覆盖、洒水（1台雾炮机、1辆洒水车）等措施</w:t>
            </w:r>
          </w:p>
        </w:tc>
        <w:tc>
          <w:tcPr>
            <w:tcW w:w="1959" w:type="dxa"/>
            <w:vAlign w:val="center"/>
          </w:tcPr>
          <w:p w14:paraId="61E374EF">
            <w:pPr>
              <w:pStyle w:val="53"/>
              <w:jc w:val="center"/>
              <w:rPr>
                <w:rFonts w:ascii="Times New Roman" w:hAnsi="Times New Roman"/>
                <w:sz w:val="24"/>
                <w:szCs w:val="24"/>
              </w:rPr>
            </w:pPr>
            <w:r>
              <w:rPr>
                <w:rFonts w:ascii="Times New Roman" w:hAnsi="Times New Roman"/>
                <w:iCs/>
                <w:sz w:val="24"/>
                <w:szCs w:val="24"/>
              </w:rPr>
              <w:t>《砖瓦工业大气污染物排放标准》（GB29620-2013）表2新建企业大气污染物排放限值</w:t>
            </w:r>
          </w:p>
        </w:tc>
      </w:tr>
      <w:tr w14:paraId="56F2BE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0" w:type="dxa"/>
            <w:vMerge w:val="continue"/>
            <w:vAlign w:val="center"/>
          </w:tcPr>
          <w:p w14:paraId="4010972D">
            <w:pPr>
              <w:adjustRightInd w:val="0"/>
              <w:snapToGrid w:val="0"/>
              <w:jc w:val="center"/>
              <w:rPr>
                <w:sz w:val="24"/>
              </w:rPr>
            </w:pPr>
          </w:p>
        </w:tc>
        <w:tc>
          <w:tcPr>
            <w:tcW w:w="1732" w:type="dxa"/>
            <w:vAlign w:val="center"/>
          </w:tcPr>
          <w:p w14:paraId="6F41126F">
            <w:pPr>
              <w:tabs>
                <w:tab w:val="left" w:pos="2395"/>
              </w:tabs>
              <w:jc w:val="center"/>
              <w:rPr>
                <w:bCs/>
                <w:sz w:val="24"/>
              </w:rPr>
            </w:pPr>
            <w:r>
              <w:rPr>
                <w:bCs/>
                <w:sz w:val="24"/>
              </w:rPr>
              <w:t>食堂油烟</w:t>
            </w:r>
          </w:p>
        </w:tc>
        <w:tc>
          <w:tcPr>
            <w:tcW w:w="1486" w:type="dxa"/>
            <w:vAlign w:val="center"/>
          </w:tcPr>
          <w:p w14:paraId="59DC73E8">
            <w:pPr>
              <w:jc w:val="center"/>
              <w:rPr>
                <w:sz w:val="24"/>
              </w:rPr>
            </w:pPr>
            <w:r>
              <w:rPr>
                <w:sz w:val="24"/>
              </w:rPr>
              <w:t>食堂油烟</w:t>
            </w:r>
          </w:p>
        </w:tc>
        <w:tc>
          <w:tcPr>
            <w:tcW w:w="2756" w:type="dxa"/>
            <w:vAlign w:val="center"/>
          </w:tcPr>
          <w:p w14:paraId="2200CA90">
            <w:pPr>
              <w:pStyle w:val="53"/>
              <w:ind w:firstLine="480"/>
              <w:jc w:val="left"/>
              <w:rPr>
                <w:rFonts w:ascii="Times New Roman" w:hAnsi="Times New Roman"/>
                <w:sz w:val="24"/>
                <w:szCs w:val="24"/>
              </w:rPr>
            </w:pPr>
            <w:r>
              <w:rPr>
                <w:rFonts w:ascii="Times New Roman" w:hAnsi="Times New Roman"/>
                <w:sz w:val="24"/>
                <w:szCs w:val="24"/>
              </w:rPr>
              <w:t>经一台小型油烟净化器（风量为1000m</w:t>
            </w:r>
            <w:r>
              <w:rPr>
                <w:rFonts w:ascii="Times New Roman" w:hAnsi="Times New Roman"/>
                <w:sz w:val="24"/>
                <w:szCs w:val="24"/>
                <w:vertAlign w:val="superscript"/>
              </w:rPr>
              <w:t>3</w:t>
            </w:r>
            <w:r>
              <w:rPr>
                <w:rFonts w:ascii="Times New Roman" w:hAnsi="Times New Roman"/>
                <w:sz w:val="24"/>
                <w:szCs w:val="24"/>
              </w:rPr>
              <w:t>/h，净化效率60%）处理后高于食堂所在建筑楼顶排放。</w:t>
            </w:r>
          </w:p>
        </w:tc>
        <w:tc>
          <w:tcPr>
            <w:tcW w:w="1959" w:type="dxa"/>
            <w:vAlign w:val="center"/>
          </w:tcPr>
          <w:p w14:paraId="5E8F795E">
            <w:pPr>
              <w:pStyle w:val="53"/>
              <w:jc w:val="left"/>
              <w:rPr>
                <w:rFonts w:ascii="Times New Roman" w:hAnsi="Times New Roman"/>
                <w:sz w:val="24"/>
                <w:szCs w:val="24"/>
              </w:rPr>
            </w:pPr>
            <w:r>
              <w:rPr>
                <w:rFonts w:ascii="Times New Roman" w:hAnsi="Times New Roman"/>
                <w:spacing w:val="-10"/>
                <w:sz w:val="24"/>
                <w:szCs w:val="24"/>
              </w:rPr>
              <w:t>《饮食业油烟排放标准》</w:t>
            </w:r>
            <w:r>
              <w:rPr>
                <w:rFonts w:ascii="Times New Roman" w:hAnsi="Times New Roman"/>
                <w:sz w:val="24"/>
                <w:szCs w:val="24"/>
              </w:rPr>
              <w:t>（试行）（</w:t>
            </w:r>
            <w:r>
              <w:rPr>
                <w:rFonts w:ascii="Times New Roman" w:hAnsi="Times New Roman" w:eastAsia="Times New Roman"/>
                <w:sz w:val="24"/>
                <w:szCs w:val="24"/>
              </w:rPr>
              <w:t>GB18483-2001</w:t>
            </w:r>
            <w:r>
              <w:rPr>
                <w:rFonts w:ascii="Times New Roman" w:hAnsi="Times New Roman"/>
                <w:sz w:val="24"/>
                <w:szCs w:val="24"/>
              </w:rPr>
              <w:t>）标准中的小型标准</w:t>
            </w:r>
          </w:p>
        </w:tc>
      </w:tr>
      <w:tr w14:paraId="61FEC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620" w:type="dxa"/>
            <w:vAlign w:val="center"/>
          </w:tcPr>
          <w:p w14:paraId="228E2CDF">
            <w:pPr>
              <w:adjustRightInd w:val="0"/>
              <w:snapToGrid w:val="0"/>
              <w:jc w:val="center"/>
              <w:rPr>
                <w:sz w:val="24"/>
              </w:rPr>
            </w:pPr>
            <w:r>
              <w:rPr>
                <w:sz w:val="24"/>
              </w:rPr>
              <w:t>地表水环境</w:t>
            </w:r>
          </w:p>
        </w:tc>
        <w:tc>
          <w:tcPr>
            <w:tcW w:w="1732" w:type="dxa"/>
            <w:vAlign w:val="center"/>
          </w:tcPr>
          <w:p w14:paraId="716387C5">
            <w:pPr>
              <w:jc w:val="center"/>
              <w:rPr>
                <w:sz w:val="24"/>
                <w:lang w:bidi="ar"/>
              </w:rPr>
            </w:pPr>
            <w:r>
              <w:rPr>
                <w:sz w:val="24"/>
                <w:lang w:bidi="ar"/>
              </w:rPr>
              <w:t>初期雨水；办公、生活污水</w:t>
            </w:r>
          </w:p>
        </w:tc>
        <w:tc>
          <w:tcPr>
            <w:tcW w:w="1486" w:type="dxa"/>
            <w:vAlign w:val="center"/>
          </w:tcPr>
          <w:p w14:paraId="260E2E4F">
            <w:pPr>
              <w:jc w:val="center"/>
              <w:rPr>
                <w:sz w:val="24"/>
                <w:lang w:bidi="ar"/>
              </w:rPr>
            </w:pPr>
            <w:r>
              <w:rPr>
                <w:sz w:val="24"/>
              </w:rPr>
              <w:t>pH、COD、BOD</w:t>
            </w:r>
            <w:r>
              <w:rPr>
                <w:sz w:val="24"/>
                <w:vertAlign w:val="subscript"/>
              </w:rPr>
              <w:t>5</w:t>
            </w:r>
            <w:r>
              <w:rPr>
                <w:sz w:val="24"/>
              </w:rPr>
              <w:t>、氨氮、动植物油等</w:t>
            </w:r>
          </w:p>
        </w:tc>
        <w:tc>
          <w:tcPr>
            <w:tcW w:w="2756" w:type="dxa"/>
            <w:vAlign w:val="center"/>
          </w:tcPr>
          <w:p w14:paraId="16B72042">
            <w:pPr>
              <w:ind w:firstLine="482" w:firstLineChars="200"/>
              <w:jc w:val="left"/>
              <w:rPr>
                <w:sz w:val="24"/>
              </w:rPr>
            </w:pPr>
            <w:r>
              <w:rPr>
                <w:b/>
                <w:bCs/>
                <w:sz w:val="24"/>
              </w:rPr>
              <w:t>雨水：</w:t>
            </w:r>
            <w:r>
              <w:rPr>
                <w:bCs/>
                <w:sz w:val="24"/>
              </w:rPr>
              <w:t>雨污分流，</w:t>
            </w:r>
            <w:r>
              <w:rPr>
                <w:sz w:val="24"/>
              </w:rPr>
              <w:t>项</w:t>
            </w:r>
            <w:r>
              <w:rPr>
                <w:bCs/>
                <w:sz w:val="24"/>
              </w:rPr>
              <w:t>目区</w:t>
            </w:r>
            <w:r>
              <w:rPr>
                <w:sz w:val="24"/>
              </w:rPr>
              <w:t>设置雨水沟，项目区东南侧地势最低处建造15m</w:t>
            </w:r>
            <w:r>
              <w:rPr>
                <w:sz w:val="24"/>
                <w:vertAlign w:val="superscript"/>
              </w:rPr>
              <w:t>3</w:t>
            </w:r>
            <w:r>
              <w:rPr>
                <w:sz w:val="24"/>
              </w:rPr>
              <w:t>的初期雨水收集池，初期雨水收集沉淀后回用于生产或道路降尘，项目区其余雨水经厂区雨水沟外排。</w:t>
            </w:r>
          </w:p>
          <w:p w14:paraId="38B07BC9">
            <w:pPr>
              <w:ind w:firstLine="482" w:firstLineChars="200"/>
              <w:jc w:val="left"/>
              <w:rPr>
                <w:sz w:val="24"/>
              </w:rPr>
            </w:pPr>
            <w:r>
              <w:rPr>
                <w:b/>
                <w:sz w:val="24"/>
              </w:rPr>
              <w:t>生活废水：</w:t>
            </w:r>
            <w:r>
              <w:rPr>
                <w:bCs/>
                <w:sz w:val="24"/>
              </w:rPr>
              <w:t>1个隔油池</w:t>
            </w:r>
            <w:r>
              <w:rPr>
                <w:sz w:val="24"/>
              </w:rPr>
              <w:t>（0.1m</w:t>
            </w:r>
            <w:r>
              <w:rPr>
                <w:sz w:val="24"/>
                <w:vertAlign w:val="superscript"/>
              </w:rPr>
              <w:t>3</w:t>
            </w:r>
            <w:r>
              <w:rPr>
                <w:sz w:val="24"/>
              </w:rPr>
              <w:t>）</w:t>
            </w:r>
            <w:r>
              <w:rPr>
                <w:bCs/>
                <w:sz w:val="24"/>
              </w:rPr>
              <w:t>、化粪池（</w:t>
            </w:r>
            <w:r>
              <w:rPr>
                <w:bCs/>
                <w:iCs/>
                <w:sz w:val="24"/>
              </w:rPr>
              <w:t>2个，每个10m</w:t>
            </w:r>
            <w:r>
              <w:rPr>
                <w:bCs/>
                <w:iCs/>
                <w:sz w:val="24"/>
                <w:vertAlign w:val="superscript"/>
              </w:rPr>
              <w:t>3</w:t>
            </w:r>
            <w:r>
              <w:rPr>
                <w:bCs/>
                <w:iCs/>
                <w:sz w:val="24"/>
              </w:rPr>
              <w:t>的化粪池</w:t>
            </w:r>
            <w:r>
              <w:rPr>
                <w:bCs/>
                <w:sz w:val="24"/>
              </w:rPr>
              <w:t>），委托周边农户清掏，用于农作物施肥</w:t>
            </w:r>
            <w:r>
              <w:rPr>
                <w:sz w:val="24"/>
              </w:rPr>
              <w:t>。</w:t>
            </w:r>
          </w:p>
        </w:tc>
        <w:tc>
          <w:tcPr>
            <w:tcW w:w="1959" w:type="dxa"/>
            <w:vAlign w:val="center"/>
          </w:tcPr>
          <w:p w14:paraId="44F3541F">
            <w:pPr>
              <w:adjustRightInd w:val="0"/>
              <w:snapToGrid w:val="0"/>
              <w:jc w:val="center"/>
              <w:rPr>
                <w:sz w:val="24"/>
              </w:rPr>
            </w:pPr>
            <w:r>
              <w:rPr>
                <w:sz w:val="24"/>
              </w:rPr>
              <w:t>不外排</w:t>
            </w:r>
          </w:p>
        </w:tc>
      </w:tr>
      <w:tr w14:paraId="5AE6E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0" w:type="dxa"/>
            <w:vMerge w:val="restart"/>
            <w:vAlign w:val="center"/>
          </w:tcPr>
          <w:p w14:paraId="12CC3266">
            <w:pPr>
              <w:adjustRightInd w:val="0"/>
              <w:snapToGrid w:val="0"/>
              <w:jc w:val="center"/>
              <w:rPr>
                <w:sz w:val="24"/>
              </w:rPr>
            </w:pPr>
            <w:r>
              <w:rPr>
                <w:sz w:val="24"/>
              </w:rPr>
              <w:t>声环境</w:t>
            </w:r>
          </w:p>
        </w:tc>
        <w:tc>
          <w:tcPr>
            <w:tcW w:w="1732" w:type="dxa"/>
            <w:vAlign w:val="center"/>
          </w:tcPr>
          <w:p w14:paraId="11C49D06">
            <w:pPr>
              <w:adjustRightInd w:val="0"/>
              <w:snapToGrid w:val="0"/>
              <w:jc w:val="center"/>
              <w:rPr>
                <w:sz w:val="24"/>
              </w:rPr>
            </w:pPr>
            <w:r>
              <w:rPr>
                <w:sz w:val="24"/>
              </w:rPr>
              <w:t>设备运行</w:t>
            </w:r>
          </w:p>
        </w:tc>
        <w:tc>
          <w:tcPr>
            <w:tcW w:w="1486" w:type="dxa"/>
            <w:vAlign w:val="center"/>
          </w:tcPr>
          <w:p w14:paraId="0FEE77EF">
            <w:pPr>
              <w:adjustRightInd w:val="0"/>
              <w:snapToGrid w:val="0"/>
              <w:jc w:val="center"/>
              <w:rPr>
                <w:sz w:val="24"/>
              </w:rPr>
            </w:pPr>
            <w:r>
              <w:rPr>
                <w:sz w:val="24"/>
              </w:rPr>
              <w:t>噪声</w:t>
            </w:r>
          </w:p>
        </w:tc>
        <w:tc>
          <w:tcPr>
            <w:tcW w:w="2756" w:type="dxa"/>
            <w:vAlign w:val="center"/>
          </w:tcPr>
          <w:p w14:paraId="2454397A">
            <w:pPr>
              <w:jc w:val="center"/>
              <w:rPr>
                <w:sz w:val="24"/>
              </w:rPr>
            </w:pPr>
            <w:r>
              <w:rPr>
                <w:sz w:val="24"/>
              </w:rPr>
              <w:t>设备基础减振、距离衰减、加强设备维护与管理。</w:t>
            </w:r>
          </w:p>
        </w:tc>
        <w:tc>
          <w:tcPr>
            <w:tcW w:w="1959" w:type="dxa"/>
            <w:vMerge w:val="restart"/>
            <w:vAlign w:val="center"/>
          </w:tcPr>
          <w:p w14:paraId="5579ECA9">
            <w:pPr>
              <w:adjustRightInd w:val="0"/>
              <w:snapToGrid w:val="0"/>
              <w:jc w:val="center"/>
              <w:rPr>
                <w:sz w:val="24"/>
              </w:rPr>
            </w:pPr>
            <w:r>
              <w:rPr>
                <w:sz w:val="24"/>
              </w:rPr>
              <w:t>《工业企业厂界环境噪声排放标准》（GB12348-2008）2类标准</w:t>
            </w:r>
          </w:p>
        </w:tc>
      </w:tr>
      <w:tr w14:paraId="601E6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0" w:type="dxa"/>
            <w:vMerge w:val="continue"/>
            <w:vAlign w:val="center"/>
          </w:tcPr>
          <w:p w14:paraId="2C06A787">
            <w:pPr>
              <w:adjustRightInd w:val="0"/>
              <w:snapToGrid w:val="0"/>
              <w:jc w:val="center"/>
              <w:rPr>
                <w:sz w:val="24"/>
              </w:rPr>
            </w:pPr>
          </w:p>
        </w:tc>
        <w:tc>
          <w:tcPr>
            <w:tcW w:w="1732" w:type="dxa"/>
            <w:vAlign w:val="center"/>
          </w:tcPr>
          <w:p w14:paraId="435A2AF4">
            <w:pPr>
              <w:adjustRightInd w:val="0"/>
              <w:snapToGrid w:val="0"/>
              <w:jc w:val="center"/>
              <w:rPr>
                <w:sz w:val="24"/>
                <w:lang w:bidi="ar"/>
              </w:rPr>
            </w:pPr>
            <w:r>
              <w:rPr>
                <w:sz w:val="24"/>
              </w:rPr>
              <w:t>进出车辆</w:t>
            </w:r>
          </w:p>
        </w:tc>
        <w:tc>
          <w:tcPr>
            <w:tcW w:w="1486" w:type="dxa"/>
            <w:vAlign w:val="center"/>
          </w:tcPr>
          <w:p w14:paraId="61BCDB59">
            <w:pPr>
              <w:adjustRightInd w:val="0"/>
              <w:snapToGrid w:val="0"/>
              <w:jc w:val="center"/>
              <w:rPr>
                <w:sz w:val="24"/>
                <w:lang w:bidi="ar"/>
              </w:rPr>
            </w:pPr>
            <w:r>
              <w:rPr>
                <w:sz w:val="24"/>
              </w:rPr>
              <w:t>噪声</w:t>
            </w:r>
          </w:p>
        </w:tc>
        <w:tc>
          <w:tcPr>
            <w:tcW w:w="2756" w:type="dxa"/>
            <w:vAlign w:val="center"/>
          </w:tcPr>
          <w:p w14:paraId="0DD9D6E9">
            <w:pPr>
              <w:jc w:val="center"/>
              <w:rPr>
                <w:sz w:val="24"/>
              </w:rPr>
            </w:pPr>
            <w:r>
              <w:rPr>
                <w:sz w:val="24"/>
              </w:rPr>
              <w:t>减速慢行、禁止鸣笛标志</w:t>
            </w:r>
          </w:p>
        </w:tc>
        <w:tc>
          <w:tcPr>
            <w:tcW w:w="1959" w:type="dxa"/>
            <w:vMerge w:val="continue"/>
            <w:vAlign w:val="center"/>
          </w:tcPr>
          <w:p w14:paraId="6C7D77CC">
            <w:pPr>
              <w:adjustRightInd w:val="0"/>
              <w:snapToGrid w:val="0"/>
              <w:jc w:val="center"/>
              <w:rPr>
                <w:sz w:val="24"/>
              </w:rPr>
            </w:pPr>
          </w:p>
        </w:tc>
      </w:tr>
      <w:tr w14:paraId="08386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0" w:type="dxa"/>
            <w:vAlign w:val="center"/>
          </w:tcPr>
          <w:p w14:paraId="3232E144">
            <w:pPr>
              <w:adjustRightInd w:val="0"/>
              <w:snapToGrid w:val="0"/>
              <w:jc w:val="center"/>
              <w:rPr>
                <w:sz w:val="24"/>
              </w:rPr>
            </w:pPr>
            <w:r>
              <w:rPr>
                <w:sz w:val="24"/>
              </w:rPr>
              <w:t>电磁辐射</w:t>
            </w:r>
          </w:p>
        </w:tc>
        <w:tc>
          <w:tcPr>
            <w:tcW w:w="1732" w:type="dxa"/>
            <w:vAlign w:val="center"/>
          </w:tcPr>
          <w:p w14:paraId="26937DFE">
            <w:pPr>
              <w:adjustRightInd w:val="0"/>
              <w:snapToGrid w:val="0"/>
              <w:jc w:val="center"/>
              <w:rPr>
                <w:sz w:val="24"/>
              </w:rPr>
            </w:pPr>
            <w:r>
              <w:rPr>
                <w:sz w:val="24"/>
              </w:rPr>
              <w:t>/</w:t>
            </w:r>
          </w:p>
        </w:tc>
        <w:tc>
          <w:tcPr>
            <w:tcW w:w="1486" w:type="dxa"/>
            <w:vAlign w:val="center"/>
          </w:tcPr>
          <w:p w14:paraId="3DAF3A2A">
            <w:pPr>
              <w:adjustRightInd w:val="0"/>
              <w:snapToGrid w:val="0"/>
              <w:jc w:val="center"/>
              <w:rPr>
                <w:sz w:val="24"/>
              </w:rPr>
            </w:pPr>
            <w:r>
              <w:rPr>
                <w:sz w:val="24"/>
              </w:rPr>
              <w:t>/</w:t>
            </w:r>
          </w:p>
        </w:tc>
        <w:tc>
          <w:tcPr>
            <w:tcW w:w="2756" w:type="dxa"/>
            <w:vAlign w:val="center"/>
          </w:tcPr>
          <w:p w14:paraId="5397B2B8">
            <w:pPr>
              <w:adjustRightInd w:val="0"/>
              <w:snapToGrid w:val="0"/>
              <w:jc w:val="center"/>
              <w:rPr>
                <w:sz w:val="24"/>
              </w:rPr>
            </w:pPr>
            <w:r>
              <w:rPr>
                <w:sz w:val="24"/>
              </w:rPr>
              <w:t>/</w:t>
            </w:r>
          </w:p>
        </w:tc>
        <w:tc>
          <w:tcPr>
            <w:tcW w:w="1959" w:type="dxa"/>
            <w:vAlign w:val="center"/>
          </w:tcPr>
          <w:p w14:paraId="46FA8A99">
            <w:pPr>
              <w:adjustRightInd w:val="0"/>
              <w:snapToGrid w:val="0"/>
              <w:jc w:val="center"/>
              <w:rPr>
                <w:sz w:val="24"/>
              </w:rPr>
            </w:pPr>
            <w:r>
              <w:rPr>
                <w:sz w:val="24"/>
              </w:rPr>
              <w:t>/</w:t>
            </w:r>
          </w:p>
        </w:tc>
      </w:tr>
      <w:tr w14:paraId="1D5F9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0" w:type="dxa"/>
            <w:vAlign w:val="center"/>
          </w:tcPr>
          <w:p w14:paraId="4F399AC0">
            <w:pPr>
              <w:adjustRightInd w:val="0"/>
              <w:snapToGrid w:val="0"/>
              <w:jc w:val="center"/>
              <w:rPr>
                <w:sz w:val="24"/>
              </w:rPr>
            </w:pPr>
            <w:r>
              <w:rPr>
                <w:sz w:val="24"/>
              </w:rPr>
              <w:t>固体废物</w:t>
            </w:r>
          </w:p>
        </w:tc>
        <w:tc>
          <w:tcPr>
            <w:tcW w:w="7933" w:type="dxa"/>
            <w:gridSpan w:val="4"/>
            <w:vAlign w:val="center"/>
          </w:tcPr>
          <w:p w14:paraId="77B12AA8">
            <w:pPr>
              <w:ind w:firstLine="482" w:firstLineChars="200"/>
              <w:rPr>
                <w:b/>
                <w:kern w:val="0"/>
                <w:sz w:val="24"/>
                <w:lang w:bidi="ar"/>
              </w:rPr>
            </w:pPr>
            <w:r>
              <w:rPr>
                <w:rFonts w:hint="eastAsia" w:ascii="宋体" w:hAnsi="宋体" w:cs="宋体"/>
                <w:b/>
                <w:kern w:val="0"/>
                <w:sz w:val="24"/>
                <w:lang w:bidi="ar"/>
              </w:rPr>
              <w:t>①</w:t>
            </w:r>
            <w:r>
              <w:rPr>
                <w:b/>
                <w:kern w:val="0"/>
                <w:sz w:val="24"/>
                <w:lang w:bidi="ar"/>
              </w:rPr>
              <w:t>生活垃圾</w:t>
            </w:r>
          </w:p>
          <w:p w14:paraId="29663D7B">
            <w:pPr>
              <w:ind w:firstLine="480" w:firstLineChars="200"/>
              <w:rPr>
                <w:kern w:val="0"/>
                <w:sz w:val="24"/>
                <w:lang w:bidi="ar"/>
              </w:rPr>
            </w:pPr>
            <w:r>
              <w:rPr>
                <w:kern w:val="0"/>
                <w:sz w:val="24"/>
                <w:lang w:bidi="ar"/>
              </w:rPr>
              <w:t>生活垃圾通过布置垃圾桶集中收集后，清运至最近垃圾收集点；</w:t>
            </w:r>
          </w:p>
          <w:p w14:paraId="0281EFAA">
            <w:pPr>
              <w:ind w:firstLine="480" w:firstLineChars="200"/>
              <w:rPr>
                <w:kern w:val="0"/>
                <w:sz w:val="24"/>
                <w:lang w:bidi="ar"/>
              </w:rPr>
            </w:pPr>
            <w:r>
              <w:rPr>
                <w:kern w:val="0"/>
                <w:sz w:val="24"/>
                <w:lang w:bidi="ar"/>
              </w:rPr>
              <w:t>食堂泔水、隔油池废油用带盖泔水桶收集后交由有资质的单位清运处置；</w:t>
            </w:r>
          </w:p>
          <w:p w14:paraId="7612B309">
            <w:pPr>
              <w:ind w:firstLine="482" w:firstLineChars="200"/>
              <w:jc w:val="left"/>
              <w:rPr>
                <w:b/>
                <w:lang w:bidi="ar"/>
              </w:rPr>
            </w:pPr>
            <w:r>
              <w:rPr>
                <w:rFonts w:hint="eastAsia" w:ascii="宋体" w:hAnsi="宋体" w:cs="宋体"/>
                <w:b/>
                <w:kern w:val="0"/>
                <w:sz w:val="24"/>
                <w:lang w:bidi="ar"/>
              </w:rPr>
              <w:t>②</w:t>
            </w:r>
            <w:r>
              <w:rPr>
                <w:b/>
                <w:kern w:val="0"/>
                <w:sz w:val="24"/>
                <w:lang w:bidi="ar"/>
              </w:rPr>
              <w:t>一般固废</w:t>
            </w:r>
          </w:p>
          <w:p w14:paraId="3D11D7A9">
            <w:pPr>
              <w:adjustRightInd w:val="0"/>
              <w:snapToGrid w:val="0"/>
              <w:ind w:firstLine="480" w:firstLineChars="200"/>
              <w:jc w:val="left"/>
              <w:rPr>
                <w:bCs/>
                <w:sz w:val="24"/>
              </w:rPr>
            </w:pPr>
            <w:r>
              <w:rPr>
                <w:bCs/>
                <w:sz w:val="24"/>
              </w:rPr>
              <w:t>建设方在生产区北侧车间内设置了一般固废堆存处，占地50m</w:t>
            </w:r>
            <w:r>
              <w:rPr>
                <w:bCs/>
                <w:sz w:val="24"/>
                <w:vertAlign w:val="superscript"/>
              </w:rPr>
              <w:t>2</w:t>
            </w:r>
            <w:r>
              <w:rPr>
                <w:bCs/>
                <w:sz w:val="24"/>
              </w:rPr>
              <w:t>。</w:t>
            </w:r>
          </w:p>
          <w:p w14:paraId="3058592E">
            <w:pPr>
              <w:ind w:firstLine="480" w:firstLineChars="200"/>
              <w:jc w:val="left"/>
              <w:rPr>
                <w:bCs/>
                <w:sz w:val="24"/>
              </w:rPr>
            </w:pPr>
            <w:r>
              <w:rPr>
                <w:bCs/>
                <w:sz w:val="24"/>
              </w:rPr>
              <w:t>生产过程中的不合格品可破碎后重新回用于制砖；</w:t>
            </w:r>
          </w:p>
          <w:p w14:paraId="32A76F86">
            <w:pPr>
              <w:ind w:firstLine="480" w:firstLineChars="200"/>
              <w:jc w:val="left"/>
              <w:rPr>
                <w:bCs/>
                <w:sz w:val="24"/>
              </w:rPr>
            </w:pPr>
            <w:r>
              <w:rPr>
                <w:bCs/>
                <w:sz w:val="24"/>
              </w:rPr>
              <w:t>布袋除尘器收集的粉尘为8.86t/a，重新回用于制砖；</w:t>
            </w:r>
          </w:p>
          <w:p w14:paraId="57764E67">
            <w:pPr>
              <w:ind w:firstLine="480" w:firstLineChars="200"/>
              <w:jc w:val="left"/>
              <w:rPr>
                <w:bCs/>
                <w:sz w:val="24"/>
              </w:rPr>
            </w:pPr>
            <w:r>
              <w:rPr>
                <w:bCs/>
                <w:sz w:val="24"/>
              </w:rPr>
              <w:t>脱硫渣集中收集，返回生产线做原料重新利用，不外排。</w:t>
            </w:r>
          </w:p>
          <w:p w14:paraId="18794001">
            <w:pPr>
              <w:ind w:firstLine="482" w:firstLineChars="200"/>
              <w:rPr>
                <w:b/>
                <w:sz w:val="24"/>
              </w:rPr>
            </w:pPr>
            <w:r>
              <w:rPr>
                <w:rFonts w:hint="eastAsia" w:ascii="宋体" w:hAnsi="宋体" w:cs="宋体"/>
                <w:b/>
                <w:sz w:val="24"/>
              </w:rPr>
              <w:t>③</w:t>
            </w:r>
            <w:r>
              <w:rPr>
                <w:b/>
                <w:sz w:val="24"/>
              </w:rPr>
              <w:t>危险废物</w:t>
            </w:r>
          </w:p>
          <w:p w14:paraId="0CCAEC41">
            <w:pPr>
              <w:ind w:firstLine="480" w:firstLineChars="200"/>
              <w:rPr>
                <w:sz w:val="24"/>
              </w:rPr>
            </w:pPr>
            <w:r>
              <w:rPr>
                <w:sz w:val="24"/>
              </w:rPr>
              <w:t>危废暂存间10m</w:t>
            </w:r>
            <w:r>
              <w:rPr>
                <w:sz w:val="24"/>
                <w:vertAlign w:val="superscript"/>
              </w:rPr>
              <w:t>2</w:t>
            </w:r>
            <w:r>
              <w:rPr>
                <w:sz w:val="24"/>
              </w:rPr>
              <w:t>，设备检修产生的废机油，用于厂区设备润滑，</w:t>
            </w:r>
            <w:r>
              <w:rPr>
                <w:kern w:val="0"/>
                <w:sz w:val="24"/>
                <w:lang w:bidi="ar"/>
              </w:rPr>
              <w:t>设立相关台账。固废处置率达100%。</w:t>
            </w:r>
          </w:p>
        </w:tc>
      </w:tr>
      <w:tr w14:paraId="2B764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0" w:type="dxa"/>
            <w:vAlign w:val="center"/>
          </w:tcPr>
          <w:p w14:paraId="78C893F2">
            <w:pPr>
              <w:adjustRightInd w:val="0"/>
              <w:snapToGrid w:val="0"/>
              <w:jc w:val="center"/>
              <w:rPr>
                <w:sz w:val="24"/>
              </w:rPr>
            </w:pPr>
            <w:r>
              <w:rPr>
                <w:sz w:val="24"/>
              </w:rPr>
              <w:t>土壤及地下水污染防治措施</w:t>
            </w:r>
          </w:p>
        </w:tc>
        <w:tc>
          <w:tcPr>
            <w:tcW w:w="7933" w:type="dxa"/>
            <w:gridSpan w:val="4"/>
            <w:vAlign w:val="center"/>
          </w:tcPr>
          <w:p w14:paraId="25915BA1">
            <w:pPr>
              <w:ind w:firstLine="480" w:firstLineChars="200"/>
              <w:rPr>
                <w:sz w:val="24"/>
              </w:rPr>
            </w:pPr>
            <w:r>
              <w:rPr>
                <w:sz w:val="24"/>
              </w:rPr>
              <w:t>厂区地面硬化，</w:t>
            </w:r>
            <w:r>
              <w:rPr>
                <w:kern w:val="0"/>
                <w:sz w:val="24"/>
                <w:lang w:bidi="ar"/>
              </w:rPr>
              <w:t>储油室、危废暂存间定期检查，避免柴油、废柴油外渗污染土壤。</w:t>
            </w:r>
          </w:p>
        </w:tc>
      </w:tr>
      <w:tr w14:paraId="57EFF8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0" w:type="dxa"/>
            <w:vAlign w:val="center"/>
          </w:tcPr>
          <w:p w14:paraId="2AB612D4">
            <w:pPr>
              <w:adjustRightInd w:val="0"/>
              <w:snapToGrid w:val="0"/>
              <w:jc w:val="center"/>
              <w:rPr>
                <w:sz w:val="24"/>
              </w:rPr>
            </w:pPr>
            <w:r>
              <w:rPr>
                <w:sz w:val="24"/>
              </w:rPr>
              <w:t>生态保护措施</w:t>
            </w:r>
          </w:p>
        </w:tc>
        <w:tc>
          <w:tcPr>
            <w:tcW w:w="7933" w:type="dxa"/>
            <w:gridSpan w:val="4"/>
            <w:vAlign w:val="center"/>
          </w:tcPr>
          <w:p w14:paraId="4A9535B9">
            <w:pPr>
              <w:adjustRightInd w:val="0"/>
              <w:snapToGrid w:val="0"/>
              <w:ind w:firstLine="480" w:firstLineChars="200"/>
              <w:rPr>
                <w:sz w:val="24"/>
              </w:rPr>
            </w:pPr>
            <w:r>
              <w:rPr>
                <w:sz w:val="24"/>
              </w:rPr>
              <w:t>加强对绿化区的日常管理与养护，保证绿化植物的成活率。</w:t>
            </w:r>
          </w:p>
        </w:tc>
      </w:tr>
      <w:tr w14:paraId="5C8155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0" w:type="dxa"/>
            <w:vAlign w:val="center"/>
          </w:tcPr>
          <w:p w14:paraId="69FCB17B">
            <w:pPr>
              <w:adjustRightInd w:val="0"/>
              <w:snapToGrid w:val="0"/>
              <w:jc w:val="center"/>
              <w:rPr>
                <w:spacing w:val="-8"/>
                <w:sz w:val="24"/>
              </w:rPr>
            </w:pPr>
            <w:r>
              <w:rPr>
                <w:spacing w:val="-8"/>
                <w:sz w:val="24"/>
              </w:rPr>
              <w:t>环境风险</w:t>
            </w:r>
          </w:p>
          <w:p w14:paraId="2ABE15B4">
            <w:pPr>
              <w:adjustRightInd w:val="0"/>
              <w:snapToGrid w:val="0"/>
              <w:jc w:val="center"/>
              <w:rPr>
                <w:spacing w:val="-8"/>
                <w:sz w:val="24"/>
              </w:rPr>
            </w:pPr>
            <w:r>
              <w:rPr>
                <w:spacing w:val="-8"/>
                <w:sz w:val="24"/>
              </w:rPr>
              <w:t>防范措施</w:t>
            </w:r>
          </w:p>
        </w:tc>
        <w:tc>
          <w:tcPr>
            <w:tcW w:w="7933" w:type="dxa"/>
            <w:gridSpan w:val="4"/>
            <w:vAlign w:val="center"/>
          </w:tcPr>
          <w:p w14:paraId="77E55636">
            <w:pPr>
              <w:widowControl/>
              <w:ind w:firstLine="480" w:firstLineChars="200"/>
              <w:jc w:val="left"/>
              <w:rPr>
                <w:sz w:val="24"/>
              </w:rPr>
            </w:pPr>
            <w:r>
              <w:rPr>
                <w:kern w:val="0"/>
                <w:sz w:val="24"/>
                <w:lang w:bidi="ar"/>
              </w:rPr>
              <w:t>1、管理风险防范措施：强化风险意识、加强安全管理。</w:t>
            </w:r>
          </w:p>
          <w:p w14:paraId="47B0E4DB">
            <w:pPr>
              <w:widowControl/>
              <w:ind w:firstLine="480" w:firstLineChars="200"/>
              <w:jc w:val="left"/>
              <w:rPr>
                <w:sz w:val="24"/>
              </w:rPr>
            </w:pPr>
            <w:r>
              <w:rPr>
                <w:kern w:val="0"/>
                <w:sz w:val="24"/>
                <w:lang w:bidi="ar"/>
              </w:rPr>
              <w:t>2、本项目涉及的化学品原料在运输过程中应严格遵守相关规定，降低风险事故。</w:t>
            </w:r>
          </w:p>
          <w:p w14:paraId="7E478309">
            <w:pPr>
              <w:widowControl/>
              <w:ind w:firstLine="480" w:firstLineChars="200"/>
              <w:jc w:val="left"/>
              <w:rPr>
                <w:sz w:val="24"/>
              </w:rPr>
            </w:pPr>
            <w:r>
              <w:rPr>
                <w:kern w:val="0"/>
                <w:sz w:val="24"/>
                <w:lang w:bidi="ar"/>
              </w:rPr>
              <w:t>3、设置符合要求的危险物质暂存仓库。</w:t>
            </w:r>
          </w:p>
          <w:p w14:paraId="5098444D">
            <w:pPr>
              <w:widowControl/>
              <w:ind w:firstLine="480" w:firstLineChars="200"/>
              <w:jc w:val="left"/>
              <w:rPr>
                <w:sz w:val="24"/>
              </w:rPr>
            </w:pPr>
            <w:r>
              <w:rPr>
                <w:kern w:val="0"/>
                <w:sz w:val="24"/>
                <w:lang w:bidi="ar"/>
              </w:rPr>
              <w:t>4、加强生产过程的风险防范措施。</w:t>
            </w:r>
          </w:p>
          <w:p w14:paraId="3CD03DD6">
            <w:pPr>
              <w:widowControl/>
              <w:ind w:firstLine="480" w:firstLineChars="200"/>
              <w:jc w:val="left"/>
              <w:rPr>
                <w:sz w:val="24"/>
              </w:rPr>
            </w:pPr>
            <w:r>
              <w:rPr>
                <w:kern w:val="0"/>
                <w:sz w:val="24"/>
                <w:lang w:bidi="ar"/>
              </w:rPr>
              <w:t>5、确保废气、废水等末端治理措施正常运行。</w:t>
            </w:r>
          </w:p>
        </w:tc>
      </w:tr>
      <w:tr w14:paraId="2A2E5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620" w:type="dxa"/>
            <w:vAlign w:val="center"/>
          </w:tcPr>
          <w:p w14:paraId="4EA8B5F1">
            <w:pPr>
              <w:adjustRightInd w:val="0"/>
              <w:snapToGrid w:val="0"/>
              <w:jc w:val="center"/>
              <w:rPr>
                <w:spacing w:val="-8"/>
                <w:sz w:val="24"/>
              </w:rPr>
            </w:pPr>
            <w:r>
              <w:rPr>
                <w:spacing w:val="-8"/>
                <w:sz w:val="24"/>
              </w:rPr>
              <w:t>其他环境</w:t>
            </w:r>
          </w:p>
          <w:p w14:paraId="6A92A9A1">
            <w:pPr>
              <w:adjustRightInd w:val="0"/>
              <w:snapToGrid w:val="0"/>
              <w:jc w:val="center"/>
              <w:rPr>
                <w:spacing w:val="-8"/>
                <w:sz w:val="24"/>
              </w:rPr>
            </w:pPr>
            <w:r>
              <w:rPr>
                <w:spacing w:val="-8"/>
                <w:sz w:val="24"/>
              </w:rPr>
              <w:t>管理要求</w:t>
            </w:r>
          </w:p>
        </w:tc>
        <w:tc>
          <w:tcPr>
            <w:tcW w:w="7933" w:type="dxa"/>
            <w:gridSpan w:val="4"/>
            <w:vAlign w:val="center"/>
          </w:tcPr>
          <w:p w14:paraId="1209D6BD">
            <w:pPr>
              <w:widowControl/>
              <w:ind w:firstLine="480" w:firstLineChars="200"/>
              <w:jc w:val="left"/>
              <w:rPr>
                <w:sz w:val="24"/>
              </w:rPr>
            </w:pPr>
            <w:r>
              <w:rPr>
                <w:sz w:val="24"/>
              </w:rPr>
              <w:t>按照要求做好</w:t>
            </w:r>
            <w:r>
              <w:rPr>
                <w:kern w:val="0"/>
                <w:sz w:val="24"/>
                <w:lang w:bidi="ar"/>
              </w:rPr>
              <w:t>开展</w:t>
            </w:r>
            <w:r>
              <w:rPr>
                <w:rFonts w:hint="eastAsia"/>
                <w:kern w:val="0"/>
                <w:sz w:val="24"/>
                <w:lang w:eastAsia="zh-CN" w:bidi="ar"/>
              </w:rPr>
              <w:t>台账</w:t>
            </w:r>
            <w:r>
              <w:rPr>
                <w:kern w:val="0"/>
                <w:sz w:val="24"/>
                <w:lang w:bidi="ar"/>
              </w:rPr>
              <w:t>记录、自行监测等，</w:t>
            </w:r>
            <w:r>
              <w:rPr>
                <w:sz w:val="24"/>
              </w:rPr>
              <w:t>建立环境保护制度。</w:t>
            </w:r>
          </w:p>
        </w:tc>
      </w:tr>
    </w:tbl>
    <w:p w14:paraId="4B5F94D4">
      <w:pPr>
        <w:rPr>
          <w:snapToGrid w:val="0"/>
        </w:rPr>
      </w:pPr>
    </w:p>
    <w:p w14:paraId="6DF1B7EE">
      <w:pPr>
        <w:rPr>
          <w:snapToGrid w:val="0"/>
        </w:rPr>
      </w:pPr>
    </w:p>
    <w:p w14:paraId="7A35C703">
      <w:pPr>
        <w:rPr>
          <w:b/>
          <w:bCs/>
          <w:snapToGrid w:val="0"/>
          <w:kern w:val="0"/>
          <w:sz w:val="32"/>
          <w:szCs w:val="32"/>
        </w:rPr>
      </w:pPr>
      <w:bookmarkStart w:id="27" w:name="_Toc13512"/>
      <w:bookmarkStart w:id="28" w:name="_Toc101052746"/>
    </w:p>
    <w:p w14:paraId="456979BC">
      <w:pPr>
        <w:widowControl/>
        <w:jc w:val="left"/>
        <w:rPr>
          <w:b/>
          <w:bCs/>
          <w:snapToGrid w:val="0"/>
          <w:kern w:val="0"/>
          <w:sz w:val="32"/>
          <w:szCs w:val="32"/>
        </w:rPr>
      </w:pPr>
      <w:r>
        <w:rPr>
          <w:b/>
          <w:bCs/>
          <w:snapToGrid w:val="0"/>
          <w:sz w:val="32"/>
          <w:szCs w:val="32"/>
        </w:rPr>
        <w:br w:type="page"/>
      </w:r>
    </w:p>
    <w:p w14:paraId="56555A8D">
      <w:pPr>
        <w:pStyle w:val="20"/>
        <w:spacing w:before="0" w:beforeAutospacing="0" w:after="0" w:afterAutospacing="0"/>
        <w:jc w:val="center"/>
        <w:outlineLvl w:val="0"/>
        <w:rPr>
          <w:rFonts w:ascii="Times New Roman" w:hAnsi="Times New Roman"/>
          <w:snapToGrid w:val="0"/>
          <w:sz w:val="30"/>
          <w:szCs w:val="30"/>
        </w:rPr>
      </w:pPr>
      <w:r>
        <w:rPr>
          <w:rFonts w:ascii="Times New Roman" w:hAnsi="Times New Roman"/>
          <w:b/>
          <w:bCs/>
          <w:snapToGrid w:val="0"/>
          <w:sz w:val="32"/>
          <w:szCs w:val="32"/>
        </w:rPr>
        <w:t>六、结论</w:t>
      </w:r>
      <w:bookmarkEnd w:id="27"/>
      <w:bookmarkEnd w:id="28"/>
    </w:p>
    <w:tbl>
      <w:tblPr>
        <w:tblStyle w:val="25"/>
        <w:tblW w:w="97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60"/>
      </w:tblGrid>
      <w:tr w14:paraId="2E22A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60" w:type="dxa"/>
            <w:vAlign w:val="center"/>
          </w:tcPr>
          <w:p w14:paraId="0AD1FBE4">
            <w:pPr>
              <w:adjustRightInd w:val="0"/>
              <w:snapToGrid w:val="0"/>
              <w:spacing w:line="360" w:lineRule="auto"/>
              <w:ind w:firstLine="482" w:firstLineChars="200"/>
              <w:rPr>
                <w:b/>
                <w:bCs/>
                <w:sz w:val="24"/>
              </w:rPr>
            </w:pPr>
            <w:r>
              <w:rPr>
                <w:b/>
                <w:bCs/>
                <w:sz w:val="24"/>
              </w:rPr>
              <w:t>（一）结论</w:t>
            </w:r>
          </w:p>
          <w:p w14:paraId="07E5C434">
            <w:pPr>
              <w:adjustRightInd w:val="0"/>
              <w:snapToGrid w:val="0"/>
              <w:spacing w:line="360" w:lineRule="auto"/>
              <w:ind w:firstLine="480" w:firstLineChars="200"/>
              <w:rPr>
                <w:kern w:val="0"/>
                <w:sz w:val="24"/>
              </w:rPr>
            </w:pPr>
            <w:r>
              <w:rPr>
                <w:sz w:val="24"/>
              </w:rPr>
              <w:t>综上所述，本项目建设符合国家产业政策，符合相关规划、选址合理；项目总平面布置合理，采取的污染防治措施有效可行；建设单位在认真落实本环评提出的各项污染防治措施后，能够确保污染物达标排放，不会改变区域的环境功能。因此，在严格落实本报告提出的各项污染防治措施的前提下，从环境影响分析的角度上，本项目的建设是可行的。</w:t>
            </w:r>
          </w:p>
          <w:p w14:paraId="06EAA429">
            <w:pPr>
              <w:keepNext/>
              <w:keepLines/>
              <w:adjustRightInd w:val="0"/>
              <w:snapToGrid w:val="0"/>
              <w:spacing w:line="360" w:lineRule="auto"/>
              <w:ind w:firstLine="482" w:firstLineChars="200"/>
              <w:rPr>
                <w:b/>
                <w:sz w:val="24"/>
              </w:rPr>
            </w:pPr>
            <w:r>
              <w:rPr>
                <w:b/>
                <w:sz w:val="24"/>
              </w:rPr>
              <w:t>（二）建议</w:t>
            </w:r>
          </w:p>
          <w:p w14:paraId="0540CDAB">
            <w:pPr>
              <w:pStyle w:val="10"/>
              <w:adjustRightInd w:val="0"/>
              <w:snapToGrid w:val="0"/>
              <w:spacing w:line="360" w:lineRule="auto"/>
              <w:ind w:firstLine="480" w:firstLineChars="200"/>
              <w:jc w:val="both"/>
              <w:rPr>
                <w:szCs w:val="24"/>
              </w:rPr>
            </w:pPr>
            <w:r>
              <w:rPr>
                <w:szCs w:val="24"/>
              </w:rPr>
              <w:t>为确保各类污染物达标排放及各项环保设施的稳定运行，最大限度地减少污染物排放量，保护环境，本评价提出如下建议：</w:t>
            </w:r>
          </w:p>
          <w:p w14:paraId="6AF1DBAA">
            <w:pPr>
              <w:pStyle w:val="10"/>
              <w:adjustRightInd w:val="0"/>
              <w:snapToGrid w:val="0"/>
              <w:spacing w:line="360" w:lineRule="auto"/>
              <w:ind w:firstLine="480" w:firstLineChars="200"/>
              <w:jc w:val="both"/>
              <w:rPr>
                <w:szCs w:val="24"/>
              </w:rPr>
            </w:pPr>
            <w:r>
              <w:rPr>
                <w:szCs w:val="24"/>
              </w:rPr>
              <w:t>（1）严格落实环保设施“三同时”制度，并确保生产中环保设施正常运行。</w:t>
            </w:r>
          </w:p>
          <w:p w14:paraId="41AFDD3F">
            <w:pPr>
              <w:pStyle w:val="10"/>
              <w:adjustRightInd w:val="0"/>
              <w:snapToGrid w:val="0"/>
              <w:spacing w:line="360" w:lineRule="auto"/>
              <w:ind w:firstLine="480" w:firstLineChars="200"/>
              <w:jc w:val="both"/>
              <w:rPr>
                <w:szCs w:val="24"/>
              </w:rPr>
            </w:pPr>
            <w:r>
              <w:rPr>
                <w:szCs w:val="24"/>
              </w:rPr>
              <w:t>（2）加强日常监管及环保设备的维修养护，严格落实环评要求的各项污染防治措施，加强企业内部管理，建立和健全各项环保规章制度，确保各种污染防治设施长期稳定运行、污染物达标排放。</w:t>
            </w:r>
          </w:p>
          <w:p w14:paraId="2F4104D9">
            <w:pPr>
              <w:pStyle w:val="10"/>
              <w:adjustRightInd w:val="0"/>
              <w:snapToGrid w:val="0"/>
              <w:spacing w:line="360" w:lineRule="auto"/>
              <w:ind w:firstLine="480" w:firstLineChars="200"/>
              <w:jc w:val="both"/>
              <w:rPr>
                <w:szCs w:val="24"/>
              </w:rPr>
            </w:pPr>
          </w:p>
          <w:p w14:paraId="4C89DD9D">
            <w:pPr>
              <w:pStyle w:val="10"/>
              <w:adjustRightInd w:val="0"/>
              <w:snapToGrid w:val="0"/>
              <w:spacing w:line="360" w:lineRule="auto"/>
              <w:ind w:firstLine="480" w:firstLineChars="200"/>
              <w:jc w:val="both"/>
              <w:rPr>
                <w:szCs w:val="24"/>
              </w:rPr>
            </w:pPr>
          </w:p>
          <w:p w14:paraId="179A3181">
            <w:pPr>
              <w:pStyle w:val="10"/>
              <w:adjustRightInd w:val="0"/>
              <w:snapToGrid w:val="0"/>
              <w:spacing w:line="360" w:lineRule="auto"/>
              <w:ind w:firstLine="480" w:firstLineChars="200"/>
              <w:jc w:val="both"/>
              <w:rPr>
                <w:szCs w:val="24"/>
              </w:rPr>
            </w:pPr>
          </w:p>
          <w:p w14:paraId="3A91B823">
            <w:pPr>
              <w:pStyle w:val="10"/>
              <w:adjustRightInd w:val="0"/>
              <w:snapToGrid w:val="0"/>
              <w:spacing w:line="360" w:lineRule="auto"/>
              <w:ind w:firstLine="480" w:firstLineChars="200"/>
              <w:jc w:val="both"/>
              <w:rPr>
                <w:szCs w:val="24"/>
              </w:rPr>
            </w:pPr>
          </w:p>
          <w:p w14:paraId="52AA8990">
            <w:pPr>
              <w:pStyle w:val="10"/>
              <w:adjustRightInd w:val="0"/>
              <w:snapToGrid w:val="0"/>
              <w:spacing w:line="360" w:lineRule="auto"/>
              <w:ind w:firstLine="480" w:firstLineChars="200"/>
              <w:jc w:val="both"/>
              <w:rPr>
                <w:szCs w:val="24"/>
              </w:rPr>
            </w:pPr>
          </w:p>
          <w:p w14:paraId="1BCA7137">
            <w:pPr>
              <w:pStyle w:val="10"/>
              <w:adjustRightInd w:val="0"/>
              <w:snapToGrid w:val="0"/>
              <w:spacing w:line="360" w:lineRule="auto"/>
              <w:ind w:firstLine="480" w:firstLineChars="200"/>
              <w:jc w:val="both"/>
              <w:rPr>
                <w:szCs w:val="24"/>
              </w:rPr>
            </w:pPr>
          </w:p>
          <w:p w14:paraId="5E699757">
            <w:pPr>
              <w:pStyle w:val="10"/>
              <w:adjustRightInd w:val="0"/>
              <w:snapToGrid w:val="0"/>
              <w:spacing w:line="360" w:lineRule="auto"/>
              <w:ind w:firstLine="480" w:firstLineChars="200"/>
              <w:jc w:val="both"/>
              <w:rPr>
                <w:szCs w:val="24"/>
              </w:rPr>
            </w:pPr>
          </w:p>
          <w:p w14:paraId="466F2508">
            <w:pPr>
              <w:pStyle w:val="10"/>
              <w:adjustRightInd w:val="0"/>
              <w:snapToGrid w:val="0"/>
              <w:spacing w:line="360" w:lineRule="auto"/>
              <w:ind w:firstLine="480" w:firstLineChars="200"/>
              <w:jc w:val="both"/>
              <w:rPr>
                <w:szCs w:val="24"/>
              </w:rPr>
            </w:pPr>
          </w:p>
          <w:p w14:paraId="1A45C943">
            <w:pPr>
              <w:pStyle w:val="10"/>
              <w:adjustRightInd w:val="0"/>
              <w:snapToGrid w:val="0"/>
              <w:spacing w:line="360" w:lineRule="auto"/>
              <w:ind w:firstLine="480" w:firstLineChars="200"/>
              <w:jc w:val="both"/>
              <w:rPr>
                <w:szCs w:val="24"/>
              </w:rPr>
            </w:pPr>
            <w:r>
              <w:rPr>
                <w:szCs w:val="24"/>
              </w:rPr>
              <w:t xml:space="preserve"> </w:t>
            </w:r>
          </w:p>
        </w:tc>
      </w:tr>
    </w:tbl>
    <w:p w14:paraId="12619F18">
      <w:pPr>
        <w:sectPr>
          <w:pgSz w:w="11906" w:h="16838"/>
          <w:pgMar w:top="1134" w:right="1134" w:bottom="1134" w:left="1134" w:header="851" w:footer="851" w:gutter="0"/>
          <w:cols w:space="720" w:num="1"/>
          <w:docGrid w:linePitch="312" w:charSpace="0"/>
        </w:sectPr>
      </w:pPr>
    </w:p>
    <w:p w14:paraId="1D482990">
      <w:pPr>
        <w:pStyle w:val="20"/>
        <w:adjustRightInd w:val="0"/>
        <w:snapToGrid w:val="0"/>
        <w:spacing w:before="0" w:beforeAutospacing="0" w:after="0" w:afterAutospacing="0" w:line="360" w:lineRule="auto"/>
        <w:outlineLvl w:val="0"/>
        <w:rPr>
          <w:rFonts w:ascii="Times New Roman" w:hAnsi="Times New Roman"/>
          <w:b/>
          <w:bCs/>
          <w:snapToGrid w:val="0"/>
          <w:sz w:val="32"/>
          <w:szCs w:val="32"/>
        </w:rPr>
      </w:pPr>
      <w:bookmarkStart w:id="29" w:name="_Toc19830"/>
      <w:bookmarkStart w:id="30" w:name="_Toc101052747"/>
      <w:r>
        <w:rPr>
          <w:rFonts w:ascii="Times New Roman" w:hAnsi="Times New Roman"/>
          <w:b/>
          <w:bCs/>
          <w:snapToGrid w:val="0"/>
          <w:sz w:val="32"/>
          <w:szCs w:val="32"/>
        </w:rPr>
        <w:t>附表</w:t>
      </w:r>
      <w:bookmarkEnd w:id="29"/>
      <w:bookmarkEnd w:id="30"/>
    </w:p>
    <w:p w14:paraId="7EB4F23C">
      <w:pPr>
        <w:pStyle w:val="20"/>
        <w:adjustRightInd w:val="0"/>
        <w:snapToGrid w:val="0"/>
        <w:spacing w:before="0" w:beforeAutospacing="0" w:after="0" w:afterAutospacing="0"/>
        <w:jc w:val="center"/>
        <w:rPr>
          <w:rFonts w:ascii="Times New Roman" w:hAnsi="Times New Roman"/>
          <w:b/>
          <w:bCs/>
          <w:snapToGrid w:val="0"/>
          <w:sz w:val="38"/>
          <w:szCs w:val="38"/>
        </w:rPr>
      </w:pPr>
      <w:r>
        <w:rPr>
          <w:rFonts w:ascii="Times New Roman" w:hAnsi="Times New Roman"/>
          <w:b/>
          <w:bCs/>
          <w:snapToGrid w:val="0"/>
          <w:sz w:val="38"/>
          <w:szCs w:val="38"/>
        </w:rPr>
        <w:t>建设项目污染物排放量汇总表</w:t>
      </w:r>
    </w:p>
    <w:tbl>
      <w:tblPr>
        <w:tblStyle w:val="25"/>
        <w:tblW w:w="145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738"/>
        <w:gridCol w:w="1761"/>
        <w:gridCol w:w="1314"/>
        <w:gridCol w:w="1761"/>
        <w:gridCol w:w="1613"/>
        <w:gridCol w:w="1831"/>
        <w:gridCol w:w="2046"/>
        <w:gridCol w:w="1110"/>
      </w:tblGrid>
      <w:tr w14:paraId="0456F4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356" w:type="dxa"/>
            <w:tcBorders>
              <w:tl2br w:val="single" w:color="auto" w:sz="4" w:space="0"/>
            </w:tcBorders>
            <w:tcMar>
              <w:left w:w="28" w:type="dxa"/>
              <w:right w:w="28" w:type="dxa"/>
            </w:tcMar>
            <w:vAlign w:val="center"/>
          </w:tcPr>
          <w:p w14:paraId="5360B4F0">
            <w:pPr>
              <w:pStyle w:val="48"/>
              <w:spacing w:beforeLines="0" w:afterLines="0" w:line="240" w:lineRule="auto"/>
              <w:jc w:val="right"/>
              <w:rPr>
                <w:rFonts w:ascii="Times New Roman"/>
                <w:snapToGrid w:val="0"/>
                <w:spacing w:val="-6"/>
                <w:kern w:val="21"/>
                <w:szCs w:val="21"/>
              </w:rPr>
            </w:pPr>
            <w:r>
              <w:rPr>
                <w:rFonts w:ascii="Times New Roman"/>
                <w:snapToGrid w:val="0"/>
                <w:spacing w:val="-6"/>
                <w:kern w:val="21"/>
                <w:szCs w:val="21"/>
              </w:rPr>
              <w:t>项目</w:t>
            </w:r>
          </w:p>
          <w:p w14:paraId="63E64E95">
            <w:pPr>
              <w:pStyle w:val="48"/>
              <w:spacing w:beforeLines="0" w:afterLines="0" w:line="240" w:lineRule="auto"/>
              <w:jc w:val="left"/>
              <w:rPr>
                <w:rFonts w:ascii="Times New Roman"/>
                <w:snapToGrid w:val="0"/>
                <w:spacing w:val="-6"/>
                <w:kern w:val="21"/>
                <w:szCs w:val="21"/>
              </w:rPr>
            </w:pPr>
            <w:r>
              <w:rPr>
                <w:rFonts w:ascii="Times New Roman"/>
                <w:snapToGrid w:val="0"/>
                <w:spacing w:val="-6"/>
                <w:kern w:val="21"/>
                <w:szCs w:val="21"/>
              </w:rPr>
              <w:t>分类</w:t>
            </w:r>
          </w:p>
        </w:tc>
        <w:tc>
          <w:tcPr>
            <w:tcW w:w="1738" w:type="dxa"/>
            <w:tcMar>
              <w:left w:w="28" w:type="dxa"/>
              <w:right w:w="28" w:type="dxa"/>
            </w:tcMar>
            <w:vAlign w:val="center"/>
          </w:tcPr>
          <w:p w14:paraId="474BD389">
            <w:pPr>
              <w:pStyle w:val="48"/>
              <w:spacing w:beforeLines="0" w:afterLines="0" w:line="240" w:lineRule="auto"/>
              <w:rPr>
                <w:rFonts w:ascii="Times New Roman"/>
                <w:snapToGrid w:val="0"/>
                <w:spacing w:val="-6"/>
                <w:kern w:val="21"/>
                <w:szCs w:val="21"/>
              </w:rPr>
            </w:pPr>
            <w:r>
              <w:rPr>
                <w:rFonts w:ascii="Times New Roman"/>
                <w:snapToGrid w:val="0"/>
                <w:spacing w:val="-6"/>
                <w:kern w:val="21"/>
                <w:szCs w:val="21"/>
              </w:rPr>
              <w:t>污染物名称</w:t>
            </w:r>
          </w:p>
        </w:tc>
        <w:tc>
          <w:tcPr>
            <w:tcW w:w="1761" w:type="dxa"/>
            <w:tcMar>
              <w:left w:w="28" w:type="dxa"/>
              <w:right w:w="28" w:type="dxa"/>
            </w:tcMar>
            <w:vAlign w:val="center"/>
          </w:tcPr>
          <w:p w14:paraId="67551612">
            <w:pPr>
              <w:pStyle w:val="48"/>
              <w:spacing w:beforeLines="0" w:afterLines="0" w:line="240" w:lineRule="auto"/>
              <w:rPr>
                <w:rFonts w:ascii="Times New Roman"/>
                <w:snapToGrid w:val="0"/>
                <w:spacing w:val="-6"/>
                <w:kern w:val="21"/>
                <w:szCs w:val="21"/>
              </w:rPr>
            </w:pPr>
            <w:r>
              <w:rPr>
                <w:rFonts w:ascii="Times New Roman"/>
                <w:snapToGrid w:val="0"/>
                <w:spacing w:val="-6"/>
                <w:kern w:val="21"/>
                <w:szCs w:val="21"/>
              </w:rPr>
              <w:t>原有工程</w:t>
            </w:r>
          </w:p>
          <w:p w14:paraId="3E9DE49E">
            <w:pPr>
              <w:pStyle w:val="48"/>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kern w:val="2"/>
                <w:szCs w:val="21"/>
              </w:rPr>
              <w:t>①</w:t>
            </w:r>
            <w:r>
              <w:rPr>
                <w:rFonts w:ascii="Times New Roman"/>
                <w:snapToGrid w:val="0"/>
                <w:spacing w:val="-6"/>
                <w:kern w:val="21"/>
                <w:szCs w:val="21"/>
              </w:rPr>
              <w:fldChar w:fldCharType="end"/>
            </w:r>
          </w:p>
        </w:tc>
        <w:tc>
          <w:tcPr>
            <w:tcW w:w="1314" w:type="dxa"/>
            <w:tcMar>
              <w:left w:w="28" w:type="dxa"/>
              <w:right w:w="28" w:type="dxa"/>
            </w:tcMar>
            <w:vAlign w:val="center"/>
          </w:tcPr>
          <w:p w14:paraId="3EBB23E1">
            <w:pPr>
              <w:pStyle w:val="48"/>
              <w:spacing w:beforeLines="0" w:afterLines="0" w:line="240" w:lineRule="auto"/>
              <w:rPr>
                <w:rFonts w:ascii="Times New Roman"/>
                <w:snapToGrid w:val="0"/>
                <w:spacing w:val="-6"/>
                <w:kern w:val="21"/>
                <w:szCs w:val="21"/>
              </w:rPr>
            </w:pPr>
            <w:r>
              <w:rPr>
                <w:rFonts w:ascii="Times New Roman"/>
                <w:snapToGrid w:val="0"/>
                <w:spacing w:val="-6"/>
                <w:kern w:val="21"/>
                <w:szCs w:val="21"/>
              </w:rPr>
              <w:t>原有工程</w:t>
            </w:r>
          </w:p>
          <w:p w14:paraId="36744868">
            <w:pPr>
              <w:pStyle w:val="48"/>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p>
          <w:p w14:paraId="68705B96">
            <w:pPr>
              <w:pStyle w:val="48"/>
              <w:spacing w:beforeLines="0" w:afterLines="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hint="eastAsia" w:hAnsi="宋体" w:cs="宋体"/>
                <w:snapToGrid w:val="0"/>
                <w:spacing w:val="-6"/>
                <w:kern w:val="21"/>
                <w:szCs w:val="21"/>
              </w:rPr>
              <w:t>②</w:t>
            </w:r>
            <w:r>
              <w:rPr>
                <w:rFonts w:ascii="Times New Roman"/>
                <w:snapToGrid w:val="0"/>
                <w:spacing w:val="-6"/>
                <w:kern w:val="21"/>
                <w:szCs w:val="21"/>
              </w:rPr>
              <w:fldChar w:fldCharType="end"/>
            </w:r>
          </w:p>
        </w:tc>
        <w:tc>
          <w:tcPr>
            <w:tcW w:w="1761" w:type="dxa"/>
            <w:tcMar>
              <w:left w:w="28" w:type="dxa"/>
              <w:right w:w="28" w:type="dxa"/>
            </w:tcMar>
            <w:vAlign w:val="center"/>
          </w:tcPr>
          <w:p w14:paraId="7C852427">
            <w:pPr>
              <w:pStyle w:val="48"/>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w:t>
            </w:r>
          </w:p>
          <w:p w14:paraId="1AFB8801">
            <w:pPr>
              <w:pStyle w:val="48"/>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kern w:val="2"/>
                <w:szCs w:val="21"/>
              </w:rPr>
              <w:t>③</w:t>
            </w:r>
            <w:r>
              <w:rPr>
                <w:rFonts w:ascii="Times New Roman"/>
                <w:snapToGrid w:val="0"/>
                <w:spacing w:val="-6"/>
                <w:kern w:val="21"/>
                <w:szCs w:val="21"/>
              </w:rPr>
              <w:fldChar w:fldCharType="end"/>
            </w:r>
          </w:p>
        </w:tc>
        <w:tc>
          <w:tcPr>
            <w:tcW w:w="1613" w:type="dxa"/>
            <w:tcMar>
              <w:left w:w="28" w:type="dxa"/>
              <w:right w:w="28" w:type="dxa"/>
            </w:tcMar>
            <w:vAlign w:val="center"/>
          </w:tcPr>
          <w:p w14:paraId="37F0A056">
            <w:pPr>
              <w:pStyle w:val="48"/>
              <w:spacing w:beforeLines="0" w:afterLines="0" w:line="240" w:lineRule="auto"/>
              <w:rPr>
                <w:rFonts w:ascii="Times New Roman"/>
                <w:snapToGrid w:val="0"/>
                <w:spacing w:val="-6"/>
                <w:kern w:val="21"/>
                <w:szCs w:val="21"/>
              </w:rPr>
            </w:pPr>
            <w:r>
              <w:rPr>
                <w:rFonts w:ascii="Times New Roman"/>
                <w:snapToGrid w:val="0"/>
                <w:spacing w:val="-6"/>
                <w:kern w:val="21"/>
                <w:szCs w:val="21"/>
              </w:rPr>
              <w:t>本项目</w:t>
            </w:r>
          </w:p>
          <w:p w14:paraId="7E080361">
            <w:pPr>
              <w:pStyle w:val="48"/>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kern w:val="2"/>
                <w:szCs w:val="21"/>
              </w:rPr>
              <w:t>④</w:t>
            </w:r>
            <w:r>
              <w:rPr>
                <w:rFonts w:ascii="Times New Roman"/>
                <w:snapToGrid w:val="0"/>
                <w:spacing w:val="-6"/>
                <w:kern w:val="21"/>
                <w:szCs w:val="21"/>
              </w:rPr>
              <w:fldChar w:fldCharType="end"/>
            </w:r>
          </w:p>
        </w:tc>
        <w:tc>
          <w:tcPr>
            <w:tcW w:w="1831" w:type="dxa"/>
            <w:tcMar>
              <w:left w:w="28" w:type="dxa"/>
              <w:right w:w="28" w:type="dxa"/>
            </w:tcMar>
            <w:vAlign w:val="center"/>
          </w:tcPr>
          <w:p w14:paraId="45A14C8B">
            <w:pPr>
              <w:pStyle w:val="48"/>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w:t>
            </w:r>
          </w:p>
          <w:p w14:paraId="05D8330A">
            <w:pPr>
              <w:pStyle w:val="48"/>
              <w:spacing w:beforeLines="0" w:afterLines="0" w:line="240" w:lineRule="auto"/>
              <w:rPr>
                <w:rFonts w:ascii="Times New Roman"/>
                <w:snapToGrid w:val="0"/>
                <w:spacing w:val="-16"/>
                <w:kern w:val="21"/>
                <w:szCs w:val="21"/>
              </w:rPr>
            </w:pPr>
            <w:r>
              <w:rPr>
                <w:rFonts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kern w:val="2"/>
                <w:szCs w:val="21"/>
              </w:rPr>
              <w:t>⑤</w:t>
            </w:r>
            <w:r>
              <w:rPr>
                <w:rFonts w:ascii="Times New Roman"/>
                <w:snapToGrid w:val="0"/>
                <w:spacing w:val="-16"/>
                <w:kern w:val="21"/>
                <w:szCs w:val="21"/>
              </w:rPr>
              <w:fldChar w:fldCharType="end"/>
            </w:r>
          </w:p>
        </w:tc>
        <w:tc>
          <w:tcPr>
            <w:tcW w:w="2046" w:type="dxa"/>
            <w:tcMar>
              <w:left w:w="28" w:type="dxa"/>
              <w:right w:w="28" w:type="dxa"/>
            </w:tcMar>
            <w:vAlign w:val="center"/>
          </w:tcPr>
          <w:p w14:paraId="6B0CCB9F">
            <w:pPr>
              <w:pStyle w:val="48"/>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14:paraId="53374865">
            <w:pPr>
              <w:pStyle w:val="48"/>
              <w:spacing w:beforeLines="0" w:afterLines="0" w:line="240" w:lineRule="auto"/>
              <w:rPr>
                <w:rFonts w:ascii="Times New Roman"/>
                <w:snapToGrid w:val="0"/>
                <w:spacing w:val="-16"/>
                <w:kern w:val="21"/>
                <w:szCs w:val="21"/>
              </w:rPr>
            </w:pPr>
            <w:r>
              <w:rPr>
                <w:rFonts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kern w:val="2"/>
                <w:szCs w:val="21"/>
              </w:rPr>
              <w:t>⑥</w:t>
            </w:r>
            <w:r>
              <w:rPr>
                <w:rFonts w:ascii="Times New Roman"/>
                <w:snapToGrid w:val="0"/>
                <w:spacing w:val="-16"/>
                <w:kern w:val="21"/>
                <w:szCs w:val="21"/>
              </w:rPr>
              <w:fldChar w:fldCharType="end"/>
            </w:r>
          </w:p>
        </w:tc>
        <w:tc>
          <w:tcPr>
            <w:tcW w:w="1110" w:type="dxa"/>
            <w:tcMar>
              <w:left w:w="28" w:type="dxa"/>
              <w:right w:w="28" w:type="dxa"/>
            </w:tcMar>
            <w:vAlign w:val="center"/>
          </w:tcPr>
          <w:p w14:paraId="3842FC3C">
            <w:pPr>
              <w:pStyle w:val="48"/>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14:paraId="1EA27327">
            <w:pPr>
              <w:pStyle w:val="48"/>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kern w:val="2"/>
                <w:szCs w:val="21"/>
              </w:rPr>
              <w:t>⑦</w:t>
            </w:r>
            <w:r>
              <w:rPr>
                <w:rFonts w:ascii="Times New Roman"/>
                <w:snapToGrid w:val="0"/>
                <w:spacing w:val="-6"/>
                <w:kern w:val="21"/>
                <w:szCs w:val="21"/>
              </w:rPr>
              <w:fldChar w:fldCharType="end"/>
            </w:r>
          </w:p>
        </w:tc>
      </w:tr>
      <w:tr w14:paraId="34376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56" w:type="dxa"/>
            <w:vMerge w:val="restart"/>
            <w:vAlign w:val="center"/>
          </w:tcPr>
          <w:p w14:paraId="26836F14">
            <w:pPr>
              <w:pStyle w:val="48"/>
              <w:spacing w:beforeLines="0" w:afterLines="0" w:line="240" w:lineRule="auto"/>
              <w:rPr>
                <w:rFonts w:ascii="Times New Roman"/>
                <w:snapToGrid w:val="0"/>
                <w:kern w:val="21"/>
                <w:szCs w:val="21"/>
              </w:rPr>
            </w:pPr>
            <w:r>
              <w:rPr>
                <w:rFonts w:ascii="Times New Roman"/>
                <w:snapToGrid w:val="0"/>
                <w:kern w:val="21"/>
                <w:szCs w:val="21"/>
              </w:rPr>
              <w:t>废气</w:t>
            </w:r>
          </w:p>
        </w:tc>
        <w:tc>
          <w:tcPr>
            <w:tcW w:w="1738" w:type="dxa"/>
            <w:vAlign w:val="center"/>
          </w:tcPr>
          <w:p w14:paraId="1C7D51C2">
            <w:pPr>
              <w:jc w:val="center"/>
              <w:rPr>
                <w:szCs w:val="21"/>
              </w:rPr>
            </w:pPr>
            <w:r>
              <w:rPr>
                <w:szCs w:val="21"/>
              </w:rPr>
              <w:t>颗粒物（</w:t>
            </w:r>
            <w:r>
              <w:rPr>
                <w:snapToGrid w:val="0"/>
                <w:kern w:val="21"/>
                <w:szCs w:val="21"/>
              </w:rPr>
              <w:t>t/a</w:t>
            </w:r>
            <w:r>
              <w:rPr>
                <w:szCs w:val="21"/>
              </w:rPr>
              <w:t>）</w:t>
            </w:r>
          </w:p>
        </w:tc>
        <w:tc>
          <w:tcPr>
            <w:tcW w:w="1761" w:type="dxa"/>
            <w:vAlign w:val="center"/>
          </w:tcPr>
          <w:p w14:paraId="312FA36C">
            <w:pPr>
              <w:pStyle w:val="48"/>
              <w:spacing w:beforeLines="0" w:afterLines="0" w:line="240" w:lineRule="auto"/>
              <w:rPr>
                <w:rFonts w:ascii="Times New Roman"/>
                <w:snapToGrid w:val="0"/>
                <w:kern w:val="21"/>
                <w:szCs w:val="21"/>
              </w:rPr>
            </w:pPr>
            <w:r>
              <w:rPr>
                <w:rFonts w:ascii="Times New Roman"/>
                <w:snapToGrid w:val="0"/>
                <w:kern w:val="21"/>
                <w:szCs w:val="21"/>
              </w:rPr>
              <w:t>0.772</w:t>
            </w:r>
          </w:p>
        </w:tc>
        <w:tc>
          <w:tcPr>
            <w:tcW w:w="1314" w:type="dxa"/>
            <w:vAlign w:val="center"/>
          </w:tcPr>
          <w:p w14:paraId="07B883EA">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761" w:type="dxa"/>
            <w:vAlign w:val="center"/>
          </w:tcPr>
          <w:p w14:paraId="6C77238E">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613" w:type="dxa"/>
            <w:vAlign w:val="center"/>
          </w:tcPr>
          <w:p w14:paraId="7EBD77B2">
            <w:pPr>
              <w:widowControl/>
              <w:jc w:val="center"/>
              <w:rPr>
                <w:rFonts w:eastAsia="等线"/>
                <w:kern w:val="0"/>
                <w:szCs w:val="21"/>
              </w:rPr>
            </w:pPr>
            <w:r>
              <w:rPr>
                <w:rFonts w:eastAsia="等线"/>
                <w:kern w:val="0"/>
                <w:szCs w:val="21"/>
              </w:rPr>
              <w:t>1.79</w:t>
            </w:r>
          </w:p>
        </w:tc>
        <w:tc>
          <w:tcPr>
            <w:tcW w:w="1831" w:type="dxa"/>
            <w:vAlign w:val="center"/>
          </w:tcPr>
          <w:p w14:paraId="7DED77CD">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2046" w:type="dxa"/>
            <w:vAlign w:val="center"/>
          </w:tcPr>
          <w:p w14:paraId="448DC4BE">
            <w:pPr>
              <w:widowControl/>
              <w:jc w:val="center"/>
              <w:rPr>
                <w:rFonts w:eastAsia="等线"/>
                <w:kern w:val="0"/>
                <w:szCs w:val="21"/>
              </w:rPr>
            </w:pPr>
            <w:r>
              <w:rPr>
                <w:rFonts w:eastAsia="等线"/>
                <w:szCs w:val="21"/>
              </w:rPr>
              <w:t xml:space="preserve">2.562 </w:t>
            </w:r>
          </w:p>
        </w:tc>
        <w:tc>
          <w:tcPr>
            <w:tcW w:w="1110" w:type="dxa"/>
            <w:vAlign w:val="center"/>
          </w:tcPr>
          <w:p w14:paraId="04AF8997">
            <w:pPr>
              <w:widowControl/>
              <w:jc w:val="center"/>
              <w:rPr>
                <w:rFonts w:eastAsia="等线"/>
                <w:kern w:val="0"/>
                <w:szCs w:val="21"/>
              </w:rPr>
            </w:pPr>
            <w:r>
              <w:rPr>
                <w:rFonts w:eastAsia="等线"/>
                <w:kern w:val="0"/>
                <w:szCs w:val="21"/>
              </w:rPr>
              <w:t>+1.79</w:t>
            </w:r>
          </w:p>
        </w:tc>
      </w:tr>
      <w:tr w14:paraId="6EBB3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56" w:type="dxa"/>
            <w:vMerge w:val="continue"/>
            <w:vAlign w:val="center"/>
          </w:tcPr>
          <w:p w14:paraId="046CAF62">
            <w:pPr>
              <w:pStyle w:val="48"/>
              <w:spacing w:beforeLines="0" w:afterLines="0" w:line="240" w:lineRule="auto"/>
              <w:rPr>
                <w:rFonts w:ascii="Times New Roman"/>
                <w:snapToGrid w:val="0"/>
                <w:kern w:val="21"/>
                <w:szCs w:val="21"/>
              </w:rPr>
            </w:pPr>
          </w:p>
        </w:tc>
        <w:tc>
          <w:tcPr>
            <w:tcW w:w="1738" w:type="dxa"/>
            <w:vAlign w:val="center"/>
          </w:tcPr>
          <w:p w14:paraId="51AC0033">
            <w:pPr>
              <w:jc w:val="center"/>
              <w:rPr>
                <w:szCs w:val="21"/>
              </w:rPr>
            </w:pPr>
            <w:r>
              <w:rPr>
                <w:szCs w:val="21"/>
              </w:rPr>
              <w:t>SO</w:t>
            </w:r>
            <w:r>
              <w:rPr>
                <w:rStyle w:val="90"/>
                <w:rFonts w:hint="default" w:ascii="Times New Roman" w:hAnsi="Times New Roman"/>
                <w:color w:val="auto"/>
                <w:szCs w:val="21"/>
                <w:vertAlign w:val="subscript"/>
              </w:rPr>
              <w:t>2</w:t>
            </w:r>
            <w:r>
              <w:rPr>
                <w:szCs w:val="21"/>
              </w:rPr>
              <w:t>（</w:t>
            </w:r>
            <w:r>
              <w:rPr>
                <w:snapToGrid w:val="0"/>
                <w:kern w:val="21"/>
                <w:szCs w:val="21"/>
              </w:rPr>
              <w:t>t/a</w:t>
            </w:r>
            <w:r>
              <w:rPr>
                <w:szCs w:val="21"/>
              </w:rPr>
              <w:t>）</w:t>
            </w:r>
          </w:p>
        </w:tc>
        <w:tc>
          <w:tcPr>
            <w:tcW w:w="1761" w:type="dxa"/>
            <w:vAlign w:val="center"/>
          </w:tcPr>
          <w:p w14:paraId="42D7A04B">
            <w:pPr>
              <w:pStyle w:val="48"/>
              <w:spacing w:beforeLines="0" w:afterLines="0" w:line="240" w:lineRule="auto"/>
              <w:rPr>
                <w:rFonts w:ascii="Times New Roman"/>
                <w:snapToGrid w:val="0"/>
                <w:kern w:val="21"/>
                <w:szCs w:val="21"/>
              </w:rPr>
            </w:pPr>
            <w:r>
              <w:rPr>
                <w:rFonts w:ascii="Times New Roman"/>
                <w:snapToGrid w:val="0"/>
                <w:kern w:val="21"/>
                <w:szCs w:val="21"/>
              </w:rPr>
              <w:t>3.94</w:t>
            </w:r>
          </w:p>
        </w:tc>
        <w:tc>
          <w:tcPr>
            <w:tcW w:w="1314" w:type="dxa"/>
            <w:vAlign w:val="center"/>
          </w:tcPr>
          <w:p w14:paraId="21B4EB75">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761" w:type="dxa"/>
            <w:vAlign w:val="center"/>
          </w:tcPr>
          <w:p w14:paraId="32F5F69E">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613" w:type="dxa"/>
            <w:vAlign w:val="center"/>
          </w:tcPr>
          <w:p w14:paraId="660A852B">
            <w:pPr>
              <w:jc w:val="center"/>
              <w:rPr>
                <w:rFonts w:eastAsia="等线"/>
                <w:szCs w:val="21"/>
              </w:rPr>
            </w:pPr>
            <w:r>
              <w:rPr>
                <w:rFonts w:eastAsia="等线"/>
                <w:szCs w:val="21"/>
              </w:rPr>
              <w:t>16.04</w:t>
            </w:r>
          </w:p>
        </w:tc>
        <w:tc>
          <w:tcPr>
            <w:tcW w:w="1831" w:type="dxa"/>
            <w:vAlign w:val="center"/>
          </w:tcPr>
          <w:p w14:paraId="5BB833F2">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2046" w:type="dxa"/>
            <w:vAlign w:val="center"/>
          </w:tcPr>
          <w:p w14:paraId="2226168E">
            <w:pPr>
              <w:jc w:val="center"/>
              <w:rPr>
                <w:rFonts w:eastAsia="等线"/>
                <w:szCs w:val="21"/>
              </w:rPr>
            </w:pPr>
            <w:r>
              <w:rPr>
                <w:rFonts w:eastAsia="等线"/>
                <w:szCs w:val="21"/>
              </w:rPr>
              <w:t xml:space="preserve">19.980 </w:t>
            </w:r>
          </w:p>
        </w:tc>
        <w:tc>
          <w:tcPr>
            <w:tcW w:w="1110" w:type="dxa"/>
            <w:vAlign w:val="center"/>
          </w:tcPr>
          <w:p w14:paraId="170A53E9">
            <w:pPr>
              <w:jc w:val="center"/>
              <w:rPr>
                <w:rFonts w:eastAsia="等线"/>
                <w:szCs w:val="21"/>
              </w:rPr>
            </w:pPr>
            <w:r>
              <w:rPr>
                <w:rFonts w:eastAsia="等线"/>
                <w:szCs w:val="21"/>
              </w:rPr>
              <w:t>+16.04</w:t>
            </w:r>
          </w:p>
        </w:tc>
      </w:tr>
      <w:tr w14:paraId="13B3A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56" w:type="dxa"/>
            <w:vMerge w:val="continue"/>
            <w:vAlign w:val="center"/>
          </w:tcPr>
          <w:p w14:paraId="751D2CB9">
            <w:pPr>
              <w:pStyle w:val="48"/>
              <w:spacing w:beforeLines="0" w:afterLines="0" w:line="240" w:lineRule="auto"/>
              <w:rPr>
                <w:rFonts w:ascii="Times New Roman"/>
                <w:snapToGrid w:val="0"/>
                <w:kern w:val="21"/>
                <w:szCs w:val="21"/>
              </w:rPr>
            </w:pPr>
          </w:p>
        </w:tc>
        <w:tc>
          <w:tcPr>
            <w:tcW w:w="1738" w:type="dxa"/>
            <w:vAlign w:val="center"/>
          </w:tcPr>
          <w:p w14:paraId="13020DE8">
            <w:pPr>
              <w:jc w:val="center"/>
              <w:rPr>
                <w:szCs w:val="21"/>
              </w:rPr>
            </w:pPr>
            <w:r>
              <w:rPr>
                <w:szCs w:val="21"/>
              </w:rPr>
              <w:t>NOx（</w:t>
            </w:r>
            <w:r>
              <w:rPr>
                <w:snapToGrid w:val="0"/>
                <w:kern w:val="21"/>
                <w:szCs w:val="21"/>
              </w:rPr>
              <w:t>t/a</w:t>
            </w:r>
            <w:r>
              <w:rPr>
                <w:szCs w:val="21"/>
              </w:rPr>
              <w:t>）</w:t>
            </w:r>
          </w:p>
        </w:tc>
        <w:tc>
          <w:tcPr>
            <w:tcW w:w="1761" w:type="dxa"/>
            <w:vAlign w:val="center"/>
          </w:tcPr>
          <w:p w14:paraId="6C6F1802">
            <w:pPr>
              <w:pStyle w:val="48"/>
              <w:spacing w:beforeLines="0" w:afterLines="0" w:line="240" w:lineRule="auto"/>
              <w:rPr>
                <w:rFonts w:ascii="Times New Roman"/>
                <w:snapToGrid w:val="0"/>
                <w:kern w:val="21"/>
                <w:szCs w:val="21"/>
              </w:rPr>
            </w:pPr>
            <w:r>
              <w:rPr>
                <w:rFonts w:ascii="Times New Roman"/>
                <w:snapToGrid w:val="0"/>
                <w:kern w:val="21"/>
                <w:szCs w:val="21"/>
              </w:rPr>
              <w:t>3.67</w:t>
            </w:r>
          </w:p>
        </w:tc>
        <w:tc>
          <w:tcPr>
            <w:tcW w:w="1314" w:type="dxa"/>
            <w:vAlign w:val="center"/>
          </w:tcPr>
          <w:p w14:paraId="28B29AAD">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761" w:type="dxa"/>
            <w:vAlign w:val="center"/>
          </w:tcPr>
          <w:p w14:paraId="0019B74B">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613" w:type="dxa"/>
            <w:vAlign w:val="center"/>
          </w:tcPr>
          <w:p w14:paraId="2C3DB9E7">
            <w:pPr>
              <w:jc w:val="center"/>
              <w:rPr>
                <w:rFonts w:eastAsia="等线"/>
                <w:szCs w:val="21"/>
              </w:rPr>
            </w:pPr>
            <w:r>
              <w:rPr>
                <w:rFonts w:eastAsia="等线"/>
                <w:szCs w:val="21"/>
              </w:rPr>
              <w:t>11.434</w:t>
            </w:r>
          </w:p>
        </w:tc>
        <w:tc>
          <w:tcPr>
            <w:tcW w:w="1831" w:type="dxa"/>
            <w:vAlign w:val="center"/>
          </w:tcPr>
          <w:p w14:paraId="3EDEFCDF">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2046" w:type="dxa"/>
            <w:vAlign w:val="center"/>
          </w:tcPr>
          <w:p w14:paraId="0993D5D1">
            <w:pPr>
              <w:jc w:val="center"/>
              <w:rPr>
                <w:rFonts w:eastAsia="等线"/>
                <w:szCs w:val="21"/>
              </w:rPr>
            </w:pPr>
            <w:r>
              <w:rPr>
                <w:rFonts w:eastAsia="等线"/>
                <w:szCs w:val="21"/>
              </w:rPr>
              <w:t xml:space="preserve">14.940 </w:t>
            </w:r>
          </w:p>
        </w:tc>
        <w:tc>
          <w:tcPr>
            <w:tcW w:w="1110" w:type="dxa"/>
            <w:vAlign w:val="center"/>
          </w:tcPr>
          <w:p w14:paraId="4C6A1F83">
            <w:pPr>
              <w:jc w:val="center"/>
              <w:rPr>
                <w:rFonts w:eastAsia="等线"/>
                <w:szCs w:val="21"/>
              </w:rPr>
            </w:pPr>
            <w:r>
              <w:rPr>
                <w:rFonts w:eastAsia="等线"/>
                <w:szCs w:val="21"/>
              </w:rPr>
              <w:t>+11.434</w:t>
            </w:r>
          </w:p>
        </w:tc>
      </w:tr>
      <w:tr w14:paraId="10E88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56" w:type="dxa"/>
            <w:vMerge w:val="continue"/>
            <w:vAlign w:val="center"/>
          </w:tcPr>
          <w:p w14:paraId="52FCB6E5">
            <w:pPr>
              <w:pStyle w:val="48"/>
              <w:spacing w:beforeLines="0" w:afterLines="0" w:line="240" w:lineRule="auto"/>
              <w:rPr>
                <w:rFonts w:ascii="Times New Roman"/>
                <w:szCs w:val="21"/>
              </w:rPr>
            </w:pPr>
          </w:p>
        </w:tc>
        <w:tc>
          <w:tcPr>
            <w:tcW w:w="1738" w:type="dxa"/>
            <w:vAlign w:val="center"/>
          </w:tcPr>
          <w:p w14:paraId="22D1A0F9">
            <w:pPr>
              <w:jc w:val="center"/>
              <w:rPr>
                <w:szCs w:val="21"/>
              </w:rPr>
            </w:pPr>
            <w:r>
              <w:rPr>
                <w:szCs w:val="21"/>
              </w:rPr>
              <w:t>氟化物（</w:t>
            </w:r>
            <w:r>
              <w:rPr>
                <w:snapToGrid w:val="0"/>
                <w:kern w:val="21"/>
                <w:szCs w:val="21"/>
              </w:rPr>
              <w:t>t/a</w:t>
            </w:r>
            <w:r>
              <w:rPr>
                <w:szCs w:val="21"/>
              </w:rPr>
              <w:t>）</w:t>
            </w:r>
          </w:p>
        </w:tc>
        <w:tc>
          <w:tcPr>
            <w:tcW w:w="1761" w:type="dxa"/>
            <w:vAlign w:val="center"/>
          </w:tcPr>
          <w:p w14:paraId="78F8191D">
            <w:pPr>
              <w:pStyle w:val="48"/>
              <w:spacing w:beforeLines="0" w:afterLines="0" w:line="240" w:lineRule="auto"/>
              <w:rPr>
                <w:rFonts w:ascii="Times New Roman"/>
                <w:snapToGrid w:val="0"/>
                <w:kern w:val="21"/>
                <w:szCs w:val="21"/>
              </w:rPr>
            </w:pPr>
            <w:r>
              <w:rPr>
                <w:rFonts w:ascii="Times New Roman"/>
                <w:snapToGrid w:val="0"/>
                <w:kern w:val="21"/>
                <w:szCs w:val="21"/>
              </w:rPr>
              <w:t>0.048</w:t>
            </w:r>
          </w:p>
        </w:tc>
        <w:tc>
          <w:tcPr>
            <w:tcW w:w="1314" w:type="dxa"/>
            <w:vAlign w:val="center"/>
          </w:tcPr>
          <w:p w14:paraId="57D392A3">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761" w:type="dxa"/>
            <w:vAlign w:val="center"/>
          </w:tcPr>
          <w:p w14:paraId="7B33F617">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613" w:type="dxa"/>
            <w:vAlign w:val="center"/>
          </w:tcPr>
          <w:p w14:paraId="1CC55898">
            <w:pPr>
              <w:jc w:val="center"/>
              <w:rPr>
                <w:rFonts w:eastAsia="等线"/>
                <w:szCs w:val="21"/>
              </w:rPr>
            </w:pPr>
            <w:r>
              <w:rPr>
                <w:rFonts w:eastAsia="等线"/>
                <w:szCs w:val="21"/>
              </w:rPr>
              <w:t>1.038</w:t>
            </w:r>
          </w:p>
        </w:tc>
        <w:tc>
          <w:tcPr>
            <w:tcW w:w="1831" w:type="dxa"/>
            <w:vAlign w:val="center"/>
          </w:tcPr>
          <w:p w14:paraId="0E62D646">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2046" w:type="dxa"/>
            <w:vAlign w:val="center"/>
          </w:tcPr>
          <w:p w14:paraId="330A1A6E">
            <w:pPr>
              <w:jc w:val="center"/>
              <w:rPr>
                <w:rFonts w:eastAsia="等线"/>
                <w:szCs w:val="21"/>
              </w:rPr>
            </w:pPr>
            <w:r>
              <w:rPr>
                <w:rFonts w:eastAsia="等线"/>
                <w:szCs w:val="21"/>
              </w:rPr>
              <w:t xml:space="preserve">1.086 </w:t>
            </w:r>
          </w:p>
        </w:tc>
        <w:tc>
          <w:tcPr>
            <w:tcW w:w="1110" w:type="dxa"/>
            <w:vAlign w:val="center"/>
          </w:tcPr>
          <w:p w14:paraId="05EADA4B">
            <w:pPr>
              <w:jc w:val="center"/>
              <w:rPr>
                <w:rFonts w:eastAsia="等线"/>
                <w:szCs w:val="21"/>
              </w:rPr>
            </w:pPr>
            <w:r>
              <w:rPr>
                <w:rFonts w:eastAsia="等线"/>
                <w:szCs w:val="21"/>
              </w:rPr>
              <w:t>+1.038</w:t>
            </w:r>
          </w:p>
        </w:tc>
      </w:tr>
      <w:tr w14:paraId="29C8F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restart"/>
            <w:vAlign w:val="center"/>
          </w:tcPr>
          <w:p w14:paraId="53005CA6">
            <w:pPr>
              <w:pStyle w:val="48"/>
              <w:spacing w:beforeLines="0" w:afterLines="0" w:line="240" w:lineRule="auto"/>
              <w:rPr>
                <w:rFonts w:ascii="Times New Roman"/>
                <w:snapToGrid w:val="0"/>
                <w:kern w:val="21"/>
                <w:szCs w:val="21"/>
              </w:rPr>
            </w:pPr>
            <w:r>
              <w:rPr>
                <w:rFonts w:ascii="Times New Roman"/>
                <w:snapToGrid w:val="0"/>
                <w:kern w:val="21"/>
                <w:szCs w:val="21"/>
              </w:rPr>
              <w:t>废水（远期）</w:t>
            </w:r>
          </w:p>
        </w:tc>
        <w:tc>
          <w:tcPr>
            <w:tcW w:w="1738" w:type="dxa"/>
            <w:vAlign w:val="center"/>
          </w:tcPr>
          <w:p w14:paraId="65F2F3E5">
            <w:pPr>
              <w:pStyle w:val="48"/>
              <w:spacing w:beforeLines="0" w:afterLines="0" w:line="240" w:lineRule="auto"/>
              <w:rPr>
                <w:rFonts w:ascii="Times New Roman"/>
                <w:snapToGrid w:val="0"/>
                <w:kern w:val="21"/>
                <w:szCs w:val="21"/>
              </w:rPr>
            </w:pPr>
            <w:r>
              <w:rPr>
                <w:rFonts w:ascii="Times New Roman"/>
                <w:snapToGrid w:val="0"/>
                <w:kern w:val="21"/>
                <w:szCs w:val="21"/>
              </w:rPr>
              <w:t>废水量</w:t>
            </w:r>
          </w:p>
          <w:p w14:paraId="68E885A3">
            <w:pPr>
              <w:pStyle w:val="48"/>
              <w:spacing w:beforeLines="0" w:afterLines="0" w:line="240" w:lineRule="auto"/>
              <w:rPr>
                <w:rFonts w:ascii="Times New Roman"/>
                <w:snapToGrid w:val="0"/>
                <w:kern w:val="21"/>
                <w:szCs w:val="21"/>
              </w:rPr>
            </w:pPr>
            <w:r>
              <w:rPr>
                <w:rFonts w:ascii="Times New Roman"/>
                <w:szCs w:val="21"/>
              </w:rPr>
              <w:t>（万</w:t>
            </w:r>
            <w:r>
              <w:rPr>
                <w:rFonts w:ascii="Times New Roman"/>
                <w:snapToGrid w:val="0"/>
                <w:kern w:val="21"/>
                <w:szCs w:val="21"/>
              </w:rPr>
              <w:t>t/a</w:t>
            </w:r>
            <w:r>
              <w:rPr>
                <w:rFonts w:ascii="Times New Roman"/>
                <w:szCs w:val="21"/>
              </w:rPr>
              <w:t>）</w:t>
            </w:r>
          </w:p>
        </w:tc>
        <w:tc>
          <w:tcPr>
            <w:tcW w:w="1761" w:type="dxa"/>
            <w:vAlign w:val="center"/>
          </w:tcPr>
          <w:p w14:paraId="607B3D32">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314" w:type="dxa"/>
            <w:vAlign w:val="center"/>
          </w:tcPr>
          <w:p w14:paraId="490360AE">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761" w:type="dxa"/>
            <w:vAlign w:val="center"/>
          </w:tcPr>
          <w:p w14:paraId="4E62F43C">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613" w:type="dxa"/>
            <w:vAlign w:val="center"/>
          </w:tcPr>
          <w:p w14:paraId="6D55CAD2">
            <w:pPr>
              <w:pStyle w:val="48"/>
              <w:spacing w:beforeLines="0" w:afterLines="0" w:line="240" w:lineRule="auto"/>
              <w:rPr>
                <w:rFonts w:ascii="Times New Roman"/>
                <w:snapToGrid w:val="0"/>
                <w:kern w:val="21"/>
                <w:szCs w:val="21"/>
              </w:rPr>
            </w:pPr>
            <w:r>
              <w:rPr>
                <w:rFonts w:ascii="Times New Roman"/>
                <w:snapToGrid w:val="0"/>
                <w:kern w:val="21"/>
                <w:szCs w:val="21"/>
              </w:rPr>
              <w:t>0</w:t>
            </w:r>
          </w:p>
        </w:tc>
        <w:tc>
          <w:tcPr>
            <w:tcW w:w="1831" w:type="dxa"/>
            <w:vAlign w:val="center"/>
          </w:tcPr>
          <w:p w14:paraId="47972A8E">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2046" w:type="dxa"/>
            <w:vAlign w:val="center"/>
          </w:tcPr>
          <w:p w14:paraId="474AB78F">
            <w:pPr>
              <w:pStyle w:val="48"/>
              <w:spacing w:beforeLines="0" w:afterLines="0" w:line="240" w:lineRule="auto"/>
              <w:rPr>
                <w:rFonts w:ascii="Times New Roman"/>
                <w:snapToGrid w:val="0"/>
                <w:kern w:val="21"/>
                <w:szCs w:val="21"/>
              </w:rPr>
            </w:pPr>
            <w:r>
              <w:rPr>
                <w:rFonts w:ascii="Times New Roman"/>
                <w:snapToGrid w:val="0"/>
                <w:kern w:val="21"/>
                <w:szCs w:val="21"/>
              </w:rPr>
              <w:t>0</w:t>
            </w:r>
          </w:p>
        </w:tc>
        <w:tc>
          <w:tcPr>
            <w:tcW w:w="1110" w:type="dxa"/>
          </w:tcPr>
          <w:p w14:paraId="73794AAA">
            <w:pPr>
              <w:pStyle w:val="48"/>
              <w:spacing w:beforeLines="0" w:afterLines="0" w:line="240" w:lineRule="auto"/>
              <w:rPr>
                <w:rFonts w:ascii="Times New Roman"/>
                <w:snapToGrid w:val="0"/>
                <w:kern w:val="21"/>
                <w:szCs w:val="21"/>
              </w:rPr>
            </w:pPr>
            <w:r>
              <w:rPr>
                <w:rFonts w:ascii="Times New Roman"/>
                <w:snapToGrid w:val="0"/>
                <w:kern w:val="21"/>
                <w:szCs w:val="21"/>
              </w:rPr>
              <w:t>0</w:t>
            </w:r>
          </w:p>
        </w:tc>
      </w:tr>
      <w:tr w14:paraId="62D41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16D339A0">
            <w:pPr>
              <w:pStyle w:val="48"/>
              <w:spacing w:beforeLines="0" w:afterLines="0" w:line="240" w:lineRule="auto"/>
              <w:rPr>
                <w:rFonts w:ascii="Times New Roman"/>
                <w:snapToGrid w:val="0"/>
                <w:kern w:val="21"/>
                <w:szCs w:val="21"/>
              </w:rPr>
            </w:pPr>
          </w:p>
        </w:tc>
        <w:tc>
          <w:tcPr>
            <w:tcW w:w="1738" w:type="dxa"/>
            <w:vAlign w:val="center"/>
          </w:tcPr>
          <w:p w14:paraId="22FE4258">
            <w:pPr>
              <w:pStyle w:val="48"/>
              <w:spacing w:beforeLines="0" w:afterLines="0" w:line="240" w:lineRule="auto"/>
              <w:rPr>
                <w:rFonts w:ascii="Times New Roman"/>
                <w:szCs w:val="21"/>
              </w:rPr>
            </w:pPr>
            <w:r>
              <w:rPr>
                <w:rFonts w:ascii="Times New Roman"/>
                <w:szCs w:val="21"/>
              </w:rPr>
              <w:t>CODcr（</w:t>
            </w:r>
            <w:r>
              <w:rPr>
                <w:rFonts w:ascii="Times New Roman"/>
                <w:snapToGrid w:val="0"/>
                <w:kern w:val="21"/>
                <w:szCs w:val="21"/>
              </w:rPr>
              <w:t>t/a</w:t>
            </w:r>
            <w:r>
              <w:rPr>
                <w:rFonts w:ascii="Times New Roman"/>
                <w:szCs w:val="21"/>
              </w:rPr>
              <w:t>）</w:t>
            </w:r>
          </w:p>
        </w:tc>
        <w:tc>
          <w:tcPr>
            <w:tcW w:w="1761" w:type="dxa"/>
            <w:vAlign w:val="center"/>
          </w:tcPr>
          <w:p w14:paraId="1B317CF9">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314" w:type="dxa"/>
            <w:vAlign w:val="center"/>
          </w:tcPr>
          <w:p w14:paraId="56D14EFC">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761" w:type="dxa"/>
            <w:vAlign w:val="center"/>
          </w:tcPr>
          <w:p w14:paraId="68C4587F">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613" w:type="dxa"/>
            <w:vAlign w:val="center"/>
          </w:tcPr>
          <w:p w14:paraId="3D1675DB">
            <w:pPr>
              <w:pStyle w:val="48"/>
              <w:spacing w:beforeLines="0" w:afterLines="0" w:line="240" w:lineRule="auto"/>
              <w:rPr>
                <w:rFonts w:ascii="Times New Roman"/>
                <w:snapToGrid w:val="0"/>
                <w:kern w:val="21"/>
                <w:szCs w:val="21"/>
              </w:rPr>
            </w:pPr>
            <w:r>
              <w:rPr>
                <w:rFonts w:ascii="Times New Roman"/>
                <w:snapToGrid w:val="0"/>
                <w:kern w:val="21"/>
                <w:szCs w:val="21"/>
              </w:rPr>
              <w:t>0</w:t>
            </w:r>
          </w:p>
        </w:tc>
        <w:tc>
          <w:tcPr>
            <w:tcW w:w="1831" w:type="dxa"/>
            <w:vAlign w:val="center"/>
          </w:tcPr>
          <w:p w14:paraId="37306CD5">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2046" w:type="dxa"/>
          </w:tcPr>
          <w:p w14:paraId="4767D106">
            <w:pPr>
              <w:pStyle w:val="48"/>
              <w:spacing w:beforeLines="0" w:afterLines="0" w:line="240" w:lineRule="auto"/>
              <w:rPr>
                <w:rFonts w:ascii="Times New Roman"/>
                <w:snapToGrid w:val="0"/>
                <w:kern w:val="21"/>
                <w:szCs w:val="21"/>
              </w:rPr>
            </w:pPr>
            <w:r>
              <w:rPr>
                <w:rFonts w:ascii="Times New Roman"/>
                <w:snapToGrid w:val="0"/>
                <w:kern w:val="21"/>
                <w:szCs w:val="21"/>
              </w:rPr>
              <w:t>0</w:t>
            </w:r>
          </w:p>
        </w:tc>
        <w:tc>
          <w:tcPr>
            <w:tcW w:w="1110" w:type="dxa"/>
          </w:tcPr>
          <w:p w14:paraId="29B3E7C3">
            <w:pPr>
              <w:pStyle w:val="48"/>
              <w:spacing w:beforeLines="0" w:afterLines="0" w:line="240" w:lineRule="auto"/>
              <w:rPr>
                <w:rFonts w:ascii="Times New Roman"/>
                <w:snapToGrid w:val="0"/>
                <w:kern w:val="21"/>
                <w:szCs w:val="21"/>
              </w:rPr>
            </w:pPr>
            <w:r>
              <w:rPr>
                <w:rFonts w:ascii="Times New Roman"/>
                <w:snapToGrid w:val="0"/>
                <w:kern w:val="21"/>
                <w:szCs w:val="21"/>
              </w:rPr>
              <w:t>0</w:t>
            </w:r>
          </w:p>
        </w:tc>
      </w:tr>
      <w:tr w14:paraId="01D64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2E782F19">
            <w:pPr>
              <w:pStyle w:val="48"/>
              <w:spacing w:beforeLines="0" w:afterLines="0" w:line="240" w:lineRule="auto"/>
              <w:rPr>
                <w:rFonts w:ascii="Times New Roman"/>
                <w:snapToGrid w:val="0"/>
                <w:kern w:val="21"/>
                <w:szCs w:val="21"/>
              </w:rPr>
            </w:pPr>
          </w:p>
        </w:tc>
        <w:tc>
          <w:tcPr>
            <w:tcW w:w="1738" w:type="dxa"/>
            <w:vAlign w:val="center"/>
          </w:tcPr>
          <w:p w14:paraId="5EF797A1">
            <w:pPr>
              <w:pStyle w:val="48"/>
              <w:spacing w:beforeLines="0" w:afterLines="0" w:line="240" w:lineRule="auto"/>
              <w:rPr>
                <w:rFonts w:ascii="Times New Roman"/>
                <w:szCs w:val="21"/>
              </w:rPr>
            </w:pPr>
            <w:r>
              <w:rPr>
                <w:rFonts w:ascii="Times New Roman"/>
                <w:szCs w:val="21"/>
              </w:rPr>
              <w:t>NH</w:t>
            </w:r>
            <w:r>
              <w:rPr>
                <w:rFonts w:ascii="Times New Roman"/>
                <w:szCs w:val="21"/>
                <w:vertAlign w:val="subscript"/>
              </w:rPr>
              <w:t>3</w:t>
            </w:r>
            <w:r>
              <w:rPr>
                <w:rFonts w:ascii="Times New Roman"/>
                <w:szCs w:val="21"/>
              </w:rPr>
              <w:t>-N（</w:t>
            </w:r>
            <w:r>
              <w:rPr>
                <w:rFonts w:ascii="Times New Roman"/>
                <w:snapToGrid w:val="0"/>
                <w:kern w:val="21"/>
                <w:szCs w:val="21"/>
              </w:rPr>
              <w:t>t/a</w:t>
            </w:r>
            <w:r>
              <w:rPr>
                <w:rFonts w:ascii="Times New Roman"/>
                <w:szCs w:val="21"/>
              </w:rPr>
              <w:t>）</w:t>
            </w:r>
          </w:p>
        </w:tc>
        <w:tc>
          <w:tcPr>
            <w:tcW w:w="1761" w:type="dxa"/>
            <w:vAlign w:val="center"/>
          </w:tcPr>
          <w:p w14:paraId="1DF84575">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314" w:type="dxa"/>
            <w:vAlign w:val="center"/>
          </w:tcPr>
          <w:p w14:paraId="138C9E23">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761" w:type="dxa"/>
            <w:vAlign w:val="center"/>
          </w:tcPr>
          <w:p w14:paraId="07A6F03C">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613" w:type="dxa"/>
            <w:vAlign w:val="center"/>
          </w:tcPr>
          <w:p w14:paraId="0DC97162">
            <w:pPr>
              <w:pStyle w:val="48"/>
              <w:spacing w:beforeLines="0" w:afterLines="0" w:line="240" w:lineRule="auto"/>
              <w:rPr>
                <w:rFonts w:ascii="Times New Roman"/>
                <w:snapToGrid w:val="0"/>
                <w:kern w:val="21"/>
                <w:szCs w:val="21"/>
              </w:rPr>
            </w:pPr>
            <w:r>
              <w:rPr>
                <w:rFonts w:ascii="Times New Roman"/>
                <w:snapToGrid w:val="0"/>
                <w:kern w:val="21"/>
                <w:szCs w:val="21"/>
              </w:rPr>
              <w:t>0</w:t>
            </w:r>
          </w:p>
        </w:tc>
        <w:tc>
          <w:tcPr>
            <w:tcW w:w="1831" w:type="dxa"/>
            <w:vAlign w:val="center"/>
          </w:tcPr>
          <w:p w14:paraId="307D056C">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2046" w:type="dxa"/>
          </w:tcPr>
          <w:p w14:paraId="2392AEC1">
            <w:pPr>
              <w:pStyle w:val="48"/>
              <w:spacing w:beforeLines="0" w:afterLines="0" w:line="240" w:lineRule="auto"/>
              <w:rPr>
                <w:rFonts w:ascii="Times New Roman"/>
                <w:snapToGrid w:val="0"/>
                <w:kern w:val="21"/>
                <w:szCs w:val="21"/>
              </w:rPr>
            </w:pPr>
            <w:r>
              <w:rPr>
                <w:rFonts w:ascii="Times New Roman"/>
                <w:snapToGrid w:val="0"/>
                <w:kern w:val="21"/>
                <w:szCs w:val="21"/>
              </w:rPr>
              <w:t>0</w:t>
            </w:r>
          </w:p>
        </w:tc>
        <w:tc>
          <w:tcPr>
            <w:tcW w:w="1110" w:type="dxa"/>
          </w:tcPr>
          <w:p w14:paraId="4913D731">
            <w:pPr>
              <w:pStyle w:val="48"/>
              <w:spacing w:beforeLines="0" w:afterLines="0" w:line="240" w:lineRule="auto"/>
              <w:rPr>
                <w:rFonts w:ascii="Times New Roman"/>
                <w:snapToGrid w:val="0"/>
                <w:kern w:val="21"/>
                <w:szCs w:val="21"/>
              </w:rPr>
            </w:pPr>
            <w:r>
              <w:rPr>
                <w:rFonts w:ascii="Times New Roman"/>
                <w:snapToGrid w:val="0"/>
                <w:kern w:val="21"/>
                <w:szCs w:val="21"/>
              </w:rPr>
              <w:t>0</w:t>
            </w:r>
          </w:p>
        </w:tc>
      </w:tr>
      <w:tr w14:paraId="191BB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13F6008C">
            <w:pPr>
              <w:pStyle w:val="48"/>
              <w:spacing w:beforeLines="0" w:afterLines="0" w:line="240" w:lineRule="auto"/>
              <w:rPr>
                <w:rFonts w:ascii="Times New Roman"/>
                <w:snapToGrid w:val="0"/>
                <w:kern w:val="21"/>
                <w:szCs w:val="21"/>
              </w:rPr>
            </w:pPr>
          </w:p>
        </w:tc>
        <w:tc>
          <w:tcPr>
            <w:tcW w:w="1738" w:type="dxa"/>
            <w:vAlign w:val="center"/>
          </w:tcPr>
          <w:p w14:paraId="574EBD44">
            <w:pPr>
              <w:pStyle w:val="48"/>
              <w:spacing w:beforeLines="0" w:afterLines="0" w:line="240" w:lineRule="auto"/>
              <w:rPr>
                <w:rFonts w:ascii="Times New Roman"/>
                <w:snapToGrid w:val="0"/>
                <w:kern w:val="21"/>
                <w:szCs w:val="21"/>
              </w:rPr>
            </w:pPr>
            <w:r>
              <w:rPr>
                <w:rFonts w:ascii="Times New Roman"/>
                <w:szCs w:val="21"/>
              </w:rPr>
              <w:t>总磷（</w:t>
            </w:r>
            <w:r>
              <w:rPr>
                <w:rFonts w:ascii="Times New Roman"/>
                <w:snapToGrid w:val="0"/>
                <w:kern w:val="21"/>
                <w:szCs w:val="21"/>
              </w:rPr>
              <w:t>t/a</w:t>
            </w:r>
            <w:r>
              <w:rPr>
                <w:rFonts w:ascii="Times New Roman"/>
                <w:szCs w:val="21"/>
              </w:rPr>
              <w:t>）</w:t>
            </w:r>
          </w:p>
        </w:tc>
        <w:tc>
          <w:tcPr>
            <w:tcW w:w="1761" w:type="dxa"/>
            <w:vAlign w:val="center"/>
          </w:tcPr>
          <w:p w14:paraId="1BCA1468">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314" w:type="dxa"/>
            <w:vAlign w:val="center"/>
          </w:tcPr>
          <w:p w14:paraId="0FD497BF">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761" w:type="dxa"/>
            <w:vAlign w:val="center"/>
          </w:tcPr>
          <w:p w14:paraId="4C1266C8">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613" w:type="dxa"/>
            <w:vAlign w:val="center"/>
          </w:tcPr>
          <w:p w14:paraId="65FB7D2A">
            <w:pPr>
              <w:pStyle w:val="48"/>
              <w:spacing w:beforeLines="0" w:afterLines="0" w:line="240" w:lineRule="auto"/>
              <w:rPr>
                <w:rFonts w:ascii="Times New Roman"/>
                <w:snapToGrid w:val="0"/>
                <w:kern w:val="21"/>
                <w:szCs w:val="21"/>
              </w:rPr>
            </w:pPr>
            <w:r>
              <w:rPr>
                <w:rFonts w:ascii="Times New Roman"/>
                <w:snapToGrid w:val="0"/>
                <w:kern w:val="21"/>
                <w:szCs w:val="21"/>
              </w:rPr>
              <w:t>0</w:t>
            </w:r>
          </w:p>
        </w:tc>
        <w:tc>
          <w:tcPr>
            <w:tcW w:w="1831" w:type="dxa"/>
            <w:vAlign w:val="center"/>
          </w:tcPr>
          <w:p w14:paraId="2C576C9D">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2046" w:type="dxa"/>
          </w:tcPr>
          <w:p w14:paraId="6EF5911D">
            <w:pPr>
              <w:pStyle w:val="48"/>
              <w:spacing w:beforeLines="0" w:afterLines="0" w:line="240" w:lineRule="auto"/>
              <w:rPr>
                <w:rFonts w:ascii="Times New Roman"/>
                <w:snapToGrid w:val="0"/>
                <w:kern w:val="21"/>
                <w:szCs w:val="21"/>
              </w:rPr>
            </w:pPr>
            <w:r>
              <w:rPr>
                <w:rFonts w:ascii="Times New Roman"/>
                <w:snapToGrid w:val="0"/>
                <w:kern w:val="21"/>
                <w:szCs w:val="21"/>
              </w:rPr>
              <w:t>0</w:t>
            </w:r>
          </w:p>
        </w:tc>
        <w:tc>
          <w:tcPr>
            <w:tcW w:w="1110" w:type="dxa"/>
          </w:tcPr>
          <w:p w14:paraId="0DED123E">
            <w:pPr>
              <w:pStyle w:val="48"/>
              <w:spacing w:beforeLines="0" w:afterLines="0" w:line="240" w:lineRule="auto"/>
              <w:rPr>
                <w:rFonts w:ascii="Times New Roman"/>
                <w:snapToGrid w:val="0"/>
                <w:kern w:val="21"/>
                <w:szCs w:val="21"/>
              </w:rPr>
            </w:pPr>
            <w:r>
              <w:rPr>
                <w:rFonts w:ascii="Times New Roman"/>
                <w:snapToGrid w:val="0"/>
                <w:kern w:val="21"/>
                <w:szCs w:val="21"/>
              </w:rPr>
              <w:t>0</w:t>
            </w:r>
          </w:p>
        </w:tc>
      </w:tr>
      <w:tr w14:paraId="40834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Align w:val="center"/>
          </w:tcPr>
          <w:p w14:paraId="31190C19">
            <w:pPr>
              <w:pStyle w:val="48"/>
              <w:spacing w:beforeLines="0" w:afterLines="0" w:line="240" w:lineRule="auto"/>
              <w:rPr>
                <w:rFonts w:ascii="Times New Roman"/>
                <w:snapToGrid w:val="0"/>
                <w:kern w:val="21"/>
                <w:szCs w:val="21"/>
              </w:rPr>
            </w:pPr>
            <w:r>
              <w:rPr>
                <w:rFonts w:ascii="Times New Roman"/>
                <w:snapToGrid w:val="0"/>
                <w:kern w:val="21"/>
                <w:szCs w:val="21"/>
              </w:rPr>
              <w:t>一般工业</w:t>
            </w:r>
          </w:p>
          <w:p w14:paraId="7CD9BF4F">
            <w:pPr>
              <w:pStyle w:val="48"/>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738" w:type="dxa"/>
            <w:vAlign w:val="center"/>
          </w:tcPr>
          <w:p w14:paraId="427117CA">
            <w:pPr>
              <w:jc w:val="center"/>
              <w:rPr>
                <w:bCs/>
                <w:szCs w:val="21"/>
              </w:rPr>
            </w:pPr>
            <w:r>
              <w:rPr>
                <w:bCs/>
                <w:szCs w:val="21"/>
              </w:rPr>
              <w:t>/</w:t>
            </w:r>
          </w:p>
        </w:tc>
        <w:tc>
          <w:tcPr>
            <w:tcW w:w="1761" w:type="dxa"/>
            <w:vAlign w:val="center"/>
          </w:tcPr>
          <w:p w14:paraId="00B334E4">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314" w:type="dxa"/>
            <w:vAlign w:val="center"/>
          </w:tcPr>
          <w:p w14:paraId="60932170">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761" w:type="dxa"/>
            <w:vAlign w:val="center"/>
          </w:tcPr>
          <w:p w14:paraId="207706FE">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613" w:type="dxa"/>
            <w:vAlign w:val="center"/>
          </w:tcPr>
          <w:p w14:paraId="0B9393B3">
            <w:pPr>
              <w:jc w:val="center"/>
              <w:rPr>
                <w:szCs w:val="21"/>
              </w:rPr>
            </w:pPr>
            <w:r>
              <w:rPr>
                <w:szCs w:val="21"/>
              </w:rPr>
              <w:t>/</w:t>
            </w:r>
          </w:p>
        </w:tc>
        <w:tc>
          <w:tcPr>
            <w:tcW w:w="1831" w:type="dxa"/>
            <w:vAlign w:val="center"/>
          </w:tcPr>
          <w:p w14:paraId="4C71170A">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2046" w:type="dxa"/>
            <w:vAlign w:val="center"/>
          </w:tcPr>
          <w:p w14:paraId="7EDF6E22">
            <w:pPr>
              <w:jc w:val="center"/>
              <w:rPr>
                <w:szCs w:val="21"/>
              </w:rPr>
            </w:pPr>
            <w:r>
              <w:rPr>
                <w:szCs w:val="21"/>
              </w:rPr>
              <w:t>/</w:t>
            </w:r>
          </w:p>
        </w:tc>
        <w:tc>
          <w:tcPr>
            <w:tcW w:w="1110" w:type="dxa"/>
            <w:vAlign w:val="center"/>
          </w:tcPr>
          <w:p w14:paraId="39A712F7">
            <w:pPr>
              <w:jc w:val="center"/>
              <w:rPr>
                <w:szCs w:val="21"/>
              </w:rPr>
            </w:pPr>
            <w:r>
              <w:rPr>
                <w:szCs w:val="21"/>
              </w:rPr>
              <w:t>/</w:t>
            </w:r>
          </w:p>
        </w:tc>
      </w:tr>
      <w:tr w14:paraId="23FF1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restart"/>
            <w:vAlign w:val="center"/>
          </w:tcPr>
          <w:p w14:paraId="0DB480CC">
            <w:pPr>
              <w:pStyle w:val="48"/>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738" w:type="dxa"/>
            <w:vAlign w:val="center"/>
          </w:tcPr>
          <w:p w14:paraId="4937C3E2">
            <w:pPr>
              <w:jc w:val="center"/>
              <w:rPr>
                <w:bCs/>
                <w:szCs w:val="21"/>
              </w:rPr>
            </w:pPr>
            <w:r>
              <w:rPr>
                <w:szCs w:val="21"/>
              </w:rPr>
              <w:t>废机油（</w:t>
            </w:r>
            <w:r>
              <w:rPr>
                <w:snapToGrid w:val="0"/>
                <w:kern w:val="21"/>
                <w:szCs w:val="21"/>
              </w:rPr>
              <w:t>t/a</w:t>
            </w:r>
            <w:r>
              <w:rPr>
                <w:szCs w:val="21"/>
              </w:rPr>
              <w:t>）</w:t>
            </w:r>
          </w:p>
        </w:tc>
        <w:tc>
          <w:tcPr>
            <w:tcW w:w="1761" w:type="dxa"/>
            <w:vAlign w:val="center"/>
          </w:tcPr>
          <w:p w14:paraId="77F76ABC">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314" w:type="dxa"/>
            <w:vAlign w:val="center"/>
          </w:tcPr>
          <w:p w14:paraId="7928889A">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761" w:type="dxa"/>
            <w:vAlign w:val="center"/>
          </w:tcPr>
          <w:p w14:paraId="60E7B044">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1613" w:type="dxa"/>
            <w:vAlign w:val="center"/>
          </w:tcPr>
          <w:p w14:paraId="60F7878C">
            <w:pPr>
              <w:jc w:val="center"/>
              <w:rPr>
                <w:bCs/>
                <w:szCs w:val="21"/>
              </w:rPr>
            </w:pPr>
            <w:r>
              <w:rPr>
                <w:bCs/>
                <w:szCs w:val="21"/>
              </w:rPr>
              <w:t>2.8</w:t>
            </w:r>
          </w:p>
        </w:tc>
        <w:tc>
          <w:tcPr>
            <w:tcW w:w="1831" w:type="dxa"/>
            <w:vAlign w:val="center"/>
          </w:tcPr>
          <w:p w14:paraId="173A2DB1">
            <w:pPr>
              <w:pStyle w:val="48"/>
              <w:spacing w:beforeLines="0" w:afterLines="0" w:line="240" w:lineRule="auto"/>
              <w:rPr>
                <w:rFonts w:ascii="Times New Roman"/>
                <w:snapToGrid w:val="0"/>
                <w:kern w:val="21"/>
                <w:szCs w:val="21"/>
              </w:rPr>
            </w:pPr>
            <w:r>
              <w:rPr>
                <w:rFonts w:ascii="Times New Roman"/>
                <w:snapToGrid w:val="0"/>
                <w:kern w:val="21"/>
                <w:szCs w:val="21"/>
              </w:rPr>
              <w:t>/</w:t>
            </w:r>
          </w:p>
        </w:tc>
        <w:tc>
          <w:tcPr>
            <w:tcW w:w="2046" w:type="dxa"/>
            <w:vAlign w:val="center"/>
          </w:tcPr>
          <w:p w14:paraId="399DDCF2">
            <w:pPr>
              <w:jc w:val="center"/>
              <w:rPr>
                <w:bCs/>
                <w:szCs w:val="21"/>
              </w:rPr>
            </w:pPr>
            <w:r>
              <w:rPr>
                <w:bCs/>
                <w:szCs w:val="21"/>
              </w:rPr>
              <w:t>2.8</w:t>
            </w:r>
          </w:p>
        </w:tc>
        <w:tc>
          <w:tcPr>
            <w:tcW w:w="1110" w:type="dxa"/>
            <w:vAlign w:val="center"/>
          </w:tcPr>
          <w:p w14:paraId="08498503">
            <w:pPr>
              <w:jc w:val="center"/>
              <w:rPr>
                <w:bCs/>
                <w:szCs w:val="21"/>
              </w:rPr>
            </w:pPr>
            <w:r>
              <w:rPr>
                <w:bCs/>
                <w:szCs w:val="21"/>
              </w:rPr>
              <w:t>+2.8</w:t>
            </w:r>
          </w:p>
        </w:tc>
      </w:tr>
      <w:tr w14:paraId="46CDE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037C0E88">
            <w:pPr>
              <w:pStyle w:val="48"/>
              <w:spacing w:beforeLines="0" w:afterLines="0" w:line="240" w:lineRule="auto"/>
              <w:rPr>
                <w:rFonts w:ascii="Times New Roman"/>
                <w:snapToGrid w:val="0"/>
                <w:kern w:val="21"/>
                <w:szCs w:val="21"/>
              </w:rPr>
            </w:pPr>
          </w:p>
        </w:tc>
        <w:tc>
          <w:tcPr>
            <w:tcW w:w="1738" w:type="dxa"/>
            <w:vAlign w:val="center"/>
          </w:tcPr>
          <w:p w14:paraId="5039A8BB">
            <w:pPr>
              <w:jc w:val="center"/>
              <w:rPr>
                <w:bCs/>
                <w:szCs w:val="21"/>
              </w:rPr>
            </w:pPr>
          </w:p>
        </w:tc>
        <w:tc>
          <w:tcPr>
            <w:tcW w:w="1761" w:type="dxa"/>
            <w:vAlign w:val="center"/>
          </w:tcPr>
          <w:p w14:paraId="03B41B77">
            <w:pPr>
              <w:pStyle w:val="48"/>
              <w:spacing w:beforeLines="0" w:afterLines="0" w:line="240" w:lineRule="auto"/>
              <w:rPr>
                <w:rFonts w:ascii="Times New Roman"/>
                <w:snapToGrid w:val="0"/>
                <w:kern w:val="21"/>
                <w:szCs w:val="21"/>
              </w:rPr>
            </w:pPr>
          </w:p>
        </w:tc>
        <w:tc>
          <w:tcPr>
            <w:tcW w:w="1314" w:type="dxa"/>
            <w:vAlign w:val="center"/>
          </w:tcPr>
          <w:p w14:paraId="4AEB86D0">
            <w:pPr>
              <w:pStyle w:val="48"/>
              <w:spacing w:beforeLines="0" w:afterLines="0" w:line="240" w:lineRule="auto"/>
              <w:rPr>
                <w:rFonts w:ascii="Times New Roman"/>
                <w:snapToGrid w:val="0"/>
                <w:kern w:val="21"/>
                <w:szCs w:val="21"/>
              </w:rPr>
            </w:pPr>
          </w:p>
        </w:tc>
        <w:tc>
          <w:tcPr>
            <w:tcW w:w="1761" w:type="dxa"/>
            <w:vAlign w:val="center"/>
          </w:tcPr>
          <w:p w14:paraId="286D82EE">
            <w:pPr>
              <w:pStyle w:val="48"/>
              <w:spacing w:beforeLines="0" w:afterLines="0" w:line="240" w:lineRule="auto"/>
              <w:rPr>
                <w:rFonts w:ascii="Times New Roman"/>
                <w:snapToGrid w:val="0"/>
                <w:kern w:val="21"/>
                <w:szCs w:val="21"/>
              </w:rPr>
            </w:pPr>
          </w:p>
        </w:tc>
        <w:tc>
          <w:tcPr>
            <w:tcW w:w="1613" w:type="dxa"/>
            <w:vAlign w:val="center"/>
          </w:tcPr>
          <w:p w14:paraId="06F6D5FE">
            <w:pPr>
              <w:jc w:val="center"/>
              <w:rPr>
                <w:bCs/>
                <w:szCs w:val="21"/>
              </w:rPr>
            </w:pPr>
          </w:p>
        </w:tc>
        <w:tc>
          <w:tcPr>
            <w:tcW w:w="1831" w:type="dxa"/>
            <w:vAlign w:val="center"/>
          </w:tcPr>
          <w:p w14:paraId="5D902E24">
            <w:pPr>
              <w:pStyle w:val="48"/>
              <w:spacing w:beforeLines="0" w:afterLines="0" w:line="240" w:lineRule="auto"/>
              <w:rPr>
                <w:rFonts w:ascii="Times New Roman"/>
                <w:snapToGrid w:val="0"/>
                <w:kern w:val="21"/>
                <w:szCs w:val="21"/>
              </w:rPr>
            </w:pPr>
          </w:p>
        </w:tc>
        <w:tc>
          <w:tcPr>
            <w:tcW w:w="2046" w:type="dxa"/>
            <w:vAlign w:val="center"/>
          </w:tcPr>
          <w:p w14:paraId="7A5B751D">
            <w:pPr>
              <w:jc w:val="center"/>
              <w:rPr>
                <w:bCs/>
                <w:szCs w:val="21"/>
              </w:rPr>
            </w:pPr>
          </w:p>
        </w:tc>
        <w:tc>
          <w:tcPr>
            <w:tcW w:w="1110" w:type="dxa"/>
            <w:vAlign w:val="center"/>
          </w:tcPr>
          <w:p w14:paraId="2BE8BCB6">
            <w:pPr>
              <w:jc w:val="center"/>
              <w:rPr>
                <w:bCs/>
                <w:szCs w:val="21"/>
              </w:rPr>
            </w:pPr>
          </w:p>
        </w:tc>
      </w:tr>
      <w:tr w14:paraId="6AA9D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0A75DBA0">
            <w:pPr>
              <w:pStyle w:val="48"/>
              <w:spacing w:beforeLines="0" w:afterLines="0" w:line="240" w:lineRule="auto"/>
              <w:rPr>
                <w:rFonts w:ascii="Times New Roman"/>
                <w:snapToGrid w:val="0"/>
                <w:kern w:val="21"/>
                <w:szCs w:val="21"/>
              </w:rPr>
            </w:pPr>
          </w:p>
        </w:tc>
        <w:tc>
          <w:tcPr>
            <w:tcW w:w="1738" w:type="dxa"/>
            <w:vAlign w:val="center"/>
          </w:tcPr>
          <w:p w14:paraId="6660D4BE">
            <w:pPr>
              <w:jc w:val="center"/>
              <w:rPr>
                <w:kern w:val="0"/>
                <w:szCs w:val="21"/>
              </w:rPr>
            </w:pPr>
          </w:p>
        </w:tc>
        <w:tc>
          <w:tcPr>
            <w:tcW w:w="1761" w:type="dxa"/>
            <w:vAlign w:val="center"/>
          </w:tcPr>
          <w:p w14:paraId="368FECE4">
            <w:pPr>
              <w:pStyle w:val="48"/>
              <w:spacing w:beforeLines="0" w:afterLines="0" w:line="240" w:lineRule="auto"/>
              <w:rPr>
                <w:rFonts w:ascii="Times New Roman"/>
                <w:snapToGrid w:val="0"/>
                <w:kern w:val="21"/>
                <w:szCs w:val="21"/>
              </w:rPr>
            </w:pPr>
          </w:p>
        </w:tc>
        <w:tc>
          <w:tcPr>
            <w:tcW w:w="1314" w:type="dxa"/>
            <w:vAlign w:val="center"/>
          </w:tcPr>
          <w:p w14:paraId="1C3E06A7">
            <w:pPr>
              <w:pStyle w:val="48"/>
              <w:spacing w:beforeLines="0" w:afterLines="0" w:line="240" w:lineRule="auto"/>
              <w:rPr>
                <w:rFonts w:ascii="Times New Roman"/>
                <w:snapToGrid w:val="0"/>
                <w:kern w:val="21"/>
                <w:szCs w:val="21"/>
              </w:rPr>
            </w:pPr>
          </w:p>
        </w:tc>
        <w:tc>
          <w:tcPr>
            <w:tcW w:w="1761" w:type="dxa"/>
            <w:vAlign w:val="center"/>
          </w:tcPr>
          <w:p w14:paraId="57FD3AB9">
            <w:pPr>
              <w:pStyle w:val="48"/>
              <w:spacing w:beforeLines="0" w:afterLines="0" w:line="240" w:lineRule="auto"/>
              <w:rPr>
                <w:rFonts w:ascii="Times New Roman"/>
                <w:snapToGrid w:val="0"/>
                <w:kern w:val="21"/>
                <w:szCs w:val="21"/>
              </w:rPr>
            </w:pPr>
          </w:p>
        </w:tc>
        <w:tc>
          <w:tcPr>
            <w:tcW w:w="1613" w:type="dxa"/>
            <w:vAlign w:val="center"/>
          </w:tcPr>
          <w:p w14:paraId="0453D9E5">
            <w:pPr>
              <w:jc w:val="center"/>
              <w:rPr>
                <w:bCs/>
                <w:szCs w:val="21"/>
              </w:rPr>
            </w:pPr>
          </w:p>
        </w:tc>
        <w:tc>
          <w:tcPr>
            <w:tcW w:w="1831" w:type="dxa"/>
            <w:vAlign w:val="center"/>
          </w:tcPr>
          <w:p w14:paraId="4B7B92CF">
            <w:pPr>
              <w:pStyle w:val="48"/>
              <w:spacing w:beforeLines="0" w:afterLines="0" w:line="240" w:lineRule="auto"/>
              <w:rPr>
                <w:rFonts w:ascii="Times New Roman"/>
                <w:snapToGrid w:val="0"/>
                <w:kern w:val="21"/>
                <w:szCs w:val="21"/>
              </w:rPr>
            </w:pPr>
          </w:p>
        </w:tc>
        <w:tc>
          <w:tcPr>
            <w:tcW w:w="2046" w:type="dxa"/>
            <w:vAlign w:val="center"/>
          </w:tcPr>
          <w:p w14:paraId="43463002">
            <w:pPr>
              <w:jc w:val="center"/>
              <w:rPr>
                <w:bCs/>
                <w:szCs w:val="21"/>
              </w:rPr>
            </w:pPr>
          </w:p>
        </w:tc>
        <w:tc>
          <w:tcPr>
            <w:tcW w:w="1110" w:type="dxa"/>
            <w:vAlign w:val="center"/>
          </w:tcPr>
          <w:p w14:paraId="214C6E6D">
            <w:pPr>
              <w:jc w:val="center"/>
              <w:rPr>
                <w:bCs/>
                <w:szCs w:val="21"/>
              </w:rPr>
            </w:pPr>
          </w:p>
        </w:tc>
      </w:tr>
    </w:tbl>
    <w:p w14:paraId="62E339EB">
      <w:pPr>
        <w:pStyle w:val="48"/>
        <w:spacing w:beforeLines="0" w:afterLines="0"/>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14:paraId="7E0F3668">
      <w:pPr>
        <w:ind w:firstLine="480" w:firstLineChars="200"/>
      </w:pPr>
      <w:r>
        <w:rPr>
          <w:sz w:val="24"/>
        </w:rPr>
        <w:t>（填写建设项目污染物排放量汇总表，其中原有工程污染物排放情况根据排污许可证执行报告填写，无排污许可证执行报告或执行报告中无相关内容的，通过监测数据核算原有工程污染物排放情况。）</w:t>
      </w:r>
    </w:p>
    <w:sectPr>
      <w:footerReference r:id="rId5" w:type="default"/>
      <w:pgSz w:w="16838" w:h="11906" w:orient="landscape"/>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5311815"/>
    </w:sdtPr>
    <w:sdtEndPr>
      <w:rPr>
        <w:sz w:val="21"/>
        <w:szCs w:val="21"/>
      </w:rPr>
    </w:sdtEndPr>
    <w:sdtContent>
      <w:p w14:paraId="442245C1">
        <w:pPr>
          <w:pStyle w:val="1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sdtContent>
  </w:sdt>
  <w:p w14:paraId="75334048">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7018750"/>
    </w:sdtPr>
    <w:sdtContent>
      <w:p w14:paraId="6F7726FE">
        <w:pPr>
          <w:pStyle w:val="15"/>
          <w:jc w:val="center"/>
        </w:pPr>
        <w:r>
          <w:fldChar w:fldCharType="begin"/>
        </w:r>
        <w:r>
          <w:instrText xml:space="preserve">PAGE   \* MERGEFORMAT</w:instrText>
        </w:r>
        <w:r>
          <w:fldChar w:fldCharType="separate"/>
        </w:r>
        <w:r>
          <w:rPr>
            <w:lang w:val="zh-CN"/>
          </w:rPr>
          <w:t>11</w:t>
        </w:r>
        <w:r>
          <w:fldChar w:fldCharType="end"/>
        </w:r>
      </w:p>
    </w:sdtContent>
  </w:sdt>
  <w:p w14:paraId="58FCF101">
    <w:pPr>
      <w:pStyle w:val="1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FBC55">
    <w:pPr>
      <w:pStyle w:val="15"/>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7172945D">
                          <w:pPr>
                            <w:pStyle w:val="15"/>
                          </w:pPr>
                          <w:r>
                            <w:fldChar w:fldCharType="begin"/>
                          </w:r>
                          <w:r>
                            <w:instrText xml:space="preserve"> PAGE  \* MERGEFORMAT </w:instrText>
                          </w:r>
                          <w:r>
                            <w:fldChar w:fldCharType="separate"/>
                          </w:r>
                          <w:r>
                            <w:t>56</w:t>
                          </w:r>
                          <w:r>
                            <w:fldChar w:fldCharType="end"/>
                          </w:r>
                        </w:p>
                      </w:txbxContent>
                    </wps:txbx>
                    <wps:bodyPr rot="0" vert="horz" wrap="none" lIns="0" tIns="0" rIns="0" bIns="0" anchor="t" anchorCtr="0" upright="1">
                      <a:spAutoFit/>
                    </wps:bodyPr>
                  </wps:wsp>
                </a:graphicData>
              </a:graphic>
            </wp:anchor>
          </w:drawing>
        </mc:Choice>
        <mc:Fallback>
          <w:pict>
            <v:shape id="文本框 10"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5X5J0AAAAAMBAAAPAAAAAAAAAAEAIAAAACIAAABkcnMv&#10;ZG93bnJldi54bWxQSwECFAAUAAAACACHTuJAhH9tUgsCAAADBAAADgAAAAAAAAABACAAAAAfAQAA&#10;ZHJzL2Uyb0RvYy54bWxQSwUGAAAAAAYABgBZAQAAnAUAAAAA&#10;">
              <v:fill on="f" focussize="0,0"/>
              <v:stroke on="f"/>
              <v:imagedata o:title=""/>
              <o:lock v:ext="edit" aspectratio="f"/>
              <v:textbox inset="0mm,0mm,0mm,0mm" style="mso-fit-shape-to-text:t;">
                <w:txbxContent>
                  <w:p w14:paraId="7172945D">
                    <w:pPr>
                      <w:pStyle w:val="15"/>
                    </w:pPr>
                    <w:r>
                      <w:fldChar w:fldCharType="begin"/>
                    </w:r>
                    <w:r>
                      <w:instrText xml:space="preserve"> PAGE  \* MERGEFORMAT </w:instrText>
                    </w:r>
                    <w:r>
                      <w:fldChar w:fldCharType="separate"/>
                    </w:r>
                    <w:r>
                      <w:t>56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B28BB"/>
    <w:multiLevelType w:val="singleLevel"/>
    <w:tmpl w:val="938B28BB"/>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attachedTemplate r:id="rId1"/>
  <w:documentProtection w:edit="trackedChanges"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xYWVjZjFkYTJkNzI5ZDNmMjNjYTE4YTEwNTQ2OTUifQ=="/>
  </w:docVars>
  <w:rsids>
    <w:rsidRoot w:val="00A14947"/>
    <w:rsid w:val="000060B3"/>
    <w:rsid w:val="00007236"/>
    <w:rsid w:val="000105B9"/>
    <w:rsid w:val="00012696"/>
    <w:rsid w:val="00013F45"/>
    <w:rsid w:val="00017A43"/>
    <w:rsid w:val="00021BC4"/>
    <w:rsid w:val="00023547"/>
    <w:rsid w:val="00025568"/>
    <w:rsid w:val="00027AAB"/>
    <w:rsid w:val="00027AEA"/>
    <w:rsid w:val="00033B7B"/>
    <w:rsid w:val="00035851"/>
    <w:rsid w:val="00036480"/>
    <w:rsid w:val="00036867"/>
    <w:rsid w:val="00041633"/>
    <w:rsid w:val="00041D00"/>
    <w:rsid w:val="000426C5"/>
    <w:rsid w:val="0004364B"/>
    <w:rsid w:val="00043E0F"/>
    <w:rsid w:val="0005287D"/>
    <w:rsid w:val="00055E3C"/>
    <w:rsid w:val="00056DA7"/>
    <w:rsid w:val="00061B1F"/>
    <w:rsid w:val="00066ACD"/>
    <w:rsid w:val="00067031"/>
    <w:rsid w:val="000733C4"/>
    <w:rsid w:val="0007442A"/>
    <w:rsid w:val="00074783"/>
    <w:rsid w:val="000761BB"/>
    <w:rsid w:val="000778AA"/>
    <w:rsid w:val="0008070B"/>
    <w:rsid w:val="000810AC"/>
    <w:rsid w:val="00081A00"/>
    <w:rsid w:val="00081A02"/>
    <w:rsid w:val="00082231"/>
    <w:rsid w:val="00083053"/>
    <w:rsid w:val="000853CE"/>
    <w:rsid w:val="00092049"/>
    <w:rsid w:val="00092D38"/>
    <w:rsid w:val="0009335A"/>
    <w:rsid w:val="0009377B"/>
    <w:rsid w:val="000A028B"/>
    <w:rsid w:val="000A058F"/>
    <w:rsid w:val="000A14C5"/>
    <w:rsid w:val="000A20C9"/>
    <w:rsid w:val="000B058F"/>
    <w:rsid w:val="000B211E"/>
    <w:rsid w:val="000B33FD"/>
    <w:rsid w:val="000B40FF"/>
    <w:rsid w:val="000B4467"/>
    <w:rsid w:val="000B4DB9"/>
    <w:rsid w:val="000C09AC"/>
    <w:rsid w:val="000C1246"/>
    <w:rsid w:val="000C12E8"/>
    <w:rsid w:val="000C1C7E"/>
    <w:rsid w:val="000C3EE9"/>
    <w:rsid w:val="000C767F"/>
    <w:rsid w:val="000D1B9B"/>
    <w:rsid w:val="000D25D1"/>
    <w:rsid w:val="000D3188"/>
    <w:rsid w:val="000D360A"/>
    <w:rsid w:val="000D5A44"/>
    <w:rsid w:val="000D6191"/>
    <w:rsid w:val="000D6DE6"/>
    <w:rsid w:val="000E04AA"/>
    <w:rsid w:val="000E3ED2"/>
    <w:rsid w:val="000E7DB3"/>
    <w:rsid w:val="000F0545"/>
    <w:rsid w:val="000F3899"/>
    <w:rsid w:val="000F6446"/>
    <w:rsid w:val="00101A7D"/>
    <w:rsid w:val="0010733C"/>
    <w:rsid w:val="00115E07"/>
    <w:rsid w:val="001170B4"/>
    <w:rsid w:val="0012004E"/>
    <w:rsid w:val="00120462"/>
    <w:rsid w:val="00120777"/>
    <w:rsid w:val="00131F42"/>
    <w:rsid w:val="00132BCE"/>
    <w:rsid w:val="001357F1"/>
    <w:rsid w:val="00136C8D"/>
    <w:rsid w:val="00140B7C"/>
    <w:rsid w:val="00140FA8"/>
    <w:rsid w:val="00141384"/>
    <w:rsid w:val="001425D9"/>
    <w:rsid w:val="00142FEB"/>
    <w:rsid w:val="00143A2D"/>
    <w:rsid w:val="00145A41"/>
    <w:rsid w:val="00147AC4"/>
    <w:rsid w:val="00151675"/>
    <w:rsid w:val="00157435"/>
    <w:rsid w:val="0015768A"/>
    <w:rsid w:val="00161E1C"/>
    <w:rsid w:val="00162232"/>
    <w:rsid w:val="00171207"/>
    <w:rsid w:val="0017504D"/>
    <w:rsid w:val="0017671A"/>
    <w:rsid w:val="00177422"/>
    <w:rsid w:val="00177C9E"/>
    <w:rsid w:val="00180F33"/>
    <w:rsid w:val="00181CDE"/>
    <w:rsid w:val="00184590"/>
    <w:rsid w:val="00184A64"/>
    <w:rsid w:val="0018536C"/>
    <w:rsid w:val="001870D1"/>
    <w:rsid w:val="0018781E"/>
    <w:rsid w:val="00187859"/>
    <w:rsid w:val="00190A64"/>
    <w:rsid w:val="00190C72"/>
    <w:rsid w:val="0019262D"/>
    <w:rsid w:val="00194F99"/>
    <w:rsid w:val="0019723B"/>
    <w:rsid w:val="001A0968"/>
    <w:rsid w:val="001A1B35"/>
    <w:rsid w:val="001A34E4"/>
    <w:rsid w:val="001A48A2"/>
    <w:rsid w:val="001A4A4E"/>
    <w:rsid w:val="001A6661"/>
    <w:rsid w:val="001A6F61"/>
    <w:rsid w:val="001B2647"/>
    <w:rsid w:val="001B2907"/>
    <w:rsid w:val="001B4329"/>
    <w:rsid w:val="001B72B8"/>
    <w:rsid w:val="001B7FE8"/>
    <w:rsid w:val="001C69B3"/>
    <w:rsid w:val="001D1F16"/>
    <w:rsid w:val="001D34D6"/>
    <w:rsid w:val="001D46CB"/>
    <w:rsid w:val="001D5595"/>
    <w:rsid w:val="001D7874"/>
    <w:rsid w:val="001D7F22"/>
    <w:rsid w:val="001E5304"/>
    <w:rsid w:val="001E6469"/>
    <w:rsid w:val="001E666D"/>
    <w:rsid w:val="001F0F17"/>
    <w:rsid w:val="001F13A4"/>
    <w:rsid w:val="001F3347"/>
    <w:rsid w:val="001F4061"/>
    <w:rsid w:val="001F4C57"/>
    <w:rsid w:val="001F69E4"/>
    <w:rsid w:val="001F7C10"/>
    <w:rsid w:val="00204040"/>
    <w:rsid w:val="00206D26"/>
    <w:rsid w:val="002125B4"/>
    <w:rsid w:val="002151ED"/>
    <w:rsid w:val="002155B8"/>
    <w:rsid w:val="00217D36"/>
    <w:rsid w:val="00220622"/>
    <w:rsid w:val="00220A03"/>
    <w:rsid w:val="0022290C"/>
    <w:rsid w:val="00223C07"/>
    <w:rsid w:val="00224839"/>
    <w:rsid w:val="002249B2"/>
    <w:rsid w:val="00225AA2"/>
    <w:rsid w:val="00226574"/>
    <w:rsid w:val="00226A9E"/>
    <w:rsid w:val="002278EC"/>
    <w:rsid w:val="0023280E"/>
    <w:rsid w:val="00233EFE"/>
    <w:rsid w:val="00236AF3"/>
    <w:rsid w:val="002377D1"/>
    <w:rsid w:val="00243010"/>
    <w:rsid w:val="002439DF"/>
    <w:rsid w:val="00244DF8"/>
    <w:rsid w:val="002475AA"/>
    <w:rsid w:val="00247F8B"/>
    <w:rsid w:val="002506BC"/>
    <w:rsid w:val="00251021"/>
    <w:rsid w:val="00253FAE"/>
    <w:rsid w:val="00254345"/>
    <w:rsid w:val="00255B12"/>
    <w:rsid w:val="002607D6"/>
    <w:rsid w:val="00262730"/>
    <w:rsid w:val="00262C70"/>
    <w:rsid w:val="00264557"/>
    <w:rsid w:val="00265C99"/>
    <w:rsid w:val="00271612"/>
    <w:rsid w:val="00277FD5"/>
    <w:rsid w:val="002805AB"/>
    <w:rsid w:val="00284204"/>
    <w:rsid w:val="00291773"/>
    <w:rsid w:val="00291F79"/>
    <w:rsid w:val="0029487E"/>
    <w:rsid w:val="00294C8C"/>
    <w:rsid w:val="002A00A8"/>
    <w:rsid w:val="002A168C"/>
    <w:rsid w:val="002A190B"/>
    <w:rsid w:val="002A3DC7"/>
    <w:rsid w:val="002A6273"/>
    <w:rsid w:val="002B436E"/>
    <w:rsid w:val="002B49E2"/>
    <w:rsid w:val="002B727E"/>
    <w:rsid w:val="002B7B00"/>
    <w:rsid w:val="002B7C44"/>
    <w:rsid w:val="002C2B17"/>
    <w:rsid w:val="002C6B9A"/>
    <w:rsid w:val="002C7AF0"/>
    <w:rsid w:val="002D368F"/>
    <w:rsid w:val="002D3DD0"/>
    <w:rsid w:val="002D4A86"/>
    <w:rsid w:val="002E07A9"/>
    <w:rsid w:val="002E1F3A"/>
    <w:rsid w:val="002E298A"/>
    <w:rsid w:val="002E5702"/>
    <w:rsid w:val="002E75CB"/>
    <w:rsid w:val="002F7AF9"/>
    <w:rsid w:val="00301978"/>
    <w:rsid w:val="0030332C"/>
    <w:rsid w:val="003051C2"/>
    <w:rsid w:val="003070F5"/>
    <w:rsid w:val="003075B8"/>
    <w:rsid w:val="00312296"/>
    <w:rsid w:val="00312760"/>
    <w:rsid w:val="00314F0E"/>
    <w:rsid w:val="00317C8B"/>
    <w:rsid w:val="00320B43"/>
    <w:rsid w:val="00321D8E"/>
    <w:rsid w:val="00325928"/>
    <w:rsid w:val="00330752"/>
    <w:rsid w:val="00332863"/>
    <w:rsid w:val="003337FF"/>
    <w:rsid w:val="00335638"/>
    <w:rsid w:val="0033684D"/>
    <w:rsid w:val="0033730A"/>
    <w:rsid w:val="00337B42"/>
    <w:rsid w:val="0034026C"/>
    <w:rsid w:val="00341B1B"/>
    <w:rsid w:val="00341B42"/>
    <w:rsid w:val="0034348F"/>
    <w:rsid w:val="00355F8F"/>
    <w:rsid w:val="00356653"/>
    <w:rsid w:val="0035689A"/>
    <w:rsid w:val="00356C02"/>
    <w:rsid w:val="0035743F"/>
    <w:rsid w:val="0035766D"/>
    <w:rsid w:val="00357A34"/>
    <w:rsid w:val="00357BE2"/>
    <w:rsid w:val="0036170C"/>
    <w:rsid w:val="00362A3E"/>
    <w:rsid w:val="00362ECE"/>
    <w:rsid w:val="00364136"/>
    <w:rsid w:val="00366E0F"/>
    <w:rsid w:val="00367DBB"/>
    <w:rsid w:val="003710EB"/>
    <w:rsid w:val="00373621"/>
    <w:rsid w:val="00374F4A"/>
    <w:rsid w:val="00381A72"/>
    <w:rsid w:val="003835B2"/>
    <w:rsid w:val="00383D80"/>
    <w:rsid w:val="00384676"/>
    <w:rsid w:val="00386A49"/>
    <w:rsid w:val="00390857"/>
    <w:rsid w:val="0039148E"/>
    <w:rsid w:val="003926C4"/>
    <w:rsid w:val="003A3EE0"/>
    <w:rsid w:val="003A4BF3"/>
    <w:rsid w:val="003A4FB6"/>
    <w:rsid w:val="003B0E3D"/>
    <w:rsid w:val="003B120C"/>
    <w:rsid w:val="003B1E8F"/>
    <w:rsid w:val="003B420D"/>
    <w:rsid w:val="003C6C16"/>
    <w:rsid w:val="003D1913"/>
    <w:rsid w:val="003D252A"/>
    <w:rsid w:val="003D499E"/>
    <w:rsid w:val="003D4B3F"/>
    <w:rsid w:val="003D6B28"/>
    <w:rsid w:val="003D794D"/>
    <w:rsid w:val="003E0244"/>
    <w:rsid w:val="003E3058"/>
    <w:rsid w:val="003E6B59"/>
    <w:rsid w:val="003E76A9"/>
    <w:rsid w:val="003F0809"/>
    <w:rsid w:val="003F6527"/>
    <w:rsid w:val="003F6A8C"/>
    <w:rsid w:val="003F755C"/>
    <w:rsid w:val="00401330"/>
    <w:rsid w:val="00402160"/>
    <w:rsid w:val="004049B8"/>
    <w:rsid w:val="00406F01"/>
    <w:rsid w:val="00411F65"/>
    <w:rsid w:val="0041246E"/>
    <w:rsid w:val="00416D50"/>
    <w:rsid w:val="00416FD5"/>
    <w:rsid w:val="00417772"/>
    <w:rsid w:val="00420E6A"/>
    <w:rsid w:val="00425A9E"/>
    <w:rsid w:val="00426C63"/>
    <w:rsid w:val="00426D6B"/>
    <w:rsid w:val="00430AAC"/>
    <w:rsid w:val="00431E6C"/>
    <w:rsid w:val="00432B58"/>
    <w:rsid w:val="00433CE7"/>
    <w:rsid w:val="00435E11"/>
    <w:rsid w:val="0044163B"/>
    <w:rsid w:val="00444EE5"/>
    <w:rsid w:val="00446678"/>
    <w:rsid w:val="00447183"/>
    <w:rsid w:val="00451483"/>
    <w:rsid w:val="00452738"/>
    <w:rsid w:val="004539D9"/>
    <w:rsid w:val="00456091"/>
    <w:rsid w:val="004615EF"/>
    <w:rsid w:val="00464229"/>
    <w:rsid w:val="00464AE8"/>
    <w:rsid w:val="00466321"/>
    <w:rsid w:val="00467889"/>
    <w:rsid w:val="00470677"/>
    <w:rsid w:val="00471C96"/>
    <w:rsid w:val="00475526"/>
    <w:rsid w:val="00477E8E"/>
    <w:rsid w:val="00484B9B"/>
    <w:rsid w:val="004855F6"/>
    <w:rsid w:val="0048661E"/>
    <w:rsid w:val="00490918"/>
    <w:rsid w:val="00494670"/>
    <w:rsid w:val="004A215C"/>
    <w:rsid w:val="004A23D1"/>
    <w:rsid w:val="004A3823"/>
    <w:rsid w:val="004A4A29"/>
    <w:rsid w:val="004A5951"/>
    <w:rsid w:val="004A5B26"/>
    <w:rsid w:val="004A6EEB"/>
    <w:rsid w:val="004C287F"/>
    <w:rsid w:val="004C3270"/>
    <w:rsid w:val="004C4ED1"/>
    <w:rsid w:val="004C6653"/>
    <w:rsid w:val="004C70D5"/>
    <w:rsid w:val="004D47E0"/>
    <w:rsid w:val="004D7AE2"/>
    <w:rsid w:val="004E2391"/>
    <w:rsid w:val="004E3E83"/>
    <w:rsid w:val="004E6946"/>
    <w:rsid w:val="004F1AD8"/>
    <w:rsid w:val="004F3840"/>
    <w:rsid w:val="004F691F"/>
    <w:rsid w:val="00500B53"/>
    <w:rsid w:val="00501DB4"/>
    <w:rsid w:val="005027DE"/>
    <w:rsid w:val="005039CB"/>
    <w:rsid w:val="0050482B"/>
    <w:rsid w:val="0050558F"/>
    <w:rsid w:val="00506286"/>
    <w:rsid w:val="00510813"/>
    <w:rsid w:val="00511990"/>
    <w:rsid w:val="00511DE0"/>
    <w:rsid w:val="0051363E"/>
    <w:rsid w:val="005146D2"/>
    <w:rsid w:val="00514870"/>
    <w:rsid w:val="00514B9B"/>
    <w:rsid w:val="00517B82"/>
    <w:rsid w:val="00517F02"/>
    <w:rsid w:val="00521406"/>
    <w:rsid w:val="00523FF8"/>
    <w:rsid w:val="00524303"/>
    <w:rsid w:val="005258A2"/>
    <w:rsid w:val="00525D26"/>
    <w:rsid w:val="0053217B"/>
    <w:rsid w:val="00532B62"/>
    <w:rsid w:val="00533F49"/>
    <w:rsid w:val="0053526F"/>
    <w:rsid w:val="00535351"/>
    <w:rsid w:val="005401AE"/>
    <w:rsid w:val="00541D79"/>
    <w:rsid w:val="00542E07"/>
    <w:rsid w:val="00544084"/>
    <w:rsid w:val="005443DD"/>
    <w:rsid w:val="00544454"/>
    <w:rsid w:val="00545424"/>
    <w:rsid w:val="00550AC0"/>
    <w:rsid w:val="0055159B"/>
    <w:rsid w:val="005522B8"/>
    <w:rsid w:val="00554A7B"/>
    <w:rsid w:val="00555385"/>
    <w:rsid w:val="0055572C"/>
    <w:rsid w:val="0056106A"/>
    <w:rsid w:val="005720AE"/>
    <w:rsid w:val="00573251"/>
    <w:rsid w:val="005758A7"/>
    <w:rsid w:val="005776C0"/>
    <w:rsid w:val="005831AF"/>
    <w:rsid w:val="00584E49"/>
    <w:rsid w:val="00586578"/>
    <w:rsid w:val="00586BC6"/>
    <w:rsid w:val="00587530"/>
    <w:rsid w:val="00594C8B"/>
    <w:rsid w:val="00594D77"/>
    <w:rsid w:val="005969E4"/>
    <w:rsid w:val="005A0578"/>
    <w:rsid w:val="005A06B7"/>
    <w:rsid w:val="005A1759"/>
    <w:rsid w:val="005A61B7"/>
    <w:rsid w:val="005A68A7"/>
    <w:rsid w:val="005A6A83"/>
    <w:rsid w:val="005B17A7"/>
    <w:rsid w:val="005B2DA9"/>
    <w:rsid w:val="005B31C8"/>
    <w:rsid w:val="005B6D93"/>
    <w:rsid w:val="005C009F"/>
    <w:rsid w:val="005C5CA7"/>
    <w:rsid w:val="005D0788"/>
    <w:rsid w:val="005D293A"/>
    <w:rsid w:val="005D36AB"/>
    <w:rsid w:val="005D763E"/>
    <w:rsid w:val="005E0FEE"/>
    <w:rsid w:val="005E2A0D"/>
    <w:rsid w:val="005E2C67"/>
    <w:rsid w:val="005E5F81"/>
    <w:rsid w:val="005E6A38"/>
    <w:rsid w:val="005E6DCA"/>
    <w:rsid w:val="005F2231"/>
    <w:rsid w:val="005F5CBB"/>
    <w:rsid w:val="006104DA"/>
    <w:rsid w:val="00610D9F"/>
    <w:rsid w:val="006136AE"/>
    <w:rsid w:val="00617CC3"/>
    <w:rsid w:val="0063410C"/>
    <w:rsid w:val="006377A6"/>
    <w:rsid w:val="00637A3D"/>
    <w:rsid w:val="006411EF"/>
    <w:rsid w:val="00642CEF"/>
    <w:rsid w:val="00646845"/>
    <w:rsid w:val="0065629B"/>
    <w:rsid w:val="00657145"/>
    <w:rsid w:val="00664A5D"/>
    <w:rsid w:val="006668E5"/>
    <w:rsid w:val="0066704E"/>
    <w:rsid w:val="00667080"/>
    <w:rsid w:val="006748B8"/>
    <w:rsid w:val="006775C3"/>
    <w:rsid w:val="00680AA1"/>
    <w:rsid w:val="00683750"/>
    <w:rsid w:val="00684B1A"/>
    <w:rsid w:val="00685223"/>
    <w:rsid w:val="0068542F"/>
    <w:rsid w:val="00691B14"/>
    <w:rsid w:val="00691DEF"/>
    <w:rsid w:val="0069290A"/>
    <w:rsid w:val="00692D36"/>
    <w:rsid w:val="00695344"/>
    <w:rsid w:val="0069775A"/>
    <w:rsid w:val="00697813"/>
    <w:rsid w:val="006A2677"/>
    <w:rsid w:val="006A3EE8"/>
    <w:rsid w:val="006A72BF"/>
    <w:rsid w:val="006A7548"/>
    <w:rsid w:val="006B03F2"/>
    <w:rsid w:val="006B1F21"/>
    <w:rsid w:val="006B37DC"/>
    <w:rsid w:val="006B4F68"/>
    <w:rsid w:val="006C0592"/>
    <w:rsid w:val="006C17C2"/>
    <w:rsid w:val="006C272E"/>
    <w:rsid w:val="006C5479"/>
    <w:rsid w:val="006D1348"/>
    <w:rsid w:val="006D13B5"/>
    <w:rsid w:val="006D2FA1"/>
    <w:rsid w:val="006D43F5"/>
    <w:rsid w:val="006D4AFB"/>
    <w:rsid w:val="006D4EDA"/>
    <w:rsid w:val="006D60F9"/>
    <w:rsid w:val="006D7370"/>
    <w:rsid w:val="006D77C9"/>
    <w:rsid w:val="006E12FF"/>
    <w:rsid w:val="006E1D1D"/>
    <w:rsid w:val="006E4E57"/>
    <w:rsid w:val="006E53E4"/>
    <w:rsid w:val="006E607E"/>
    <w:rsid w:val="006F2BBA"/>
    <w:rsid w:val="006F3A10"/>
    <w:rsid w:val="006F42D2"/>
    <w:rsid w:val="007058B6"/>
    <w:rsid w:val="00706C5D"/>
    <w:rsid w:val="007207BC"/>
    <w:rsid w:val="00720C64"/>
    <w:rsid w:val="00722894"/>
    <w:rsid w:val="0072759C"/>
    <w:rsid w:val="00727987"/>
    <w:rsid w:val="00731E62"/>
    <w:rsid w:val="00732922"/>
    <w:rsid w:val="007370BF"/>
    <w:rsid w:val="00742F72"/>
    <w:rsid w:val="007512EB"/>
    <w:rsid w:val="0075162E"/>
    <w:rsid w:val="00752C1F"/>
    <w:rsid w:val="00754034"/>
    <w:rsid w:val="0075516C"/>
    <w:rsid w:val="00756556"/>
    <w:rsid w:val="00760B20"/>
    <w:rsid w:val="007618C4"/>
    <w:rsid w:val="00761FA7"/>
    <w:rsid w:val="00767980"/>
    <w:rsid w:val="00770B19"/>
    <w:rsid w:val="007715FC"/>
    <w:rsid w:val="00771730"/>
    <w:rsid w:val="0077463F"/>
    <w:rsid w:val="00774DBA"/>
    <w:rsid w:val="00775CF8"/>
    <w:rsid w:val="007836EA"/>
    <w:rsid w:val="00784548"/>
    <w:rsid w:val="00784CDA"/>
    <w:rsid w:val="007906C4"/>
    <w:rsid w:val="00793338"/>
    <w:rsid w:val="007940EA"/>
    <w:rsid w:val="007943A1"/>
    <w:rsid w:val="007967E8"/>
    <w:rsid w:val="007A2170"/>
    <w:rsid w:val="007A22BF"/>
    <w:rsid w:val="007A3323"/>
    <w:rsid w:val="007A669A"/>
    <w:rsid w:val="007A69FA"/>
    <w:rsid w:val="007A6D73"/>
    <w:rsid w:val="007B05E0"/>
    <w:rsid w:val="007B0A1A"/>
    <w:rsid w:val="007B4D74"/>
    <w:rsid w:val="007B5AB3"/>
    <w:rsid w:val="007B72B8"/>
    <w:rsid w:val="007B7A58"/>
    <w:rsid w:val="007C1874"/>
    <w:rsid w:val="007C20EA"/>
    <w:rsid w:val="007C21B5"/>
    <w:rsid w:val="007C232E"/>
    <w:rsid w:val="007C693D"/>
    <w:rsid w:val="007D4FC7"/>
    <w:rsid w:val="007D4FE1"/>
    <w:rsid w:val="007E14FA"/>
    <w:rsid w:val="007E25DD"/>
    <w:rsid w:val="007E2CFF"/>
    <w:rsid w:val="007E4BD2"/>
    <w:rsid w:val="007E591D"/>
    <w:rsid w:val="007E6779"/>
    <w:rsid w:val="00801393"/>
    <w:rsid w:val="00802F88"/>
    <w:rsid w:val="00804A02"/>
    <w:rsid w:val="008057BE"/>
    <w:rsid w:val="00805D1B"/>
    <w:rsid w:val="0081293E"/>
    <w:rsid w:val="00812AA3"/>
    <w:rsid w:val="00815465"/>
    <w:rsid w:val="00817394"/>
    <w:rsid w:val="00817E9A"/>
    <w:rsid w:val="008203DC"/>
    <w:rsid w:val="0082212D"/>
    <w:rsid w:val="00824265"/>
    <w:rsid w:val="00825442"/>
    <w:rsid w:val="0083069B"/>
    <w:rsid w:val="008306BD"/>
    <w:rsid w:val="00831A80"/>
    <w:rsid w:val="00833743"/>
    <w:rsid w:val="00833F36"/>
    <w:rsid w:val="008340A4"/>
    <w:rsid w:val="00837629"/>
    <w:rsid w:val="0084147F"/>
    <w:rsid w:val="00846366"/>
    <w:rsid w:val="00850B13"/>
    <w:rsid w:val="00850E47"/>
    <w:rsid w:val="008523E2"/>
    <w:rsid w:val="00852AC5"/>
    <w:rsid w:val="00852D22"/>
    <w:rsid w:val="00856B12"/>
    <w:rsid w:val="00862106"/>
    <w:rsid w:val="008635EC"/>
    <w:rsid w:val="00866861"/>
    <w:rsid w:val="008671F5"/>
    <w:rsid w:val="0086788A"/>
    <w:rsid w:val="0087135F"/>
    <w:rsid w:val="00872D94"/>
    <w:rsid w:val="00874BDB"/>
    <w:rsid w:val="0087779C"/>
    <w:rsid w:val="00880364"/>
    <w:rsid w:val="00886718"/>
    <w:rsid w:val="00886FFD"/>
    <w:rsid w:val="0088713E"/>
    <w:rsid w:val="0089102F"/>
    <w:rsid w:val="00891592"/>
    <w:rsid w:val="00891E9E"/>
    <w:rsid w:val="0089551B"/>
    <w:rsid w:val="00895777"/>
    <w:rsid w:val="008974BE"/>
    <w:rsid w:val="008A0D8D"/>
    <w:rsid w:val="008A16A6"/>
    <w:rsid w:val="008A2EEC"/>
    <w:rsid w:val="008A2F68"/>
    <w:rsid w:val="008A73E7"/>
    <w:rsid w:val="008B18A2"/>
    <w:rsid w:val="008B33C6"/>
    <w:rsid w:val="008B4FA6"/>
    <w:rsid w:val="008B5282"/>
    <w:rsid w:val="008B7BE2"/>
    <w:rsid w:val="008B7C17"/>
    <w:rsid w:val="008B7C77"/>
    <w:rsid w:val="008C143C"/>
    <w:rsid w:val="008C2D01"/>
    <w:rsid w:val="008C40E6"/>
    <w:rsid w:val="008D0CAE"/>
    <w:rsid w:val="008D0DEB"/>
    <w:rsid w:val="008D0E76"/>
    <w:rsid w:val="008D0F7A"/>
    <w:rsid w:val="008D3D84"/>
    <w:rsid w:val="008D68E4"/>
    <w:rsid w:val="008D6A39"/>
    <w:rsid w:val="008D7A10"/>
    <w:rsid w:val="008E0506"/>
    <w:rsid w:val="008E0CFF"/>
    <w:rsid w:val="008E12E0"/>
    <w:rsid w:val="008E35B4"/>
    <w:rsid w:val="008E5D6B"/>
    <w:rsid w:val="008E76F0"/>
    <w:rsid w:val="008F15FE"/>
    <w:rsid w:val="008F2D29"/>
    <w:rsid w:val="008F3F08"/>
    <w:rsid w:val="008F5187"/>
    <w:rsid w:val="008F5DEA"/>
    <w:rsid w:val="008F60D8"/>
    <w:rsid w:val="008F6D68"/>
    <w:rsid w:val="008F7087"/>
    <w:rsid w:val="008F793B"/>
    <w:rsid w:val="009005D2"/>
    <w:rsid w:val="00902086"/>
    <w:rsid w:val="00902727"/>
    <w:rsid w:val="0090312B"/>
    <w:rsid w:val="009040FA"/>
    <w:rsid w:val="009077F6"/>
    <w:rsid w:val="00915CE4"/>
    <w:rsid w:val="00915D83"/>
    <w:rsid w:val="0091736D"/>
    <w:rsid w:val="00920ABE"/>
    <w:rsid w:val="00924432"/>
    <w:rsid w:val="00924A29"/>
    <w:rsid w:val="00926EFE"/>
    <w:rsid w:val="0093037A"/>
    <w:rsid w:val="00934E9D"/>
    <w:rsid w:val="009368EA"/>
    <w:rsid w:val="00937FE8"/>
    <w:rsid w:val="0094154D"/>
    <w:rsid w:val="00942638"/>
    <w:rsid w:val="00944770"/>
    <w:rsid w:val="0094495F"/>
    <w:rsid w:val="009450C1"/>
    <w:rsid w:val="00945553"/>
    <w:rsid w:val="00950155"/>
    <w:rsid w:val="0095155F"/>
    <w:rsid w:val="0095350C"/>
    <w:rsid w:val="00954429"/>
    <w:rsid w:val="00954582"/>
    <w:rsid w:val="009559BF"/>
    <w:rsid w:val="009563CE"/>
    <w:rsid w:val="0095785C"/>
    <w:rsid w:val="00962D78"/>
    <w:rsid w:val="009649BA"/>
    <w:rsid w:val="00970F4D"/>
    <w:rsid w:val="00972134"/>
    <w:rsid w:val="00973CED"/>
    <w:rsid w:val="00974B35"/>
    <w:rsid w:val="00976328"/>
    <w:rsid w:val="00976735"/>
    <w:rsid w:val="0097680D"/>
    <w:rsid w:val="00976FB3"/>
    <w:rsid w:val="0098110B"/>
    <w:rsid w:val="009811EF"/>
    <w:rsid w:val="0098152A"/>
    <w:rsid w:val="00981910"/>
    <w:rsid w:val="00982438"/>
    <w:rsid w:val="009833B1"/>
    <w:rsid w:val="0098404C"/>
    <w:rsid w:val="00985283"/>
    <w:rsid w:val="00985FDA"/>
    <w:rsid w:val="00986157"/>
    <w:rsid w:val="00991E81"/>
    <w:rsid w:val="00994325"/>
    <w:rsid w:val="00995992"/>
    <w:rsid w:val="009A03E5"/>
    <w:rsid w:val="009A0F3B"/>
    <w:rsid w:val="009A1BB4"/>
    <w:rsid w:val="009A2628"/>
    <w:rsid w:val="009A2849"/>
    <w:rsid w:val="009A3200"/>
    <w:rsid w:val="009A5538"/>
    <w:rsid w:val="009B0897"/>
    <w:rsid w:val="009B4466"/>
    <w:rsid w:val="009B4494"/>
    <w:rsid w:val="009B4BFC"/>
    <w:rsid w:val="009B6F43"/>
    <w:rsid w:val="009B7BD9"/>
    <w:rsid w:val="009C068D"/>
    <w:rsid w:val="009C48EE"/>
    <w:rsid w:val="009C7DD5"/>
    <w:rsid w:val="009D3898"/>
    <w:rsid w:val="009D5AA7"/>
    <w:rsid w:val="009E020D"/>
    <w:rsid w:val="009E227D"/>
    <w:rsid w:val="009E435F"/>
    <w:rsid w:val="009E5019"/>
    <w:rsid w:val="009E698F"/>
    <w:rsid w:val="009F15CB"/>
    <w:rsid w:val="009F628B"/>
    <w:rsid w:val="00A02D94"/>
    <w:rsid w:val="00A04F1B"/>
    <w:rsid w:val="00A0501B"/>
    <w:rsid w:val="00A053F1"/>
    <w:rsid w:val="00A07A0E"/>
    <w:rsid w:val="00A122D9"/>
    <w:rsid w:val="00A13D5A"/>
    <w:rsid w:val="00A13D79"/>
    <w:rsid w:val="00A14947"/>
    <w:rsid w:val="00A1579C"/>
    <w:rsid w:val="00A2041E"/>
    <w:rsid w:val="00A2557A"/>
    <w:rsid w:val="00A25E0F"/>
    <w:rsid w:val="00A27703"/>
    <w:rsid w:val="00A32A83"/>
    <w:rsid w:val="00A36619"/>
    <w:rsid w:val="00A368DB"/>
    <w:rsid w:val="00A423AA"/>
    <w:rsid w:val="00A42C6D"/>
    <w:rsid w:val="00A4372D"/>
    <w:rsid w:val="00A4554A"/>
    <w:rsid w:val="00A456DE"/>
    <w:rsid w:val="00A45CA4"/>
    <w:rsid w:val="00A46FE9"/>
    <w:rsid w:val="00A501F4"/>
    <w:rsid w:val="00A51C43"/>
    <w:rsid w:val="00A53EC6"/>
    <w:rsid w:val="00A558FE"/>
    <w:rsid w:val="00A55C0F"/>
    <w:rsid w:val="00A63BD4"/>
    <w:rsid w:val="00A65B51"/>
    <w:rsid w:val="00A70146"/>
    <w:rsid w:val="00A71A5B"/>
    <w:rsid w:val="00A73B01"/>
    <w:rsid w:val="00A75502"/>
    <w:rsid w:val="00A8713F"/>
    <w:rsid w:val="00A90BA1"/>
    <w:rsid w:val="00A919A7"/>
    <w:rsid w:val="00A97A9A"/>
    <w:rsid w:val="00AA0671"/>
    <w:rsid w:val="00AA2531"/>
    <w:rsid w:val="00AA33F4"/>
    <w:rsid w:val="00AA73D0"/>
    <w:rsid w:val="00AA7851"/>
    <w:rsid w:val="00AA7D09"/>
    <w:rsid w:val="00AB1E09"/>
    <w:rsid w:val="00AB3625"/>
    <w:rsid w:val="00AB3D5B"/>
    <w:rsid w:val="00AB4070"/>
    <w:rsid w:val="00AB5330"/>
    <w:rsid w:val="00AB7747"/>
    <w:rsid w:val="00AC14CE"/>
    <w:rsid w:val="00AC2A56"/>
    <w:rsid w:val="00AC355A"/>
    <w:rsid w:val="00AC35F5"/>
    <w:rsid w:val="00AC5216"/>
    <w:rsid w:val="00AD055E"/>
    <w:rsid w:val="00AD2C57"/>
    <w:rsid w:val="00AD47A7"/>
    <w:rsid w:val="00AE5A69"/>
    <w:rsid w:val="00AE62A6"/>
    <w:rsid w:val="00AF0CBF"/>
    <w:rsid w:val="00AF1894"/>
    <w:rsid w:val="00AF23D3"/>
    <w:rsid w:val="00AF257F"/>
    <w:rsid w:val="00AF33CF"/>
    <w:rsid w:val="00AF4030"/>
    <w:rsid w:val="00AF4D50"/>
    <w:rsid w:val="00AF56F8"/>
    <w:rsid w:val="00AF6179"/>
    <w:rsid w:val="00B00FBB"/>
    <w:rsid w:val="00B02D41"/>
    <w:rsid w:val="00B0737F"/>
    <w:rsid w:val="00B07F5F"/>
    <w:rsid w:val="00B1295A"/>
    <w:rsid w:val="00B1398A"/>
    <w:rsid w:val="00B13A8F"/>
    <w:rsid w:val="00B143B0"/>
    <w:rsid w:val="00B20A45"/>
    <w:rsid w:val="00B2253A"/>
    <w:rsid w:val="00B228AE"/>
    <w:rsid w:val="00B22C5C"/>
    <w:rsid w:val="00B24F30"/>
    <w:rsid w:val="00B30ACB"/>
    <w:rsid w:val="00B31ABF"/>
    <w:rsid w:val="00B31D18"/>
    <w:rsid w:val="00B33BE3"/>
    <w:rsid w:val="00B40504"/>
    <w:rsid w:val="00B45112"/>
    <w:rsid w:val="00B46363"/>
    <w:rsid w:val="00B50808"/>
    <w:rsid w:val="00B53B5D"/>
    <w:rsid w:val="00B566CC"/>
    <w:rsid w:val="00B576A4"/>
    <w:rsid w:val="00B6055E"/>
    <w:rsid w:val="00B6317D"/>
    <w:rsid w:val="00B63565"/>
    <w:rsid w:val="00B63A62"/>
    <w:rsid w:val="00B63C2E"/>
    <w:rsid w:val="00B64B97"/>
    <w:rsid w:val="00B66E3B"/>
    <w:rsid w:val="00B7066B"/>
    <w:rsid w:val="00B73E3F"/>
    <w:rsid w:val="00B7723F"/>
    <w:rsid w:val="00B77509"/>
    <w:rsid w:val="00B80534"/>
    <w:rsid w:val="00B807A2"/>
    <w:rsid w:val="00B8433C"/>
    <w:rsid w:val="00B87047"/>
    <w:rsid w:val="00B87491"/>
    <w:rsid w:val="00B9027B"/>
    <w:rsid w:val="00B971BA"/>
    <w:rsid w:val="00BA29E9"/>
    <w:rsid w:val="00BA3D56"/>
    <w:rsid w:val="00BA7142"/>
    <w:rsid w:val="00BB237C"/>
    <w:rsid w:val="00BB41A3"/>
    <w:rsid w:val="00BB43A7"/>
    <w:rsid w:val="00BC1993"/>
    <w:rsid w:val="00BC32DC"/>
    <w:rsid w:val="00BC35B6"/>
    <w:rsid w:val="00BC6F97"/>
    <w:rsid w:val="00BD0B84"/>
    <w:rsid w:val="00BD1B51"/>
    <w:rsid w:val="00BD4596"/>
    <w:rsid w:val="00BD4DE3"/>
    <w:rsid w:val="00BD4E5D"/>
    <w:rsid w:val="00BD70BD"/>
    <w:rsid w:val="00BE1405"/>
    <w:rsid w:val="00BE1649"/>
    <w:rsid w:val="00BE312D"/>
    <w:rsid w:val="00BE359A"/>
    <w:rsid w:val="00BE3ED8"/>
    <w:rsid w:val="00BF1C20"/>
    <w:rsid w:val="00BF420B"/>
    <w:rsid w:val="00BF719A"/>
    <w:rsid w:val="00C01D05"/>
    <w:rsid w:val="00C021F2"/>
    <w:rsid w:val="00C03527"/>
    <w:rsid w:val="00C0406C"/>
    <w:rsid w:val="00C043A7"/>
    <w:rsid w:val="00C10578"/>
    <w:rsid w:val="00C11691"/>
    <w:rsid w:val="00C12D4A"/>
    <w:rsid w:val="00C135BC"/>
    <w:rsid w:val="00C13CE0"/>
    <w:rsid w:val="00C150B6"/>
    <w:rsid w:val="00C15C95"/>
    <w:rsid w:val="00C20A93"/>
    <w:rsid w:val="00C23431"/>
    <w:rsid w:val="00C23D9E"/>
    <w:rsid w:val="00C2596A"/>
    <w:rsid w:val="00C27537"/>
    <w:rsid w:val="00C300EE"/>
    <w:rsid w:val="00C328FE"/>
    <w:rsid w:val="00C33507"/>
    <w:rsid w:val="00C35C9D"/>
    <w:rsid w:val="00C36433"/>
    <w:rsid w:val="00C3768E"/>
    <w:rsid w:val="00C40B48"/>
    <w:rsid w:val="00C4409D"/>
    <w:rsid w:val="00C44E72"/>
    <w:rsid w:val="00C45A06"/>
    <w:rsid w:val="00C47E5B"/>
    <w:rsid w:val="00C50CD0"/>
    <w:rsid w:val="00C51004"/>
    <w:rsid w:val="00C51AE6"/>
    <w:rsid w:val="00C537F1"/>
    <w:rsid w:val="00C54BFA"/>
    <w:rsid w:val="00C553CC"/>
    <w:rsid w:val="00C61171"/>
    <w:rsid w:val="00C614BF"/>
    <w:rsid w:val="00C61E4B"/>
    <w:rsid w:val="00C6250D"/>
    <w:rsid w:val="00C64121"/>
    <w:rsid w:val="00C642DD"/>
    <w:rsid w:val="00C64BFF"/>
    <w:rsid w:val="00C64D79"/>
    <w:rsid w:val="00C704E9"/>
    <w:rsid w:val="00C72E38"/>
    <w:rsid w:val="00C733C9"/>
    <w:rsid w:val="00C75F59"/>
    <w:rsid w:val="00C763C9"/>
    <w:rsid w:val="00C7718B"/>
    <w:rsid w:val="00C80057"/>
    <w:rsid w:val="00C82232"/>
    <w:rsid w:val="00C82913"/>
    <w:rsid w:val="00C8294C"/>
    <w:rsid w:val="00C82DDA"/>
    <w:rsid w:val="00C83693"/>
    <w:rsid w:val="00C83AB3"/>
    <w:rsid w:val="00C90ED5"/>
    <w:rsid w:val="00C972B1"/>
    <w:rsid w:val="00CA2CCE"/>
    <w:rsid w:val="00CA43FD"/>
    <w:rsid w:val="00CA515F"/>
    <w:rsid w:val="00CA5719"/>
    <w:rsid w:val="00CA60C8"/>
    <w:rsid w:val="00CA6511"/>
    <w:rsid w:val="00CA7EF8"/>
    <w:rsid w:val="00CB041A"/>
    <w:rsid w:val="00CB214F"/>
    <w:rsid w:val="00CB2FFF"/>
    <w:rsid w:val="00CB6D53"/>
    <w:rsid w:val="00CC131A"/>
    <w:rsid w:val="00CC489B"/>
    <w:rsid w:val="00CC7120"/>
    <w:rsid w:val="00CD0811"/>
    <w:rsid w:val="00CD2BCD"/>
    <w:rsid w:val="00CD3A4C"/>
    <w:rsid w:val="00CD4765"/>
    <w:rsid w:val="00CD718A"/>
    <w:rsid w:val="00CD7C49"/>
    <w:rsid w:val="00CE10E9"/>
    <w:rsid w:val="00CE2910"/>
    <w:rsid w:val="00CE39FA"/>
    <w:rsid w:val="00CE5393"/>
    <w:rsid w:val="00CE684C"/>
    <w:rsid w:val="00CF36BE"/>
    <w:rsid w:val="00CF3B77"/>
    <w:rsid w:val="00CF6000"/>
    <w:rsid w:val="00CF6A29"/>
    <w:rsid w:val="00D003F3"/>
    <w:rsid w:val="00D00482"/>
    <w:rsid w:val="00D028E3"/>
    <w:rsid w:val="00D0364F"/>
    <w:rsid w:val="00D03BB1"/>
    <w:rsid w:val="00D053A3"/>
    <w:rsid w:val="00D05EA2"/>
    <w:rsid w:val="00D06834"/>
    <w:rsid w:val="00D10DDE"/>
    <w:rsid w:val="00D22DFC"/>
    <w:rsid w:val="00D22FF7"/>
    <w:rsid w:val="00D23BF4"/>
    <w:rsid w:val="00D23FE6"/>
    <w:rsid w:val="00D27CC8"/>
    <w:rsid w:val="00D3015E"/>
    <w:rsid w:val="00D308ED"/>
    <w:rsid w:val="00D30C2D"/>
    <w:rsid w:val="00D3367F"/>
    <w:rsid w:val="00D36D86"/>
    <w:rsid w:val="00D37319"/>
    <w:rsid w:val="00D40BE3"/>
    <w:rsid w:val="00D41A36"/>
    <w:rsid w:val="00D42770"/>
    <w:rsid w:val="00D428AA"/>
    <w:rsid w:val="00D42959"/>
    <w:rsid w:val="00D43E38"/>
    <w:rsid w:val="00D50A34"/>
    <w:rsid w:val="00D51CEE"/>
    <w:rsid w:val="00D53EFA"/>
    <w:rsid w:val="00D60CCA"/>
    <w:rsid w:val="00D63FAF"/>
    <w:rsid w:val="00D667AE"/>
    <w:rsid w:val="00D67C51"/>
    <w:rsid w:val="00D7659D"/>
    <w:rsid w:val="00D76890"/>
    <w:rsid w:val="00D80617"/>
    <w:rsid w:val="00D91E79"/>
    <w:rsid w:val="00D94A7C"/>
    <w:rsid w:val="00D94CD6"/>
    <w:rsid w:val="00D95896"/>
    <w:rsid w:val="00DA17E1"/>
    <w:rsid w:val="00DB0A68"/>
    <w:rsid w:val="00DB2983"/>
    <w:rsid w:val="00DB3A9D"/>
    <w:rsid w:val="00DB6AB8"/>
    <w:rsid w:val="00DB6F82"/>
    <w:rsid w:val="00DC0B4F"/>
    <w:rsid w:val="00DC1257"/>
    <w:rsid w:val="00DC2094"/>
    <w:rsid w:val="00DC2514"/>
    <w:rsid w:val="00DC26C9"/>
    <w:rsid w:val="00DC3DC0"/>
    <w:rsid w:val="00DC46E0"/>
    <w:rsid w:val="00DC5B2B"/>
    <w:rsid w:val="00DC5FD9"/>
    <w:rsid w:val="00DC6932"/>
    <w:rsid w:val="00DD318D"/>
    <w:rsid w:val="00DD5156"/>
    <w:rsid w:val="00DD6163"/>
    <w:rsid w:val="00DD7BA8"/>
    <w:rsid w:val="00DD7C11"/>
    <w:rsid w:val="00DE49E1"/>
    <w:rsid w:val="00DF2E12"/>
    <w:rsid w:val="00DF514A"/>
    <w:rsid w:val="00DF5366"/>
    <w:rsid w:val="00DF63D2"/>
    <w:rsid w:val="00DF6690"/>
    <w:rsid w:val="00DF6804"/>
    <w:rsid w:val="00DF77C8"/>
    <w:rsid w:val="00E01F00"/>
    <w:rsid w:val="00E02E75"/>
    <w:rsid w:val="00E0358D"/>
    <w:rsid w:val="00E04323"/>
    <w:rsid w:val="00E070A2"/>
    <w:rsid w:val="00E07B66"/>
    <w:rsid w:val="00E13878"/>
    <w:rsid w:val="00E16BF0"/>
    <w:rsid w:val="00E17FCC"/>
    <w:rsid w:val="00E25944"/>
    <w:rsid w:val="00E2656A"/>
    <w:rsid w:val="00E2781F"/>
    <w:rsid w:val="00E34E4F"/>
    <w:rsid w:val="00E35103"/>
    <w:rsid w:val="00E3589E"/>
    <w:rsid w:val="00E35EC7"/>
    <w:rsid w:val="00E3652F"/>
    <w:rsid w:val="00E4049A"/>
    <w:rsid w:val="00E40624"/>
    <w:rsid w:val="00E412D0"/>
    <w:rsid w:val="00E51A5E"/>
    <w:rsid w:val="00E56322"/>
    <w:rsid w:val="00E57609"/>
    <w:rsid w:val="00E60982"/>
    <w:rsid w:val="00E62C62"/>
    <w:rsid w:val="00E654C1"/>
    <w:rsid w:val="00E65D97"/>
    <w:rsid w:val="00E6783F"/>
    <w:rsid w:val="00E72A5A"/>
    <w:rsid w:val="00E73354"/>
    <w:rsid w:val="00E739A8"/>
    <w:rsid w:val="00E775DB"/>
    <w:rsid w:val="00E91385"/>
    <w:rsid w:val="00E9242D"/>
    <w:rsid w:val="00E9319B"/>
    <w:rsid w:val="00E935EF"/>
    <w:rsid w:val="00E9475E"/>
    <w:rsid w:val="00E957F0"/>
    <w:rsid w:val="00E977B7"/>
    <w:rsid w:val="00EA1CC2"/>
    <w:rsid w:val="00EA4336"/>
    <w:rsid w:val="00EA441C"/>
    <w:rsid w:val="00EA4658"/>
    <w:rsid w:val="00EA67D2"/>
    <w:rsid w:val="00EA6BB6"/>
    <w:rsid w:val="00EB404F"/>
    <w:rsid w:val="00EB5255"/>
    <w:rsid w:val="00EB5C47"/>
    <w:rsid w:val="00EB6086"/>
    <w:rsid w:val="00EB7B45"/>
    <w:rsid w:val="00EC06E4"/>
    <w:rsid w:val="00EC4CDF"/>
    <w:rsid w:val="00ED0639"/>
    <w:rsid w:val="00ED40DC"/>
    <w:rsid w:val="00ED5FF4"/>
    <w:rsid w:val="00EF3F82"/>
    <w:rsid w:val="00EF4755"/>
    <w:rsid w:val="00EF7135"/>
    <w:rsid w:val="00F009D9"/>
    <w:rsid w:val="00F01D96"/>
    <w:rsid w:val="00F01DB3"/>
    <w:rsid w:val="00F027DB"/>
    <w:rsid w:val="00F031DF"/>
    <w:rsid w:val="00F0434D"/>
    <w:rsid w:val="00F072A5"/>
    <w:rsid w:val="00F078FB"/>
    <w:rsid w:val="00F14940"/>
    <w:rsid w:val="00F14A7A"/>
    <w:rsid w:val="00F17714"/>
    <w:rsid w:val="00F22985"/>
    <w:rsid w:val="00F238B7"/>
    <w:rsid w:val="00F24E42"/>
    <w:rsid w:val="00F25B1E"/>
    <w:rsid w:val="00F3383E"/>
    <w:rsid w:val="00F342C1"/>
    <w:rsid w:val="00F3568E"/>
    <w:rsid w:val="00F3698F"/>
    <w:rsid w:val="00F41F6B"/>
    <w:rsid w:val="00F45B14"/>
    <w:rsid w:val="00F465A7"/>
    <w:rsid w:val="00F477E0"/>
    <w:rsid w:val="00F50B7C"/>
    <w:rsid w:val="00F518E9"/>
    <w:rsid w:val="00F550E6"/>
    <w:rsid w:val="00F57B6F"/>
    <w:rsid w:val="00F619F6"/>
    <w:rsid w:val="00F655B3"/>
    <w:rsid w:val="00F66166"/>
    <w:rsid w:val="00F67119"/>
    <w:rsid w:val="00F67DA0"/>
    <w:rsid w:val="00F70C7C"/>
    <w:rsid w:val="00F70E25"/>
    <w:rsid w:val="00F74345"/>
    <w:rsid w:val="00F76402"/>
    <w:rsid w:val="00F775CE"/>
    <w:rsid w:val="00F80A0A"/>
    <w:rsid w:val="00F82B19"/>
    <w:rsid w:val="00F86FD7"/>
    <w:rsid w:val="00F91DB2"/>
    <w:rsid w:val="00F92048"/>
    <w:rsid w:val="00F9212D"/>
    <w:rsid w:val="00F965DA"/>
    <w:rsid w:val="00FA0014"/>
    <w:rsid w:val="00FA0847"/>
    <w:rsid w:val="00FA11C8"/>
    <w:rsid w:val="00FA1EF0"/>
    <w:rsid w:val="00FA406A"/>
    <w:rsid w:val="00FA7387"/>
    <w:rsid w:val="00FB2731"/>
    <w:rsid w:val="00FB503A"/>
    <w:rsid w:val="00FB516C"/>
    <w:rsid w:val="00FC0B7B"/>
    <w:rsid w:val="00FC4CAC"/>
    <w:rsid w:val="00FC69EA"/>
    <w:rsid w:val="00FD0236"/>
    <w:rsid w:val="00FD18F4"/>
    <w:rsid w:val="00FD243C"/>
    <w:rsid w:val="00FD54DB"/>
    <w:rsid w:val="00FD619F"/>
    <w:rsid w:val="00FD6306"/>
    <w:rsid w:val="00FE2D40"/>
    <w:rsid w:val="00FE7DF7"/>
    <w:rsid w:val="00FF6261"/>
    <w:rsid w:val="00FF6909"/>
    <w:rsid w:val="00FF7E1A"/>
    <w:rsid w:val="0100470E"/>
    <w:rsid w:val="01070A5B"/>
    <w:rsid w:val="01112F72"/>
    <w:rsid w:val="01290F7E"/>
    <w:rsid w:val="0152412C"/>
    <w:rsid w:val="01554288"/>
    <w:rsid w:val="015D1E09"/>
    <w:rsid w:val="017309C2"/>
    <w:rsid w:val="01DC57A8"/>
    <w:rsid w:val="01F02DF0"/>
    <w:rsid w:val="01F82D95"/>
    <w:rsid w:val="01FE558F"/>
    <w:rsid w:val="02150C43"/>
    <w:rsid w:val="021B5DAC"/>
    <w:rsid w:val="022515DB"/>
    <w:rsid w:val="023A2B71"/>
    <w:rsid w:val="0259289F"/>
    <w:rsid w:val="025D4C8A"/>
    <w:rsid w:val="0261150D"/>
    <w:rsid w:val="02674C79"/>
    <w:rsid w:val="02697903"/>
    <w:rsid w:val="028224BC"/>
    <w:rsid w:val="02935AA9"/>
    <w:rsid w:val="02945B68"/>
    <w:rsid w:val="029F39D6"/>
    <w:rsid w:val="02C623DD"/>
    <w:rsid w:val="02CB3363"/>
    <w:rsid w:val="02D00AD7"/>
    <w:rsid w:val="02D66D45"/>
    <w:rsid w:val="02F96569"/>
    <w:rsid w:val="02FE48B8"/>
    <w:rsid w:val="02FF3737"/>
    <w:rsid w:val="031636A8"/>
    <w:rsid w:val="031A1D91"/>
    <w:rsid w:val="03206154"/>
    <w:rsid w:val="032558D1"/>
    <w:rsid w:val="03275DA2"/>
    <w:rsid w:val="03300C43"/>
    <w:rsid w:val="03700E2B"/>
    <w:rsid w:val="03725726"/>
    <w:rsid w:val="037271B9"/>
    <w:rsid w:val="03786E6B"/>
    <w:rsid w:val="037B4108"/>
    <w:rsid w:val="037B68DB"/>
    <w:rsid w:val="039E3DE9"/>
    <w:rsid w:val="03A13314"/>
    <w:rsid w:val="03A97AB8"/>
    <w:rsid w:val="03AA6D3E"/>
    <w:rsid w:val="03C2749D"/>
    <w:rsid w:val="03C6249A"/>
    <w:rsid w:val="03EA7B21"/>
    <w:rsid w:val="03F97FC3"/>
    <w:rsid w:val="040D23ED"/>
    <w:rsid w:val="04162A55"/>
    <w:rsid w:val="043814BD"/>
    <w:rsid w:val="0454111E"/>
    <w:rsid w:val="04551001"/>
    <w:rsid w:val="04561EB9"/>
    <w:rsid w:val="045F11A2"/>
    <w:rsid w:val="0486424D"/>
    <w:rsid w:val="04991EC5"/>
    <w:rsid w:val="049C7331"/>
    <w:rsid w:val="04AE242A"/>
    <w:rsid w:val="04DA5A75"/>
    <w:rsid w:val="04F87443"/>
    <w:rsid w:val="05066DA6"/>
    <w:rsid w:val="05093EF4"/>
    <w:rsid w:val="05132EA6"/>
    <w:rsid w:val="052E287A"/>
    <w:rsid w:val="05345529"/>
    <w:rsid w:val="054F71EE"/>
    <w:rsid w:val="055E399C"/>
    <w:rsid w:val="055E5632"/>
    <w:rsid w:val="056065CA"/>
    <w:rsid w:val="05651103"/>
    <w:rsid w:val="056C42D7"/>
    <w:rsid w:val="057E1B51"/>
    <w:rsid w:val="05893972"/>
    <w:rsid w:val="059246E0"/>
    <w:rsid w:val="05952CC0"/>
    <w:rsid w:val="059C639A"/>
    <w:rsid w:val="059E2014"/>
    <w:rsid w:val="05B041B3"/>
    <w:rsid w:val="05B1767A"/>
    <w:rsid w:val="05B473FB"/>
    <w:rsid w:val="05BF584B"/>
    <w:rsid w:val="05C553AB"/>
    <w:rsid w:val="05E25272"/>
    <w:rsid w:val="05E56974"/>
    <w:rsid w:val="05E94F2B"/>
    <w:rsid w:val="05F83EAE"/>
    <w:rsid w:val="0613705F"/>
    <w:rsid w:val="061C6104"/>
    <w:rsid w:val="062F5308"/>
    <w:rsid w:val="063E7D85"/>
    <w:rsid w:val="06417E81"/>
    <w:rsid w:val="064A01ED"/>
    <w:rsid w:val="065B1A57"/>
    <w:rsid w:val="065C5ADB"/>
    <w:rsid w:val="065D30E9"/>
    <w:rsid w:val="06813F9E"/>
    <w:rsid w:val="06A40568"/>
    <w:rsid w:val="06BD6BD4"/>
    <w:rsid w:val="06C27C82"/>
    <w:rsid w:val="06C345B2"/>
    <w:rsid w:val="06CF40A2"/>
    <w:rsid w:val="06DC1B43"/>
    <w:rsid w:val="06E05628"/>
    <w:rsid w:val="06FD7BE4"/>
    <w:rsid w:val="07101E83"/>
    <w:rsid w:val="07125EE3"/>
    <w:rsid w:val="071472FD"/>
    <w:rsid w:val="07237049"/>
    <w:rsid w:val="072445B5"/>
    <w:rsid w:val="07293586"/>
    <w:rsid w:val="07295285"/>
    <w:rsid w:val="073474EC"/>
    <w:rsid w:val="073602CE"/>
    <w:rsid w:val="07636392"/>
    <w:rsid w:val="07770C56"/>
    <w:rsid w:val="07771672"/>
    <w:rsid w:val="077A63CE"/>
    <w:rsid w:val="078E0775"/>
    <w:rsid w:val="07907E98"/>
    <w:rsid w:val="07A25E00"/>
    <w:rsid w:val="07A63007"/>
    <w:rsid w:val="07C63F6C"/>
    <w:rsid w:val="07DE7A59"/>
    <w:rsid w:val="07E46B81"/>
    <w:rsid w:val="07E918DE"/>
    <w:rsid w:val="07F1652C"/>
    <w:rsid w:val="07FF7513"/>
    <w:rsid w:val="080030E6"/>
    <w:rsid w:val="080176D6"/>
    <w:rsid w:val="08046F34"/>
    <w:rsid w:val="0807625A"/>
    <w:rsid w:val="080F112A"/>
    <w:rsid w:val="08186BB1"/>
    <w:rsid w:val="082458FD"/>
    <w:rsid w:val="082A5BED"/>
    <w:rsid w:val="08367A6A"/>
    <w:rsid w:val="088424C9"/>
    <w:rsid w:val="089110FA"/>
    <w:rsid w:val="089B4334"/>
    <w:rsid w:val="089C095F"/>
    <w:rsid w:val="08A73698"/>
    <w:rsid w:val="08A847D9"/>
    <w:rsid w:val="08AD4C45"/>
    <w:rsid w:val="08B97832"/>
    <w:rsid w:val="08BA60A2"/>
    <w:rsid w:val="08BE2DBE"/>
    <w:rsid w:val="08FA59A4"/>
    <w:rsid w:val="090466F7"/>
    <w:rsid w:val="092217DD"/>
    <w:rsid w:val="092E03FE"/>
    <w:rsid w:val="093A7294"/>
    <w:rsid w:val="094C6B22"/>
    <w:rsid w:val="09571F7E"/>
    <w:rsid w:val="096516BA"/>
    <w:rsid w:val="09715FAE"/>
    <w:rsid w:val="098C5583"/>
    <w:rsid w:val="098F4304"/>
    <w:rsid w:val="09BB2E33"/>
    <w:rsid w:val="09C13E9D"/>
    <w:rsid w:val="09D77DB0"/>
    <w:rsid w:val="09DB7D07"/>
    <w:rsid w:val="09FD0F22"/>
    <w:rsid w:val="0A187BF7"/>
    <w:rsid w:val="0A1A080E"/>
    <w:rsid w:val="0A217852"/>
    <w:rsid w:val="0A22216C"/>
    <w:rsid w:val="0A263993"/>
    <w:rsid w:val="0A28145E"/>
    <w:rsid w:val="0A2D3AC2"/>
    <w:rsid w:val="0A2F2FE5"/>
    <w:rsid w:val="0A46641B"/>
    <w:rsid w:val="0A6D5438"/>
    <w:rsid w:val="0A8F08FE"/>
    <w:rsid w:val="0A911D33"/>
    <w:rsid w:val="0AA755DF"/>
    <w:rsid w:val="0ACF7D6B"/>
    <w:rsid w:val="0AD80296"/>
    <w:rsid w:val="0AE204F6"/>
    <w:rsid w:val="0AED0B16"/>
    <w:rsid w:val="0B120D44"/>
    <w:rsid w:val="0B233C90"/>
    <w:rsid w:val="0B4A36EA"/>
    <w:rsid w:val="0B556716"/>
    <w:rsid w:val="0B5F1181"/>
    <w:rsid w:val="0B630F04"/>
    <w:rsid w:val="0BAE757F"/>
    <w:rsid w:val="0BB253EA"/>
    <w:rsid w:val="0BBC057D"/>
    <w:rsid w:val="0BC4364C"/>
    <w:rsid w:val="0BCB2330"/>
    <w:rsid w:val="0BD27BF6"/>
    <w:rsid w:val="0BD3222A"/>
    <w:rsid w:val="0BD3621E"/>
    <w:rsid w:val="0BDC3B19"/>
    <w:rsid w:val="0BDE6FF5"/>
    <w:rsid w:val="0BE00F1A"/>
    <w:rsid w:val="0BE81EF0"/>
    <w:rsid w:val="0BEB0F5D"/>
    <w:rsid w:val="0C065719"/>
    <w:rsid w:val="0C1D510B"/>
    <w:rsid w:val="0C3A2134"/>
    <w:rsid w:val="0C3B3C7D"/>
    <w:rsid w:val="0C4D7B1D"/>
    <w:rsid w:val="0C563144"/>
    <w:rsid w:val="0C5960F4"/>
    <w:rsid w:val="0C686E97"/>
    <w:rsid w:val="0C69666B"/>
    <w:rsid w:val="0C957770"/>
    <w:rsid w:val="0CA2029D"/>
    <w:rsid w:val="0CA3372E"/>
    <w:rsid w:val="0CAB2EAE"/>
    <w:rsid w:val="0CAC1DBC"/>
    <w:rsid w:val="0CB463A4"/>
    <w:rsid w:val="0CB67754"/>
    <w:rsid w:val="0CB723C9"/>
    <w:rsid w:val="0CC767F6"/>
    <w:rsid w:val="0CCF3294"/>
    <w:rsid w:val="0CD14958"/>
    <w:rsid w:val="0CD30A22"/>
    <w:rsid w:val="0CE007E9"/>
    <w:rsid w:val="0CE70797"/>
    <w:rsid w:val="0CF26AA8"/>
    <w:rsid w:val="0D0C7A10"/>
    <w:rsid w:val="0D28446C"/>
    <w:rsid w:val="0D2B1EDF"/>
    <w:rsid w:val="0D3E6B00"/>
    <w:rsid w:val="0D4B2AE8"/>
    <w:rsid w:val="0D5104B3"/>
    <w:rsid w:val="0D621C7D"/>
    <w:rsid w:val="0D6657A5"/>
    <w:rsid w:val="0D7027AE"/>
    <w:rsid w:val="0D7E4255"/>
    <w:rsid w:val="0D88552B"/>
    <w:rsid w:val="0D8B09C0"/>
    <w:rsid w:val="0D8E5DD0"/>
    <w:rsid w:val="0D90585E"/>
    <w:rsid w:val="0D937FE7"/>
    <w:rsid w:val="0DA3209E"/>
    <w:rsid w:val="0DAB2F20"/>
    <w:rsid w:val="0DD7578B"/>
    <w:rsid w:val="0DE6765B"/>
    <w:rsid w:val="0E0D4B8C"/>
    <w:rsid w:val="0E1975DB"/>
    <w:rsid w:val="0E232DF3"/>
    <w:rsid w:val="0E3B5B68"/>
    <w:rsid w:val="0E49009C"/>
    <w:rsid w:val="0E640F11"/>
    <w:rsid w:val="0E69635F"/>
    <w:rsid w:val="0E73034D"/>
    <w:rsid w:val="0E8F78B5"/>
    <w:rsid w:val="0E9E13F7"/>
    <w:rsid w:val="0EA60D81"/>
    <w:rsid w:val="0EB80916"/>
    <w:rsid w:val="0EC0775B"/>
    <w:rsid w:val="0EC55242"/>
    <w:rsid w:val="0ED62FD7"/>
    <w:rsid w:val="0ED929E2"/>
    <w:rsid w:val="0EE862EA"/>
    <w:rsid w:val="0F0A07D9"/>
    <w:rsid w:val="0F1050E6"/>
    <w:rsid w:val="0F13775A"/>
    <w:rsid w:val="0F292D24"/>
    <w:rsid w:val="0F307279"/>
    <w:rsid w:val="0F5A11A9"/>
    <w:rsid w:val="0F5D69C0"/>
    <w:rsid w:val="0F5F45FE"/>
    <w:rsid w:val="0F603877"/>
    <w:rsid w:val="0F6419D6"/>
    <w:rsid w:val="0F7409FB"/>
    <w:rsid w:val="0F805972"/>
    <w:rsid w:val="0F831EB2"/>
    <w:rsid w:val="0F840DFB"/>
    <w:rsid w:val="0F917FBB"/>
    <w:rsid w:val="0F9954A7"/>
    <w:rsid w:val="0F9A112B"/>
    <w:rsid w:val="0F9E1CC9"/>
    <w:rsid w:val="0F9F46DB"/>
    <w:rsid w:val="0FA31982"/>
    <w:rsid w:val="0FB258A1"/>
    <w:rsid w:val="0FD41B33"/>
    <w:rsid w:val="0FEF55D3"/>
    <w:rsid w:val="100A47B5"/>
    <w:rsid w:val="10106D46"/>
    <w:rsid w:val="10140C9C"/>
    <w:rsid w:val="101E5A2F"/>
    <w:rsid w:val="105227D8"/>
    <w:rsid w:val="1055191A"/>
    <w:rsid w:val="106D2F64"/>
    <w:rsid w:val="10972259"/>
    <w:rsid w:val="10A74E11"/>
    <w:rsid w:val="10A927C4"/>
    <w:rsid w:val="10A92BBE"/>
    <w:rsid w:val="10AB3D53"/>
    <w:rsid w:val="10B63710"/>
    <w:rsid w:val="10BC4239"/>
    <w:rsid w:val="10C87518"/>
    <w:rsid w:val="10D23C41"/>
    <w:rsid w:val="10D40522"/>
    <w:rsid w:val="10D4399C"/>
    <w:rsid w:val="10D7717A"/>
    <w:rsid w:val="10F10820"/>
    <w:rsid w:val="10F333D0"/>
    <w:rsid w:val="10FE77D4"/>
    <w:rsid w:val="11021353"/>
    <w:rsid w:val="110D6082"/>
    <w:rsid w:val="11196C5F"/>
    <w:rsid w:val="111C2F7A"/>
    <w:rsid w:val="1128186A"/>
    <w:rsid w:val="112E0397"/>
    <w:rsid w:val="11425F7C"/>
    <w:rsid w:val="11450171"/>
    <w:rsid w:val="11665CA1"/>
    <w:rsid w:val="116B3835"/>
    <w:rsid w:val="11761F96"/>
    <w:rsid w:val="117A3FF3"/>
    <w:rsid w:val="11974088"/>
    <w:rsid w:val="11A824A8"/>
    <w:rsid w:val="11B13063"/>
    <w:rsid w:val="11B561F9"/>
    <w:rsid w:val="11B9465D"/>
    <w:rsid w:val="11BB45B9"/>
    <w:rsid w:val="11BB55D5"/>
    <w:rsid w:val="11BC4899"/>
    <w:rsid w:val="11BF436A"/>
    <w:rsid w:val="11D63E75"/>
    <w:rsid w:val="11DF4DD5"/>
    <w:rsid w:val="11F723F6"/>
    <w:rsid w:val="11FB3FC1"/>
    <w:rsid w:val="11FE2ACD"/>
    <w:rsid w:val="12263C2F"/>
    <w:rsid w:val="12327259"/>
    <w:rsid w:val="12530D14"/>
    <w:rsid w:val="12766900"/>
    <w:rsid w:val="12A051EB"/>
    <w:rsid w:val="12A367F7"/>
    <w:rsid w:val="12C1506E"/>
    <w:rsid w:val="12D56935"/>
    <w:rsid w:val="12F074B1"/>
    <w:rsid w:val="13277C78"/>
    <w:rsid w:val="133A5876"/>
    <w:rsid w:val="13407FFE"/>
    <w:rsid w:val="1351076C"/>
    <w:rsid w:val="135805A9"/>
    <w:rsid w:val="137A19BC"/>
    <w:rsid w:val="137C3AAE"/>
    <w:rsid w:val="138A3B27"/>
    <w:rsid w:val="13951726"/>
    <w:rsid w:val="139B0537"/>
    <w:rsid w:val="13B671AB"/>
    <w:rsid w:val="13BD286F"/>
    <w:rsid w:val="13DB1CD6"/>
    <w:rsid w:val="13DE5961"/>
    <w:rsid w:val="13E65FB6"/>
    <w:rsid w:val="13EB198C"/>
    <w:rsid w:val="13F42A7A"/>
    <w:rsid w:val="14044A7E"/>
    <w:rsid w:val="14057331"/>
    <w:rsid w:val="141C654C"/>
    <w:rsid w:val="141E0D84"/>
    <w:rsid w:val="14362F35"/>
    <w:rsid w:val="14396509"/>
    <w:rsid w:val="14405B12"/>
    <w:rsid w:val="1457089E"/>
    <w:rsid w:val="14625065"/>
    <w:rsid w:val="146567CA"/>
    <w:rsid w:val="1467217C"/>
    <w:rsid w:val="146E3C3B"/>
    <w:rsid w:val="14760CEA"/>
    <w:rsid w:val="147D6E85"/>
    <w:rsid w:val="14823F42"/>
    <w:rsid w:val="148C2101"/>
    <w:rsid w:val="14A928BE"/>
    <w:rsid w:val="14AD0200"/>
    <w:rsid w:val="14B2653C"/>
    <w:rsid w:val="14DD2C3C"/>
    <w:rsid w:val="14E951B3"/>
    <w:rsid w:val="150107D2"/>
    <w:rsid w:val="150761FA"/>
    <w:rsid w:val="150B3B56"/>
    <w:rsid w:val="1518557A"/>
    <w:rsid w:val="152378BF"/>
    <w:rsid w:val="15467C2F"/>
    <w:rsid w:val="15573F18"/>
    <w:rsid w:val="155A7A2C"/>
    <w:rsid w:val="156237E6"/>
    <w:rsid w:val="1564500E"/>
    <w:rsid w:val="156E091B"/>
    <w:rsid w:val="159F7476"/>
    <w:rsid w:val="15B27B5E"/>
    <w:rsid w:val="15DF17D0"/>
    <w:rsid w:val="16087E1D"/>
    <w:rsid w:val="16091689"/>
    <w:rsid w:val="16240626"/>
    <w:rsid w:val="16493EC2"/>
    <w:rsid w:val="16666C19"/>
    <w:rsid w:val="167079F5"/>
    <w:rsid w:val="16717BF4"/>
    <w:rsid w:val="16824456"/>
    <w:rsid w:val="16827E1A"/>
    <w:rsid w:val="16AE517E"/>
    <w:rsid w:val="16D022B6"/>
    <w:rsid w:val="16F327FB"/>
    <w:rsid w:val="16F75D63"/>
    <w:rsid w:val="170C506B"/>
    <w:rsid w:val="171128B0"/>
    <w:rsid w:val="17126074"/>
    <w:rsid w:val="17146FD3"/>
    <w:rsid w:val="171C52E2"/>
    <w:rsid w:val="17216AE9"/>
    <w:rsid w:val="17321250"/>
    <w:rsid w:val="174A68AC"/>
    <w:rsid w:val="17534172"/>
    <w:rsid w:val="175539B4"/>
    <w:rsid w:val="175B420F"/>
    <w:rsid w:val="1765543B"/>
    <w:rsid w:val="17701D14"/>
    <w:rsid w:val="17735226"/>
    <w:rsid w:val="177867B8"/>
    <w:rsid w:val="177B36CB"/>
    <w:rsid w:val="17876C7C"/>
    <w:rsid w:val="178B44B3"/>
    <w:rsid w:val="17944760"/>
    <w:rsid w:val="17944A82"/>
    <w:rsid w:val="179B493D"/>
    <w:rsid w:val="179E4A42"/>
    <w:rsid w:val="17A33635"/>
    <w:rsid w:val="17A612B9"/>
    <w:rsid w:val="17CF40E4"/>
    <w:rsid w:val="17D57BB4"/>
    <w:rsid w:val="17F66092"/>
    <w:rsid w:val="18111F60"/>
    <w:rsid w:val="18134FB7"/>
    <w:rsid w:val="181D56AA"/>
    <w:rsid w:val="183568D8"/>
    <w:rsid w:val="18430736"/>
    <w:rsid w:val="185918B9"/>
    <w:rsid w:val="18726F3B"/>
    <w:rsid w:val="187F3677"/>
    <w:rsid w:val="18863C71"/>
    <w:rsid w:val="18890CA0"/>
    <w:rsid w:val="189F624C"/>
    <w:rsid w:val="18A14300"/>
    <w:rsid w:val="18A61E4C"/>
    <w:rsid w:val="18CF6D49"/>
    <w:rsid w:val="18DD6A37"/>
    <w:rsid w:val="18E672AE"/>
    <w:rsid w:val="190C375A"/>
    <w:rsid w:val="191D7AFA"/>
    <w:rsid w:val="193912A5"/>
    <w:rsid w:val="19400A39"/>
    <w:rsid w:val="19561C20"/>
    <w:rsid w:val="1977514A"/>
    <w:rsid w:val="197A286C"/>
    <w:rsid w:val="197A3D24"/>
    <w:rsid w:val="199814B3"/>
    <w:rsid w:val="199B2A66"/>
    <w:rsid w:val="19B940A6"/>
    <w:rsid w:val="19BD5694"/>
    <w:rsid w:val="19C535A7"/>
    <w:rsid w:val="19E6497A"/>
    <w:rsid w:val="19ED2DBE"/>
    <w:rsid w:val="19F66DC1"/>
    <w:rsid w:val="19FD2868"/>
    <w:rsid w:val="1A004D94"/>
    <w:rsid w:val="1A1C66C0"/>
    <w:rsid w:val="1A1D4D13"/>
    <w:rsid w:val="1A1E4E07"/>
    <w:rsid w:val="1A3D46D5"/>
    <w:rsid w:val="1A3E32C4"/>
    <w:rsid w:val="1A414CC3"/>
    <w:rsid w:val="1A42393B"/>
    <w:rsid w:val="1A4A1096"/>
    <w:rsid w:val="1A4B288E"/>
    <w:rsid w:val="1A5545ED"/>
    <w:rsid w:val="1A5F235A"/>
    <w:rsid w:val="1A6824C3"/>
    <w:rsid w:val="1A766285"/>
    <w:rsid w:val="1A766FE4"/>
    <w:rsid w:val="1A772734"/>
    <w:rsid w:val="1A8B2F0A"/>
    <w:rsid w:val="1A9741CE"/>
    <w:rsid w:val="1A9F3770"/>
    <w:rsid w:val="1AAA697F"/>
    <w:rsid w:val="1AAD45DE"/>
    <w:rsid w:val="1AAE7274"/>
    <w:rsid w:val="1ACA7D38"/>
    <w:rsid w:val="1AD5765E"/>
    <w:rsid w:val="1ADD1F7C"/>
    <w:rsid w:val="1AEF3C48"/>
    <w:rsid w:val="1B046F80"/>
    <w:rsid w:val="1B053CBC"/>
    <w:rsid w:val="1B057B15"/>
    <w:rsid w:val="1B0C4FCC"/>
    <w:rsid w:val="1B1956B9"/>
    <w:rsid w:val="1B241A7B"/>
    <w:rsid w:val="1B3267B5"/>
    <w:rsid w:val="1B330DF1"/>
    <w:rsid w:val="1B40161D"/>
    <w:rsid w:val="1B40618C"/>
    <w:rsid w:val="1B441859"/>
    <w:rsid w:val="1B455BAE"/>
    <w:rsid w:val="1B570ACE"/>
    <w:rsid w:val="1B6606B1"/>
    <w:rsid w:val="1B684D3F"/>
    <w:rsid w:val="1B6E5701"/>
    <w:rsid w:val="1B857CED"/>
    <w:rsid w:val="1B924DBB"/>
    <w:rsid w:val="1BB572C5"/>
    <w:rsid w:val="1BDC59C1"/>
    <w:rsid w:val="1BE70520"/>
    <w:rsid w:val="1C1464DA"/>
    <w:rsid w:val="1C2500E7"/>
    <w:rsid w:val="1C322532"/>
    <w:rsid w:val="1C363FE4"/>
    <w:rsid w:val="1C372CC1"/>
    <w:rsid w:val="1C5E7925"/>
    <w:rsid w:val="1C642698"/>
    <w:rsid w:val="1C6C333A"/>
    <w:rsid w:val="1C6C5FC9"/>
    <w:rsid w:val="1C6E0BEC"/>
    <w:rsid w:val="1C6F399E"/>
    <w:rsid w:val="1C8A6F1D"/>
    <w:rsid w:val="1C926BF6"/>
    <w:rsid w:val="1C9871B0"/>
    <w:rsid w:val="1CA04EED"/>
    <w:rsid w:val="1CA17261"/>
    <w:rsid w:val="1CA96F16"/>
    <w:rsid w:val="1CB76269"/>
    <w:rsid w:val="1CE95E28"/>
    <w:rsid w:val="1CF2759A"/>
    <w:rsid w:val="1CFD070F"/>
    <w:rsid w:val="1D217D6A"/>
    <w:rsid w:val="1D2F20AF"/>
    <w:rsid w:val="1D322D3E"/>
    <w:rsid w:val="1D3F0A36"/>
    <w:rsid w:val="1D477B1B"/>
    <w:rsid w:val="1D5A2E96"/>
    <w:rsid w:val="1D5F6196"/>
    <w:rsid w:val="1D6132A5"/>
    <w:rsid w:val="1D696508"/>
    <w:rsid w:val="1D806AD4"/>
    <w:rsid w:val="1D8E56D5"/>
    <w:rsid w:val="1D9303D6"/>
    <w:rsid w:val="1DBA7850"/>
    <w:rsid w:val="1DF0573A"/>
    <w:rsid w:val="1E1638B4"/>
    <w:rsid w:val="1E1F58D3"/>
    <w:rsid w:val="1E280686"/>
    <w:rsid w:val="1E4410C8"/>
    <w:rsid w:val="1E6D7338"/>
    <w:rsid w:val="1E7A43DA"/>
    <w:rsid w:val="1E802BFE"/>
    <w:rsid w:val="1E846A5B"/>
    <w:rsid w:val="1E86560D"/>
    <w:rsid w:val="1E8A492B"/>
    <w:rsid w:val="1E8F229C"/>
    <w:rsid w:val="1E91074F"/>
    <w:rsid w:val="1E947D50"/>
    <w:rsid w:val="1E9F2465"/>
    <w:rsid w:val="1EA21122"/>
    <w:rsid w:val="1EAB37CE"/>
    <w:rsid w:val="1EC26022"/>
    <w:rsid w:val="1ECD64EF"/>
    <w:rsid w:val="1ED15DEC"/>
    <w:rsid w:val="1EE93006"/>
    <w:rsid w:val="1EEA1429"/>
    <w:rsid w:val="1EED70B2"/>
    <w:rsid w:val="1EF81920"/>
    <w:rsid w:val="1F121D0F"/>
    <w:rsid w:val="1F1622FE"/>
    <w:rsid w:val="1F2344A3"/>
    <w:rsid w:val="1F456BAB"/>
    <w:rsid w:val="1F5200DF"/>
    <w:rsid w:val="1F692723"/>
    <w:rsid w:val="1F84348F"/>
    <w:rsid w:val="1F8D1F65"/>
    <w:rsid w:val="1F9E451C"/>
    <w:rsid w:val="1FB713BB"/>
    <w:rsid w:val="1FB80B2F"/>
    <w:rsid w:val="1FBD7D47"/>
    <w:rsid w:val="1FC732FA"/>
    <w:rsid w:val="1FCF0942"/>
    <w:rsid w:val="1FD06F48"/>
    <w:rsid w:val="1FDF27E0"/>
    <w:rsid w:val="1FE7539E"/>
    <w:rsid w:val="1FEA2041"/>
    <w:rsid w:val="204A2F9A"/>
    <w:rsid w:val="205F13E9"/>
    <w:rsid w:val="2062765B"/>
    <w:rsid w:val="20671BE0"/>
    <w:rsid w:val="208A4250"/>
    <w:rsid w:val="2096329E"/>
    <w:rsid w:val="20963CB8"/>
    <w:rsid w:val="20985BA2"/>
    <w:rsid w:val="20A81A1B"/>
    <w:rsid w:val="20B07FB6"/>
    <w:rsid w:val="20B646FB"/>
    <w:rsid w:val="20BA5AB2"/>
    <w:rsid w:val="20BE117C"/>
    <w:rsid w:val="20CD7C34"/>
    <w:rsid w:val="20E53A6A"/>
    <w:rsid w:val="20EF614F"/>
    <w:rsid w:val="20F3382D"/>
    <w:rsid w:val="20FD697A"/>
    <w:rsid w:val="210A248B"/>
    <w:rsid w:val="210C7CB8"/>
    <w:rsid w:val="21382449"/>
    <w:rsid w:val="213B74B1"/>
    <w:rsid w:val="214D3DD7"/>
    <w:rsid w:val="215A2310"/>
    <w:rsid w:val="21DE318A"/>
    <w:rsid w:val="21EF5B80"/>
    <w:rsid w:val="22114457"/>
    <w:rsid w:val="22116F2E"/>
    <w:rsid w:val="22162B35"/>
    <w:rsid w:val="223913C8"/>
    <w:rsid w:val="22496DA6"/>
    <w:rsid w:val="224B35F1"/>
    <w:rsid w:val="225274F3"/>
    <w:rsid w:val="2254468C"/>
    <w:rsid w:val="225723B2"/>
    <w:rsid w:val="22576990"/>
    <w:rsid w:val="22696217"/>
    <w:rsid w:val="227058EE"/>
    <w:rsid w:val="22730352"/>
    <w:rsid w:val="22813910"/>
    <w:rsid w:val="22926E0D"/>
    <w:rsid w:val="2298624D"/>
    <w:rsid w:val="229B0FAC"/>
    <w:rsid w:val="22A36A30"/>
    <w:rsid w:val="22E82E62"/>
    <w:rsid w:val="22F47480"/>
    <w:rsid w:val="230C0D57"/>
    <w:rsid w:val="23180A14"/>
    <w:rsid w:val="233414FA"/>
    <w:rsid w:val="233B2DC2"/>
    <w:rsid w:val="235B1F5E"/>
    <w:rsid w:val="23660733"/>
    <w:rsid w:val="236D6D4F"/>
    <w:rsid w:val="23726F88"/>
    <w:rsid w:val="2378664A"/>
    <w:rsid w:val="23B67C53"/>
    <w:rsid w:val="23B853BA"/>
    <w:rsid w:val="23DB43D3"/>
    <w:rsid w:val="23DE1C48"/>
    <w:rsid w:val="23E44FA7"/>
    <w:rsid w:val="23EF7424"/>
    <w:rsid w:val="23F01796"/>
    <w:rsid w:val="240210CD"/>
    <w:rsid w:val="243B3D59"/>
    <w:rsid w:val="244A5146"/>
    <w:rsid w:val="2465107C"/>
    <w:rsid w:val="2468098F"/>
    <w:rsid w:val="2480767E"/>
    <w:rsid w:val="248F17D3"/>
    <w:rsid w:val="24972D33"/>
    <w:rsid w:val="24BF09F7"/>
    <w:rsid w:val="24C815CE"/>
    <w:rsid w:val="24E728F2"/>
    <w:rsid w:val="24EC171E"/>
    <w:rsid w:val="24EF13F5"/>
    <w:rsid w:val="24F95A5D"/>
    <w:rsid w:val="250549EC"/>
    <w:rsid w:val="2525178F"/>
    <w:rsid w:val="252D53FE"/>
    <w:rsid w:val="253916CD"/>
    <w:rsid w:val="253B484D"/>
    <w:rsid w:val="254C5A17"/>
    <w:rsid w:val="255753EC"/>
    <w:rsid w:val="25656237"/>
    <w:rsid w:val="25811C84"/>
    <w:rsid w:val="258E4EC8"/>
    <w:rsid w:val="259C4502"/>
    <w:rsid w:val="25B61882"/>
    <w:rsid w:val="25B85F68"/>
    <w:rsid w:val="25B97C98"/>
    <w:rsid w:val="25BE0597"/>
    <w:rsid w:val="25BE350D"/>
    <w:rsid w:val="25BF1810"/>
    <w:rsid w:val="25C74188"/>
    <w:rsid w:val="25C9735A"/>
    <w:rsid w:val="25CF487A"/>
    <w:rsid w:val="25D43844"/>
    <w:rsid w:val="25DA6700"/>
    <w:rsid w:val="25EC2D81"/>
    <w:rsid w:val="26110CCD"/>
    <w:rsid w:val="26185F5B"/>
    <w:rsid w:val="26276C57"/>
    <w:rsid w:val="262C5C3B"/>
    <w:rsid w:val="26716203"/>
    <w:rsid w:val="26846D89"/>
    <w:rsid w:val="26855967"/>
    <w:rsid w:val="269A066F"/>
    <w:rsid w:val="26A36532"/>
    <w:rsid w:val="26A8324F"/>
    <w:rsid w:val="26AA360E"/>
    <w:rsid w:val="26BA55D6"/>
    <w:rsid w:val="26CB6C4B"/>
    <w:rsid w:val="26CD56D8"/>
    <w:rsid w:val="26D1414A"/>
    <w:rsid w:val="26F706E1"/>
    <w:rsid w:val="26F744DB"/>
    <w:rsid w:val="270843B0"/>
    <w:rsid w:val="27114009"/>
    <w:rsid w:val="271C025A"/>
    <w:rsid w:val="27200534"/>
    <w:rsid w:val="274705A5"/>
    <w:rsid w:val="2755640C"/>
    <w:rsid w:val="27596D7B"/>
    <w:rsid w:val="276F47AC"/>
    <w:rsid w:val="277057A2"/>
    <w:rsid w:val="27715B0C"/>
    <w:rsid w:val="277551E7"/>
    <w:rsid w:val="27885207"/>
    <w:rsid w:val="278E2FB5"/>
    <w:rsid w:val="27957D5C"/>
    <w:rsid w:val="27B82FCF"/>
    <w:rsid w:val="27C9765E"/>
    <w:rsid w:val="27D44701"/>
    <w:rsid w:val="27DF63C1"/>
    <w:rsid w:val="2828032A"/>
    <w:rsid w:val="283B1DF4"/>
    <w:rsid w:val="285325ED"/>
    <w:rsid w:val="285828A9"/>
    <w:rsid w:val="28772CE0"/>
    <w:rsid w:val="287D1CE1"/>
    <w:rsid w:val="28950EE2"/>
    <w:rsid w:val="28990814"/>
    <w:rsid w:val="28C32B6B"/>
    <w:rsid w:val="28C9513D"/>
    <w:rsid w:val="28C97518"/>
    <w:rsid w:val="28D468E8"/>
    <w:rsid w:val="28D62F2D"/>
    <w:rsid w:val="28EA6077"/>
    <w:rsid w:val="28EE3259"/>
    <w:rsid w:val="29076CEA"/>
    <w:rsid w:val="29206EB8"/>
    <w:rsid w:val="292533DF"/>
    <w:rsid w:val="29295867"/>
    <w:rsid w:val="292D3AC5"/>
    <w:rsid w:val="293F19D3"/>
    <w:rsid w:val="29464829"/>
    <w:rsid w:val="294754EC"/>
    <w:rsid w:val="29595666"/>
    <w:rsid w:val="295D014C"/>
    <w:rsid w:val="29731E7C"/>
    <w:rsid w:val="29874881"/>
    <w:rsid w:val="29897387"/>
    <w:rsid w:val="299D093A"/>
    <w:rsid w:val="29A039FD"/>
    <w:rsid w:val="29A6401D"/>
    <w:rsid w:val="29C23656"/>
    <w:rsid w:val="29C23A9E"/>
    <w:rsid w:val="29CD3E9E"/>
    <w:rsid w:val="29E325E0"/>
    <w:rsid w:val="29F84AC5"/>
    <w:rsid w:val="29FA443C"/>
    <w:rsid w:val="2A06707B"/>
    <w:rsid w:val="2A143AE3"/>
    <w:rsid w:val="2A160B0F"/>
    <w:rsid w:val="2A2F5177"/>
    <w:rsid w:val="2A442384"/>
    <w:rsid w:val="2A443DF2"/>
    <w:rsid w:val="2A452503"/>
    <w:rsid w:val="2A6C4441"/>
    <w:rsid w:val="2A6E34A4"/>
    <w:rsid w:val="2A716AC2"/>
    <w:rsid w:val="2A9E50AD"/>
    <w:rsid w:val="2AAE0049"/>
    <w:rsid w:val="2AB176FB"/>
    <w:rsid w:val="2ABF268A"/>
    <w:rsid w:val="2AD1495B"/>
    <w:rsid w:val="2AD92218"/>
    <w:rsid w:val="2ADF342D"/>
    <w:rsid w:val="2AEC0AD2"/>
    <w:rsid w:val="2B063FCB"/>
    <w:rsid w:val="2B1C682E"/>
    <w:rsid w:val="2B2140B4"/>
    <w:rsid w:val="2B4B79E4"/>
    <w:rsid w:val="2B5E0D8F"/>
    <w:rsid w:val="2B9A5DC1"/>
    <w:rsid w:val="2B9F2380"/>
    <w:rsid w:val="2BA61D1A"/>
    <w:rsid w:val="2BA936A8"/>
    <w:rsid w:val="2BB16143"/>
    <w:rsid w:val="2BB77D4B"/>
    <w:rsid w:val="2BBA7D55"/>
    <w:rsid w:val="2BCC2650"/>
    <w:rsid w:val="2BD47935"/>
    <w:rsid w:val="2BD605B2"/>
    <w:rsid w:val="2BF42D48"/>
    <w:rsid w:val="2C05016F"/>
    <w:rsid w:val="2C0F15F4"/>
    <w:rsid w:val="2C251566"/>
    <w:rsid w:val="2C315A5A"/>
    <w:rsid w:val="2C365A0A"/>
    <w:rsid w:val="2C4B1C25"/>
    <w:rsid w:val="2C533FB4"/>
    <w:rsid w:val="2C681D8B"/>
    <w:rsid w:val="2C7030FE"/>
    <w:rsid w:val="2C850B05"/>
    <w:rsid w:val="2C893133"/>
    <w:rsid w:val="2CB20399"/>
    <w:rsid w:val="2CB7574D"/>
    <w:rsid w:val="2CC24270"/>
    <w:rsid w:val="2CC67EEE"/>
    <w:rsid w:val="2CCE44D8"/>
    <w:rsid w:val="2CE009BA"/>
    <w:rsid w:val="2D087B58"/>
    <w:rsid w:val="2D4C17DF"/>
    <w:rsid w:val="2D7709FA"/>
    <w:rsid w:val="2D7E721B"/>
    <w:rsid w:val="2D8E161C"/>
    <w:rsid w:val="2D9E56F5"/>
    <w:rsid w:val="2DAA7CCC"/>
    <w:rsid w:val="2DBE296C"/>
    <w:rsid w:val="2DE11BFE"/>
    <w:rsid w:val="2DE566D5"/>
    <w:rsid w:val="2DED6960"/>
    <w:rsid w:val="2DEF10CA"/>
    <w:rsid w:val="2DF76930"/>
    <w:rsid w:val="2DF95B32"/>
    <w:rsid w:val="2E0C7C37"/>
    <w:rsid w:val="2E1956EB"/>
    <w:rsid w:val="2E360F47"/>
    <w:rsid w:val="2E3C1AE8"/>
    <w:rsid w:val="2E400EF8"/>
    <w:rsid w:val="2E5367D1"/>
    <w:rsid w:val="2E667F96"/>
    <w:rsid w:val="2E6D1973"/>
    <w:rsid w:val="2E78277D"/>
    <w:rsid w:val="2E8226AB"/>
    <w:rsid w:val="2E996E07"/>
    <w:rsid w:val="2E9C3F04"/>
    <w:rsid w:val="2EA94681"/>
    <w:rsid w:val="2EAA61CE"/>
    <w:rsid w:val="2EB11473"/>
    <w:rsid w:val="2EB72C5F"/>
    <w:rsid w:val="2EBE7B47"/>
    <w:rsid w:val="2EC176F7"/>
    <w:rsid w:val="2EFD387A"/>
    <w:rsid w:val="2F251F99"/>
    <w:rsid w:val="2F44075E"/>
    <w:rsid w:val="2F653EB3"/>
    <w:rsid w:val="2F731976"/>
    <w:rsid w:val="2F8354B8"/>
    <w:rsid w:val="2F9111F0"/>
    <w:rsid w:val="2F9948DE"/>
    <w:rsid w:val="2F9B3E6B"/>
    <w:rsid w:val="2FB600D2"/>
    <w:rsid w:val="2FD065E6"/>
    <w:rsid w:val="2FD96870"/>
    <w:rsid w:val="2FE24544"/>
    <w:rsid w:val="2FEA3D44"/>
    <w:rsid w:val="2FF87D20"/>
    <w:rsid w:val="2FFC2A4A"/>
    <w:rsid w:val="30127965"/>
    <w:rsid w:val="30127BBA"/>
    <w:rsid w:val="30272DE0"/>
    <w:rsid w:val="302B7B8C"/>
    <w:rsid w:val="30333848"/>
    <w:rsid w:val="30347C93"/>
    <w:rsid w:val="303C4FE3"/>
    <w:rsid w:val="30580BC9"/>
    <w:rsid w:val="306B0CEC"/>
    <w:rsid w:val="306F1D2E"/>
    <w:rsid w:val="30753A60"/>
    <w:rsid w:val="307D7366"/>
    <w:rsid w:val="30823158"/>
    <w:rsid w:val="308673C5"/>
    <w:rsid w:val="308E2C9F"/>
    <w:rsid w:val="30957944"/>
    <w:rsid w:val="30E07BED"/>
    <w:rsid w:val="30EF4B7D"/>
    <w:rsid w:val="30F762AD"/>
    <w:rsid w:val="310E1980"/>
    <w:rsid w:val="310F48F4"/>
    <w:rsid w:val="311D64C6"/>
    <w:rsid w:val="311E2ED7"/>
    <w:rsid w:val="315619EE"/>
    <w:rsid w:val="315C449C"/>
    <w:rsid w:val="315C4C25"/>
    <w:rsid w:val="315C4E1B"/>
    <w:rsid w:val="3191739B"/>
    <w:rsid w:val="319E340F"/>
    <w:rsid w:val="31B82709"/>
    <w:rsid w:val="31B84102"/>
    <w:rsid w:val="31C22F56"/>
    <w:rsid w:val="31D05482"/>
    <w:rsid w:val="31D7536B"/>
    <w:rsid w:val="31D94331"/>
    <w:rsid w:val="31DF0714"/>
    <w:rsid w:val="31EF418C"/>
    <w:rsid w:val="320D3E5F"/>
    <w:rsid w:val="322445BB"/>
    <w:rsid w:val="32400B34"/>
    <w:rsid w:val="3244063E"/>
    <w:rsid w:val="32561A6E"/>
    <w:rsid w:val="3291449F"/>
    <w:rsid w:val="329E6876"/>
    <w:rsid w:val="32A00002"/>
    <w:rsid w:val="32A638F4"/>
    <w:rsid w:val="32BD1FBE"/>
    <w:rsid w:val="32C142B5"/>
    <w:rsid w:val="32CA063E"/>
    <w:rsid w:val="32CC2FC8"/>
    <w:rsid w:val="32D5744F"/>
    <w:rsid w:val="32E330F7"/>
    <w:rsid w:val="32E666AB"/>
    <w:rsid w:val="32E74708"/>
    <w:rsid w:val="33293A26"/>
    <w:rsid w:val="332C1819"/>
    <w:rsid w:val="333015F2"/>
    <w:rsid w:val="33333730"/>
    <w:rsid w:val="33393DB1"/>
    <w:rsid w:val="3346785D"/>
    <w:rsid w:val="334B6320"/>
    <w:rsid w:val="335F005E"/>
    <w:rsid w:val="33605869"/>
    <w:rsid w:val="3369209D"/>
    <w:rsid w:val="336B347D"/>
    <w:rsid w:val="337836FB"/>
    <w:rsid w:val="33944953"/>
    <w:rsid w:val="339553A5"/>
    <w:rsid w:val="3396221B"/>
    <w:rsid w:val="33A97061"/>
    <w:rsid w:val="33AB461B"/>
    <w:rsid w:val="33B94436"/>
    <w:rsid w:val="33C21DE3"/>
    <w:rsid w:val="33D934D4"/>
    <w:rsid w:val="33EE21A9"/>
    <w:rsid w:val="33F432AB"/>
    <w:rsid w:val="33F57583"/>
    <w:rsid w:val="33FA5D47"/>
    <w:rsid w:val="33FE2F6A"/>
    <w:rsid w:val="34070D25"/>
    <w:rsid w:val="340E07E5"/>
    <w:rsid w:val="34235BF7"/>
    <w:rsid w:val="34261990"/>
    <w:rsid w:val="345244BE"/>
    <w:rsid w:val="345E6265"/>
    <w:rsid w:val="34724B3C"/>
    <w:rsid w:val="34740655"/>
    <w:rsid w:val="34825F25"/>
    <w:rsid w:val="349C0A70"/>
    <w:rsid w:val="34DD5C18"/>
    <w:rsid w:val="34E41B56"/>
    <w:rsid w:val="34F9083A"/>
    <w:rsid w:val="350D5398"/>
    <w:rsid w:val="35105446"/>
    <w:rsid w:val="3512703A"/>
    <w:rsid w:val="35213373"/>
    <w:rsid w:val="353D2459"/>
    <w:rsid w:val="355748C6"/>
    <w:rsid w:val="357E6887"/>
    <w:rsid w:val="3584393A"/>
    <w:rsid w:val="358C5FA8"/>
    <w:rsid w:val="358F12DA"/>
    <w:rsid w:val="35A62A0F"/>
    <w:rsid w:val="35A73187"/>
    <w:rsid w:val="35B13C74"/>
    <w:rsid w:val="35B53C0E"/>
    <w:rsid w:val="35B84F0C"/>
    <w:rsid w:val="35BF6B13"/>
    <w:rsid w:val="35C15DF1"/>
    <w:rsid w:val="35C405CF"/>
    <w:rsid w:val="35EC52AA"/>
    <w:rsid w:val="35F66124"/>
    <w:rsid w:val="35FC6436"/>
    <w:rsid w:val="360179F4"/>
    <w:rsid w:val="36021038"/>
    <w:rsid w:val="36074A7F"/>
    <w:rsid w:val="360757FF"/>
    <w:rsid w:val="3613710F"/>
    <w:rsid w:val="3619232E"/>
    <w:rsid w:val="3623231B"/>
    <w:rsid w:val="365530FC"/>
    <w:rsid w:val="36650A83"/>
    <w:rsid w:val="367C3280"/>
    <w:rsid w:val="36923549"/>
    <w:rsid w:val="36935E53"/>
    <w:rsid w:val="36A32196"/>
    <w:rsid w:val="36A83B64"/>
    <w:rsid w:val="36B75FBF"/>
    <w:rsid w:val="36BD0C45"/>
    <w:rsid w:val="36CE02CA"/>
    <w:rsid w:val="36DA7538"/>
    <w:rsid w:val="36EB5C82"/>
    <w:rsid w:val="37005E62"/>
    <w:rsid w:val="37034743"/>
    <w:rsid w:val="37071340"/>
    <w:rsid w:val="37176DD8"/>
    <w:rsid w:val="37484051"/>
    <w:rsid w:val="375D6560"/>
    <w:rsid w:val="377E6FE5"/>
    <w:rsid w:val="378C5438"/>
    <w:rsid w:val="37BC4A33"/>
    <w:rsid w:val="37C457D3"/>
    <w:rsid w:val="37E00298"/>
    <w:rsid w:val="37E433FF"/>
    <w:rsid w:val="37FD7E86"/>
    <w:rsid w:val="38065845"/>
    <w:rsid w:val="380C752C"/>
    <w:rsid w:val="3827751E"/>
    <w:rsid w:val="382D48AC"/>
    <w:rsid w:val="383663CB"/>
    <w:rsid w:val="38374B7C"/>
    <w:rsid w:val="3848791E"/>
    <w:rsid w:val="385E11A8"/>
    <w:rsid w:val="385E1FEB"/>
    <w:rsid w:val="387D1EEA"/>
    <w:rsid w:val="38930000"/>
    <w:rsid w:val="38B302F9"/>
    <w:rsid w:val="38D245CC"/>
    <w:rsid w:val="38E84D1A"/>
    <w:rsid w:val="38F07E72"/>
    <w:rsid w:val="38F12CD3"/>
    <w:rsid w:val="38F94775"/>
    <w:rsid w:val="3910616F"/>
    <w:rsid w:val="3927205C"/>
    <w:rsid w:val="392971ED"/>
    <w:rsid w:val="39325651"/>
    <w:rsid w:val="39363D08"/>
    <w:rsid w:val="39366CFE"/>
    <w:rsid w:val="39851C90"/>
    <w:rsid w:val="39A012B5"/>
    <w:rsid w:val="39C41011"/>
    <w:rsid w:val="39CA4BD4"/>
    <w:rsid w:val="39CB2150"/>
    <w:rsid w:val="39F30965"/>
    <w:rsid w:val="3A091128"/>
    <w:rsid w:val="3A325221"/>
    <w:rsid w:val="3A3D2D48"/>
    <w:rsid w:val="3A470A05"/>
    <w:rsid w:val="3A872856"/>
    <w:rsid w:val="3A981466"/>
    <w:rsid w:val="3AB21E63"/>
    <w:rsid w:val="3AD63798"/>
    <w:rsid w:val="3AD9514C"/>
    <w:rsid w:val="3ADB0486"/>
    <w:rsid w:val="3AEB3862"/>
    <w:rsid w:val="3AED325E"/>
    <w:rsid w:val="3AF744E0"/>
    <w:rsid w:val="3AF77C2D"/>
    <w:rsid w:val="3AFA0319"/>
    <w:rsid w:val="3AFA3F18"/>
    <w:rsid w:val="3B007503"/>
    <w:rsid w:val="3B0463F0"/>
    <w:rsid w:val="3B121924"/>
    <w:rsid w:val="3B202972"/>
    <w:rsid w:val="3B233D3C"/>
    <w:rsid w:val="3B3763D1"/>
    <w:rsid w:val="3B4A728D"/>
    <w:rsid w:val="3B5347FA"/>
    <w:rsid w:val="3B7A7E5F"/>
    <w:rsid w:val="3B8412F8"/>
    <w:rsid w:val="3B993883"/>
    <w:rsid w:val="3BA50A0D"/>
    <w:rsid w:val="3BC430AC"/>
    <w:rsid w:val="3BE72AD8"/>
    <w:rsid w:val="3BF425AD"/>
    <w:rsid w:val="3BF86DAC"/>
    <w:rsid w:val="3BFE22F1"/>
    <w:rsid w:val="3C001A18"/>
    <w:rsid w:val="3C010177"/>
    <w:rsid w:val="3C0834AF"/>
    <w:rsid w:val="3C0F4470"/>
    <w:rsid w:val="3C217592"/>
    <w:rsid w:val="3C2F6E1E"/>
    <w:rsid w:val="3C430A31"/>
    <w:rsid w:val="3C461AC8"/>
    <w:rsid w:val="3C4F64BA"/>
    <w:rsid w:val="3C5A5D0A"/>
    <w:rsid w:val="3C764985"/>
    <w:rsid w:val="3C7F643A"/>
    <w:rsid w:val="3C893AB7"/>
    <w:rsid w:val="3C8E3892"/>
    <w:rsid w:val="3C995827"/>
    <w:rsid w:val="3CDA245A"/>
    <w:rsid w:val="3CEE559F"/>
    <w:rsid w:val="3CF57097"/>
    <w:rsid w:val="3CFB5A45"/>
    <w:rsid w:val="3D0E3219"/>
    <w:rsid w:val="3D1E06B7"/>
    <w:rsid w:val="3D2672F5"/>
    <w:rsid w:val="3D2E16AE"/>
    <w:rsid w:val="3D412EDA"/>
    <w:rsid w:val="3D4D1BA6"/>
    <w:rsid w:val="3D983A25"/>
    <w:rsid w:val="3D9D6795"/>
    <w:rsid w:val="3DA516CE"/>
    <w:rsid w:val="3DA976E9"/>
    <w:rsid w:val="3DAB7EAA"/>
    <w:rsid w:val="3DB0095B"/>
    <w:rsid w:val="3DB33CE1"/>
    <w:rsid w:val="3DC76706"/>
    <w:rsid w:val="3DC77A5D"/>
    <w:rsid w:val="3DEB18C3"/>
    <w:rsid w:val="3DEF2EC0"/>
    <w:rsid w:val="3DFE61D4"/>
    <w:rsid w:val="3E0E26FF"/>
    <w:rsid w:val="3E2C59E8"/>
    <w:rsid w:val="3E2F298B"/>
    <w:rsid w:val="3E376EAD"/>
    <w:rsid w:val="3E4E4ACE"/>
    <w:rsid w:val="3E5508F9"/>
    <w:rsid w:val="3E616AFE"/>
    <w:rsid w:val="3E625798"/>
    <w:rsid w:val="3E8150F6"/>
    <w:rsid w:val="3E837E62"/>
    <w:rsid w:val="3E9C28C6"/>
    <w:rsid w:val="3EA9744B"/>
    <w:rsid w:val="3EB651E9"/>
    <w:rsid w:val="3EC51CB5"/>
    <w:rsid w:val="3EDA0523"/>
    <w:rsid w:val="3EDA6AE3"/>
    <w:rsid w:val="3EFC6010"/>
    <w:rsid w:val="3F0669F7"/>
    <w:rsid w:val="3F143A3A"/>
    <w:rsid w:val="3F2D0E83"/>
    <w:rsid w:val="3F350283"/>
    <w:rsid w:val="3F482511"/>
    <w:rsid w:val="3F7C09F6"/>
    <w:rsid w:val="3F8718F6"/>
    <w:rsid w:val="3FA81507"/>
    <w:rsid w:val="3FAB1119"/>
    <w:rsid w:val="3FB55972"/>
    <w:rsid w:val="3FCA1121"/>
    <w:rsid w:val="3FCF2BCE"/>
    <w:rsid w:val="403A4C0D"/>
    <w:rsid w:val="403F4A9A"/>
    <w:rsid w:val="404E18E4"/>
    <w:rsid w:val="405A5EB8"/>
    <w:rsid w:val="405A78B9"/>
    <w:rsid w:val="407A6407"/>
    <w:rsid w:val="408D3440"/>
    <w:rsid w:val="40A94B27"/>
    <w:rsid w:val="40B23426"/>
    <w:rsid w:val="40E55396"/>
    <w:rsid w:val="40ED7F40"/>
    <w:rsid w:val="40F05D25"/>
    <w:rsid w:val="40F15FF6"/>
    <w:rsid w:val="40F52183"/>
    <w:rsid w:val="4100322D"/>
    <w:rsid w:val="411510FC"/>
    <w:rsid w:val="413B7B59"/>
    <w:rsid w:val="413D7857"/>
    <w:rsid w:val="414A36D9"/>
    <w:rsid w:val="414F7997"/>
    <w:rsid w:val="4153224A"/>
    <w:rsid w:val="415568E0"/>
    <w:rsid w:val="417D43FF"/>
    <w:rsid w:val="419E6560"/>
    <w:rsid w:val="41B22AD8"/>
    <w:rsid w:val="41B81577"/>
    <w:rsid w:val="41C2077C"/>
    <w:rsid w:val="41CA0E6B"/>
    <w:rsid w:val="41CD4765"/>
    <w:rsid w:val="41E84FAC"/>
    <w:rsid w:val="41EC3FEE"/>
    <w:rsid w:val="41ED3E7C"/>
    <w:rsid w:val="4200449D"/>
    <w:rsid w:val="42050817"/>
    <w:rsid w:val="4206531B"/>
    <w:rsid w:val="420C1FB0"/>
    <w:rsid w:val="42104F7D"/>
    <w:rsid w:val="4215659E"/>
    <w:rsid w:val="421646EF"/>
    <w:rsid w:val="423A3BCC"/>
    <w:rsid w:val="424E57D2"/>
    <w:rsid w:val="425E4756"/>
    <w:rsid w:val="42612DA7"/>
    <w:rsid w:val="42733BF2"/>
    <w:rsid w:val="429E6C6A"/>
    <w:rsid w:val="42A02F0F"/>
    <w:rsid w:val="42AE78A9"/>
    <w:rsid w:val="42B26C49"/>
    <w:rsid w:val="42B2793B"/>
    <w:rsid w:val="42DD5CED"/>
    <w:rsid w:val="42DF299A"/>
    <w:rsid w:val="42FA198C"/>
    <w:rsid w:val="42FD11E7"/>
    <w:rsid w:val="43001714"/>
    <w:rsid w:val="431B7A5C"/>
    <w:rsid w:val="433321C2"/>
    <w:rsid w:val="43332B22"/>
    <w:rsid w:val="433A6FE6"/>
    <w:rsid w:val="433F4617"/>
    <w:rsid w:val="43403064"/>
    <w:rsid w:val="434240FD"/>
    <w:rsid w:val="43476F53"/>
    <w:rsid w:val="43480868"/>
    <w:rsid w:val="4350713C"/>
    <w:rsid w:val="43542B6C"/>
    <w:rsid w:val="436653E0"/>
    <w:rsid w:val="43682A42"/>
    <w:rsid w:val="43692536"/>
    <w:rsid w:val="436E62F6"/>
    <w:rsid w:val="437D0FB8"/>
    <w:rsid w:val="43933DAC"/>
    <w:rsid w:val="439671B7"/>
    <w:rsid w:val="43B71AEB"/>
    <w:rsid w:val="43C4431A"/>
    <w:rsid w:val="43CC649A"/>
    <w:rsid w:val="43CD325D"/>
    <w:rsid w:val="43D24824"/>
    <w:rsid w:val="43F22815"/>
    <w:rsid w:val="43FC560A"/>
    <w:rsid w:val="440A4994"/>
    <w:rsid w:val="4433256E"/>
    <w:rsid w:val="44376ED5"/>
    <w:rsid w:val="443810C7"/>
    <w:rsid w:val="44397A44"/>
    <w:rsid w:val="444628F8"/>
    <w:rsid w:val="4454133B"/>
    <w:rsid w:val="446C67B5"/>
    <w:rsid w:val="446F4B68"/>
    <w:rsid w:val="447647EB"/>
    <w:rsid w:val="447B371C"/>
    <w:rsid w:val="44845365"/>
    <w:rsid w:val="44864372"/>
    <w:rsid w:val="449822D7"/>
    <w:rsid w:val="449C4FB3"/>
    <w:rsid w:val="44A20CA2"/>
    <w:rsid w:val="44B51B51"/>
    <w:rsid w:val="44B951CC"/>
    <w:rsid w:val="44C3166F"/>
    <w:rsid w:val="44C7584F"/>
    <w:rsid w:val="44CD14E0"/>
    <w:rsid w:val="44CE4EAE"/>
    <w:rsid w:val="44D04C2F"/>
    <w:rsid w:val="44D415CA"/>
    <w:rsid w:val="44D64574"/>
    <w:rsid w:val="44F20B0B"/>
    <w:rsid w:val="45161B0C"/>
    <w:rsid w:val="451B40EA"/>
    <w:rsid w:val="452E5F4C"/>
    <w:rsid w:val="4530407C"/>
    <w:rsid w:val="45346FB1"/>
    <w:rsid w:val="453961FD"/>
    <w:rsid w:val="453D50CC"/>
    <w:rsid w:val="45437F99"/>
    <w:rsid w:val="45476067"/>
    <w:rsid w:val="4551646C"/>
    <w:rsid w:val="456028B5"/>
    <w:rsid w:val="45612018"/>
    <w:rsid w:val="456128DC"/>
    <w:rsid w:val="457542E9"/>
    <w:rsid w:val="458673F1"/>
    <w:rsid w:val="458946E9"/>
    <w:rsid w:val="45940D28"/>
    <w:rsid w:val="45971082"/>
    <w:rsid w:val="45A47C0E"/>
    <w:rsid w:val="45A958A6"/>
    <w:rsid w:val="45CC507B"/>
    <w:rsid w:val="45D42FCC"/>
    <w:rsid w:val="45E2591A"/>
    <w:rsid w:val="45E3561A"/>
    <w:rsid w:val="45EF02C3"/>
    <w:rsid w:val="45F47EE1"/>
    <w:rsid w:val="45F65863"/>
    <w:rsid w:val="45F8257C"/>
    <w:rsid w:val="46071AD2"/>
    <w:rsid w:val="462F38CD"/>
    <w:rsid w:val="463C3600"/>
    <w:rsid w:val="463E0525"/>
    <w:rsid w:val="46404DF0"/>
    <w:rsid w:val="464A3ECB"/>
    <w:rsid w:val="4651345A"/>
    <w:rsid w:val="465303AB"/>
    <w:rsid w:val="46577FD6"/>
    <w:rsid w:val="46650B72"/>
    <w:rsid w:val="46702943"/>
    <w:rsid w:val="469B7DB8"/>
    <w:rsid w:val="46D678F0"/>
    <w:rsid w:val="46D955A7"/>
    <w:rsid w:val="47133957"/>
    <w:rsid w:val="471D1EC7"/>
    <w:rsid w:val="472C1971"/>
    <w:rsid w:val="473B0649"/>
    <w:rsid w:val="473E7C1D"/>
    <w:rsid w:val="47565E58"/>
    <w:rsid w:val="47575731"/>
    <w:rsid w:val="477B5420"/>
    <w:rsid w:val="478F3961"/>
    <w:rsid w:val="47A07E0C"/>
    <w:rsid w:val="47A11EB5"/>
    <w:rsid w:val="47A25117"/>
    <w:rsid w:val="47A539E4"/>
    <w:rsid w:val="47AA2252"/>
    <w:rsid w:val="47AE63F0"/>
    <w:rsid w:val="47B74D99"/>
    <w:rsid w:val="47DD5895"/>
    <w:rsid w:val="4807317D"/>
    <w:rsid w:val="48193148"/>
    <w:rsid w:val="481C2A51"/>
    <w:rsid w:val="482B420C"/>
    <w:rsid w:val="482F4BCD"/>
    <w:rsid w:val="48311D9D"/>
    <w:rsid w:val="483A6213"/>
    <w:rsid w:val="483B533A"/>
    <w:rsid w:val="48541414"/>
    <w:rsid w:val="48677DF5"/>
    <w:rsid w:val="486E7948"/>
    <w:rsid w:val="4870272E"/>
    <w:rsid w:val="48863F9C"/>
    <w:rsid w:val="48B67144"/>
    <w:rsid w:val="48C7719B"/>
    <w:rsid w:val="48D76D29"/>
    <w:rsid w:val="491A4403"/>
    <w:rsid w:val="491B3BCC"/>
    <w:rsid w:val="49262761"/>
    <w:rsid w:val="49283409"/>
    <w:rsid w:val="4931522F"/>
    <w:rsid w:val="49332DE3"/>
    <w:rsid w:val="495A42ED"/>
    <w:rsid w:val="495C52A4"/>
    <w:rsid w:val="496F7628"/>
    <w:rsid w:val="49873032"/>
    <w:rsid w:val="498A2DB4"/>
    <w:rsid w:val="498E620D"/>
    <w:rsid w:val="49940E5D"/>
    <w:rsid w:val="49AD316B"/>
    <w:rsid w:val="49C025D9"/>
    <w:rsid w:val="49C911B2"/>
    <w:rsid w:val="49D15D85"/>
    <w:rsid w:val="49D30B1B"/>
    <w:rsid w:val="49D953F9"/>
    <w:rsid w:val="49DC7715"/>
    <w:rsid w:val="49E04598"/>
    <w:rsid w:val="49E85C41"/>
    <w:rsid w:val="49F518D8"/>
    <w:rsid w:val="49FB45C5"/>
    <w:rsid w:val="4A0123B1"/>
    <w:rsid w:val="4A023139"/>
    <w:rsid w:val="4A16529E"/>
    <w:rsid w:val="4A24567B"/>
    <w:rsid w:val="4A3D0207"/>
    <w:rsid w:val="4A4640C3"/>
    <w:rsid w:val="4A50604B"/>
    <w:rsid w:val="4A7B576F"/>
    <w:rsid w:val="4A83134F"/>
    <w:rsid w:val="4A8F748C"/>
    <w:rsid w:val="4A983995"/>
    <w:rsid w:val="4A9B1990"/>
    <w:rsid w:val="4AA24E8E"/>
    <w:rsid w:val="4ABE0B93"/>
    <w:rsid w:val="4ABF395B"/>
    <w:rsid w:val="4AD24CCD"/>
    <w:rsid w:val="4AD93EE7"/>
    <w:rsid w:val="4AE15E21"/>
    <w:rsid w:val="4AF4161C"/>
    <w:rsid w:val="4AF4168C"/>
    <w:rsid w:val="4AF561A9"/>
    <w:rsid w:val="4B261827"/>
    <w:rsid w:val="4B2C7C98"/>
    <w:rsid w:val="4B302E16"/>
    <w:rsid w:val="4B3F1423"/>
    <w:rsid w:val="4B40302D"/>
    <w:rsid w:val="4B574798"/>
    <w:rsid w:val="4B5E7EE7"/>
    <w:rsid w:val="4B8028D7"/>
    <w:rsid w:val="4B9C0763"/>
    <w:rsid w:val="4BA06DF3"/>
    <w:rsid w:val="4BA576AC"/>
    <w:rsid w:val="4BA74836"/>
    <w:rsid w:val="4BBE04D7"/>
    <w:rsid w:val="4BC32618"/>
    <w:rsid w:val="4BCF0795"/>
    <w:rsid w:val="4BE65BA8"/>
    <w:rsid w:val="4C1168B5"/>
    <w:rsid w:val="4C1568BB"/>
    <w:rsid w:val="4C2C1C88"/>
    <w:rsid w:val="4C3B18C8"/>
    <w:rsid w:val="4C405763"/>
    <w:rsid w:val="4C4A0649"/>
    <w:rsid w:val="4C573A2D"/>
    <w:rsid w:val="4C666533"/>
    <w:rsid w:val="4C742DE8"/>
    <w:rsid w:val="4C7E5ECA"/>
    <w:rsid w:val="4C850219"/>
    <w:rsid w:val="4C876AA5"/>
    <w:rsid w:val="4C8B768B"/>
    <w:rsid w:val="4C9C67C3"/>
    <w:rsid w:val="4CC803DC"/>
    <w:rsid w:val="4CC94E9A"/>
    <w:rsid w:val="4CCB404B"/>
    <w:rsid w:val="4CD14A1A"/>
    <w:rsid w:val="4CEE7C38"/>
    <w:rsid w:val="4CF90817"/>
    <w:rsid w:val="4CFD2268"/>
    <w:rsid w:val="4D035416"/>
    <w:rsid w:val="4D046D1D"/>
    <w:rsid w:val="4D067295"/>
    <w:rsid w:val="4D0E00FB"/>
    <w:rsid w:val="4D134C49"/>
    <w:rsid w:val="4D176606"/>
    <w:rsid w:val="4D2C7687"/>
    <w:rsid w:val="4D3D049A"/>
    <w:rsid w:val="4D594AE5"/>
    <w:rsid w:val="4D5B495B"/>
    <w:rsid w:val="4D610D86"/>
    <w:rsid w:val="4D72564E"/>
    <w:rsid w:val="4D7B1D11"/>
    <w:rsid w:val="4D95648B"/>
    <w:rsid w:val="4D980423"/>
    <w:rsid w:val="4DB3191D"/>
    <w:rsid w:val="4DB76D14"/>
    <w:rsid w:val="4DD55931"/>
    <w:rsid w:val="4DD83EAB"/>
    <w:rsid w:val="4DE45A7F"/>
    <w:rsid w:val="4DEC4FB0"/>
    <w:rsid w:val="4E075D8A"/>
    <w:rsid w:val="4E1A3590"/>
    <w:rsid w:val="4E212792"/>
    <w:rsid w:val="4E2A2CC1"/>
    <w:rsid w:val="4E3314A6"/>
    <w:rsid w:val="4E451A28"/>
    <w:rsid w:val="4E482D79"/>
    <w:rsid w:val="4E4A6A25"/>
    <w:rsid w:val="4E4B0314"/>
    <w:rsid w:val="4E55052B"/>
    <w:rsid w:val="4E7C0F08"/>
    <w:rsid w:val="4E8F5F4A"/>
    <w:rsid w:val="4E993038"/>
    <w:rsid w:val="4EC00FAD"/>
    <w:rsid w:val="4EE87DF9"/>
    <w:rsid w:val="4F116F90"/>
    <w:rsid w:val="4F2F2CBA"/>
    <w:rsid w:val="4F340D04"/>
    <w:rsid w:val="4F3C1597"/>
    <w:rsid w:val="4F4C341F"/>
    <w:rsid w:val="4F4E234C"/>
    <w:rsid w:val="4F4F10D1"/>
    <w:rsid w:val="4F593D94"/>
    <w:rsid w:val="4F613105"/>
    <w:rsid w:val="4F77372C"/>
    <w:rsid w:val="4F8566B1"/>
    <w:rsid w:val="4F95128A"/>
    <w:rsid w:val="4F9843DC"/>
    <w:rsid w:val="4FA70B4D"/>
    <w:rsid w:val="4FC558DA"/>
    <w:rsid w:val="4FC62A8C"/>
    <w:rsid w:val="4FD02F2D"/>
    <w:rsid w:val="4FD57DA7"/>
    <w:rsid w:val="4FDA0367"/>
    <w:rsid w:val="4FDD7A4F"/>
    <w:rsid w:val="4FE20F0D"/>
    <w:rsid w:val="4FE51552"/>
    <w:rsid w:val="4FE62923"/>
    <w:rsid w:val="4FE73FF7"/>
    <w:rsid w:val="4FE862D4"/>
    <w:rsid w:val="500278C5"/>
    <w:rsid w:val="50207733"/>
    <w:rsid w:val="50296AC2"/>
    <w:rsid w:val="502D27F3"/>
    <w:rsid w:val="50313D42"/>
    <w:rsid w:val="50504C4B"/>
    <w:rsid w:val="50560DCD"/>
    <w:rsid w:val="505B39E4"/>
    <w:rsid w:val="508A14AF"/>
    <w:rsid w:val="509C6E7C"/>
    <w:rsid w:val="509D3413"/>
    <w:rsid w:val="50A74B16"/>
    <w:rsid w:val="50B31A26"/>
    <w:rsid w:val="50BD4D9A"/>
    <w:rsid w:val="50E65C0D"/>
    <w:rsid w:val="50E82C26"/>
    <w:rsid w:val="50F23B6E"/>
    <w:rsid w:val="50F40F2C"/>
    <w:rsid w:val="51060B98"/>
    <w:rsid w:val="511A0A17"/>
    <w:rsid w:val="51295AD2"/>
    <w:rsid w:val="512C1B89"/>
    <w:rsid w:val="513E6307"/>
    <w:rsid w:val="51445728"/>
    <w:rsid w:val="5162104E"/>
    <w:rsid w:val="51CC1B89"/>
    <w:rsid w:val="51E2432B"/>
    <w:rsid w:val="51E82816"/>
    <w:rsid w:val="520521F2"/>
    <w:rsid w:val="52087D9A"/>
    <w:rsid w:val="520B5DE9"/>
    <w:rsid w:val="520D50A2"/>
    <w:rsid w:val="523903A9"/>
    <w:rsid w:val="52542F0A"/>
    <w:rsid w:val="52814264"/>
    <w:rsid w:val="52A86AF1"/>
    <w:rsid w:val="52AB026D"/>
    <w:rsid w:val="52C13915"/>
    <w:rsid w:val="52D94E86"/>
    <w:rsid w:val="53017486"/>
    <w:rsid w:val="531A7E06"/>
    <w:rsid w:val="53253C6E"/>
    <w:rsid w:val="533F65C8"/>
    <w:rsid w:val="53601D9C"/>
    <w:rsid w:val="5374773B"/>
    <w:rsid w:val="537577D7"/>
    <w:rsid w:val="53835742"/>
    <w:rsid w:val="538F29E7"/>
    <w:rsid w:val="53A039CC"/>
    <w:rsid w:val="53A1505A"/>
    <w:rsid w:val="53B11756"/>
    <w:rsid w:val="53D00CC5"/>
    <w:rsid w:val="53DB775B"/>
    <w:rsid w:val="54063E08"/>
    <w:rsid w:val="54223475"/>
    <w:rsid w:val="543437E8"/>
    <w:rsid w:val="544434CE"/>
    <w:rsid w:val="54720097"/>
    <w:rsid w:val="549A6DE7"/>
    <w:rsid w:val="54A43D66"/>
    <w:rsid w:val="54A47A87"/>
    <w:rsid w:val="54A72358"/>
    <w:rsid w:val="54B07AAB"/>
    <w:rsid w:val="54B73425"/>
    <w:rsid w:val="54B95FC1"/>
    <w:rsid w:val="54C4656A"/>
    <w:rsid w:val="54C7636D"/>
    <w:rsid w:val="54E17831"/>
    <w:rsid w:val="54E30A39"/>
    <w:rsid w:val="54E70350"/>
    <w:rsid w:val="54EE799A"/>
    <w:rsid w:val="54F73313"/>
    <w:rsid w:val="54F80955"/>
    <w:rsid w:val="552E6B02"/>
    <w:rsid w:val="553C7195"/>
    <w:rsid w:val="55435880"/>
    <w:rsid w:val="55480758"/>
    <w:rsid w:val="555170A7"/>
    <w:rsid w:val="55543D4F"/>
    <w:rsid w:val="555D5B5E"/>
    <w:rsid w:val="5587536D"/>
    <w:rsid w:val="55884761"/>
    <w:rsid w:val="55895769"/>
    <w:rsid w:val="559B174B"/>
    <w:rsid w:val="55C32208"/>
    <w:rsid w:val="55CE0CF4"/>
    <w:rsid w:val="55D521C5"/>
    <w:rsid w:val="55D70D0E"/>
    <w:rsid w:val="55E43721"/>
    <w:rsid w:val="56117E43"/>
    <w:rsid w:val="56155051"/>
    <w:rsid w:val="56230E67"/>
    <w:rsid w:val="563B3A2E"/>
    <w:rsid w:val="563F63BE"/>
    <w:rsid w:val="56400205"/>
    <w:rsid w:val="56536F44"/>
    <w:rsid w:val="56563595"/>
    <w:rsid w:val="56932386"/>
    <w:rsid w:val="569819EA"/>
    <w:rsid w:val="56B22A9C"/>
    <w:rsid w:val="56B24615"/>
    <w:rsid w:val="56BE43E9"/>
    <w:rsid w:val="56C92ADC"/>
    <w:rsid w:val="56DC7DF0"/>
    <w:rsid w:val="56E66692"/>
    <w:rsid w:val="56E94704"/>
    <w:rsid w:val="571C3654"/>
    <w:rsid w:val="57305B43"/>
    <w:rsid w:val="5737543B"/>
    <w:rsid w:val="57487821"/>
    <w:rsid w:val="57582392"/>
    <w:rsid w:val="575C59A9"/>
    <w:rsid w:val="575E377E"/>
    <w:rsid w:val="576A4202"/>
    <w:rsid w:val="577C7B09"/>
    <w:rsid w:val="5786086C"/>
    <w:rsid w:val="57865746"/>
    <w:rsid w:val="57910571"/>
    <w:rsid w:val="57993F35"/>
    <w:rsid w:val="57A1141E"/>
    <w:rsid w:val="57AB076E"/>
    <w:rsid w:val="57B03BDC"/>
    <w:rsid w:val="57B51263"/>
    <w:rsid w:val="57B72A76"/>
    <w:rsid w:val="57C3426C"/>
    <w:rsid w:val="57C974E7"/>
    <w:rsid w:val="57CA664D"/>
    <w:rsid w:val="57CE1F93"/>
    <w:rsid w:val="57F36C1F"/>
    <w:rsid w:val="57F542C3"/>
    <w:rsid w:val="57FF132A"/>
    <w:rsid w:val="580E4F06"/>
    <w:rsid w:val="58130956"/>
    <w:rsid w:val="581345D2"/>
    <w:rsid w:val="58717B2E"/>
    <w:rsid w:val="587824F4"/>
    <w:rsid w:val="588743D1"/>
    <w:rsid w:val="5887701A"/>
    <w:rsid w:val="58A144A6"/>
    <w:rsid w:val="58AA5377"/>
    <w:rsid w:val="58AE7204"/>
    <w:rsid w:val="58DE0DCA"/>
    <w:rsid w:val="590C2CA7"/>
    <w:rsid w:val="590C40C8"/>
    <w:rsid w:val="59141207"/>
    <w:rsid w:val="592E3A47"/>
    <w:rsid w:val="593B0979"/>
    <w:rsid w:val="593F4239"/>
    <w:rsid w:val="597C6E5D"/>
    <w:rsid w:val="59BC2244"/>
    <w:rsid w:val="59C0439F"/>
    <w:rsid w:val="59C515D9"/>
    <w:rsid w:val="59CA35BC"/>
    <w:rsid w:val="59CE1865"/>
    <w:rsid w:val="59CF78F4"/>
    <w:rsid w:val="59DC2809"/>
    <w:rsid w:val="59E14F72"/>
    <w:rsid w:val="59E73B7D"/>
    <w:rsid w:val="59FA3797"/>
    <w:rsid w:val="5A026418"/>
    <w:rsid w:val="5A0313B8"/>
    <w:rsid w:val="5A0D08A1"/>
    <w:rsid w:val="5A1021EB"/>
    <w:rsid w:val="5A270D47"/>
    <w:rsid w:val="5A2C7653"/>
    <w:rsid w:val="5A517637"/>
    <w:rsid w:val="5A554241"/>
    <w:rsid w:val="5A5C65DE"/>
    <w:rsid w:val="5A6A17F8"/>
    <w:rsid w:val="5A6C3939"/>
    <w:rsid w:val="5A6D45BB"/>
    <w:rsid w:val="5A8929E6"/>
    <w:rsid w:val="5A963B12"/>
    <w:rsid w:val="5AA97E26"/>
    <w:rsid w:val="5ABE2233"/>
    <w:rsid w:val="5ABF0169"/>
    <w:rsid w:val="5AD01331"/>
    <w:rsid w:val="5AF25FAF"/>
    <w:rsid w:val="5B002725"/>
    <w:rsid w:val="5B55634C"/>
    <w:rsid w:val="5B7F2E47"/>
    <w:rsid w:val="5B832D4E"/>
    <w:rsid w:val="5B8C5797"/>
    <w:rsid w:val="5B8E0183"/>
    <w:rsid w:val="5B916D86"/>
    <w:rsid w:val="5B932C1C"/>
    <w:rsid w:val="5B9710E5"/>
    <w:rsid w:val="5BBC5C4D"/>
    <w:rsid w:val="5BC35876"/>
    <w:rsid w:val="5BDF5D95"/>
    <w:rsid w:val="5BFE48DA"/>
    <w:rsid w:val="5BFE7528"/>
    <w:rsid w:val="5C026EA1"/>
    <w:rsid w:val="5C041FD1"/>
    <w:rsid w:val="5C0B335E"/>
    <w:rsid w:val="5C15799E"/>
    <w:rsid w:val="5C3216E8"/>
    <w:rsid w:val="5C3D5A52"/>
    <w:rsid w:val="5C4D0DD2"/>
    <w:rsid w:val="5C4E6D94"/>
    <w:rsid w:val="5C6E0154"/>
    <w:rsid w:val="5C71758B"/>
    <w:rsid w:val="5C770AB2"/>
    <w:rsid w:val="5C7B7C57"/>
    <w:rsid w:val="5C7C1A7E"/>
    <w:rsid w:val="5C806B38"/>
    <w:rsid w:val="5C982BA8"/>
    <w:rsid w:val="5CA974D1"/>
    <w:rsid w:val="5CAF75DF"/>
    <w:rsid w:val="5CB17638"/>
    <w:rsid w:val="5CB455C6"/>
    <w:rsid w:val="5CB54CF7"/>
    <w:rsid w:val="5CC55AAB"/>
    <w:rsid w:val="5CCC7528"/>
    <w:rsid w:val="5CDD0DE3"/>
    <w:rsid w:val="5CE519EA"/>
    <w:rsid w:val="5D1C5E15"/>
    <w:rsid w:val="5D210A56"/>
    <w:rsid w:val="5D3905B1"/>
    <w:rsid w:val="5D6A384C"/>
    <w:rsid w:val="5D6C123C"/>
    <w:rsid w:val="5D6E79FA"/>
    <w:rsid w:val="5D7B04CE"/>
    <w:rsid w:val="5D8440EB"/>
    <w:rsid w:val="5D8D57BD"/>
    <w:rsid w:val="5D9661E1"/>
    <w:rsid w:val="5D9A28C8"/>
    <w:rsid w:val="5DAC1040"/>
    <w:rsid w:val="5DB81096"/>
    <w:rsid w:val="5DC15A96"/>
    <w:rsid w:val="5DC813F5"/>
    <w:rsid w:val="5DE26DA4"/>
    <w:rsid w:val="5DED5705"/>
    <w:rsid w:val="5DFF6482"/>
    <w:rsid w:val="5E0472A2"/>
    <w:rsid w:val="5E2467F1"/>
    <w:rsid w:val="5E813CF1"/>
    <w:rsid w:val="5E9932A4"/>
    <w:rsid w:val="5EF4764E"/>
    <w:rsid w:val="5EF64268"/>
    <w:rsid w:val="5F0160F9"/>
    <w:rsid w:val="5F0229BE"/>
    <w:rsid w:val="5F16499C"/>
    <w:rsid w:val="5F1A2B43"/>
    <w:rsid w:val="5F33191F"/>
    <w:rsid w:val="5F453F0B"/>
    <w:rsid w:val="5F6B5599"/>
    <w:rsid w:val="5F793E9A"/>
    <w:rsid w:val="5F821129"/>
    <w:rsid w:val="5F842DD6"/>
    <w:rsid w:val="5F873D9E"/>
    <w:rsid w:val="5F8F0265"/>
    <w:rsid w:val="5FA02791"/>
    <w:rsid w:val="5FB837BB"/>
    <w:rsid w:val="5FC52CA3"/>
    <w:rsid w:val="5FC62FFA"/>
    <w:rsid w:val="5FCC2225"/>
    <w:rsid w:val="5FCC6546"/>
    <w:rsid w:val="5FCD4A20"/>
    <w:rsid w:val="5FE27C78"/>
    <w:rsid w:val="5FEC1311"/>
    <w:rsid w:val="5FEC7C0C"/>
    <w:rsid w:val="5FEF69ED"/>
    <w:rsid w:val="5FFD59CA"/>
    <w:rsid w:val="601755A1"/>
    <w:rsid w:val="602A7AF5"/>
    <w:rsid w:val="60360018"/>
    <w:rsid w:val="607910E9"/>
    <w:rsid w:val="60AB684F"/>
    <w:rsid w:val="60AD048A"/>
    <w:rsid w:val="60AE5F56"/>
    <w:rsid w:val="60CC405A"/>
    <w:rsid w:val="60DB0CD5"/>
    <w:rsid w:val="60DC0E2D"/>
    <w:rsid w:val="60EC1068"/>
    <w:rsid w:val="61134847"/>
    <w:rsid w:val="613E785B"/>
    <w:rsid w:val="61467863"/>
    <w:rsid w:val="6149313E"/>
    <w:rsid w:val="61535135"/>
    <w:rsid w:val="615A3167"/>
    <w:rsid w:val="61752D63"/>
    <w:rsid w:val="6184639E"/>
    <w:rsid w:val="619C64B9"/>
    <w:rsid w:val="61B92357"/>
    <w:rsid w:val="61BF28F0"/>
    <w:rsid w:val="61CD44A8"/>
    <w:rsid w:val="61D02F76"/>
    <w:rsid w:val="61DE3EC4"/>
    <w:rsid w:val="61E215D8"/>
    <w:rsid w:val="61EF3534"/>
    <w:rsid w:val="61FE451E"/>
    <w:rsid w:val="620E73FB"/>
    <w:rsid w:val="621103F3"/>
    <w:rsid w:val="621B3775"/>
    <w:rsid w:val="62243A1B"/>
    <w:rsid w:val="622759CD"/>
    <w:rsid w:val="622D7260"/>
    <w:rsid w:val="62364782"/>
    <w:rsid w:val="62374EA8"/>
    <w:rsid w:val="623D38A5"/>
    <w:rsid w:val="62425ECA"/>
    <w:rsid w:val="624832B2"/>
    <w:rsid w:val="626048AD"/>
    <w:rsid w:val="62633B40"/>
    <w:rsid w:val="626C70F1"/>
    <w:rsid w:val="62760E2E"/>
    <w:rsid w:val="627B715C"/>
    <w:rsid w:val="628662A9"/>
    <w:rsid w:val="628D4975"/>
    <w:rsid w:val="62953FC9"/>
    <w:rsid w:val="6299425A"/>
    <w:rsid w:val="629A2E5E"/>
    <w:rsid w:val="62A07F0B"/>
    <w:rsid w:val="62C46C30"/>
    <w:rsid w:val="62D20616"/>
    <w:rsid w:val="62D7045B"/>
    <w:rsid w:val="62DF5CFE"/>
    <w:rsid w:val="62E30C2F"/>
    <w:rsid w:val="62E327B9"/>
    <w:rsid w:val="62E755CE"/>
    <w:rsid w:val="62ED0776"/>
    <w:rsid w:val="62F12DF3"/>
    <w:rsid w:val="630A77D5"/>
    <w:rsid w:val="63112CC5"/>
    <w:rsid w:val="632745E3"/>
    <w:rsid w:val="632D3721"/>
    <w:rsid w:val="633C0378"/>
    <w:rsid w:val="633F1DC4"/>
    <w:rsid w:val="6344179A"/>
    <w:rsid w:val="634857CA"/>
    <w:rsid w:val="63566D56"/>
    <w:rsid w:val="63595666"/>
    <w:rsid w:val="63675C85"/>
    <w:rsid w:val="6374055D"/>
    <w:rsid w:val="63744018"/>
    <w:rsid w:val="637458E8"/>
    <w:rsid w:val="63755A83"/>
    <w:rsid w:val="637964B1"/>
    <w:rsid w:val="637F0070"/>
    <w:rsid w:val="6394356A"/>
    <w:rsid w:val="63BD7E39"/>
    <w:rsid w:val="63C61B2C"/>
    <w:rsid w:val="63D40BE9"/>
    <w:rsid w:val="63E95970"/>
    <w:rsid w:val="63F27B94"/>
    <w:rsid w:val="63F450C5"/>
    <w:rsid w:val="64102431"/>
    <w:rsid w:val="64196046"/>
    <w:rsid w:val="642F488C"/>
    <w:rsid w:val="6430182D"/>
    <w:rsid w:val="643507A0"/>
    <w:rsid w:val="643903ED"/>
    <w:rsid w:val="6445585A"/>
    <w:rsid w:val="64596979"/>
    <w:rsid w:val="647D2916"/>
    <w:rsid w:val="647F3224"/>
    <w:rsid w:val="64811AE8"/>
    <w:rsid w:val="64876B93"/>
    <w:rsid w:val="64916A02"/>
    <w:rsid w:val="64A22430"/>
    <w:rsid w:val="64A5231D"/>
    <w:rsid w:val="64A5243A"/>
    <w:rsid w:val="64A6638C"/>
    <w:rsid w:val="64AE2681"/>
    <w:rsid w:val="64D131A8"/>
    <w:rsid w:val="64DE52F3"/>
    <w:rsid w:val="64EC0629"/>
    <w:rsid w:val="64EF0501"/>
    <w:rsid w:val="64F531DE"/>
    <w:rsid w:val="65373578"/>
    <w:rsid w:val="65395B83"/>
    <w:rsid w:val="6541426F"/>
    <w:rsid w:val="65625C86"/>
    <w:rsid w:val="6599662D"/>
    <w:rsid w:val="65AE668D"/>
    <w:rsid w:val="65B61ED4"/>
    <w:rsid w:val="65BF7E9D"/>
    <w:rsid w:val="65C75030"/>
    <w:rsid w:val="65DA64C2"/>
    <w:rsid w:val="65DE197B"/>
    <w:rsid w:val="65F62197"/>
    <w:rsid w:val="65FF0E86"/>
    <w:rsid w:val="660132DB"/>
    <w:rsid w:val="66031352"/>
    <w:rsid w:val="660D24D4"/>
    <w:rsid w:val="661533B4"/>
    <w:rsid w:val="66331F1E"/>
    <w:rsid w:val="66357864"/>
    <w:rsid w:val="666C639E"/>
    <w:rsid w:val="667E1942"/>
    <w:rsid w:val="668047D3"/>
    <w:rsid w:val="668378B7"/>
    <w:rsid w:val="668A166B"/>
    <w:rsid w:val="66CD402A"/>
    <w:rsid w:val="66CD7BBE"/>
    <w:rsid w:val="66DB477D"/>
    <w:rsid w:val="66EE099D"/>
    <w:rsid w:val="66F97B94"/>
    <w:rsid w:val="670D5D8C"/>
    <w:rsid w:val="671F124A"/>
    <w:rsid w:val="67325649"/>
    <w:rsid w:val="6745322C"/>
    <w:rsid w:val="67464985"/>
    <w:rsid w:val="675168BC"/>
    <w:rsid w:val="67543956"/>
    <w:rsid w:val="67601F36"/>
    <w:rsid w:val="67660788"/>
    <w:rsid w:val="67723228"/>
    <w:rsid w:val="67745F6E"/>
    <w:rsid w:val="677A33C6"/>
    <w:rsid w:val="677F4D57"/>
    <w:rsid w:val="677F6B48"/>
    <w:rsid w:val="67B423BA"/>
    <w:rsid w:val="67BF1166"/>
    <w:rsid w:val="67D31205"/>
    <w:rsid w:val="67D50454"/>
    <w:rsid w:val="67D53798"/>
    <w:rsid w:val="67EA3074"/>
    <w:rsid w:val="67EB0459"/>
    <w:rsid w:val="67F10B71"/>
    <w:rsid w:val="67F93EE0"/>
    <w:rsid w:val="681F6961"/>
    <w:rsid w:val="682229A4"/>
    <w:rsid w:val="683312DD"/>
    <w:rsid w:val="68331969"/>
    <w:rsid w:val="68332820"/>
    <w:rsid w:val="683B4CB5"/>
    <w:rsid w:val="68610A2F"/>
    <w:rsid w:val="687C057E"/>
    <w:rsid w:val="68805514"/>
    <w:rsid w:val="68884EF4"/>
    <w:rsid w:val="688B6D5E"/>
    <w:rsid w:val="689B42D4"/>
    <w:rsid w:val="68A4156C"/>
    <w:rsid w:val="68A60DC1"/>
    <w:rsid w:val="68A63C10"/>
    <w:rsid w:val="68B762ED"/>
    <w:rsid w:val="68BA08AB"/>
    <w:rsid w:val="68CD0FB0"/>
    <w:rsid w:val="68D17FB5"/>
    <w:rsid w:val="68FD11DA"/>
    <w:rsid w:val="68FF377F"/>
    <w:rsid w:val="690B1357"/>
    <w:rsid w:val="691332DD"/>
    <w:rsid w:val="692029C5"/>
    <w:rsid w:val="69225594"/>
    <w:rsid w:val="692E68AD"/>
    <w:rsid w:val="69316E2F"/>
    <w:rsid w:val="69320E56"/>
    <w:rsid w:val="69323EB7"/>
    <w:rsid w:val="693B6FB6"/>
    <w:rsid w:val="694E2071"/>
    <w:rsid w:val="6953427B"/>
    <w:rsid w:val="69683C09"/>
    <w:rsid w:val="697521A8"/>
    <w:rsid w:val="69766163"/>
    <w:rsid w:val="697A3B33"/>
    <w:rsid w:val="698350C6"/>
    <w:rsid w:val="69997048"/>
    <w:rsid w:val="699C1836"/>
    <w:rsid w:val="699E630D"/>
    <w:rsid w:val="699F1DE6"/>
    <w:rsid w:val="69A55850"/>
    <w:rsid w:val="69B645A1"/>
    <w:rsid w:val="69BB777A"/>
    <w:rsid w:val="69BE7940"/>
    <w:rsid w:val="69CD4ED9"/>
    <w:rsid w:val="69D44760"/>
    <w:rsid w:val="69D61863"/>
    <w:rsid w:val="69FC2F92"/>
    <w:rsid w:val="69FD04A8"/>
    <w:rsid w:val="6A03527F"/>
    <w:rsid w:val="6A1F0214"/>
    <w:rsid w:val="6A4E3864"/>
    <w:rsid w:val="6A5062C9"/>
    <w:rsid w:val="6A520EC7"/>
    <w:rsid w:val="6A56735F"/>
    <w:rsid w:val="6A606F98"/>
    <w:rsid w:val="6A642614"/>
    <w:rsid w:val="6A711DCA"/>
    <w:rsid w:val="6A792C38"/>
    <w:rsid w:val="6A8B2C62"/>
    <w:rsid w:val="6A9D3E5E"/>
    <w:rsid w:val="6AA07170"/>
    <w:rsid w:val="6AB52C3D"/>
    <w:rsid w:val="6ABB4533"/>
    <w:rsid w:val="6ABD3F2E"/>
    <w:rsid w:val="6AE10788"/>
    <w:rsid w:val="6AF87E20"/>
    <w:rsid w:val="6AFB2E73"/>
    <w:rsid w:val="6B0274BC"/>
    <w:rsid w:val="6B0A6722"/>
    <w:rsid w:val="6B0E157C"/>
    <w:rsid w:val="6B21081C"/>
    <w:rsid w:val="6B28484F"/>
    <w:rsid w:val="6B3067ED"/>
    <w:rsid w:val="6B320140"/>
    <w:rsid w:val="6B322639"/>
    <w:rsid w:val="6B37706D"/>
    <w:rsid w:val="6B445C19"/>
    <w:rsid w:val="6B534AB6"/>
    <w:rsid w:val="6B5B3C23"/>
    <w:rsid w:val="6B607A53"/>
    <w:rsid w:val="6B631966"/>
    <w:rsid w:val="6B6E6BB0"/>
    <w:rsid w:val="6B8F45F4"/>
    <w:rsid w:val="6B99058F"/>
    <w:rsid w:val="6B9D43C5"/>
    <w:rsid w:val="6BB12585"/>
    <w:rsid w:val="6BB776C7"/>
    <w:rsid w:val="6BC52649"/>
    <w:rsid w:val="6BCF6D80"/>
    <w:rsid w:val="6BD52DFB"/>
    <w:rsid w:val="6BE26943"/>
    <w:rsid w:val="6BEC22A8"/>
    <w:rsid w:val="6BFA3D30"/>
    <w:rsid w:val="6C033296"/>
    <w:rsid w:val="6C0D7ADD"/>
    <w:rsid w:val="6C2972E0"/>
    <w:rsid w:val="6C382B94"/>
    <w:rsid w:val="6C4D3530"/>
    <w:rsid w:val="6C634EA2"/>
    <w:rsid w:val="6C636C38"/>
    <w:rsid w:val="6C7A2147"/>
    <w:rsid w:val="6C7B3AA5"/>
    <w:rsid w:val="6C853F70"/>
    <w:rsid w:val="6CB70ADD"/>
    <w:rsid w:val="6CBF2631"/>
    <w:rsid w:val="6CC3447E"/>
    <w:rsid w:val="6CC557AD"/>
    <w:rsid w:val="6CD86EDC"/>
    <w:rsid w:val="6CE5526D"/>
    <w:rsid w:val="6CF23AFD"/>
    <w:rsid w:val="6D1124CA"/>
    <w:rsid w:val="6D3C3D0E"/>
    <w:rsid w:val="6D46105B"/>
    <w:rsid w:val="6D4732E4"/>
    <w:rsid w:val="6D536811"/>
    <w:rsid w:val="6D772A3E"/>
    <w:rsid w:val="6D7F05CC"/>
    <w:rsid w:val="6D8B63A2"/>
    <w:rsid w:val="6D9C6CDD"/>
    <w:rsid w:val="6DA97340"/>
    <w:rsid w:val="6DB34098"/>
    <w:rsid w:val="6DB43877"/>
    <w:rsid w:val="6DB545B6"/>
    <w:rsid w:val="6DC2260E"/>
    <w:rsid w:val="6DD70578"/>
    <w:rsid w:val="6DDC39A9"/>
    <w:rsid w:val="6DE02FB4"/>
    <w:rsid w:val="6DE12C3F"/>
    <w:rsid w:val="6DED0760"/>
    <w:rsid w:val="6DF765B7"/>
    <w:rsid w:val="6DF94CCC"/>
    <w:rsid w:val="6DFA7D29"/>
    <w:rsid w:val="6E0E05C3"/>
    <w:rsid w:val="6E26259E"/>
    <w:rsid w:val="6E303082"/>
    <w:rsid w:val="6E423BD9"/>
    <w:rsid w:val="6E494547"/>
    <w:rsid w:val="6E514CED"/>
    <w:rsid w:val="6E615F57"/>
    <w:rsid w:val="6E6210CA"/>
    <w:rsid w:val="6E673C2B"/>
    <w:rsid w:val="6E7473F9"/>
    <w:rsid w:val="6E991D3C"/>
    <w:rsid w:val="6E9D184C"/>
    <w:rsid w:val="6EB563D5"/>
    <w:rsid w:val="6EBB660F"/>
    <w:rsid w:val="6EBB709B"/>
    <w:rsid w:val="6ECC43E5"/>
    <w:rsid w:val="6ED92677"/>
    <w:rsid w:val="6EDF3C53"/>
    <w:rsid w:val="6F044859"/>
    <w:rsid w:val="6F134391"/>
    <w:rsid w:val="6F141420"/>
    <w:rsid w:val="6F225983"/>
    <w:rsid w:val="6F242F4F"/>
    <w:rsid w:val="6F3B0BA5"/>
    <w:rsid w:val="6F403F60"/>
    <w:rsid w:val="6F4C6F97"/>
    <w:rsid w:val="6F5150F3"/>
    <w:rsid w:val="6F542EC0"/>
    <w:rsid w:val="6F55375F"/>
    <w:rsid w:val="6F6935E9"/>
    <w:rsid w:val="6F7146D9"/>
    <w:rsid w:val="6F7B3B81"/>
    <w:rsid w:val="6F883F5E"/>
    <w:rsid w:val="6F89365C"/>
    <w:rsid w:val="6F9C3010"/>
    <w:rsid w:val="6FB43E45"/>
    <w:rsid w:val="6FC008E6"/>
    <w:rsid w:val="6FC447C7"/>
    <w:rsid w:val="6FCD44A0"/>
    <w:rsid w:val="6FFB08B6"/>
    <w:rsid w:val="6FFC5590"/>
    <w:rsid w:val="700F43C3"/>
    <w:rsid w:val="7035794C"/>
    <w:rsid w:val="70444AA8"/>
    <w:rsid w:val="704A5301"/>
    <w:rsid w:val="705C3A72"/>
    <w:rsid w:val="705C7B6C"/>
    <w:rsid w:val="706352B9"/>
    <w:rsid w:val="706B30ED"/>
    <w:rsid w:val="706D1DD0"/>
    <w:rsid w:val="70710CAB"/>
    <w:rsid w:val="708122C1"/>
    <w:rsid w:val="70856B87"/>
    <w:rsid w:val="70856E30"/>
    <w:rsid w:val="70B822EF"/>
    <w:rsid w:val="70CC6414"/>
    <w:rsid w:val="70D3789D"/>
    <w:rsid w:val="70D527EE"/>
    <w:rsid w:val="70DF57B2"/>
    <w:rsid w:val="70FF4E8A"/>
    <w:rsid w:val="71144026"/>
    <w:rsid w:val="7128187B"/>
    <w:rsid w:val="712F2F7F"/>
    <w:rsid w:val="71400DE7"/>
    <w:rsid w:val="714257D0"/>
    <w:rsid w:val="71563841"/>
    <w:rsid w:val="715A138E"/>
    <w:rsid w:val="715B5300"/>
    <w:rsid w:val="71D27F8A"/>
    <w:rsid w:val="71F2340C"/>
    <w:rsid w:val="72052498"/>
    <w:rsid w:val="72055D56"/>
    <w:rsid w:val="721E49A1"/>
    <w:rsid w:val="723778FD"/>
    <w:rsid w:val="72380A8C"/>
    <w:rsid w:val="72450D55"/>
    <w:rsid w:val="72481D4B"/>
    <w:rsid w:val="72553024"/>
    <w:rsid w:val="725C2A3E"/>
    <w:rsid w:val="72804FAF"/>
    <w:rsid w:val="728D394C"/>
    <w:rsid w:val="728E098D"/>
    <w:rsid w:val="72A32EA3"/>
    <w:rsid w:val="72AE11AB"/>
    <w:rsid w:val="72CC27DD"/>
    <w:rsid w:val="72D66C93"/>
    <w:rsid w:val="72E07235"/>
    <w:rsid w:val="72EA296E"/>
    <w:rsid w:val="72F33951"/>
    <w:rsid w:val="730238C8"/>
    <w:rsid w:val="73122004"/>
    <w:rsid w:val="73122968"/>
    <w:rsid w:val="731F5D5E"/>
    <w:rsid w:val="732F5094"/>
    <w:rsid w:val="73350EB1"/>
    <w:rsid w:val="733C05A4"/>
    <w:rsid w:val="735334F8"/>
    <w:rsid w:val="735444B6"/>
    <w:rsid w:val="73641F45"/>
    <w:rsid w:val="73655A53"/>
    <w:rsid w:val="73702AF2"/>
    <w:rsid w:val="737B7D2B"/>
    <w:rsid w:val="738343EC"/>
    <w:rsid w:val="739E627B"/>
    <w:rsid w:val="73A32829"/>
    <w:rsid w:val="73A83878"/>
    <w:rsid w:val="73B73478"/>
    <w:rsid w:val="73C118D5"/>
    <w:rsid w:val="73C51AD5"/>
    <w:rsid w:val="73C93D5C"/>
    <w:rsid w:val="73E62CF9"/>
    <w:rsid w:val="73EB5BDC"/>
    <w:rsid w:val="73FE6A50"/>
    <w:rsid w:val="741E793C"/>
    <w:rsid w:val="74232EB4"/>
    <w:rsid w:val="74337B04"/>
    <w:rsid w:val="74414AF4"/>
    <w:rsid w:val="74543970"/>
    <w:rsid w:val="745A0CD1"/>
    <w:rsid w:val="745A65F9"/>
    <w:rsid w:val="745E3944"/>
    <w:rsid w:val="745F327B"/>
    <w:rsid w:val="74805561"/>
    <w:rsid w:val="748C40D2"/>
    <w:rsid w:val="74984C8C"/>
    <w:rsid w:val="74A4298C"/>
    <w:rsid w:val="74B41322"/>
    <w:rsid w:val="74D00429"/>
    <w:rsid w:val="74D7134A"/>
    <w:rsid w:val="74E02B36"/>
    <w:rsid w:val="74FE1468"/>
    <w:rsid w:val="7507665C"/>
    <w:rsid w:val="7508427B"/>
    <w:rsid w:val="75085597"/>
    <w:rsid w:val="750B6B9D"/>
    <w:rsid w:val="75292ECB"/>
    <w:rsid w:val="754035D7"/>
    <w:rsid w:val="7547641E"/>
    <w:rsid w:val="754940D1"/>
    <w:rsid w:val="75583CF7"/>
    <w:rsid w:val="755D3651"/>
    <w:rsid w:val="757D19BD"/>
    <w:rsid w:val="758643AE"/>
    <w:rsid w:val="75866F05"/>
    <w:rsid w:val="758C6EBE"/>
    <w:rsid w:val="75956827"/>
    <w:rsid w:val="759846AC"/>
    <w:rsid w:val="75B35FE1"/>
    <w:rsid w:val="75BD74CA"/>
    <w:rsid w:val="75C63F71"/>
    <w:rsid w:val="75D05533"/>
    <w:rsid w:val="75EE1A7F"/>
    <w:rsid w:val="75F06613"/>
    <w:rsid w:val="7602363E"/>
    <w:rsid w:val="761A4108"/>
    <w:rsid w:val="7635099D"/>
    <w:rsid w:val="764305AF"/>
    <w:rsid w:val="766A11AE"/>
    <w:rsid w:val="76870FE8"/>
    <w:rsid w:val="7688067E"/>
    <w:rsid w:val="769405B3"/>
    <w:rsid w:val="769B621F"/>
    <w:rsid w:val="76A264F7"/>
    <w:rsid w:val="76B023C1"/>
    <w:rsid w:val="76B05BC4"/>
    <w:rsid w:val="76B653C9"/>
    <w:rsid w:val="76BE2F68"/>
    <w:rsid w:val="76CC331A"/>
    <w:rsid w:val="76D21F86"/>
    <w:rsid w:val="76D53A89"/>
    <w:rsid w:val="76F25238"/>
    <w:rsid w:val="76F927F5"/>
    <w:rsid w:val="77157B95"/>
    <w:rsid w:val="771A1903"/>
    <w:rsid w:val="773A528D"/>
    <w:rsid w:val="77411B63"/>
    <w:rsid w:val="77453A8A"/>
    <w:rsid w:val="77457ED1"/>
    <w:rsid w:val="774C68A6"/>
    <w:rsid w:val="77762421"/>
    <w:rsid w:val="77953495"/>
    <w:rsid w:val="77AA02E2"/>
    <w:rsid w:val="77AA5FE1"/>
    <w:rsid w:val="77B56B1F"/>
    <w:rsid w:val="77D4459A"/>
    <w:rsid w:val="77F4629C"/>
    <w:rsid w:val="780B7738"/>
    <w:rsid w:val="780F09F4"/>
    <w:rsid w:val="780F4B3E"/>
    <w:rsid w:val="78103B6D"/>
    <w:rsid w:val="781104A0"/>
    <w:rsid w:val="781653A3"/>
    <w:rsid w:val="78223F84"/>
    <w:rsid w:val="78345CE6"/>
    <w:rsid w:val="784A5260"/>
    <w:rsid w:val="784E6E71"/>
    <w:rsid w:val="78A26A79"/>
    <w:rsid w:val="78A90480"/>
    <w:rsid w:val="78B91CA9"/>
    <w:rsid w:val="78CC77D4"/>
    <w:rsid w:val="78D9079C"/>
    <w:rsid w:val="78DC6DE3"/>
    <w:rsid w:val="78ED4075"/>
    <w:rsid w:val="78EE419F"/>
    <w:rsid w:val="78F82308"/>
    <w:rsid w:val="78FB7354"/>
    <w:rsid w:val="79011252"/>
    <w:rsid w:val="792D38EE"/>
    <w:rsid w:val="792F5934"/>
    <w:rsid w:val="793917C3"/>
    <w:rsid w:val="7948570F"/>
    <w:rsid w:val="796877A6"/>
    <w:rsid w:val="796E49F3"/>
    <w:rsid w:val="79714C03"/>
    <w:rsid w:val="797B32A2"/>
    <w:rsid w:val="797E7B48"/>
    <w:rsid w:val="79A7173F"/>
    <w:rsid w:val="79C56962"/>
    <w:rsid w:val="79D1210B"/>
    <w:rsid w:val="79DE12D3"/>
    <w:rsid w:val="79EA0927"/>
    <w:rsid w:val="79F02BED"/>
    <w:rsid w:val="79F039D0"/>
    <w:rsid w:val="7A073DA6"/>
    <w:rsid w:val="7A093E1C"/>
    <w:rsid w:val="7A0E6A80"/>
    <w:rsid w:val="7A215D74"/>
    <w:rsid w:val="7A273AC3"/>
    <w:rsid w:val="7A364017"/>
    <w:rsid w:val="7A756658"/>
    <w:rsid w:val="7A7F2BB9"/>
    <w:rsid w:val="7A8265E1"/>
    <w:rsid w:val="7A934084"/>
    <w:rsid w:val="7A992E9B"/>
    <w:rsid w:val="7ACB18F9"/>
    <w:rsid w:val="7AEC6240"/>
    <w:rsid w:val="7AF54572"/>
    <w:rsid w:val="7B061A06"/>
    <w:rsid w:val="7B0F79DA"/>
    <w:rsid w:val="7B2970F7"/>
    <w:rsid w:val="7B4A041E"/>
    <w:rsid w:val="7B5B66F1"/>
    <w:rsid w:val="7B611C11"/>
    <w:rsid w:val="7B6526EC"/>
    <w:rsid w:val="7B686D42"/>
    <w:rsid w:val="7B6A7D6C"/>
    <w:rsid w:val="7B7652E7"/>
    <w:rsid w:val="7B841746"/>
    <w:rsid w:val="7B853B08"/>
    <w:rsid w:val="7B880514"/>
    <w:rsid w:val="7B8C7470"/>
    <w:rsid w:val="7B901258"/>
    <w:rsid w:val="7B9729A1"/>
    <w:rsid w:val="7BAB67A4"/>
    <w:rsid w:val="7BC11F3B"/>
    <w:rsid w:val="7BD53FCC"/>
    <w:rsid w:val="7BDC0979"/>
    <w:rsid w:val="7BDF1215"/>
    <w:rsid w:val="7BF13326"/>
    <w:rsid w:val="7BF959D2"/>
    <w:rsid w:val="7C05265C"/>
    <w:rsid w:val="7C0875FF"/>
    <w:rsid w:val="7C1376A9"/>
    <w:rsid w:val="7C1A1F88"/>
    <w:rsid w:val="7C233E9C"/>
    <w:rsid w:val="7C28502A"/>
    <w:rsid w:val="7C2D2749"/>
    <w:rsid w:val="7C5325A6"/>
    <w:rsid w:val="7C6C58E5"/>
    <w:rsid w:val="7C6C5AC7"/>
    <w:rsid w:val="7C716C4E"/>
    <w:rsid w:val="7C7C64AC"/>
    <w:rsid w:val="7C7D5901"/>
    <w:rsid w:val="7C94614C"/>
    <w:rsid w:val="7CBC156E"/>
    <w:rsid w:val="7CC6544B"/>
    <w:rsid w:val="7CD2253C"/>
    <w:rsid w:val="7CE518AB"/>
    <w:rsid w:val="7D01340F"/>
    <w:rsid w:val="7D0239FF"/>
    <w:rsid w:val="7D2A1961"/>
    <w:rsid w:val="7D2B672F"/>
    <w:rsid w:val="7D2F3BD9"/>
    <w:rsid w:val="7D310214"/>
    <w:rsid w:val="7D352427"/>
    <w:rsid w:val="7D3551CA"/>
    <w:rsid w:val="7D531EAB"/>
    <w:rsid w:val="7D5E40CD"/>
    <w:rsid w:val="7D725CA0"/>
    <w:rsid w:val="7D905BA9"/>
    <w:rsid w:val="7D9345CB"/>
    <w:rsid w:val="7DA4515C"/>
    <w:rsid w:val="7DB6348B"/>
    <w:rsid w:val="7DC3258D"/>
    <w:rsid w:val="7DCD56F2"/>
    <w:rsid w:val="7DCE4BD9"/>
    <w:rsid w:val="7DD457A5"/>
    <w:rsid w:val="7DF44B8B"/>
    <w:rsid w:val="7DF978EB"/>
    <w:rsid w:val="7E192AE6"/>
    <w:rsid w:val="7E2774C8"/>
    <w:rsid w:val="7E2C30C9"/>
    <w:rsid w:val="7E52460D"/>
    <w:rsid w:val="7E752ED3"/>
    <w:rsid w:val="7EA7229D"/>
    <w:rsid w:val="7EAB4619"/>
    <w:rsid w:val="7EB755AC"/>
    <w:rsid w:val="7ECC7CE8"/>
    <w:rsid w:val="7ECF0D34"/>
    <w:rsid w:val="7ED54E8E"/>
    <w:rsid w:val="7EE30B67"/>
    <w:rsid w:val="7EF41020"/>
    <w:rsid w:val="7F001CE7"/>
    <w:rsid w:val="7F034193"/>
    <w:rsid w:val="7F0F6C5B"/>
    <w:rsid w:val="7F184187"/>
    <w:rsid w:val="7F381927"/>
    <w:rsid w:val="7F3A18D7"/>
    <w:rsid w:val="7F503B1E"/>
    <w:rsid w:val="7F5C3125"/>
    <w:rsid w:val="7F6036E8"/>
    <w:rsid w:val="7F781F3D"/>
    <w:rsid w:val="7F7D24E8"/>
    <w:rsid w:val="7F8335E6"/>
    <w:rsid w:val="7F961F62"/>
    <w:rsid w:val="7F9727DD"/>
    <w:rsid w:val="7FB12B0C"/>
    <w:rsid w:val="7FB3746F"/>
    <w:rsid w:val="7FE050F5"/>
    <w:rsid w:val="7FE47E50"/>
    <w:rsid w:val="7FFC23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semiHidden="0"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03"/>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locked/>
    <w:uiPriority w:val="0"/>
    <w:pPr>
      <w:spacing w:before="100" w:beforeAutospacing="1" w:after="100" w:afterAutospacing="1"/>
      <w:jc w:val="left"/>
      <w:outlineLvl w:val="2"/>
    </w:pPr>
    <w:rPr>
      <w:rFonts w:hint="eastAsia" w:ascii="宋体" w:hAnsi="宋体"/>
      <w:b/>
      <w:bCs/>
      <w:kern w:val="0"/>
      <w:sz w:val="27"/>
      <w:szCs w:val="27"/>
    </w:rPr>
  </w:style>
  <w:style w:type="paragraph" w:styleId="6">
    <w:name w:val="heading 4"/>
    <w:basedOn w:val="1"/>
    <w:next w:val="1"/>
    <w:qFormat/>
    <w:locked/>
    <w:uiPriority w:val="0"/>
    <w:pPr>
      <w:keepNext/>
      <w:keepLines/>
      <w:adjustRightInd w:val="0"/>
      <w:snapToGrid w:val="0"/>
      <w:spacing w:line="500" w:lineRule="exact"/>
      <w:outlineLvl w:val="3"/>
    </w:pPr>
    <w:rPr>
      <w:rFonts w:ascii="Arial" w:hAnsi="Arial"/>
      <w:sz w:val="24"/>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styleId="2">
    <w:name w:val="Plain Text"/>
    <w:basedOn w:val="1"/>
    <w:next w:val="1"/>
    <w:link w:val="87"/>
    <w:qFormat/>
    <w:locked/>
    <w:uiPriority w:val="99"/>
    <w:pPr>
      <w:spacing w:line="240" w:lineRule="atLeast"/>
    </w:pPr>
    <w:rPr>
      <w:rFonts w:ascii="宋体" w:hAnsi="Courier New"/>
      <w:sz w:val="28"/>
      <w:szCs w:val="20"/>
    </w:rPr>
  </w:style>
  <w:style w:type="paragraph" w:styleId="7">
    <w:name w:val="Normal Indent"/>
    <w:basedOn w:val="1"/>
    <w:qFormat/>
    <w:locked/>
    <w:uiPriority w:val="0"/>
    <w:pPr>
      <w:ind w:firstLine="420" w:firstLineChars="200"/>
    </w:pPr>
    <w:rPr>
      <w:szCs w:val="20"/>
    </w:rPr>
  </w:style>
  <w:style w:type="paragraph" w:styleId="8">
    <w:name w:val="caption"/>
    <w:basedOn w:val="1"/>
    <w:next w:val="1"/>
    <w:qFormat/>
    <w:locked/>
    <w:uiPriority w:val="0"/>
    <w:pPr>
      <w:adjustRightInd w:val="0"/>
      <w:snapToGrid w:val="0"/>
      <w:spacing w:line="360" w:lineRule="auto"/>
      <w:jc w:val="center"/>
    </w:pPr>
    <w:rPr>
      <w:b/>
      <w:szCs w:val="20"/>
    </w:rPr>
  </w:style>
  <w:style w:type="paragraph" w:styleId="9">
    <w:name w:val="toa heading"/>
    <w:basedOn w:val="1"/>
    <w:next w:val="1"/>
    <w:unhideWhenUsed/>
    <w:qFormat/>
    <w:locked/>
    <w:uiPriority w:val="0"/>
    <w:pPr>
      <w:spacing w:before="120"/>
    </w:pPr>
    <w:rPr>
      <w:rFonts w:ascii="Cambria" w:hAnsi="Cambria"/>
      <w:sz w:val="24"/>
    </w:rPr>
  </w:style>
  <w:style w:type="paragraph" w:styleId="10">
    <w:name w:val="annotation text"/>
    <w:basedOn w:val="1"/>
    <w:link w:val="31"/>
    <w:qFormat/>
    <w:uiPriority w:val="99"/>
    <w:pPr>
      <w:jc w:val="left"/>
    </w:pPr>
    <w:rPr>
      <w:kern w:val="0"/>
      <w:sz w:val="24"/>
      <w:szCs w:val="20"/>
    </w:rPr>
  </w:style>
  <w:style w:type="paragraph" w:styleId="11">
    <w:name w:val="Body Text"/>
    <w:basedOn w:val="1"/>
    <w:next w:val="1"/>
    <w:link w:val="32"/>
    <w:qFormat/>
    <w:uiPriority w:val="0"/>
    <w:pPr>
      <w:widowControl/>
      <w:snapToGrid w:val="0"/>
      <w:spacing w:before="60" w:after="160" w:line="259" w:lineRule="auto"/>
      <w:ind w:right="113"/>
    </w:pPr>
    <w:rPr>
      <w:kern w:val="0"/>
      <w:sz w:val="18"/>
      <w:szCs w:val="20"/>
    </w:rPr>
  </w:style>
  <w:style w:type="paragraph" w:styleId="12">
    <w:name w:val="Body Text Indent"/>
    <w:basedOn w:val="1"/>
    <w:next w:val="1"/>
    <w:link w:val="33"/>
    <w:qFormat/>
    <w:uiPriority w:val="0"/>
    <w:pPr>
      <w:spacing w:after="120"/>
      <w:ind w:left="420" w:leftChars="200"/>
    </w:pPr>
    <w:rPr>
      <w:kern w:val="0"/>
      <w:sz w:val="24"/>
      <w:szCs w:val="20"/>
    </w:rPr>
  </w:style>
  <w:style w:type="paragraph" w:styleId="13">
    <w:name w:val="Date"/>
    <w:basedOn w:val="1"/>
    <w:next w:val="1"/>
    <w:link w:val="34"/>
    <w:qFormat/>
    <w:uiPriority w:val="0"/>
    <w:pPr>
      <w:ind w:left="100" w:leftChars="2500"/>
    </w:pPr>
    <w:rPr>
      <w:kern w:val="0"/>
      <w:sz w:val="24"/>
      <w:szCs w:val="20"/>
    </w:rPr>
  </w:style>
  <w:style w:type="paragraph" w:styleId="14">
    <w:name w:val="Balloon Text"/>
    <w:basedOn w:val="1"/>
    <w:link w:val="35"/>
    <w:semiHidden/>
    <w:qFormat/>
    <w:uiPriority w:val="0"/>
    <w:rPr>
      <w:kern w:val="0"/>
      <w:sz w:val="18"/>
      <w:szCs w:val="20"/>
    </w:rPr>
  </w:style>
  <w:style w:type="paragraph" w:styleId="15">
    <w:name w:val="footer"/>
    <w:basedOn w:val="1"/>
    <w:link w:val="36"/>
    <w:qFormat/>
    <w:uiPriority w:val="99"/>
    <w:pPr>
      <w:tabs>
        <w:tab w:val="center" w:pos="4153"/>
        <w:tab w:val="right" w:pos="8306"/>
      </w:tabs>
      <w:snapToGrid w:val="0"/>
      <w:jc w:val="left"/>
    </w:pPr>
    <w:rPr>
      <w:kern w:val="0"/>
      <w:sz w:val="18"/>
      <w:szCs w:val="20"/>
    </w:rPr>
  </w:style>
  <w:style w:type="paragraph" w:styleId="16">
    <w:name w:val="header"/>
    <w:basedOn w:val="1"/>
    <w:next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qFormat/>
    <w:locked/>
    <w:uiPriority w:val="39"/>
  </w:style>
  <w:style w:type="paragraph" w:styleId="18">
    <w:name w:val="index heading"/>
    <w:basedOn w:val="1"/>
    <w:next w:val="19"/>
    <w:qFormat/>
    <w:locked/>
    <w:uiPriority w:val="0"/>
    <w:rPr>
      <w:rFonts w:ascii="Arial" w:hAnsi="Arial"/>
      <w:b/>
    </w:rPr>
  </w:style>
  <w:style w:type="paragraph" w:styleId="19">
    <w:name w:val="index 1"/>
    <w:basedOn w:val="1"/>
    <w:next w:val="1"/>
    <w:qFormat/>
    <w:locked/>
    <w:uiPriority w:val="0"/>
    <w:pPr>
      <w:spacing w:line="240" w:lineRule="exact"/>
      <w:jc w:val="left"/>
    </w:pPr>
    <w:rPr>
      <w:b/>
      <w:kern w:val="0"/>
      <w:szCs w:val="21"/>
    </w:rPr>
  </w:style>
  <w:style w:type="paragraph" w:styleId="20">
    <w:name w:val="Normal (Web)"/>
    <w:basedOn w:val="1"/>
    <w:link w:val="38"/>
    <w:qFormat/>
    <w:uiPriority w:val="99"/>
    <w:pPr>
      <w:widowControl/>
      <w:spacing w:before="100" w:beforeAutospacing="1" w:after="100" w:afterAutospacing="1"/>
      <w:jc w:val="left"/>
    </w:pPr>
    <w:rPr>
      <w:rFonts w:ascii="宋体" w:hAnsi="宋体"/>
      <w:kern w:val="0"/>
      <w:sz w:val="24"/>
      <w:szCs w:val="20"/>
    </w:rPr>
  </w:style>
  <w:style w:type="paragraph" w:styleId="21">
    <w:name w:val="Title"/>
    <w:basedOn w:val="1"/>
    <w:next w:val="1"/>
    <w:link w:val="91"/>
    <w:qFormat/>
    <w:locked/>
    <w:uiPriority w:val="0"/>
    <w:pPr>
      <w:adjustRightInd w:val="0"/>
    </w:pPr>
    <w:rPr>
      <w:snapToGrid w:val="0"/>
      <w:kern w:val="0"/>
      <w:szCs w:val="20"/>
    </w:rPr>
  </w:style>
  <w:style w:type="paragraph" w:styleId="22">
    <w:name w:val="annotation subject"/>
    <w:basedOn w:val="10"/>
    <w:next w:val="10"/>
    <w:link w:val="39"/>
    <w:semiHidden/>
    <w:qFormat/>
    <w:uiPriority w:val="0"/>
    <w:rPr>
      <w:b/>
    </w:rPr>
  </w:style>
  <w:style w:type="paragraph" w:styleId="23">
    <w:name w:val="Body Text First Indent"/>
    <w:basedOn w:val="11"/>
    <w:next w:val="1"/>
    <w:qFormat/>
    <w:locked/>
    <w:uiPriority w:val="0"/>
    <w:pPr>
      <w:spacing w:line="360" w:lineRule="auto"/>
      <w:ind w:firstLine="420" w:firstLineChars="100"/>
    </w:pPr>
    <w:rPr>
      <w:sz w:val="24"/>
    </w:rPr>
  </w:style>
  <w:style w:type="paragraph" w:styleId="24">
    <w:name w:val="Body Text First Indent 2"/>
    <w:basedOn w:val="12"/>
    <w:next w:val="23"/>
    <w:qFormat/>
    <w:locked/>
    <w:uiPriority w:val="0"/>
    <w:pPr>
      <w:ind w:firstLine="420"/>
    </w:pPr>
    <w:rPr>
      <w:sz w:val="21"/>
      <w:szCs w:val="24"/>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qFormat/>
    <w:locked/>
    <w:uiPriority w:val="0"/>
  </w:style>
  <w:style w:type="character" w:styleId="29">
    <w:name w:val="Hyperlink"/>
    <w:qFormat/>
    <w:locked/>
    <w:uiPriority w:val="99"/>
    <w:rPr>
      <w:color w:val="0000FF"/>
      <w:u w:val="single"/>
    </w:rPr>
  </w:style>
  <w:style w:type="character" w:styleId="30">
    <w:name w:val="annotation reference"/>
    <w:semiHidden/>
    <w:qFormat/>
    <w:uiPriority w:val="0"/>
    <w:rPr>
      <w:sz w:val="21"/>
    </w:rPr>
  </w:style>
  <w:style w:type="character" w:customStyle="1" w:styleId="31">
    <w:name w:val="批注文字 字符"/>
    <w:link w:val="10"/>
    <w:qFormat/>
    <w:locked/>
    <w:uiPriority w:val="99"/>
    <w:rPr>
      <w:rFonts w:ascii="Times New Roman" w:hAnsi="Times New Roman" w:eastAsia="宋体"/>
      <w:sz w:val="24"/>
    </w:rPr>
  </w:style>
  <w:style w:type="character" w:customStyle="1" w:styleId="32">
    <w:name w:val="正文文本 字符"/>
    <w:link w:val="11"/>
    <w:qFormat/>
    <w:locked/>
    <w:uiPriority w:val="0"/>
    <w:rPr>
      <w:sz w:val="18"/>
    </w:rPr>
  </w:style>
  <w:style w:type="character" w:customStyle="1" w:styleId="33">
    <w:name w:val="正文文本缩进 字符"/>
    <w:link w:val="12"/>
    <w:semiHidden/>
    <w:qFormat/>
    <w:locked/>
    <w:uiPriority w:val="0"/>
    <w:rPr>
      <w:rFonts w:ascii="Times New Roman" w:hAnsi="Times New Roman" w:eastAsia="宋体"/>
      <w:sz w:val="24"/>
    </w:rPr>
  </w:style>
  <w:style w:type="character" w:customStyle="1" w:styleId="34">
    <w:name w:val="日期 字符1"/>
    <w:link w:val="13"/>
    <w:qFormat/>
    <w:locked/>
    <w:uiPriority w:val="0"/>
    <w:rPr>
      <w:rFonts w:ascii="Times New Roman" w:hAnsi="Times New Roman" w:eastAsia="宋体"/>
      <w:sz w:val="24"/>
    </w:rPr>
  </w:style>
  <w:style w:type="character" w:customStyle="1" w:styleId="35">
    <w:name w:val="批注框文本 字符"/>
    <w:link w:val="14"/>
    <w:semiHidden/>
    <w:qFormat/>
    <w:locked/>
    <w:uiPriority w:val="0"/>
    <w:rPr>
      <w:rFonts w:ascii="Times New Roman" w:hAnsi="Times New Roman" w:eastAsia="宋体"/>
      <w:sz w:val="18"/>
    </w:rPr>
  </w:style>
  <w:style w:type="character" w:customStyle="1" w:styleId="36">
    <w:name w:val="页脚 字符1"/>
    <w:link w:val="15"/>
    <w:qFormat/>
    <w:locked/>
    <w:uiPriority w:val="99"/>
    <w:rPr>
      <w:sz w:val="18"/>
    </w:rPr>
  </w:style>
  <w:style w:type="character" w:customStyle="1" w:styleId="37">
    <w:name w:val="页眉 字符"/>
    <w:link w:val="16"/>
    <w:qFormat/>
    <w:locked/>
    <w:uiPriority w:val="0"/>
    <w:rPr>
      <w:sz w:val="18"/>
    </w:rPr>
  </w:style>
  <w:style w:type="character" w:customStyle="1" w:styleId="38">
    <w:name w:val="普通(网站) 字符"/>
    <w:link w:val="20"/>
    <w:qFormat/>
    <w:locked/>
    <w:uiPriority w:val="0"/>
    <w:rPr>
      <w:rFonts w:ascii="宋体" w:hAnsi="宋体" w:eastAsia="宋体"/>
      <w:sz w:val="24"/>
    </w:rPr>
  </w:style>
  <w:style w:type="character" w:customStyle="1" w:styleId="39">
    <w:name w:val="批注主题 字符"/>
    <w:link w:val="22"/>
    <w:semiHidden/>
    <w:qFormat/>
    <w:locked/>
    <w:uiPriority w:val="0"/>
    <w:rPr>
      <w:rFonts w:ascii="Times New Roman" w:hAnsi="Times New Roman" w:eastAsia="宋体"/>
      <w:b/>
      <w:kern w:val="2"/>
      <w:sz w:val="24"/>
    </w:rPr>
  </w:style>
  <w:style w:type="paragraph" w:customStyle="1" w:styleId="40">
    <w:name w:val="明显引用1"/>
    <w:basedOn w:val="1"/>
    <w:next w:val="1"/>
    <w:qFormat/>
    <w:uiPriority w:val="30"/>
    <w:pPr>
      <w:pBdr>
        <w:bottom w:val="single" w:color="4F81BD" w:sz="4" w:space="4"/>
      </w:pBdr>
      <w:ind w:left="936" w:right="936" w:firstLine="200" w:firstLineChars="200"/>
    </w:pPr>
    <w:rPr>
      <w:b/>
      <w:bCs/>
      <w:iCs/>
      <w:sz w:val="24"/>
      <w:lang w:val="zh-CN"/>
    </w:rPr>
  </w:style>
  <w:style w:type="paragraph" w:customStyle="1" w:styleId="41">
    <w:name w:val="样式 样式 样式 小四 首行缩进:  2.25 字符 + 首行缩进:  2.25 字符 + 首行缩进:  2 字符"/>
    <w:basedOn w:val="42"/>
    <w:unhideWhenUsed/>
    <w:qFormat/>
    <w:uiPriority w:val="0"/>
  </w:style>
  <w:style w:type="paragraph" w:customStyle="1" w:styleId="42">
    <w:name w:val="样式 样式 小四 首行缩进:  2.25 字符 + 首行缩进:  2.25 字符"/>
    <w:basedOn w:val="43"/>
    <w:unhideWhenUsed/>
    <w:qFormat/>
    <w:uiPriority w:val="0"/>
  </w:style>
  <w:style w:type="paragraph" w:customStyle="1" w:styleId="43">
    <w:name w:val="样式 小四 首行缩进:  2.25 字符"/>
    <w:basedOn w:val="1"/>
    <w:unhideWhenUsed/>
    <w:qFormat/>
    <w:uiPriority w:val="0"/>
    <w:pPr>
      <w:spacing w:line="440" w:lineRule="exact"/>
      <w:ind w:firstLine="200"/>
    </w:pPr>
    <w:rPr>
      <w:rFonts w:hint="eastAsia"/>
      <w:sz w:val="24"/>
    </w:rPr>
  </w:style>
  <w:style w:type="paragraph" w:customStyle="1" w:styleId="44">
    <w:name w:val="Default"/>
    <w:basedOn w:val="45"/>
    <w:next w:val="15"/>
    <w:qFormat/>
    <w:uiPriority w:val="0"/>
    <w:pPr>
      <w:adjustRightInd w:val="0"/>
    </w:pPr>
    <w:rPr>
      <w:rFonts w:ascii="宋体" w:hAnsi="宋体" w:cs="宋体"/>
      <w:color w:val="000000"/>
      <w:sz w:val="24"/>
      <w:lang w:val="en-US"/>
    </w:rPr>
  </w:style>
  <w:style w:type="paragraph" w:customStyle="1" w:styleId="45">
    <w:name w:val="文本"/>
    <w:basedOn w:val="1"/>
    <w:next w:val="1"/>
    <w:qFormat/>
    <w:uiPriority w:val="0"/>
    <w:pPr>
      <w:autoSpaceDE w:val="0"/>
      <w:autoSpaceDN w:val="0"/>
      <w:ind w:firstLine="480"/>
    </w:pPr>
    <w:rPr>
      <w:lang w:val="zh-CN"/>
    </w:rPr>
  </w:style>
  <w:style w:type="character" w:customStyle="1" w:styleId="46">
    <w:name w:val="正文文本 字符1"/>
    <w:semiHidden/>
    <w:qFormat/>
    <w:uiPriority w:val="0"/>
    <w:rPr>
      <w:rFonts w:ascii="Times New Roman" w:hAnsi="Times New Roman" w:eastAsia="宋体"/>
      <w:sz w:val="24"/>
    </w:rPr>
  </w:style>
  <w:style w:type="character" w:customStyle="1" w:styleId="47">
    <w:name w:val="表格 Char"/>
    <w:link w:val="48"/>
    <w:qFormat/>
    <w:locked/>
    <w:uiPriority w:val="0"/>
    <w:rPr>
      <w:rFonts w:ascii="宋体"/>
      <w:sz w:val="21"/>
    </w:rPr>
  </w:style>
  <w:style w:type="paragraph" w:customStyle="1" w:styleId="48">
    <w:name w:val="表格"/>
    <w:basedOn w:val="1"/>
    <w:next w:val="7"/>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批注文字 字符1"/>
    <w:semiHidden/>
    <w:qFormat/>
    <w:uiPriority w:val="0"/>
    <w:rPr>
      <w:rFonts w:ascii="Times New Roman" w:hAnsi="Times New Roman" w:eastAsia="宋体"/>
      <w:sz w:val="24"/>
    </w:rPr>
  </w:style>
  <w:style w:type="character" w:customStyle="1" w:styleId="50">
    <w:name w:val="日期 字符"/>
    <w:semiHidden/>
    <w:qFormat/>
    <w:uiPriority w:val="0"/>
    <w:rPr>
      <w:rFonts w:ascii="Times New Roman" w:hAnsi="Times New Roman" w:eastAsia="宋体"/>
      <w:sz w:val="24"/>
    </w:rPr>
  </w:style>
  <w:style w:type="character" w:customStyle="1" w:styleId="51">
    <w:name w:val="页脚 字符"/>
    <w:qFormat/>
    <w:uiPriority w:val="99"/>
  </w:style>
  <w:style w:type="paragraph" w:customStyle="1" w:styleId="52">
    <w:name w:val="表"/>
    <w:qFormat/>
    <w:uiPriority w:val="0"/>
    <w:pPr>
      <w:widowControl w:val="0"/>
      <w:spacing w:line="44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53">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54">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No Spacing"/>
    <w:basedOn w:val="1"/>
    <w:qFormat/>
    <w:uiPriority w:val="0"/>
    <w:pPr>
      <w:autoSpaceDE w:val="0"/>
      <w:autoSpaceDN w:val="0"/>
      <w:adjustRightInd w:val="0"/>
      <w:spacing w:line="360" w:lineRule="auto"/>
      <w:jc w:val="center"/>
    </w:pPr>
    <w:rPr>
      <w:kern w:val="0"/>
      <w:sz w:val="24"/>
    </w:rPr>
  </w:style>
  <w:style w:type="paragraph" w:customStyle="1" w:styleId="57">
    <w:name w:val="表格内容"/>
    <w:basedOn w:val="1"/>
    <w:qFormat/>
    <w:uiPriority w:val="0"/>
    <w:pPr>
      <w:jc w:val="center"/>
    </w:pPr>
  </w:style>
  <w:style w:type="paragraph" w:customStyle="1" w:styleId="58">
    <w:name w:val="制表格"/>
    <w:basedOn w:val="1"/>
    <w:qFormat/>
    <w:uiPriority w:val="0"/>
    <w:pPr>
      <w:jc w:val="center"/>
    </w:pPr>
    <w:rPr>
      <w:snapToGrid w:val="0"/>
      <w:kern w:val="0"/>
      <w:szCs w:val="28"/>
    </w:rPr>
  </w:style>
  <w:style w:type="paragraph" w:customStyle="1" w:styleId="59">
    <w:name w:val="List Paragraph"/>
    <w:basedOn w:val="1"/>
    <w:qFormat/>
    <w:uiPriority w:val="0"/>
    <w:pPr>
      <w:ind w:firstLine="420" w:firstLineChars="200"/>
    </w:pPr>
  </w:style>
  <w:style w:type="paragraph" w:customStyle="1" w:styleId="60">
    <w:name w:val="正文▲"/>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paragraph" w:customStyle="1" w:styleId="61">
    <w:name w:val="南华正文"/>
    <w:basedOn w:val="1"/>
    <w:qFormat/>
    <w:uiPriority w:val="0"/>
    <w:pPr>
      <w:tabs>
        <w:tab w:val="left" w:pos="3795"/>
      </w:tabs>
      <w:spacing w:line="360" w:lineRule="auto"/>
      <w:ind w:firstLine="482" w:firstLineChars="200"/>
      <w:jc w:val="left"/>
    </w:pPr>
    <w:rPr>
      <w:color w:val="000000"/>
      <w:sz w:val="24"/>
      <w:szCs w:val="20"/>
    </w:rPr>
  </w:style>
  <w:style w:type="paragraph" w:customStyle="1" w:styleId="62">
    <w:name w:val="表tou"/>
    <w:basedOn w:val="1"/>
    <w:qFormat/>
    <w:uiPriority w:val="99"/>
    <w:pPr>
      <w:widowControl/>
      <w:jc w:val="center"/>
    </w:pPr>
    <w:rPr>
      <w:rFonts w:ascii="Calibri" w:hAnsi="Calibri" w:cs="Calibri"/>
      <w:b/>
      <w:bCs/>
      <w:kern w:val="0"/>
      <w:sz w:val="24"/>
    </w:rPr>
  </w:style>
  <w:style w:type="paragraph" w:customStyle="1" w:styleId="63">
    <w:name w:val="副标题2"/>
    <w:basedOn w:val="1"/>
    <w:qFormat/>
    <w:uiPriority w:val="0"/>
    <w:pPr>
      <w:adjustRightInd w:val="0"/>
      <w:snapToGrid w:val="0"/>
      <w:spacing w:beforeLines="50" w:line="360" w:lineRule="auto"/>
    </w:pPr>
    <w:rPr>
      <w:b/>
      <w:sz w:val="28"/>
      <w:szCs w:val="21"/>
    </w:rPr>
  </w:style>
  <w:style w:type="paragraph" w:customStyle="1" w:styleId="64">
    <w:name w:val="正文a"/>
    <w:basedOn w:val="1"/>
    <w:qFormat/>
    <w:uiPriority w:val="0"/>
    <w:pPr>
      <w:spacing w:before="50" w:beforeLines="50"/>
    </w:pPr>
    <w:rPr>
      <w:b/>
    </w:rPr>
  </w:style>
  <w:style w:type="paragraph" w:customStyle="1" w:styleId="65">
    <w:name w:val="三级标题"/>
    <w:basedOn w:val="1"/>
    <w:qFormat/>
    <w:uiPriority w:val="0"/>
    <w:pPr>
      <w:autoSpaceDE w:val="0"/>
      <w:autoSpaceDN w:val="0"/>
      <w:adjustRightInd w:val="0"/>
      <w:spacing w:before="120" w:after="120" w:line="440" w:lineRule="exact"/>
      <w:jc w:val="left"/>
    </w:pPr>
    <w:rPr>
      <w:rFonts w:ascii="黑体" w:hAnsi="ˎ̥" w:eastAsia="黑体" w:cs="宋体"/>
      <w:sz w:val="28"/>
      <w:szCs w:val="28"/>
    </w:rPr>
  </w:style>
  <w:style w:type="paragraph" w:customStyle="1" w:styleId="66">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6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8">
    <w:name w:val="正文1"/>
    <w:basedOn w:val="1"/>
    <w:next w:val="1"/>
    <w:qFormat/>
    <w:uiPriority w:val="0"/>
    <w:pPr>
      <w:spacing w:line="360" w:lineRule="auto"/>
      <w:ind w:firstLine="200" w:firstLineChars="200"/>
    </w:pPr>
    <w:rPr>
      <w:sz w:val="24"/>
      <w:szCs w:val="22"/>
    </w:rPr>
  </w:style>
  <w:style w:type="paragraph" w:customStyle="1" w:styleId="69">
    <w:name w:val="F正文"/>
    <w:basedOn w:val="1"/>
    <w:qFormat/>
    <w:uiPriority w:val="0"/>
    <w:pPr>
      <w:ind w:firstLine="480"/>
      <w:jc w:val="left"/>
    </w:pPr>
    <w:rPr>
      <w:kern w:val="0"/>
    </w:rPr>
  </w:style>
  <w:style w:type="paragraph" w:customStyle="1" w:styleId="70">
    <w:name w:val="正文环评"/>
    <w:basedOn w:val="1"/>
    <w:qFormat/>
    <w:uiPriority w:val="0"/>
    <w:rPr>
      <w:szCs w:val="22"/>
    </w:rPr>
  </w:style>
  <w:style w:type="paragraph" w:customStyle="1" w:styleId="7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2">
    <w:name w:val="1正文段落"/>
    <w:basedOn w:val="1"/>
    <w:qFormat/>
    <w:uiPriority w:val="0"/>
    <w:rPr>
      <w:snapToGrid w:val="0"/>
      <w:kern w:val="0"/>
    </w:rPr>
  </w:style>
  <w:style w:type="paragraph" w:customStyle="1" w:styleId="73">
    <w:name w:val="iceant内"/>
    <w:basedOn w:val="1"/>
    <w:qFormat/>
    <w:uiPriority w:val="0"/>
    <w:pPr>
      <w:jc w:val="center"/>
    </w:pPr>
    <w:rPr>
      <w:szCs w:val="21"/>
    </w:rPr>
  </w:style>
  <w:style w:type="paragraph" w:customStyle="1" w:styleId="74">
    <w:name w:val="表内"/>
    <w:basedOn w:val="1"/>
    <w:qFormat/>
    <w:uiPriority w:val="0"/>
    <w:pPr>
      <w:spacing w:line="360" w:lineRule="exact"/>
      <w:jc w:val="center"/>
    </w:pPr>
  </w:style>
  <w:style w:type="paragraph" w:customStyle="1" w:styleId="75">
    <w:name w:val="南华表标题"/>
    <w:basedOn w:val="61"/>
    <w:qFormat/>
    <w:uiPriority w:val="0"/>
    <w:pPr>
      <w:spacing w:before="156" w:beforeLines="50" w:after="156" w:afterLines="50"/>
      <w:ind w:firstLine="0" w:firstLineChars="0"/>
      <w:jc w:val="center"/>
    </w:pPr>
    <w:rPr>
      <w:b/>
    </w:rPr>
  </w:style>
  <w:style w:type="paragraph" w:customStyle="1" w:styleId="76">
    <w:name w:val="环评正文"/>
    <w:basedOn w:val="1"/>
    <w:qFormat/>
    <w:uiPriority w:val="0"/>
    <w:pPr>
      <w:spacing w:line="360" w:lineRule="auto"/>
      <w:ind w:firstLine="480" w:firstLineChars="200"/>
    </w:pPr>
    <w:rPr>
      <w:rFonts w:hAnsi="宋体"/>
      <w:kern w:val="0"/>
      <w:sz w:val="24"/>
    </w:rPr>
  </w:style>
  <w:style w:type="paragraph" w:customStyle="1" w:styleId="77">
    <w:name w:val="表中值"/>
    <w:basedOn w:val="1"/>
    <w:qFormat/>
    <w:uiPriority w:val="0"/>
    <w:pPr>
      <w:keepLines/>
      <w:widowControl/>
      <w:spacing w:line="360" w:lineRule="exact"/>
      <w:jc w:val="center"/>
    </w:pPr>
    <w:rPr>
      <w:spacing w:val="4"/>
      <w:szCs w:val="20"/>
    </w:rPr>
  </w:style>
  <w:style w:type="paragraph" w:customStyle="1" w:styleId="78">
    <w:name w:val="报告表格"/>
    <w:basedOn w:val="1"/>
    <w:qFormat/>
    <w:uiPriority w:val="0"/>
    <w:pPr>
      <w:autoSpaceDE w:val="0"/>
      <w:autoSpaceDN w:val="0"/>
      <w:adjustRightInd w:val="0"/>
      <w:spacing w:before="40" w:after="40"/>
      <w:jc w:val="center"/>
    </w:pPr>
    <w:rPr>
      <w:kern w:val="0"/>
    </w:rPr>
  </w:style>
  <w:style w:type="paragraph" w:customStyle="1" w:styleId="79">
    <w:name w:val="xl27"/>
    <w:basedOn w:val="1"/>
    <w:qFormat/>
    <w:uiPriority w:val="99"/>
    <w:pPr>
      <w:widowControl/>
      <w:pBdr>
        <w:left w:val="single" w:color="auto" w:sz="8" w:space="0"/>
        <w:bottom w:val="single" w:color="auto" w:sz="4" w:space="0"/>
        <w:right w:val="single" w:color="auto" w:sz="4" w:space="0"/>
      </w:pBdr>
      <w:spacing w:before="100" w:beforeAutospacing="1" w:after="100" w:afterAutospacing="1"/>
      <w:jc w:val="center"/>
    </w:pPr>
    <w:rPr>
      <w:kern w:val="0"/>
      <w:sz w:val="24"/>
    </w:rPr>
  </w:style>
  <w:style w:type="paragraph" w:customStyle="1" w:styleId="80">
    <w:name w:val="表格标题："/>
    <w:basedOn w:val="1"/>
    <w:qFormat/>
    <w:uiPriority w:val="0"/>
    <w:pPr>
      <w:adjustRightInd w:val="0"/>
      <w:snapToGrid w:val="0"/>
      <w:jc w:val="center"/>
      <w:textAlignment w:val="baseline"/>
    </w:pPr>
    <w:rPr>
      <w:rFonts w:eastAsia="黑体"/>
      <w:b/>
      <w:bCs/>
      <w:szCs w:val="21"/>
    </w:rPr>
  </w:style>
  <w:style w:type="paragraph" w:customStyle="1" w:styleId="81">
    <w:name w:val="p0"/>
    <w:basedOn w:val="1"/>
    <w:qFormat/>
    <w:uiPriority w:val="0"/>
    <w:pPr>
      <w:widowControl/>
      <w:spacing w:line="432" w:lineRule="auto"/>
      <w:jc w:val="left"/>
    </w:pPr>
    <w:rPr>
      <w:rFonts w:ascii="ˎ̥" w:hAnsi="ˎ̥" w:cs="宋体"/>
      <w:sz w:val="16"/>
      <w:szCs w:val="16"/>
    </w:rPr>
  </w:style>
  <w:style w:type="paragraph" w:customStyle="1" w:styleId="82">
    <w:name w:val="3333"/>
    <w:basedOn w:val="5"/>
    <w:qFormat/>
    <w:uiPriority w:val="0"/>
    <w:pPr>
      <w:keepLines/>
      <w:spacing w:line="360" w:lineRule="auto"/>
    </w:pPr>
    <w:rPr>
      <w:rFonts w:ascii="Times New Roman" w:hAnsi="Times New Roman"/>
      <w:sz w:val="28"/>
      <w:szCs w:val="32"/>
    </w:rPr>
  </w:style>
  <w:style w:type="table" w:customStyle="1" w:styleId="83">
    <w:name w:val="Table Normal"/>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paragraph" w:customStyle="1" w:styleId="84">
    <w:name w:val="正文 首行缩进:  2 字符"/>
    <w:basedOn w:val="1"/>
    <w:link w:val="85"/>
    <w:qFormat/>
    <w:uiPriority w:val="0"/>
    <w:pPr>
      <w:adjustRightInd w:val="0"/>
      <w:snapToGrid w:val="0"/>
      <w:spacing w:line="500" w:lineRule="exact"/>
      <w:ind w:firstLine="200" w:firstLineChars="200"/>
      <w:jc w:val="left"/>
    </w:pPr>
    <w:rPr>
      <w:rFonts w:ascii="Calibri" w:hAnsi="Calibri" w:cs="宋体"/>
      <w:sz w:val="24"/>
      <w:szCs w:val="20"/>
    </w:rPr>
  </w:style>
  <w:style w:type="character" w:customStyle="1" w:styleId="85">
    <w:name w:val="正文 首行缩进:  2 字符 Char"/>
    <w:link w:val="84"/>
    <w:qFormat/>
    <w:uiPriority w:val="0"/>
    <w:rPr>
      <w:rFonts w:ascii="Calibri" w:hAnsi="Calibri" w:cs="宋体"/>
      <w:kern w:val="2"/>
      <w:sz w:val="24"/>
    </w:rPr>
  </w:style>
  <w:style w:type="character" w:customStyle="1" w:styleId="86">
    <w:name w:val="ref"/>
    <w:qFormat/>
    <w:uiPriority w:val="0"/>
  </w:style>
  <w:style w:type="character" w:customStyle="1" w:styleId="87">
    <w:name w:val="纯文本 字符"/>
    <w:link w:val="2"/>
    <w:qFormat/>
    <w:uiPriority w:val="99"/>
    <w:rPr>
      <w:rFonts w:ascii="宋体" w:hAnsi="Courier New"/>
      <w:kern w:val="2"/>
      <w:sz w:val="28"/>
    </w:rPr>
  </w:style>
  <w:style w:type="paragraph" w:customStyle="1" w:styleId="88">
    <w:name w:val="表格文字"/>
    <w:basedOn w:val="1"/>
    <w:next w:val="1"/>
    <w:link w:val="89"/>
    <w:qFormat/>
    <w:uiPriority w:val="0"/>
    <w:pPr>
      <w:jc w:val="center"/>
    </w:pPr>
    <w:rPr>
      <w:lang w:bidi="th-TH"/>
    </w:rPr>
  </w:style>
  <w:style w:type="character" w:customStyle="1" w:styleId="89">
    <w:name w:val="表格文字 Char"/>
    <w:link w:val="88"/>
    <w:qFormat/>
    <w:uiPriority w:val="0"/>
    <w:rPr>
      <w:kern w:val="2"/>
      <w:sz w:val="21"/>
      <w:szCs w:val="24"/>
      <w:lang w:bidi="th-TH"/>
    </w:rPr>
  </w:style>
  <w:style w:type="character" w:customStyle="1" w:styleId="90">
    <w:name w:val="font31"/>
    <w:qFormat/>
    <w:uiPriority w:val="0"/>
    <w:rPr>
      <w:rFonts w:hint="eastAsia" w:ascii="宋体" w:hAnsi="宋体" w:eastAsia="宋体"/>
      <w:color w:val="000000"/>
      <w:sz w:val="20"/>
      <w:szCs w:val="20"/>
      <w:u w:val="none"/>
    </w:rPr>
  </w:style>
  <w:style w:type="character" w:customStyle="1" w:styleId="91">
    <w:name w:val="标题 字符"/>
    <w:link w:val="21"/>
    <w:qFormat/>
    <w:uiPriority w:val="0"/>
    <w:rPr>
      <w:snapToGrid w:val="0"/>
      <w:sz w:val="21"/>
    </w:rPr>
  </w:style>
  <w:style w:type="character" w:customStyle="1" w:styleId="92">
    <w:name w:val="样式21 Char"/>
    <w:link w:val="93"/>
    <w:qFormat/>
    <w:uiPriority w:val="0"/>
    <w:rPr>
      <w:color w:val="000000"/>
      <w:sz w:val="26"/>
      <w:szCs w:val="26"/>
    </w:rPr>
  </w:style>
  <w:style w:type="paragraph" w:customStyle="1" w:styleId="93">
    <w:name w:val="样式21"/>
    <w:basedOn w:val="1"/>
    <w:link w:val="92"/>
    <w:qFormat/>
    <w:uiPriority w:val="0"/>
    <w:pPr>
      <w:spacing w:line="480" w:lineRule="exact"/>
      <w:ind w:firstLine="520" w:firstLineChars="200"/>
    </w:pPr>
    <w:rPr>
      <w:color w:val="000000"/>
      <w:kern w:val="0"/>
      <w:sz w:val="26"/>
      <w:szCs w:val="26"/>
    </w:rPr>
  </w:style>
  <w:style w:type="paragraph" w:customStyle="1" w:styleId="94">
    <w:name w:val="表头"/>
    <w:basedOn w:val="1"/>
    <w:link w:val="95"/>
    <w:qFormat/>
    <w:uiPriority w:val="0"/>
    <w:pPr>
      <w:spacing w:line="360" w:lineRule="auto"/>
      <w:jc w:val="center"/>
    </w:pPr>
    <w:rPr>
      <w:rFonts w:cstheme="minorBidi"/>
      <w:b/>
      <w:sz w:val="24"/>
      <w:szCs w:val="22"/>
    </w:rPr>
  </w:style>
  <w:style w:type="character" w:customStyle="1" w:styleId="95">
    <w:name w:val="表头 Char"/>
    <w:link w:val="94"/>
    <w:qFormat/>
    <w:uiPriority w:val="0"/>
    <w:rPr>
      <w:rFonts w:cstheme="minorBidi"/>
      <w:b/>
      <w:kern w:val="2"/>
      <w:sz w:val="24"/>
      <w:szCs w:val="22"/>
    </w:rPr>
  </w:style>
  <w:style w:type="paragraph" w:customStyle="1" w:styleId="96">
    <w:name w:val="Char Char1 Char"/>
    <w:basedOn w:val="1"/>
    <w:semiHidden/>
    <w:qFormat/>
    <w:uiPriority w:val="0"/>
  </w:style>
  <w:style w:type="paragraph" w:customStyle="1" w:styleId="97">
    <w:name w:val="段"/>
    <w:qFormat/>
    <w:uiPriority w:val="0"/>
    <w:pPr>
      <w:autoSpaceDE w:val="0"/>
      <w:autoSpaceDN w:val="0"/>
      <w:ind w:firstLine="200" w:firstLineChars="200"/>
      <w:jc w:val="both"/>
    </w:pPr>
    <w:rPr>
      <w:rFonts w:ascii="宋体" w:hAnsi="Times New Roman" w:eastAsia="宋体" w:cs="Times New Roman"/>
      <w:sz w:val="21"/>
      <w:szCs w:val="22"/>
      <w:lang w:val="zh-CN" w:eastAsia="zh-CN" w:bidi="ar-SA"/>
    </w:rPr>
  </w:style>
  <w:style w:type="paragraph" w:customStyle="1" w:styleId="98">
    <w:name w:val="Char"/>
    <w:basedOn w:val="1"/>
    <w:qFormat/>
    <w:uiPriority w:val="0"/>
    <w:pPr>
      <w:widowControl/>
      <w:spacing w:after="160" w:line="240" w:lineRule="exact"/>
      <w:jc w:val="left"/>
    </w:pPr>
  </w:style>
  <w:style w:type="paragraph" w:customStyle="1" w:styleId="99">
    <w:name w:val="Char1"/>
    <w:basedOn w:val="1"/>
    <w:qFormat/>
    <w:uiPriority w:val="0"/>
    <w:pPr>
      <w:widowControl/>
      <w:spacing w:after="160" w:line="240" w:lineRule="exact"/>
      <w:jc w:val="left"/>
    </w:pPr>
  </w:style>
  <w:style w:type="paragraph" w:customStyle="1" w:styleId="100">
    <w:name w:val="表内容"/>
    <w:basedOn w:val="1"/>
    <w:next w:val="1"/>
    <w:qFormat/>
    <w:uiPriority w:val="0"/>
    <w:pPr>
      <w:adjustRightInd w:val="0"/>
      <w:snapToGrid w:val="0"/>
      <w:spacing w:line="0" w:lineRule="atLeast"/>
      <w:jc w:val="center"/>
    </w:pPr>
  </w:style>
  <w:style w:type="paragraph" w:customStyle="1" w:styleId="101">
    <w:name w:val="BG正文"/>
    <w:basedOn w:val="20"/>
    <w:qFormat/>
    <w:uiPriority w:val="0"/>
    <w:pPr>
      <w:adjustRightInd w:val="0"/>
      <w:spacing w:before="0" w:beforeAutospacing="0" w:after="0" w:afterAutospacing="0" w:line="360" w:lineRule="auto"/>
      <w:ind w:firstLine="480" w:firstLineChars="200"/>
    </w:pPr>
    <w:rPr>
      <w:kern w:val="2"/>
    </w:rPr>
  </w:style>
  <w:style w:type="paragraph" w:customStyle="1" w:styleId="102">
    <w:name w:val="六表内容"/>
    <w:basedOn w:val="1"/>
    <w:qFormat/>
    <w:uiPriority w:val="0"/>
    <w:pPr>
      <w:spacing w:line="340" w:lineRule="exact"/>
      <w:jc w:val="center"/>
    </w:pPr>
    <w:rPr>
      <w:szCs w:val="21"/>
    </w:rPr>
  </w:style>
  <w:style w:type="character" w:customStyle="1" w:styleId="103">
    <w:name w:val="标题 2 字符"/>
    <w:basedOn w:val="27"/>
    <w:link w:val="4"/>
    <w:semiHidden/>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emf"/><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BF9AD1-D893-4648-9CDB-04FEED169440}">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58</Pages>
  <Words>35505</Words>
  <Characters>40271</Characters>
  <Lines>330</Lines>
  <Paragraphs>93</Paragraphs>
  <TotalTime>6</TotalTime>
  <ScaleCrop>false</ScaleCrop>
  <LinksUpToDate>false</LinksUpToDate>
  <CharactersWithSpaces>40728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2022-07-07T00:23:00Z</dcterms:created>
  <dc:creator>lhj</dc:creator>
  <cp:lastModifiedBy>刘变香</cp:lastModifiedBy>
  <cp:lastPrinted>2022-06-23T09:33:00Z</cp:lastPrinted>
  <dcterms:modified xsi:type="dcterms:W3CDTF">2024-11-18T02:37:21Z</dcterms:modified>
  <dc:title>附件2</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SaveFontToCloudKey">
    <vt:lpwstr>197814858_btnclosed</vt:lpwstr>
  </property>
  <property fmtid="{D5CDD505-2E9C-101B-9397-08002B2CF9AE}" pid="4" name="ICV">
    <vt:lpwstr>DAB473325F334C57826D5139D0906A54</vt:lpwstr>
  </property>
</Properties>
</file>