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72B00">
      <w:pPr>
        <w:pStyle w:val="3"/>
        <w:keepNext w:val="0"/>
        <w:keepLines w:val="0"/>
        <w:spacing w:before="0" w:after="0" w:line="360" w:lineRule="auto"/>
        <w:ind w:left="105" w:leftChars="50" w:right="105" w:rightChars="50" w:firstLine="138" w:firstLineChars="49"/>
        <w:rPr>
          <w:rFonts w:ascii="Times New Roman" w:hAnsi="Times New Roman" w:cs="Times New Roman"/>
          <w:color w:val="000000" w:themeColor="text1"/>
          <w:sz w:val="28"/>
          <w:szCs w:val="24"/>
        </w:rPr>
      </w:pPr>
      <w:r>
        <w:rPr>
          <w:rFonts w:ascii="Times New Roman" w:hAnsi="Times New Roman" w:cs="Times New Roman"/>
          <w:color w:val="000000" w:themeColor="text1"/>
          <w:sz w:val="28"/>
          <w:szCs w:val="24"/>
        </w:rPr>
        <w:t>表一、建设项目基本情况</w:t>
      </w:r>
    </w:p>
    <w:tbl>
      <w:tblPr>
        <w:tblStyle w:val="39"/>
        <w:tblW w:w="98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738"/>
        <w:gridCol w:w="1586"/>
        <w:gridCol w:w="1536"/>
        <w:gridCol w:w="1822"/>
        <w:gridCol w:w="1769"/>
        <w:gridCol w:w="1388"/>
      </w:tblGrid>
      <w:tr w14:paraId="50CDA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0C85C836">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项目名称</w:t>
            </w:r>
          </w:p>
        </w:tc>
        <w:tc>
          <w:tcPr>
            <w:tcW w:w="8079" w:type="dxa"/>
            <w:gridSpan w:val="5"/>
            <w:tcBorders>
              <w:top w:val="single" w:color="auto" w:sz="6" w:space="0"/>
              <w:left w:val="single" w:color="auto" w:sz="6" w:space="0"/>
              <w:bottom w:val="single" w:color="auto" w:sz="6" w:space="0"/>
              <w:right w:val="single" w:color="auto" w:sz="6" w:space="0"/>
            </w:tcBorders>
            <w:vAlign w:val="center"/>
          </w:tcPr>
          <w:p w14:paraId="134D6EE4">
            <w:pPr>
              <w:ind w:left="50" w:right="50"/>
              <w:jc w:val="center"/>
              <w:rPr>
                <w:rFonts w:ascii="Times New Roman" w:hAnsi="Times New Roman" w:cs="Times New Roman"/>
                <w:color w:val="000000" w:themeColor="text1"/>
                <w:sz w:val="24"/>
              </w:rPr>
            </w:pPr>
            <w:r>
              <w:rPr>
                <w:rFonts w:ascii="Times New Roman" w:hAnsi="Times New Roman" w:cs="Times New Roman"/>
                <w:bCs/>
                <w:color w:val="000000" w:themeColor="text1"/>
                <w:sz w:val="24"/>
              </w:rPr>
              <w:t>芒市勐戛镇天天废品回收店芒市废塑料瓶破碎项目</w:t>
            </w:r>
          </w:p>
        </w:tc>
      </w:tr>
      <w:tr w14:paraId="60FDC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6D2E668C">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建设单位</w:t>
            </w:r>
          </w:p>
        </w:tc>
        <w:tc>
          <w:tcPr>
            <w:tcW w:w="8079" w:type="dxa"/>
            <w:gridSpan w:val="5"/>
            <w:tcBorders>
              <w:top w:val="single" w:color="auto" w:sz="6" w:space="0"/>
              <w:left w:val="single" w:color="auto" w:sz="6" w:space="0"/>
              <w:bottom w:val="single" w:color="auto" w:sz="6" w:space="0"/>
              <w:right w:val="single" w:color="auto" w:sz="6" w:space="0"/>
            </w:tcBorders>
            <w:vAlign w:val="center"/>
          </w:tcPr>
          <w:p w14:paraId="6B17F448">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bCs/>
                <w:color w:val="000000" w:themeColor="text1"/>
                <w:sz w:val="24"/>
              </w:rPr>
              <w:t>芒市勐戛镇天天废品回收店</w:t>
            </w:r>
          </w:p>
        </w:tc>
      </w:tr>
      <w:tr w14:paraId="0987C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5B70C385">
            <w:pPr>
              <w:ind w:left="50" w:right="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法人代表</w:t>
            </w:r>
          </w:p>
        </w:tc>
        <w:tc>
          <w:tcPr>
            <w:tcW w:w="3056" w:type="dxa"/>
            <w:gridSpan w:val="2"/>
            <w:tcBorders>
              <w:top w:val="single" w:color="auto" w:sz="6" w:space="0"/>
              <w:left w:val="single" w:color="auto" w:sz="6" w:space="0"/>
              <w:bottom w:val="single" w:color="auto" w:sz="6" w:space="0"/>
              <w:right w:val="single" w:color="auto" w:sz="6" w:space="0"/>
            </w:tcBorders>
            <w:vAlign w:val="center"/>
          </w:tcPr>
          <w:p w14:paraId="7578A64E">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刘永林</w:t>
            </w:r>
          </w:p>
        </w:tc>
        <w:tc>
          <w:tcPr>
            <w:tcW w:w="1841" w:type="dxa"/>
            <w:tcBorders>
              <w:top w:val="single" w:color="auto" w:sz="6" w:space="0"/>
              <w:left w:val="single" w:color="auto" w:sz="6" w:space="0"/>
              <w:bottom w:val="single" w:color="auto" w:sz="6" w:space="0"/>
              <w:right w:val="single" w:color="auto" w:sz="6" w:space="0"/>
            </w:tcBorders>
            <w:vAlign w:val="center"/>
          </w:tcPr>
          <w:p w14:paraId="00D69D88">
            <w:pPr>
              <w:ind w:left="105" w:leftChars="50" w:right="105" w:rightChars="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联系人</w:t>
            </w:r>
          </w:p>
        </w:tc>
        <w:tc>
          <w:tcPr>
            <w:tcW w:w="3182" w:type="dxa"/>
            <w:gridSpan w:val="2"/>
            <w:tcBorders>
              <w:top w:val="single" w:color="auto" w:sz="6" w:space="0"/>
              <w:left w:val="single" w:color="auto" w:sz="6" w:space="0"/>
              <w:bottom w:val="single" w:color="auto" w:sz="6" w:space="0"/>
              <w:right w:val="single" w:color="auto" w:sz="6" w:space="0"/>
            </w:tcBorders>
            <w:vAlign w:val="center"/>
          </w:tcPr>
          <w:p w14:paraId="2041FC67">
            <w:pPr>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左承</w:t>
            </w:r>
          </w:p>
        </w:tc>
      </w:tr>
      <w:tr w14:paraId="7D68C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2A3B2D7D">
            <w:pPr>
              <w:ind w:left="50" w:right="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通讯地址</w:t>
            </w:r>
          </w:p>
        </w:tc>
        <w:tc>
          <w:tcPr>
            <w:tcW w:w="8079" w:type="dxa"/>
            <w:gridSpan w:val="5"/>
            <w:tcBorders>
              <w:top w:val="single" w:color="auto" w:sz="6" w:space="0"/>
              <w:left w:val="single" w:color="auto" w:sz="6" w:space="0"/>
              <w:bottom w:val="single" w:color="auto" w:sz="6" w:space="0"/>
              <w:right w:val="single" w:color="auto" w:sz="6" w:space="0"/>
            </w:tcBorders>
            <w:vAlign w:val="center"/>
          </w:tcPr>
          <w:p w14:paraId="7F0F21D2">
            <w:pPr>
              <w:spacing w:before="20" w:after="20"/>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德宏傣族景颇族自治州芒市勐戛镇勐旺村民委员会拱弄场村</w:t>
            </w:r>
          </w:p>
        </w:tc>
      </w:tr>
      <w:tr w14:paraId="14A80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7A419F09">
            <w:pPr>
              <w:ind w:left="50" w:right="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联系电话</w:t>
            </w:r>
          </w:p>
        </w:tc>
        <w:tc>
          <w:tcPr>
            <w:tcW w:w="1507" w:type="dxa"/>
            <w:tcBorders>
              <w:top w:val="single" w:color="auto" w:sz="6" w:space="0"/>
              <w:left w:val="single" w:color="auto" w:sz="6" w:space="0"/>
              <w:bottom w:val="single" w:color="auto" w:sz="6" w:space="0"/>
              <w:right w:val="single" w:color="auto" w:sz="6" w:space="0"/>
            </w:tcBorders>
            <w:vAlign w:val="center"/>
          </w:tcPr>
          <w:p w14:paraId="1F9F490D">
            <w:pPr>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189</w:t>
            </w:r>
            <w:r>
              <w:rPr>
                <w:rFonts w:hint="eastAsia" w:ascii="Times New Roman" w:hAnsi="Times New Roman" w:cs="Times New Roman"/>
                <w:bCs/>
                <w:color w:val="000000" w:themeColor="text1"/>
                <w:sz w:val="24"/>
                <w:lang w:val="en-US" w:eastAsia="zh-CN"/>
              </w:rPr>
              <w:t>*****</w:t>
            </w:r>
            <w:r>
              <w:rPr>
                <w:rFonts w:ascii="Times New Roman" w:hAnsi="Times New Roman" w:cs="Times New Roman"/>
                <w:bCs/>
                <w:color w:val="000000" w:themeColor="text1"/>
                <w:sz w:val="24"/>
              </w:rPr>
              <w:t>905</w:t>
            </w:r>
          </w:p>
        </w:tc>
        <w:tc>
          <w:tcPr>
            <w:tcW w:w="1549" w:type="dxa"/>
            <w:tcBorders>
              <w:top w:val="single" w:color="auto" w:sz="6" w:space="0"/>
              <w:left w:val="single" w:color="auto" w:sz="6" w:space="0"/>
              <w:bottom w:val="single" w:color="auto" w:sz="6" w:space="0"/>
              <w:right w:val="single" w:color="auto" w:sz="6" w:space="0"/>
            </w:tcBorders>
            <w:vAlign w:val="center"/>
          </w:tcPr>
          <w:p w14:paraId="4446B9D0">
            <w:pPr>
              <w:ind w:left="105" w:leftChars="50" w:right="105" w:rightChars="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传真</w:t>
            </w:r>
          </w:p>
        </w:tc>
        <w:tc>
          <w:tcPr>
            <w:tcW w:w="1841" w:type="dxa"/>
            <w:tcBorders>
              <w:top w:val="single" w:color="auto" w:sz="6" w:space="0"/>
              <w:left w:val="single" w:color="auto" w:sz="6" w:space="0"/>
              <w:bottom w:val="single" w:color="auto" w:sz="6" w:space="0"/>
              <w:right w:val="single" w:color="auto" w:sz="6" w:space="0"/>
            </w:tcBorders>
            <w:vAlign w:val="center"/>
          </w:tcPr>
          <w:p w14:paraId="0F24FA5D">
            <w:pPr>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w:t>
            </w:r>
          </w:p>
        </w:tc>
        <w:tc>
          <w:tcPr>
            <w:tcW w:w="1787" w:type="dxa"/>
            <w:tcBorders>
              <w:top w:val="single" w:color="auto" w:sz="6" w:space="0"/>
              <w:left w:val="single" w:color="auto" w:sz="6" w:space="0"/>
              <w:bottom w:val="single" w:color="auto" w:sz="6" w:space="0"/>
              <w:right w:val="single" w:color="auto" w:sz="6" w:space="0"/>
            </w:tcBorders>
            <w:vAlign w:val="center"/>
          </w:tcPr>
          <w:p w14:paraId="5D345BD7">
            <w:pPr>
              <w:ind w:left="105" w:leftChars="50" w:right="105" w:rightChars="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邮编</w:t>
            </w:r>
          </w:p>
        </w:tc>
        <w:tc>
          <w:tcPr>
            <w:tcW w:w="1395" w:type="dxa"/>
            <w:tcBorders>
              <w:top w:val="single" w:color="auto" w:sz="6" w:space="0"/>
              <w:left w:val="single" w:color="auto" w:sz="6" w:space="0"/>
              <w:bottom w:val="single" w:color="auto" w:sz="6" w:space="0"/>
              <w:right w:val="single" w:color="auto" w:sz="6" w:space="0"/>
            </w:tcBorders>
            <w:vAlign w:val="center"/>
          </w:tcPr>
          <w:p w14:paraId="1D90D5B9">
            <w:pPr>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678405</w:t>
            </w:r>
          </w:p>
        </w:tc>
      </w:tr>
      <w:tr w14:paraId="79937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6FA5EB46">
            <w:pPr>
              <w:ind w:left="50" w:right="50"/>
              <w:jc w:val="center"/>
              <w:rPr>
                <w:rFonts w:ascii="Times New Roman" w:hAnsi="Times New Roman" w:cs="Times New Roman"/>
                <w:b/>
                <w:bCs/>
                <w:color w:val="000000" w:themeColor="text1"/>
                <w:sz w:val="24"/>
              </w:rPr>
            </w:pPr>
            <w:r>
              <w:rPr>
                <w:rFonts w:ascii="Times New Roman" w:hAnsi="Times New Roman" w:cs="Times New Roman"/>
                <w:b/>
                <w:bCs/>
                <w:color w:val="000000" w:themeColor="text1"/>
                <w:sz w:val="24"/>
              </w:rPr>
              <w:t>建设地点</w:t>
            </w:r>
          </w:p>
        </w:tc>
        <w:tc>
          <w:tcPr>
            <w:tcW w:w="8079" w:type="dxa"/>
            <w:gridSpan w:val="5"/>
            <w:tcBorders>
              <w:top w:val="single" w:color="auto" w:sz="6" w:space="0"/>
              <w:left w:val="single" w:color="auto" w:sz="6" w:space="0"/>
              <w:bottom w:val="single" w:color="auto" w:sz="6" w:space="0"/>
              <w:right w:val="single" w:color="auto" w:sz="6" w:space="0"/>
            </w:tcBorders>
            <w:vAlign w:val="center"/>
          </w:tcPr>
          <w:p w14:paraId="28DDA609">
            <w:pPr>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德宏傣族景颇族自治州芒市勐戛镇勐旺村民委员会拱弄场村</w:t>
            </w:r>
          </w:p>
          <w:p w14:paraId="5B0991DA">
            <w:pPr>
              <w:ind w:left="105" w:leftChars="50" w:right="105" w:rightChars="50"/>
              <w:jc w:val="center"/>
              <w:rPr>
                <w:rFonts w:ascii="Times New Roman" w:hAnsi="Times New Roman" w:cs="Times New Roman"/>
                <w:bCs/>
                <w:color w:val="000000" w:themeColor="text1"/>
                <w:sz w:val="24"/>
              </w:rPr>
            </w:pPr>
            <w:r>
              <w:rPr>
                <w:rFonts w:ascii="Times New Roman" w:hAnsi="Times New Roman" w:cs="Times New Roman"/>
                <w:bCs/>
                <w:color w:val="000000" w:themeColor="text1"/>
                <w:sz w:val="24"/>
              </w:rPr>
              <w:t>北纬24°19′20.94″东经98°34′50.70″</w:t>
            </w:r>
          </w:p>
        </w:tc>
      </w:tr>
      <w:tr w14:paraId="5E8CF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05BB101D">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立项审批部门</w:t>
            </w:r>
          </w:p>
        </w:tc>
        <w:tc>
          <w:tcPr>
            <w:tcW w:w="3056" w:type="dxa"/>
            <w:gridSpan w:val="2"/>
            <w:tcBorders>
              <w:top w:val="single" w:color="auto" w:sz="6" w:space="0"/>
              <w:left w:val="single" w:color="auto" w:sz="6" w:space="0"/>
              <w:bottom w:val="single" w:color="auto" w:sz="6" w:space="0"/>
              <w:right w:val="single" w:color="auto" w:sz="6" w:space="0"/>
            </w:tcBorders>
            <w:vAlign w:val="center"/>
          </w:tcPr>
          <w:p w14:paraId="01C6C0FF">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p>
        </w:tc>
        <w:tc>
          <w:tcPr>
            <w:tcW w:w="1841" w:type="dxa"/>
            <w:tcBorders>
              <w:top w:val="single" w:color="auto" w:sz="6" w:space="0"/>
              <w:left w:val="single" w:color="auto" w:sz="6" w:space="0"/>
              <w:bottom w:val="single" w:color="auto" w:sz="6" w:space="0"/>
              <w:right w:val="single" w:color="auto" w:sz="6" w:space="0"/>
            </w:tcBorders>
            <w:vAlign w:val="center"/>
          </w:tcPr>
          <w:p w14:paraId="64095F04">
            <w:pPr>
              <w:ind w:left="105" w:leftChars="50" w:right="105" w:rightChars="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备案项目编号</w:t>
            </w:r>
          </w:p>
        </w:tc>
        <w:tc>
          <w:tcPr>
            <w:tcW w:w="3182" w:type="dxa"/>
            <w:gridSpan w:val="2"/>
            <w:tcBorders>
              <w:top w:val="single" w:color="auto" w:sz="6" w:space="0"/>
              <w:left w:val="single" w:color="auto" w:sz="6" w:space="0"/>
              <w:bottom w:val="single" w:color="auto" w:sz="6" w:space="0"/>
              <w:right w:val="single" w:color="auto" w:sz="6" w:space="0"/>
            </w:tcBorders>
            <w:vAlign w:val="center"/>
          </w:tcPr>
          <w:p w14:paraId="669435CC">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w:t>
            </w:r>
          </w:p>
        </w:tc>
      </w:tr>
      <w:tr w14:paraId="24190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3BEEFA03">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建设性质</w:t>
            </w:r>
          </w:p>
        </w:tc>
        <w:tc>
          <w:tcPr>
            <w:tcW w:w="3056" w:type="dxa"/>
            <w:gridSpan w:val="2"/>
            <w:tcBorders>
              <w:top w:val="single" w:color="auto" w:sz="6" w:space="0"/>
              <w:left w:val="single" w:color="auto" w:sz="6" w:space="0"/>
              <w:bottom w:val="single" w:color="auto" w:sz="6" w:space="0"/>
              <w:right w:val="single" w:color="auto" w:sz="6" w:space="0"/>
            </w:tcBorders>
            <w:vAlign w:val="center"/>
          </w:tcPr>
          <w:p w14:paraId="38336CD7">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新建√  改扩建口  技改口</w:t>
            </w:r>
          </w:p>
        </w:tc>
        <w:tc>
          <w:tcPr>
            <w:tcW w:w="1841" w:type="dxa"/>
            <w:tcBorders>
              <w:top w:val="single" w:color="auto" w:sz="6" w:space="0"/>
              <w:left w:val="single" w:color="auto" w:sz="6" w:space="0"/>
              <w:bottom w:val="single" w:color="auto" w:sz="6" w:space="0"/>
              <w:right w:val="single" w:color="auto" w:sz="6" w:space="0"/>
            </w:tcBorders>
            <w:vAlign w:val="center"/>
          </w:tcPr>
          <w:p w14:paraId="53E6E907">
            <w:pPr>
              <w:ind w:left="105" w:leftChars="50" w:right="105" w:rightChars="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行业类别及代码</w:t>
            </w:r>
          </w:p>
        </w:tc>
        <w:tc>
          <w:tcPr>
            <w:tcW w:w="3182" w:type="dxa"/>
            <w:gridSpan w:val="2"/>
            <w:tcBorders>
              <w:top w:val="single" w:color="auto" w:sz="6" w:space="0"/>
              <w:left w:val="single" w:color="auto" w:sz="6" w:space="0"/>
              <w:bottom w:val="single" w:color="auto" w:sz="6" w:space="0"/>
              <w:right w:val="single" w:color="auto" w:sz="6" w:space="0"/>
            </w:tcBorders>
            <w:vAlign w:val="center"/>
          </w:tcPr>
          <w:p w14:paraId="02AFD5A0">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C4220-非金属废料和碎屑加工处理</w:t>
            </w:r>
          </w:p>
        </w:tc>
      </w:tr>
      <w:tr w14:paraId="24F18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795177D3">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建筑面积</w:t>
            </w:r>
          </w:p>
          <w:p w14:paraId="7529B1D4">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(平方米)</w:t>
            </w:r>
          </w:p>
        </w:tc>
        <w:tc>
          <w:tcPr>
            <w:tcW w:w="3056" w:type="dxa"/>
            <w:gridSpan w:val="2"/>
            <w:tcBorders>
              <w:top w:val="single" w:color="auto" w:sz="6" w:space="0"/>
              <w:left w:val="single" w:color="auto" w:sz="6" w:space="0"/>
              <w:bottom w:val="single" w:color="auto" w:sz="6" w:space="0"/>
              <w:right w:val="single" w:color="auto" w:sz="6" w:space="0"/>
            </w:tcBorders>
            <w:vAlign w:val="center"/>
          </w:tcPr>
          <w:p w14:paraId="0C8BC53B">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800</w:t>
            </w:r>
          </w:p>
        </w:tc>
        <w:tc>
          <w:tcPr>
            <w:tcW w:w="1841" w:type="dxa"/>
            <w:tcBorders>
              <w:top w:val="single" w:color="auto" w:sz="6" w:space="0"/>
              <w:left w:val="single" w:color="auto" w:sz="6" w:space="0"/>
              <w:bottom w:val="single" w:color="auto" w:sz="6" w:space="0"/>
              <w:right w:val="single" w:color="auto" w:sz="6" w:space="0"/>
            </w:tcBorders>
            <w:vAlign w:val="center"/>
          </w:tcPr>
          <w:p w14:paraId="0991AE88">
            <w:pPr>
              <w:ind w:left="105" w:leftChars="50" w:right="105" w:rightChars="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绿化面积</w:t>
            </w:r>
          </w:p>
          <w:p w14:paraId="34C0516E">
            <w:pPr>
              <w:ind w:left="105" w:leftChars="50" w:right="105" w:rightChars="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(平方米)</w:t>
            </w:r>
          </w:p>
        </w:tc>
        <w:tc>
          <w:tcPr>
            <w:tcW w:w="3182" w:type="dxa"/>
            <w:gridSpan w:val="2"/>
            <w:tcBorders>
              <w:top w:val="single" w:color="auto" w:sz="6" w:space="0"/>
              <w:left w:val="single" w:color="auto" w:sz="6" w:space="0"/>
              <w:bottom w:val="single" w:color="auto" w:sz="6" w:space="0"/>
              <w:right w:val="single" w:color="auto" w:sz="6" w:space="0"/>
            </w:tcBorders>
            <w:vAlign w:val="center"/>
          </w:tcPr>
          <w:p w14:paraId="4AEAF072">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150</w:t>
            </w:r>
          </w:p>
        </w:tc>
      </w:tr>
      <w:tr w14:paraId="391B5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5732391E">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总投资</w:t>
            </w:r>
          </w:p>
          <w:p w14:paraId="33C1E914">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(万元)</w:t>
            </w:r>
          </w:p>
        </w:tc>
        <w:tc>
          <w:tcPr>
            <w:tcW w:w="1507" w:type="dxa"/>
            <w:tcBorders>
              <w:top w:val="single" w:color="auto" w:sz="6" w:space="0"/>
              <w:left w:val="single" w:color="auto" w:sz="6" w:space="0"/>
              <w:bottom w:val="single" w:color="auto" w:sz="6" w:space="0"/>
              <w:right w:val="single" w:color="auto" w:sz="6" w:space="0"/>
            </w:tcBorders>
            <w:vAlign w:val="center"/>
          </w:tcPr>
          <w:p w14:paraId="7CB7EF34">
            <w:pPr>
              <w:ind w:left="105" w:leftChars="50" w:right="105" w:rightChars="50"/>
              <w:jc w:val="center"/>
              <w:rPr>
                <w:rFonts w:ascii="Times New Roman" w:hAnsi="Times New Roman" w:cs="Times New Roman"/>
                <w:color w:val="000000" w:themeColor="text1"/>
                <w:sz w:val="24"/>
              </w:rPr>
            </w:pPr>
            <w:r>
              <w:rPr>
                <w:rFonts w:hint="eastAsia" w:ascii="Times New Roman" w:hAnsi="Times New Roman" w:cs="Times New Roman"/>
                <w:color w:val="000000" w:themeColor="text1"/>
                <w:sz w:val="24"/>
              </w:rPr>
              <w:t>50</w:t>
            </w:r>
          </w:p>
        </w:tc>
        <w:tc>
          <w:tcPr>
            <w:tcW w:w="1549" w:type="dxa"/>
            <w:tcBorders>
              <w:top w:val="single" w:color="auto" w:sz="6" w:space="0"/>
              <w:left w:val="single" w:color="auto" w:sz="6" w:space="0"/>
              <w:bottom w:val="single" w:color="auto" w:sz="6" w:space="0"/>
              <w:right w:val="single" w:color="auto" w:sz="6" w:space="0"/>
            </w:tcBorders>
            <w:vAlign w:val="center"/>
          </w:tcPr>
          <w:p w14:paraId="10E07D3F">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其中：环保投资(万元)</w:t>
            </w:r>
          </w:p>
        </w:tc>
        <w:tc>
          <w:tcPr>
            <w:tcW w:w="1841" w:type="dxa"/>
            <w:tcBorders>
              <w:top w:val="single" w:color="auto" w:sz="6" w:space="0"/>
              <w:left w:val="single" w:color="auto" w:sz="6" w:space="0"/>
              <w:bottom w:val="single" w:color="auto" w:sz="6" w:space="0"/>
              <w:right w:val="single" w:color="auto" w:sz="6" w:space="0"/>
            </w:tcBorders>
            <w:vAlign w:val="center"/>
          </w:tcPr>
          <w:p w14:paraId="3F76022B">
            <w:pPr>
              <w:ind w:left="105" w:leftChars="50" w:right="105" w:rightChars="50"/>
              <w:jc w:val="center"/>
              <w:rPr>
                <w:rFonts w:ascii="Times New Roman" w:hAnsi="Times New Roman" w:cs="Times New Roman"/>
                <w:color w:val="000000" w:themeColor="text1"/>
                <w:sz w:val="24"/>
              </w:rPr>
            </w:pPr>
            <w:r>
              <w:rPr>
                <w:rFonts w:hint="eastAsia" w:ascii="Times New Roman" w:hAnsi="Times New Roman" w:cs="Times New Roman"/>
                <w:color w:val="000000" w:themeColor="text1"/>
                <w:sz w:val="24"/>
              </w:rPr>
              <w:t>6.35</w:t>
            </w:r>
          </w:p>
        </w:tc>
        <w:tc>
          <w:tcPr>
            <w:tcW w:w="1787" w:type="dxa"/>
            <w:tcBorders>
              <w:top w:val="single" w:color="auto" w:sz="6" w:space="0"/>
              <w:left w:val="single" w:color="auto" w:sz="6" w:space="0"/>
              <w:bottom w:val="single" w:color="auto" w:sz="6" w:space="0"/>
              <w:right w:val="single" w:color="auto" w:sz="6" w:space="0"/>
            </w:tcBorders>
            <w:vAlign w:val="center"/>
          </w:tcPr>
          <w:p w14:paraId="3A73A95D">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b/>
                <w:color w:val="000000" w:themeColor="text1"/>
                <w:sz w:val="24"/>
              </w:rPr>
              <w:t>环保投资占总投资比例%</w:t>
            </w:r>
          </w:p>
        </w:tc>
        <w:tc>
          <w:tcPr>
            <w:tcW w:w="1395" w:type="dxa"/>
            <w:tcBorders>
              <w:top w:val="single" w:color="auto" w:sz="6" w:space="0"/>
              <w:left w:val="single" w:color="auto" w:sz="6" w:space="0"/>
              <w:bottom w:val="single" w:color="auto" w:sz="6" w:space="0"/>
              <w:right w:val="single" w:color="auto" w:sz="6" w:space="0"/>
            </w:tcBorders>
            <w:vAlign w:val="center"/>
          </w:tcPr>
          <w:p w14:paraId="7FDBCAAA">
            <w:pPr>
              <w:ind w:left="105" w:leftChars="50" w:right="105" w:rightChars="50"/>
              <w:jc w:val="center"/>
              <w:rPr>
                <w:rFonts w:ascii="Times New Roman" w:hAnsi="Times New Roman" w:cs="Times New Roman"/>
                <w:color w:val="000000" w:themeColor="text1"/>
                <w:sz w:val="24"/>
              </w:rPr>
            </w:pPr>
            <w:r>
              <w:rPr>
                <w:rFonts w:hint="eastAsia" w:ascii="Times New Roman" w:hAnsi="Times New Roman" w:cs="Times New Roman"/>
                <w:color w:val="000000" w:themeColor="text1"/>
                <w:sz w:val="24"/>
              </w:rPr>
              <w:t>12.7</w:t>
            </w:r>
          </w:p>
        </w:tc>
      </w:tr>
      <w:tr w14:paraId="31CDE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760" w:type="dxa"/>
            <w:tcBorders>
              <w:top w:val="single" w:color="auto" w:sz="6" w:space="0"/>
              <w:left w:val="single" w:color="auto" w:sz="6" w:space="0"/>
              <w:bottom w:val="single" w:color="auto" w:sz="6" w:space="0"/>
              <w:right w:val="single" w:color="auto" w:sz="6" w:space="0"/>
            </w:tcBorders>
            <w:vAlign w:val="center"/>
          </w:tcPr>
          <w:p w14:paraId="3A1636C3">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评价经费</w:t>
            </w:r>
          </w:p>
          <w:p w14:paraId="3FC15215">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(万元)</w:t>
            </w:r>
          </w:p>
        </w:tc>
        <w:tc>
          <w:tcPr>
            <w:tcW w:w="1507" w:type="dxa"/>
            <w:tcBorders>
              <w:top w:val="single" w:color="auto" w:sz="6" w:space="0"/>
              <w:left w:val="single" w:color="auto" w:sz="6" w:space="0"/>
              <w:bottom w:val="single" w:color="auto" w:sz="6" w:space="0"/>
              <w:right w:val="single" w:color="auto" w:sz="6" w:space="0"/>
            </w:tcBorders>
            <w:vAlign w:val="center"/>
          </w:tcPr>
          <w:p w14:paraId="121BF58F">
            <w:pPr>
              <w:ind w:left="105" w:leftChars="50" w:right="105" w:rightChars="50"/>
              <w:jc w:val="center"/>
              <w:rPr>
                <w:rFonts w:ascii="Times New Roman" w:hAnsi="Times New Roman" w:cs="Times New Roman"/>
                <w:color w:val="000000" w:themeColor="text1"/>
                <w:sz w:val="24"/>
              </w:rPr>
            </w:pPr>
            <w:r>
              <w:rPr>
                <w:rFonts w:hint="eastAsia" w:ascii="Times New Roman" w:hAnsi="Times New Roman" w:cs="Times New Roman"/>
                <w:color w:val="000000" w:themeColor="text1"/>
                <w:sz w:val="24"/>
              </w:rPr>
              <w:t>/</w:t>
            </w:r>
          </w:p>
        </w:tc>
        <w:tc>
          <w:tcPr>
            <w:tcW w:w="1549" w:type="dxa"/>
            <w:tcBorders>
              <w:top w:val="single" w:color="auto" w:sz="6" w:space="0"/>
              <w:left w:val="single" w:color="auto" w:sz="6" w:space="0"/>
              <w:bottom w:val="single" w:color="auto" w:sz="6" w:space="0"/>
              <w:right w:val="single" w:color="auto" w:sz="6" w:space="0"/>
            </w:tcBorders>
            <w:vAlign w:val="center"/>
          </w:tcPr>
          <w:p w14:paraId="11A71AD5">
            <w:pPr>
              <w:ind w:left="105" w:leftChars="50" w:right="105" w:rightChars="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预期投产日期</w:t>
            </w:r>
          </w:p>
        </w:tc>
        <w:tc>
          <w:tcPr>
            <w:tcW w:w="5023" w:type="dxa"/>
            <w:gridSpan w:val="3"/>
            <w:tcBorders>
              <w:top w:val="single" w:color="auto" w:sz="6" w:space="0"/>
              <w:left w:val="single" w:color="auto" w:sz="6" w:space="0"/>
              <w:bottom w:val="single" w:color="auto" w:sz="6" w:space="0"/>
              <w:right w:val="single" w:color="auto" w:sz="6" w:space="0"/>
            </w:tcBorders>
            <w:vAlign w:val="center"/>
          </w:tcPr>
          <w:p w14:paraId="20B5A938">
            <w:pPr>
              <w:ind w:left="105" w:leftChars="50" w:right="105" w:rightChars="5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2018年</w:t>
            </w:r>
            <w:r>
              <w:rPr>
                <w:rFonts w:hint="eastAsia" w:ascii="Times New Roman" w:hAnsi="Times New Roman" w:cs="Times New Roman"/>
                <w:color w:val="000000" w:themeColor="text1"/>
                <w:sz w:val="24"/>
              </w:rPr>
              <w:t>11</w:t>
            </w:r>
            <w:r>
              <w:rPr>
                <w:rFonts w:ascii="Times New Roman" w:hAnsi="Times New Roman" w:cs="Times New Roman"/>
                <w:color w:val="000000" w:themeColor="text1"/>
                <w:sz w:val="24"/>
              </w:rPr>
              <w:t>月</w:t>
            </w:r>
          </w:p>
        </w:tc>
      </w:tr>
      <w:tr w14:paraId="459E5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9839" w:type="dxa"/>
            <w:gridSpan w:val="6"/>
            <w:tcBorders>
              <w:top w:val="single" w:color="auto" w:sz="6" w:space="0"/>
              <w:left w:val="single" w:color="auto" w:sz="6" w:space="0"/>
              <w:bottom w:val="single" w:color="auto" w:sz="6" w:space="0"/>
              <w:right w:val="single" w:color="auto" w:sz="6" w:space="0"/>
            </w:tcBorders>
          </w:tcPr>
          <w:p w14:paraId="1EFEB7F4">
            <w:pPr>
              <w:spacing w:line="360" w:lineRule="auto"/>
              <w:ind w:firstLine="482" w:firstLineChars="200"/>
              <w:rPr>
                <w:rFonts w:ascii="Times New Roman" w:hAnsi="Times New Roman" w:cs="Times New Roman"/>
                <w:b/>
                <w:color w:val="000000" w:themeColor="text1"/>
                <w:sz w:val="24"/>
              </w:rPr>
            </w:pPr>
            <w:r>
              <w:rPr>
                <w:rFonts w:ascii="Times New Roman" w:hAnsi="Times New Roman" w:cs="Times New Roman"/>
                <w:b/>
                <w:color w:val="000000" w:themeColor="text1"/>
                <w:sz w:val="24"/>
              </w:rPr>
              <w:t>1、项目概况</w:t>
            </w:r>
          </w:p>
          <w:p w14:paraId="02646F6F">
            <w:pPr>
              <w:spacing w:line="360" w:lineRule="auto"/>
              <w:ind w:firstLine="482" w:firstLineChars="200"/>
              <w:rPr>
                <w:rFonts w:ascii="Times New Roman" w:hAnsi="Times New Roman" w:cs="Times New Roman"/>
                <w:b/>
                <w:color w:val="000000" w:themeColor="text1"/>
                <w:sz w:val="24"/>
              </w:rPr>
            </w:pPr>
            <w:r>
              <w:rPr>
                <w:rFonts w:ascii="Times New Roman" w:hAnsi="Times New Roman" w:cs="Times New Roman"/>
                <w:b/>
                <w:color w:val="000000" w:themeColor="text1"/>
                <w:sz w:val="24"/>
              </w:rPr>
              <w:t>（1）项目背景</w:t>
            </w:r>
          </w:p>
          <w:p w14:paraId="53D58EB6">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为消除或减少废旧塑料造成的污染，经过长期实践证明，回收再生利用是最为适用的，值得大力提倡的技术。</w:t>
            </w:r>
          </w:p>
          <w:p w14:paraId="7C4C831E">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废旧塑料再利用时，由于塑料产品在使用过程中会沾附灰尘、油类等异物，影响废旧塑料的再生利用产品质量，因此</w:t>
            </w:r>
            <w:r>
              <w:rPr>
                <w:rFonts w:hint="eastAsia" w:ascii="Times New Roman" w:hAnsi="Times New Roman" w:cs="Times New Roman"/>
                <w:color w:val="000000" w:themeColor="text1"/>
                <w:sz w:val="24"/>
              </w:rPr>
              <w:t>，</w:t>
            </w:r>
            <w:r>
              <w:rPr>
                <w:rFonts w:ascii="Times New Roman" w:hAnsi="Times New Roman" w:cs="Times New Roman"/>
                <w:color w:val="000000" w:themeColor="text1"/>
                <w:sz w:val="24"/>
              </w:rPr>
              <w:t>废旧塑料清洗是废旧塑料回收利用一个必要程序。</w:t>
            </w:r>
          </w:p>
          <w:p w14:paraId="0DC9EFFA">
            <w:pPr>
              <w:spacing w:line="360" w:lineRule="auto"/>
              <w:ind w:firstLine="482" w:firstLineChars="200"/>
              <w:rPr>
                <w:rFonts w:ascii="Times New Roman" w:hAnsi="Times New Roman" w:cs="Times New Roman"/>
                <w:b/>
                <w:color w:val="000000" w:themeColor="text1"/>
                <w:sz w:val="24"/>
              </w:rPr>
            </w:pPr>
            <w:r>
              <w:rPr>
                <w:rFonts w:ascii="Times New Roman" w:hAnsi="Times New Roman" w:cs="Times New Roman"/>
                <w:b/>
                <w:color w:val="000000" w:themeColor="text1"/>
                <w:sz w:val="24"/>
              </w:rPr>
              <w:t>（2）项目概况</w:t>
            </w:r>
          </w:p>
          <w:p w14:paraId="49331FDB">
            <w:pPr>
              <w:pStyle w:val="78"/>
              <w:spacing w:line="360" w:lineRule="auto"/>
              <w:ind w:left="51" w:right="51" w:firstLine="480" w:firstLineChars="200"/>
              <w:rPr>
                <w:bCs/>
                <w:color w:val="000000" w:themeColor="text1"/>
                <w:sz w:val="24"/>
              </w:rPr>
            </w:pPr>
            <w:r>
              <w:rPr>
                <w:bCs/>
                <w:color w:val="000000" w:themeColor="text1"/>
                <w:sz w:val="24"/>
              </w:rPr>
              <w:t>“芒市勐戛镇天天废品回收店”（以下简称“建设方”）</w:t>
            </w:r>
            <w:r>
              <w:rPr>
                <w:rFonts w:eastAsiaTheme="minorEastAsia"/>
                <w:color w:val="000000" w:themeColor="text1"/>
                <w:sz w:val="24"/>
              </w:rPr>
              <w:t>选址于</w:t>
            </w:r>
            <w:r>
              <w:rPr>
                <w:bCs/>
                <w:color w:val="000000" w:themeColor="text1"/>
                <w:sz w:val="24"/>
              </w:rPr>
              <w:t>德宏傣族景颇族自治州芒市勐戛镇勐旺村民委员会拱弄场村</w:t>
            </w:r>
            <w:r>
              <w:rPr>
                <w:rFonts w:eastAsiaTheme="minorEastAsia"/>
                <w:color w:val="000000" w:themeColor="text1"/>
                <w:sz w:val="24"/>
              </w:rPr>
              <w:t>，租用</w:t>
            </w:r>
            <w:r>
              <w:rPr>
                <w:bCs/>
                <w:color w:val="000000" w:themeColor="text1"/>
                <w:sz w:val="24"/>
              </w:rPr>
              <w:t>拱弄场村小组村民曹发强土地和已建厂房，总用地面积2</w:t>
            </w:r>
            <w:r>
              <w:rPr>
                <w:rFonts w:hint="eastAsia"/>
                <w:bCs/>
                <w:color w:val="000000" w:themeColor="text1"/>
                <w:sz w:val="24"/>
              </w:rPr>
              <w:t>7</w:t>
            </w:r>
            <w:r>
              <w:rPr>
                <w:bCs/>
                <w:color w:val="000000" w:themeColor="text1"/>
                <w:sz w:val="24"/>
              </w:rPr>
              <w:t>00m</w:t>
            </w:r>
            <w:r>
              <w:rPr>
                <w:bCs/>
                <w:color w:val="000000" w:themeColor="text1"/>
                <w:sz w:val="24"/>
                <w:vertAlign w:val="superscript"/>
              </w:rPr>
              <w:t>2</w:t>
            </w:r>
            <w:r>
              <w:rPr>
                <w:bCs/>
                <w:color w:val="000000" w:themeColor="text1"/>
                <w:sz w:val="24"/>
              </w:rPr>
              <w:t>，建设“芒市勐戛镇天天废品回收店芒市废塑料瓶破碎项目”（以下简称“本项目”），本项目直接对租用房屋进行改造、装修、安装设备即可。</w:t>
            </w:r>
          </w:p>
          <w:p w14:paraId="349EB3F2">
            <w:pPr>
              <w:pStyle w:val="78"/>
              <w:spacing w:line="360" w:lineRule="auto"/>
              <w:ind w:left="51" w:right="51" w:firstLine="480" w:firstLineChars="200"/>
              <w:rPr>
                <w:bCs/>
                <w:color w:val="000000" w:themeColor="text1"/>
                <w:sz w:val="24"/>
              </w:rPr>
            </w:pPr>
            <w:r>
              <w:rPr>
                <w:bCs/>
                <w:color w:val="000000" w:themeColor="text1"/>
                <w:sz w:val="24"/>
              </w:rPr>
              <w:t>本项目总投资</w:t>
            </w:r>
            <w:r>
              <w:rPr>
                <w:rFonts w:hint="eastAsia"/>
                <w:bCs/>
                <w:color w:val="000000" w:themeColor="text1"/>
                <w:sz w:val="24"/>
              </w:rPr>
              <w:t>50</w:t>
            </w:r>
            <w:r>
              <w:rPr>
                <w:bCs/>
                <w:color w:val="000000" w:themeColor="text1"/>
                <w:sz w:val="24"/>
              </w:rPr>
              <w:t>万，年处理破碎废塑料30000吨，原料主要为废塑料瓶（矿泉水瓶、饮料瓶、废旧食用油塑料瓶、废弃塑料酱油瓶），不包括废汽车配件、废机油桶、废油桶、危险废物等（见表1-5）。</w:t>
            </w:r>
          </w:p>
          <w:p w14:paraId="60B0F2B0">
            <w:pPr>
              <w:pStyle w:val="78"/>
              <w:spacing w:line="360" w:lineRule="auto"/>
              <w:ind w:left="51" w:right="51" w:firstLine="480" w:firstLineChars="200"/>
              <w:rPr>
                <w:color w:val="000000" w:themeColor="text1"/>
                <w:sz w:val="24"/>
              </w:rPr>
            </w:pPr>
            <w:r>
              <w:rPr>
                <w:color w:val="000000" w:themeColor="text1"/>
                <w:sz w:val="24"/>
              </w:rPr>
              <w:t>根据2018年7现场勘查，项目区尚未动工，本项目所租厂房已闲置多年，无预留污染物。</w:t>
            </w:r>
          </w:p>
          <w:p w14:paraId="342B5F0B">
            <w:pPr>
              <w:spacing w:line="360" w:lineRule="auto"/>
              <w:ind w:left="50" w:right="50"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bCs/>
                <w:color w:val="000000" w:themeColor="text1"/>
                <w:sz w:val="24"/>
                <w:szCs w:val="28"/>
              </w:rPr>
              <w:t>（3）环评程序</w:t>
            </w:r>
          </w:p>
          <w:p w14:paraId="404CE792">
            <w:pPr>
              <w:spacing w:line="360" w:lineRule="auto"/>
              <w:ind w:left="50" w:right="50"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中华人民共和国环境保护法》、《中华人民共和国环境影响评价法》和《建设项目环境保护管理条例》（国务院令第682号）的规定，本项目应进行环境影响评价；根据《建设项目环境影响评价分类管理名录》，本项目应编制环境影响报告表。</w:t>
            </w:r>
          </w:p>
          <w:p w14:paraId="7630F3D2">
            <w:pPr>
              <w:spacing w:line="360" w:lineRule="auto"/>
              <w:ind w:left="50" w:right="50"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为此，受建设方委托，银发环保股份有限公司（以下简称“我单位”）承担了该项目环境影响报告表的编制工作。我单位接到委托后，在现场踏勘和收集相关资料的基础上，编制完成了《</w:t>
            </w:r>
            <w:r>
              <w:rPr>
                <w:rFonts w:ascii="Times New Roman" w:hAnsi="Times New Roman" w:eastAsia="宋体" w:cs="Times New Roman"/>
                <w:bCs/>
                <w:color w:val="000000" w:themeColor="text1"/>
                <w:sz w:val="24"/>
              </w:rPr>
              <w:t>芒市勐戛镇天天废品回收店芒市废塑料瓶破碎项目</w:t>
            </w:r>
            <w:r>
              <w:rPr>
                <w:rFonts w:ascii="Times New Roman" w:hAnsi="Times New Roman" w:eastAsia="宋体" w:cs="Times New Roman"/>
                <w:color w:val="000000" w:themeColor="text1"/>
                <w:sz w:val="24"/>
              </w:rPr>
              <w:t>环境影响报告表》，供建设单位上报环境主管部门审批，作为该项目环境管理的依据。</w:t>
            </w:r>
          </w:p>
          <w:p w14:paraId="69B16706">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2、建设规模及内容</w:t>
            </w:r>
          </w:p>
          <w:p w14:paraId="44377D50">
            <w:pPr>
              <w:tabs>
                <w:tab w:val="left" w:pos="2395"/>
              </w:tabs>
              <w:spacing w:line="360" w:lineRule="auto"/>
              <w:ind w:left="50" w:right="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项目名称：</w:t>
            </w:r>
            <w:r>
              <w:rPr>
                <w:rFonts w:ascii="Times New Roman" w:hAnsi="Times New Roman" w:eastAsia="宋体" w:cs="Times New Roman"/>
                <w:bCs/>
                <w:color w:val="000000" w:themeColor="text1"/>
                <w:sz w:val="24"/>
              </w:rPr>
              <w:t>芒市勐戛镇天天废品回收店芒市废塑料瓶破碎项目</w:t>
            </w:r>
          </w:p>
          <w:p w14:paraId="03E6AF88">
            <w:pPr>
              <w:tabs>
                <w:tab w:val="left" w:pos="2395"/>
              </w:tabs>
              <w:spacing w:line="360" w:lineRule="auto"/>
              <w:ind w:left="50" w:right="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建设单位：</w:t>
            </w:r>
            <w:r>
              <w:rPr>
                <w:rFonts w:ascii="Times New Roman" w:hAnsi="Times New Roman" w:eastAsia="宋体" w:cs="Times New Roman"/>
                <w:bCs/>
                <w:color w:val="000000" w:themeColor="text1"/>
                <w:sz w:val="24"/>
              </w:rPr>
              <w:t>芒市勐戛镇天天废品回收店</w:t>
            </w:r>
          </w:p>
          <w:p w14:paraId="11EDEC41">
            <w:pPr>
              <w:tabs>
                <w:tab w:val="left" w:pos="2395"/>
              </w:tabs>
              <w:spacing w:line="360" w:lineRule="auto"/>
              <w:ind w:left="50" w:right="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建设地点：</w:t>
            </w:r>
            <w:r>
              <w:rPr>
                <w:rFonts w:ascii="Times New Roman" w:hAnsi="Times New Roman" w:cs="Times New Roman"/>
                <w:bCs/>
                <w:color w:val="000000" w:themeColor="text1"/>
                <w:sz w:val="24"/>
              </w:rPr>
              <w:t>德宏傣族景颇族自治州芒市勐戛镇勐旺村民委员会拱弄场村</w:t>
            </w:r>
          </w:p>
          <w:p w14:paraId="44743FCD">
            <w:pPr>
              <w:tabs>
                <w:tab w:val="left" w:pos="2395"/>
              </w:tabs>
              <w:spacing w:line="360" w:lineRule="auto"/>
              <w:ind w:left="50" w:right="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建设性质：</w:t>
            </w:r>
            <w:r>
              <w:rPr>
                <w:rFonts w:ascii="Times New Roman" w:hAnsi="Times New Roman" w:eastAsia="宋体" w:cs="Times New Roman"/>
                <w:color w:val="000000" w:themeColor="text1"/>
                <w:sz w:val="24"/>
              </w:rPr>
              <w:t>新建</w:t>
            </w:r>
          </w:p>
          <w:p w14:paraId="3FD05543">
            <w:pPr>
              <w:tabs>
                <w:tab w:val="left" w:pos="2395"/>
              </w:tabs>
              <w:spacing w:line="360" w:lineRule="auto"/>
              <w:ind w:left="50" w:right="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投资总额：</w:t>
            </w:r>
            <w:r>
              <w:rPr>
                <w:rFonts w:ascii="Times New Roman" w:hAnsi="Times New Roman" w:eastAsia="宋体" w:cs="Times New Roman"/>
                <w:color w:val="000000" w:themeColor="text1"/>
                <w:sz w:val="24"/>
              </w:rPr>
              <w:t>50万元</w:t>
            </w:r>
          </w:p>
          <w:p w14:paraId="196D04D7">
            <w:pPr>
              <w:spacing w:line="360" w:lineRule="auto"/>
              <w:ind w:left="50" w:right="50" w:firstLine="482" w:firstLineChars="200"/>
              <w:jc w:val="left"/>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生产规模：</w:t>
            </w:r>
            <w:r>
              <w:rPr>
                <w:rFonts w:ascii="Times New Roman" w:hAnsi="Times New Roman" w:cs="Times New Roman"/>
                <w:bCs/>
                <w:color w:val="000000" w:themeColor="text1"/>
                <w:sz w:val="24"/>
              </w:rPr>
              <w:t>年回收破碎废塑料30000吨</w:t>
            </w:r>
            <w:r>
              <w:rPr>
                <w:rFonts w:ascii="Times New Roman" w:hAnsi="Times New Roman" w:eastAsia="宋体" w:cs="Times New Roman"/>
                <w:color w:val="000000" w:themeColor="text1"/>
                <w:sz w:val="24"/>
              </w:rPr>
              <w:t>。</w:t>
            </w:r>
          </w:p>
          <w:p w14:paraId="4DEF8B88">
            <w:pPr>
              <w:tabs>
                <w:tab w:val="left" w:pos="2395"/>
              </w:tabs>
              <w:spacing w:line="360" w:lineRule="auto"/>
              <w:ind w:left="50" w:right="50" w:firstLine="480" w:firstLineChars="200"/>
              <w:rPr>
                <w:rFonts w:ascii="Times New Roman" w:hAnsi="Times New Roman" w:eastAsia="宋体" w:cs="Times New Roman"/>
                <w:b/>
                <w:color w:val="000000" w:themeColor="text1"/>
                <w:sz w:val="24"/>
              </w:rPr>
            </w:pPr>
            <w:r>
              <w:rPr>
                <w:rFonts w:ascii="Times New Roman" w:hAnsi="Times New Roman" w:eastAsia="宋体" w:cs="Times New Roman"/>
                <w:bCs/>
                <w:color w:val="000000" w:themeColor="text1"/>
                <w:sz w:val="24"/>
              </w:rPr>
              <w:t>建设方租用</w:t>
            </w:r>
            <w:r>
              <w:rPr>
                <w:rFonts w:ascii="Times New Roman" w:hAnsi="Times New Roman" w:cs="Times New Roman"/>
                <w:bCs/>
                <w:color w:val="000000" w:themeColor="text1"/>
                <w:sz w:val="24"/>
              </w:rPr>
              <w:t>拱弄场村小组村民曹发强土地和已建厂房</w:t>
            </w:r>
            <w:r>
              <w:rPr>
                <w:rFonts w:ascii="Times New Roman" w:hAnsi="Times New Roman" w:eastAsia="宋体" w:cs="Times New Roman"/>
                <w:bCs/>
                <w:color w:val="000000" w:themeColor="text1"/>
                <w:sz w:val="24"/>
              </w:rPr>
              <w:t>，</w:t>
            </w:r>
            <w:r>
              <w:rPr>
                <w:rFonts w:ascii="Times New Roman" w:hAnsi="Times New Roman" w:eastAsia="宋体" w:cs="Times New Roman"/>
                <w:color w:val="000000" w:themeColor="text1"/>
                <w:sz w:val="24"/>
              </w:rPr>
              <w:t>本项目直接对租用房屋进行改造、装修、安装设备即可。</w:t>
            </w:r>
          </w:p>
          <w:p w14:paraId="0DA92918">
            <w:pPr>
              <w:tabs>
                <w:tab w:val="left" w:pos="2395"/>
              </w:tabs>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表1-1</w:t>
            </w:r>
            <w:r>
              <w:rPr>
                <w:rFonts w:hint="eastAsia" w:ascii="Times New Roman" w:hAnsi="Times New Roman" w:cs="Times New Roman"/>
                <w:b/>
                <w:color w:val="000000" w:themeColor="text1"/>
                <w:sz w:val="24"/>
              </w:rPr>
              <w:t xml:space="preserve">  </w:t>
            </w:r>
            <w:r>
              <w:rPr>
                <w:rFonts w:ascii="Times New Roman" w:hAnsi="Times New Roman" w:cs="Times New Roman"/>
                <w:b/>
                <w:color w:val="000000" w:themeColor="text1"/>
                <w:sz w:val="24"/>
              </w:rPr>
              <w:t>项目建设内容一览表</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595"/>
              <w:gridCol w:w="7195"/>
            </w:tblGrid>
            <w:tr w14:paraId="6052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3" w:type="pct"/>
                  <w:vAlign w:val="center"/>
                </w:tcPr>
                <w:p w14:paraId="57DA0F59">
                  <w:pPr>
                    <w:pStyle w:val="78"/>
                    <w:ind w:left="50" w:right="50"/>
                    <w:jc w:val="center"/>
                    <w:rPr>
                      <w:rFonts w:eastAsiaTheme="minorEastAsia"/>
                      <w:b/>
                      <w:color w:val="000000" w:themeColor="text1"/>
                      <w:szCs w:val="21"/>
                    </w:rPr>
                  </w:pPr>
                  <w:r>
                    <w:rPr>
                      <w:rFonts w:eastAsiaTheme="minorEastAsia"/>
                      <w:b/>
                      <w:color w:val="000000" w:themeColor="text1"/>
                      <w:szCs w:val="21"/>
                    </w:rPr>
                    <w:t>项目</w:t>
                  </w:r>
                </w:p>
              </w:tc>
              <w:tc>
                <w:tcPr>
                  <w:tcW w:w="4497" w:type="pct"/>
                  <w:gridSpan w:val="2"/>
                  <w:vAlign w:val="center"/>
                </w:tcPr>
                <w:p w14:paraId="5A56C228">
                  <w:pPr>
                    <w:pStyle w:val="78"/>
                    <w:ind w:left="50" w:right="50"/>
                    <w:jc w:val="center"/>
                    <w:rPr>
                      <w:rFonts w:eastAsiaTheme="minorEastAsia"/>
                      <w:b/>
                      <w:color w:val="000000" w:themeColor="text1"/>
                      <w:szCs w:val="21"/>
                    </w:rPr>
                  </w:pPr>
                  <w:r>
                    <w:rPr>
                      <w:rFonts w:eastAsiaTheme="minorEastAsia"/>
                      <w:b/>
                      <w:color w:val="000000" w:themeColor="text1"/>
                      <w:szCs w:val="21"/>
                    </w:rPr>
                    <w:t>建设内容</w:t>
                  </w:r>
                </w:p>
              </w:tc>
            </w:tr>
            <w:tr w14:paraId="6C1E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Align w:val="center"/>
                </w:tcPr>
                <w:p w14:paraId="4A58B92E">
                  <w:pPr>
                    <w:pStyle w:val="78"/>
                    <w:ind w:left="50" w:right="50"/>
                    <w:jc w:val="center"/>
                    <w:rPr>
                      <w:rFonts w:eastAsiaTheme="minorEastAsia"/>
                      <w:color w:val="000000" w:themeColor="text1"/>
                      <w:szCs w:val="21"/>
                    </w:rPr>
                  </w:pPr>
                  <w:r>
                    <w:rPr>
                      <w:rFonts w:eastAsiaTheme="minorEastAsia"/>
                      <w:color w:val="000000" w:themeColor="text1"/>
                      <w:szCs w:val="21"/>
                    </w:rPr>
                    <w:t>主体工程</w:t>
                  </w:r>
                </w:p>
              </w:tc>
              <w:tc>
                <w:tcPr>
                  <w:tcW w:w="816" w:type="pct"/>
                  <w:vAlign w:val="center"/>
                </w:tcPr>
                <w:p w14:paraId="531C45AC">
                  <w:pPr>
                    <w:pStyle w:val="78"/>
                    <w:ind w:left="50" w:right="50"/>
                    <w:jc w:val="center"/>
                    <w:rPr>
                      <w:rFonts w:eastAsiaTheme="minorEastAsia"/>
                      <w:color w:val="000000" w:themeColor="text1"/>
                      <w:szCs w:val="21"/>
                    </w:rPr>
                  </w:pPr>
                  <w:r>
                    <w:rPr>
                      <w:rFonts w:eastAsiaTheme="minorEastAsia"/>
                      <w:color w:val="000000" w:themeColor="text1"/>
                      <w:szCs w:val="21"/>
                    </w:rPr>
                    <w:t>生产区</w:t>
                  </w:r>
                </w:p>
              </w:tc>
              <w:tc>
                <w:tcPr>
                  <w:tcW w:w="3681" w:type="pct"/>
                  <w:vAlign w:val="center"/>
                </w:tcPr>
                <w:p w14:paraId="0C3B2765">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建筑面积216m</w:t>
                  </w:r>
                  <w:r>
                    <w:rPr>
                      <w:rFonts w:eastAsiaTheme="minorEastAsia"/>
                      <w:color w:val="000000" w:themeColor="text1"/>
                      <w:szCs w:val="21"/>
                      <w:vertAlign w:val="superscript"/>
                    </w:rPr>
                    <w:t>2</w:t>
                  </w:r>
                  <w:r>
                    <w:rPr>
                      <w:rFonts w:eastAsiaTheme="minorEastAsia"/>
                      <w:color w:val="000000" w:themeColor="text1"/>
                      <w:szCs w:val="21"/>
                    </w:rPr>
                    <w:t>，1F ，用于塑料破碎、清洗、打包生产，层高4.5m，年处理30000t废塑料瓶。</w:t>
                  </w:r>
                </w:p>
              </w:tc>
            </w:tr>
            <w:tr w14:paraId="6D7B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Merge w:val="restart"/>
                  <w:vAlign w:val="center"/>
                </w:tcPr>
                <w:p w14:paraId="71B76A65">
                  <w:pPr>
                    <w:pStyle w:val="78"/>
                    <w:ind w:left="50" w:right="50"/>
                    <w:jc w:val="center"/>
                    <w:rPr>
                      <w:rFonts w:eastAsiaTheme="minorEastAsia"/>
                      <w:color w:val="000000" w:themeColor="text1"/>
                      <w:szCs w:val="21"/>
                    </w:rPr>
                  </w:pPr>
                  <w:r>
                    <w:rPr>
                      <w:rFonts w:eastAsiaTheme="minorEastAsia"/>
                      <w:color w:val="000000" w:themeColor="text1"/>
                      <w:szCs w:val="21"/>
                    </w:rPr>
                    <w:t>配套工程</w:t>
                  </w:r>
                </w:p>
              </w:tc>
              <w:tc>
                <w:tcPr>
                  <w:tcW w:w="816" w:type="pct"/>
                  <w:vAlign w:val="center"/>
                </w:tcPr>
                <w:p w14:paraId="006F5B05">
                  <w:pPr>
                    <w:pStyle w:val="78"/>
                    <w:ind w:left="50" w:right="50"/>
                    <w:jc w:val="center"/>
                    <w:rPr>
                      <w:rFonts w:eastAsiaTheme="minorEastAsia"/>
                      <w:color w:val="000000" w:themeColor="text1"/>
                      <w:szCs w:val="21"/>
                    </w:rPr>
                  </w:pPr>
                  <w:r>
                    <w:rPr>
                      <w:rFonts w:eastAsiaTheme="minorEastAsia"/>
                      <w:color w:val="000000" w:themeColor="text1"/>
                      <w:szCs w:val="21"/>
                    </w:rPr>
                    <w:t>成品库</w:t>
                  </w:r>
                </w:p>
              </w:tc>
              <w:tc>
                <w:tcPr>
                  <w:tcW w:w="3681" w:type="pct"/>
                  <w:vAlign w:val="center"/>
                </w:tcPr>
                <w:p w14:paraId="2000584B">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位于项目区生产区北侧，建筑面积152m</w:t>
                  </w:r>
                  <w:r>
                    <w:rPr>
                      <w:rFonts w:eastAsiaTheme="minorEastAsia"/>
                      <w:color w:val="000000" w:themeColor="text1"/>
                      <w:szCs w:val="21"/>
                      <w:vertAlign w:val="superscript"/>
                    </w:rPr>
                    <w:t>2</w:t>
                  </w:r>
                  <w:r>
                    <w:rPr>
                      <w:rFonts w:eastAsiaTheme="minorEastAsia"/>
                      <w:color w:val="000000" w:themeColor="text1"/>
                      <w:szCs w:val="21"/>
                    </w:rPr>
                    <w:t>，用于储存成品。</w:t>
                  </w:r>
                </w:p>
              </w:tc>
            </w:tr>
            <w:tr w14:paraId="393E8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Merge w:val="continue"/>
                  <w:vAlign w:val="center"/>
                </w:tcPr>
                <w:p w14:paraId="04444DAD">
                  <w:pPr>
                    <w:pStyle w:val="78"/>
                    <w:ind w:left="50" w:right="50"/>
                    <w:jc w:val="center"/>
                    <w:rPr>
                      <w:rFonts w:eastAsiaTheme="minorEastAsia"/>
                      <w:color w:val="000000" w:themeColor="text1"/>
                      <w:szCs w:val="21"/>
                    </w:rPr>
                  </w:pPr>
                </w:p>
              </w:tc>
              <w:tc>
                <w:tcPr>
                  <w:tcW w:w="816" w:type="pct"/>
                  <w:vAlign w:val="center"/>
                </w:tcPr>
                <w:p w14:paraId="7F687D68">
                  <w:pPr>
                    <w:pStyle w:val="78"/>
                    <w:ind w:left="50" w:right="50"/>
                    <w:jc w:val="center"/>
                    <w:rPr>
                      <w:rFonts w:eastAsiaTheme="minorEastAsia"/>
                      <w:color w:val="000000" w:themeColor="text1"/>
                      <w:szCs w:val="21"/>
                    </w:rPr>
                  </w:pPr>
                  <w:r>
                    <w:rPr>
                      <w:rFonts w:eastAsiaTheme="minorEastAsia"/>
                      <w:color w:val="000000" w:themeColor="text1"/>
                      <w:szCs w:val="21"/>
                    </w:rPr>
                    <w:t>原料</w:t>
                  </w:r>
                  <w:r>
                    <w:rPr>
                      <w:rFonts w:hint="eastAsia" w:eastAsiaTheme="minorEastAsia"/>
                      <w:color w:val="000000" w:themeColor="text1"/>
                      <w:szCs w:val="21"/>
                    </w:rPr>
                    <w:t>堆场</w:t>
                  </w:r>
                </w:p>
              </w:tc>
              <w:tc>
                <w:tcPr>
                  <w:tcW w:w="3681" w:type="pct"/>
                  <w:vAlign w:val="center"/>
                </w:tcPr>
                <w:p w14:paraId="26B27C9A">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位于项目区</w:t>
                  </w:r>
                  <w:r>
                    <w:rPr>
                      <w:rFonts w:hint="eastAsia" w:eastAsiaTheme="minorEastAsia"/>
                      <w:color w:val="000000" w:themeColor="text1"/>
                      <w:szCs w:val="21"/>
                    </w:rPr>
                    <w:t>南</w:t>
                  </w:r>
                  <w:r>
                    <w:rPr>
                      <w:rFonts w:eastAsiaTheme="minorEastAsia"/>
                      <w:color w:val="000000" w:themeColor="text1"/>
                      <w:szCs w:val="21"/>
                    </w:rPr>
                    <w:t>侧，</w:t>
                  </w:r>
                  <w:r>
                    <w:rPr>
                      <w:rFonts w:hint="eastAsia" w:eastAsiaTheme="minorEastAsia"/>
                      <w:color w:val="000000" w:themeColor="text1"/>
                      <w:szCs w:val="21"/>
                    </w:rPr>
                    <w:t>占地</w:t>
                  </w:r>
                  <w:r>
                    <w:rPr>
                      <w:rFonts w:eastAsiaTheme="minorEastAsia"/>
                      <w:color w:val="000000" w:themeColor="text1"/>
                      <w:szCs w:val="21"/>
                    </w:rPr>
                    <w:t>面积</w:t>
                  </w:r>
                  <w:r>
                    <w:rPr>
                      <w:rFonts w:hint="eastAsia" w:eastAsiaTheme="minorEastAsia"/>
                      <w:color w:val="000000" w:themeColor="text1"/>
                      <w:szCs w:val="21"/>
                    </w:rPr>
                    <w:t>665</w:t>
                  </w:r>
                  <w:r>
                    <w:rPr>
                      <w:rFonts w:eastAsiaTheme="minorEastAsia"/>
                      <w:color w:val="000000" w:themeColor="text1"/>
                      <w:szCs w:val="21"/>
                    </w:rPr>
                    <w:t>m</w:t>
                  </w:r>
                  <w:r>
                    <w:rPr>
                      <w:rFonts w:eastAsiaTheme="minorEastAsia"/>
                      <w:color w:val="000000" w:themeColor="text1"/>
                      <w:szCs w:val="21"/>
                      <w:vertAlign w:val="superscript"/>
                    </w:rPr>
                    <w:t>2</w:t>
                  </w:r>
                  <w:r>
                    <w:rPr>
                      <w:rFonts w:eastAsiaTheme="minorEastAsia"/>
                      <w:color w:val="000000" w:themeColor="text1"/>
                      <w:szCs w:val="21"/>
                    </w:rPr>
                    <w:t>。</w:t>
                  </w:r>
                </w:p>
              </w:tc>
            </w:tr>
            <w:tr w14:paraId="460A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Merge w:val="continue"/>
                  <w:vAlign w:val="center"/>
                </w:tcPr>
                <w:p w14:paraId="1748CE0F">
                  <w:pPr>
                    <w:pStyle w:val="78"/>
                    <w:ind w:left="50" w:right="50"/>
                    <w:jc w:val="center"/>
                    <w:rPr>
                      <w:rFonts w:eastAsiaTheme="minorEastAsia"/>
                      <w:color w:val="000000" w:themeColor="text1"/>
                      <w:szCs w:val="21"/>
                    </w:rPr>
                  </w:pPr>
                </w:p>
              </w:tc>
              <w:tc>
                <w:tcPr>
                  <w:tcW w:w="816" w:type="pct"/>
                  <w:vAlign w:val="center"/>
                </w:tcPr>
                <w:p w14:paraId="76EE75E9">
                  <w:pPr>
                    <w:pStyle w:val="78"/>
                    <w:ind w:left="50" w:right="50"/>
                    <w:jc w:val="center"/>
                    <w:rPr>
                      <w:rFonts w:eastAsiaTheme="minorEastAsia"/>
                      <w:color w:val="000000" w:themeColor="text1"/>
                      <w:szCs w:val="21"/>
                    </w:rPr>
                  </w:pPr>
                  <w:r>
                    <w:rPr>
                      <w:rFonts w:eastAsiaTheme="minorEastAsia"/>
                      <w:color w:val="000000" w:themeColor="text1"/>
                      <w:szCs w:val="21"/>
                    </w:rPr>
                    <w:t>办公区</w:t>
                  </w:r>
                </w:p>
              </w:tc>
              <w:tc>
                <w:tcPr>
                  <w:tcW w:w="3681" w:type="pct"/>
                  <w:vAlign w:val="center"/>
                </w:tcPr>
                <w:p w14:paraId="0CB577D6">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位于项目区西侧，建筑面积182m</w:t>
                  </w:r>
                  <w:r>
                    <w:rPr>
                      <w:rFonts w:eastAsiaTheme="minorEastAsia"/>
                      <w:color w:val="000000" w:themeColor="text1"/>
                      <w:szCs w:val="21"/>
                      <w:vertAlign w:val="superscript"/>
                    </w:rPr>
                    <w:t>2</w:t>
                  </w:r>
                  <w:r>
                    <w:rPr>
                      <w:rFonts w:eastAsiaTheme="minorEastAsia"/>
                      <w:color w:val="000000" w:themeColor="text1"/>
                      <w:szCs w:val="21"/>
                    </w:rPr>
                    <w:t>，用于办公、员工休息，设置一个厨房。</w:t>
                  </w:r>
                </w:p>
              </w:tc>
            </w:tr>
            <w:tr w14:paraId="1F44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Merge w:val="restart"/>
                  <w:vAlign w:val="center"/>
                </w:tcPr>
                <w:p w14:paraId="2F9CA380">
                  <w:pPr>
                    <w:pStyle w:val="78"/>
                    <w:ind w:left="50" w:right="50"/>
                    <w:jc w:val="center"/>
                    <w:rPr>
                      <w:rFonts w:eastAsiaTheme="minorEastAsia"/>
                      <w:color w:val="000000" w:themeColor="text1"/>
                      <w:szCs w:val="21"/>
                    </w:rPr>
                  </w:pPr>
                  <w:r>
                    <w:rPr>
                      <w:rFonts w:eastAsiaTheme="minorEastAsia"/>
                      <w:color w:val="000000" w:themeColor="text1"/>
                      <w:szCs w:val="21"/>
                    </w:rPr>
                    <w:t>辅助工程</w:t>
                  </w:r>
                </w:p>
              </w:tc>
              <w:tc>
                <w:tcPr>
                  <w:tcW w:w="816" w:type="pct"/>
                  <w:vAlign w:val="center"/>
                </w:tcPr>
                <w:p w14:paraId="406FFB74">
                  <w:pPr>
                    <w:pStyle w:val="78"/>
                    <w:ind w:left="50" w:right="50"/>
                    <w:jc w:val="center"/>
                    <w:rPr>
                      <w:rFonts w:eastAsiaTheme="minorEastAsia"/>
                      <w:color w:val="000000" w:themeColor="text1"/>
                      <w:szCs w:val="21"/>
                    </w:rPr>
                  </w:pPr>
                  <w:r>
                    <w:rPr>
                      <w:rFonts w:eastAsiaTheme="minorEastAsia"/>
                      <w:color w:val="000000" w:themeColor="text1"/>
                      <w:szCs w:val="21"/>
                    </w:rPr>
                    <w:t>供水</w:t>
                  </w:r>
                </w:p>
              </w:tc>
              <w:tc>
                <w:tcPr>
                  <w:tcW w:w="3681" w:type="pct"/>
                  <w:vAlign w:val="center"/>
                </w:tcPr>
                <w:p w14:paraId="70DC3172">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由自来水管网供给；</w:t>
                  </w:r>
                </w:p>
              </w:tc>
            </w:tr>
            <w:tr w14:paraId="0C2A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Merge w:val="continue"/>
                  <w:vAlign w:val="center"/>
                </w:tcPr>
                <w:p w14:paraId="5DE62146">
                  <w:pPr>
                    <w:pStyle w:val="78"/>
                    <w:ind w:left="50" w:right="50"/>
                    <w:jc w:val="center"/>
                    <w:rPr>
                      <w:rFonts w:eastAsiaTheme="minorEastAsia"/>
                      <w:color w:val="000000" w:themeColor="text1"/>
                      <w:szCs w:val="21"/>
                    </w:rPr>
                  </w:pPr>
                </w:p>
              </w:tc>
              <w:tc>
                <w:tcPr>
                  <w:tcW w:w="816" w:type="pct"/>
                  <w:vAlign w:val="center"/>
                </w:tcPr>
                <w:p w14:paraId="277459F5">
                  <w:pPr>
                    <w:pStyle w:val="78"/>
                    <w:ind w:left="50" w:right="50"/>
                    <w:jc w:val="center"/>
                    <w:rPr>
                      <w:rFonts w:eastAsiaTheme="minorEastAsia"/>
                      <w:color w:val="000000" w:themeColor="text1"/>
                      <w:szCs w:val="21"/>
                    </w:rPr>
                  </w:pPr>
                  <w:r>
                    <w:rPr>
                      <w:rFonts w:eastAsiaTheme="minorEastAsia"/>
                      <w:color w:val="000000" w:themeColor="text1"/>
                      <w:szCs w:val="21"/>
                    </w:rPr>
                    <w:t>排水</w:t>
                  </w:r>
                </w:p>
              </w:tc>
              <w:tc>
                <w:tcPr>
                  <w:tcW w:w="3681" w:type="pct"/>
                  <w:vAlign w:val="center"/>
                </w:tcPr>
                <w:p w14:paraId="454964B9">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项目实行雨污分流。</w:t>
                  </w:r>
                </w:p>
                <w:p w14:paraId="1B351DC6">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设置雨污分流</w:t>
                  </w:r>
                  <w:r>
                    <w:rPr>
                      <w:rFonts w:hint="eastAsia" w:eastAsiaTheme="minorEastAsia"/>
                      <w:color w:val="000000" w:themeColor="text1"/>
                      <w:szCs w:val="21"/>
                    </w:rPr>
                    <w:t>；</w:t>
                  </w:r>
                </w:p>
                <w:p w14:paraId="145D5CCD">
                  <w:pPr>
                    <w:pStyle w:val="78"/>
                    <w:ind w:left="51" w:right="51" w:firstLine="420" w:firstLineChars="200"/>
                    <w:jc w:val="left"/>
                    <w:rPr>
                      <w:rFonts w:eastAsiaTheme="minorEastAsia"/>
                      <w:b/>
                      <w:color w:val="000000" w:themeColor="text1"/>
                      <w:szCs w:val="21"/>
                    </w:rPr>
                  </w:pPr>
                  <w:r>
                    <w:rPr>
                      <w:rFonts w:hint="eastAsia" w:eastAsiaTheme="minorEastAsia"/>
                      <w:color w:val="000000" w:themeColor="text1"/>
                      <w:szCs w:val="21"/>
                    </w:rPr>
                    <w:t>一个雨水收集池（1m</w:t>
                  </w:r>
                  <w:r>
                    <w:rPr>
                      <w:rFonts w:hint="eastAsia" w:eastAsiaTheme="minorEastAsia"/>
                      <w:color w:val="000000" w:themeColor="text1"/>
                      <w:szCs w:val="21"/>
                      <w:vertAlign w:val="superscript"/>
                    </w:rPr>
                    <w:t>3</w:t>
                  </w:r>
                  <w:r>
                    <w:rPr>
                      <w:rFonts w:hint="eastAsia" w:eastAsiaTheme="minorEastAsia"/>
                      <w:color w:val="000000" w:themeColor="text1"/>
                      <w:szCs w:val="21"/>
                    </w:rPr>
                    <w:t>）；建设</w:t>
                  </w:r>
                  <w:r>
                    <w:rPr>
                      <w:rFonts w:eastAsiaTheme="minorEastAsia"/>
                      <w:color w:val="000000" w:themeColor="text1"/>
                      <w:szCs w:val="21"/>
                    </w:rPr>
                    <w:t>具有防雨、防风、防渗等功能的厂房或加盖雨棚</w:t>
                  </w:r>
                  <w:r>
                    <w:rPr>
                      <w:rFonts w:hint="eastAsia" w:eastAsiaTheme="minorEastAsia"/>
                      <w:color w:val="000000" w:themeColor="text1"/>
                      <w:szCs w:val="21"/>
                    </w:rPr>
                    <w:t>的原料、生产仓库。</w:t>
                  </w:r>
                </w:p>
              </w:tc>
            </w:tr>
            <w:tr w14:paraId="6C1E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3" w:type="pct"/>
                  <w:vMerge w:val="continue"/>
                  <w:vAlign w:val="center"/>
                </w:tcPr>
                <w:p w14:paraId="13268DCB">
                  <w:pPr>
                    <w:pStyle w:val="78"/>
                    <w:ind w:left="50" w:right="50"/>
                    <w:jc w:val="center"/>
                    <w:rPr>
                      <w:rFonts w:eastAsiaTheme="minorEastAsia"/>
                      <w:color w:val="000000" w:themeColor="text1"/>
                      <w:szCs w:val="21"/>
                    </w:rPr>
                  </w:pPr>
                </w:p>
              </w:tc>
              <w:tc>
                <w:tcPr>
                  <w:tcW w:w="816" w:type="pct"/>
                  <w:vAlign w:val="center"/>
                </w:tcPr>
                <w:p w14:paraId="7D23A33D">
                  <w:pPr>
                    <w:pStyle w:val="78"/>
                    <w:ind w:left="50" w:right="50"/>
                    <w:jc w:val="center"/>
                    <w:rPr>
                      <w:rFonts w:eastAsiaTheme="minorEastAsia"/>
                      <w:color w:val="000000" w:themeColor="text1"/>
                      <w:szCs w:val="21"/>
                    </w:rPr>
                  </w:pPr>
                  <w:r>
                    <w:rPr>
                      <w:rFonts w:eastAsiaTheme="minorEastAsia"/>
                      <w:color w:val="000000" w:themeColor="text1"/>
                      <w:szCs w:val="21"/>
                    </w:rPr>
                    <w:t>供电</w:t>
                  </w:r>
                </w:p>
              </w:tc>
              <w:tc>
                <w:tcPr>
                  <w:tcW w:w="3681" w:type="pct"/>
                  <w:vAlign w:val="center"/>
                </w:tcPr>
                <w:p w14:paraId="663D7B87">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市政供电电网供应。</w:t>
                  </w:r>
                </w:p>
              </w:tc>
            </w:tr>
            <w:tr w14:paraId="1C4B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3" w:type="pct"/>
                  <w:vMerge w:val="restart"/>
                  <w:vAlign w:val="center"/>
                </w:tcPr>
                <w:p w14:paraId="26E7835D">
                  <w:pPr>
                    <w:pStyle w:val="78"/>
                    <w:ind w:left="50" w:right="50"/>
                    <w:jc w:val="center"/>
                    <w:rPr>
                      <w:rFonts w:eastAsiaTheme="minorEastAsia"/>
                      <w:color w:val="000000" w:themeColor="text1"/>
                      <w:szCs w:val="21"/>
                    </w:rPr>
                  </w:pPr>
                  <w:r>
                    <w:rPr>
                      <w:rFonts w:eastAsiaTheme="minorEastAsia"/>
                      <w:color w:val="000000" w:themeColor="text1"/>
                      <w:szCs w:val="21"/>
                    </w:rPr>
                    <w:t>环保工程</w:t>
                  </w:r>
                </w:p>
              </w:tc>
              <w:tc>
                <w:tcPr>
                  <w:tcW w:w="816" w:type="pct"/>
                  <w:vAlign w:val="center"/>
                </w:tcPr>
                <w:p w14:paraId="4546D9EF">
                  <w:pPr>
                    <w:pStyle w:val="78"/>
                    <w:ind w:left="50" w:right="50"/>
                    <w:jc w:val="center"/>
                    <w:rPr>
                      <w:rFonts w:eastAsiaTheme="minorEastAsia"/>
                      <w:color w:val="000000" w:themeColor="text1"/>
                      <w:szCs w:val="21"/>
                    </w:rPr>
                  </w:pPr>
                  <w:r>
                    <w:rPr>
                      <w:rFonts w:eastAsiaTheme="minorEastAsia"/>
                      <w:color w:val="000000" w:themeColor="text1"/>
                      <w:szCs w:val="21"/>
                    </w:rPr>
                    <w:t>废水</w:t>
                  </w:r>
                </w:p>
              </w:tc>
              <w:tc>
                <w:tcPr>
                  <w:tcW w:w="3681" w:type="pct"/>
                  <w:vAlign w:val="center"/>
                </w:tcPr>
                <w:p w14:paraId="09C2F485">
                  <w:pPr>
                    <w:pStyle w:val="78"/>
                    <w:ind w:left="51" w:right="51" w:firstLine="422" w:firstLineChars="200"/>
                    <w:jc w:val="left"/>
                    <w:rPr>
                      <w:rFonts w:eastAsiaTheme="minorEastAsia"/>
                      <w:b/>
                      <w:color w:val="000000" w:themeColor="text1"/>
                      <w:szCs w:val="21"/>
                    </w:rPr>
                  </w:pPr>
                  <w:r>
                    <w:rPr>
                      <w:rFonts w:hint="eastAsia" w:eastAsiaTheme="minorEastAsia"/>
                      <w:b/>
                      <w:color w:val="000000" w:themeColor="text1"/>
                      <w:szCs w:val="21"/>
                    </w:rPr>
                    <w:t>（1）雨水</w:t>
                  </w:r>
                </w:p>
                <w:p w14:paraId="26295CCD">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项目实行雨污分流；</w:t>
                  </w:r>
                  <w:r>
                    <w:rPr>
                      <w:rFonts w:hint="eastAsia"/>
                      <w:color w:val="000000" w:themeColor="text1"/>
                    </w:rPr>
                    <w:t>一个雨水收集池（1m</w:t>
                  </w:r>
                  <w:r>
                    <w:rPr>
                      <w:rFonts w:hint="eastAsia"/>
                      <w:color w:val="000000" w:themeColor="text1"/>
                      <w:vertAlign w:val="superscript"/>
                    </w:rPr>
                    <w:t>3</w:t>
                  </w:r>
                  <w:r>
                    <w:rPr>
                      <w:rFonts w:hint="eastAsia"/>
                      <w:color w:val="000000" w:themeColor="text1"/>
                    </w:rPr>
                    <w:t>）；建设</w:t>
                  </w:r>
                  <w:r>
                    <w:rPr>
                      <w:color w:val="000000" w:themeColor="text1"/>
                      <w:szCs w:val="21"/>
                    </w:rPr>
                    <w:t>具有防雨、防风、防渗等功能的厂房或加盖雨棚</w:t>
                  </w:r>
                  <w:r>
                    <w:rPr>
                      <w:rFonts w:hint="eastAsia"/>
                      <w:color w:val="000000" w:themeColor="text1"/>
                      <w:szCs w:val="21"/>
                    </w:rPr>
                    <w:t>的原料、生产仓库</w:t>
                  </w:r>
                </w:p>
                <w:p w14:paraId="4FEAFC5B">
                  <w:pPr>
                    <w:pStyle w:val="78"/>
                    <w:ind w:left="51" w:right="51" w:firstLine="422" w:firstLineChars="200"/>
                    <w:jc w:val="left"/>
                    <w:rPr>
                      <w:rFonts w:eastAsiaTheme="minorEastAsia"/>
                      <w:b/>
                      <w:color w:val="000000" w:themeColor="text1"/>
                      <w:szCs w:val="21"/>
                    </w:rPr>
                  </w:pPr>
                  <w:r>
                    <w:rPr>
                      <w:rFonts w:eastAsiaTheme="minorEastAsia"/>
                      <w:b/>
                      <w:color w:val="000000" w:themeColor="text1"/>
                      <w:szCs w:val="21"/>
                    </w:rPr>
                    <w:t>（</w:t>
                  </w:r>
                  <w:r>
                    <w:rPr>
                      <w:rFonts w:hint="eastAsia" w:eastAsiaTheme="minorEastAsia"/>
                      <w:b/>
                      <w:color w:val="000000" w:themeColor="text1"/>
                      <w:szCs w:val="21"/>
                    </w:rPr>
                    <w:t>2</w:t>
                  </w:r>
                  <w:r>
                    <w:rPr>
                      <w:rFonts w:eastAsiaTheme="minorEastAsia"/>
                      <w:b/>
                      <w:color w:val="000000" w:themeColor="text1"/>
                      <w:szCs w:val="21"/>
                    </w:rPr>
                    <w:t>）生活废水处置措施</w:t>
                  </w:r>
                </w:p>
                <w:p w14:paraId="0055FC30">
                  <w:pPr>
                    <w:pStyle w:val="78"/>
                    <w:ind w:left="51" w:right="51" w:firstLine="420" w:firstLineChars="200"/>
                    <w:jc w:val="left"/>
                    <w:rPr>
                      <w:color w:val="000000" w:themeColor="text1"/>
                      <w:szCs w:val="22"/>
                    </w:rPr>
                  </w:pPr>
                  <w:r>
                    <w:rPr>
                      <w:color w:val="000000" w:themeColor="text1"/>
                      <w:szCs w:val="22"/>
                    </w:rPr>
                    <w:t>厨房废水经1个隔油池（0.</w:t>
                  </w:r>
                  <w:r>
                    <w:rPr>
                      <w:rFonts w:hint="eastAsia"/>
                      <w:color w:val="000000" w:themeColor="text1"/>
                      <w:szCs w:val="22"/>
                    </w:rPr>
                    <w:t>2</w:t>
                  </w:r>
                  <w:r>
                    <w:rPr>
                      <w:color w:val="000000" w:themeColor="text1"/>
                      <w:szCs w:val="22"/>
                    </w:rPr>
                    <w:t>m</w:t>
                  </w:r>
                  <w:r>
                    <w:rPr>
                      <w:color w:val="000000" w:themeColor="text1"/>
                      <w:szCs w:val="22"/>
                      <w:vertAlign w:val="superscript"/>
                    </w:rPr>
                    <w:t>3</w:t>
                  </w:r>
                  <w:r>
                    <w:rPr>
                      <w:color w:val="000000" w:themeColor="text1"/>
                      <w:szCs w:val="22"/>
                    </w:rPr>
                    <w:t>）处理后，与其它生活废水排入化粪池（1</w:t>
                  </w:r>
                  <w:r>
                    <w:rPr>
                      <w:rFonts w:hint="eastAsia"/>
                      <w:color w:val="000000" w:themeColor="text1"/>
                      <w:szCs w:val="22"/>
                    </w:rPr>
                    <w:t>5</w:t>
                  </w:r>
                  <w:r>
                    <w:rPr>
                      <w:color w:val="000000" w:themeColor="text1"/>
                      <w:szCs w:val="22"/>
                    </w:rPr>
                    <w:t>m</w:t>
                  </w:r>
                  <w:r>
                    <w:rPr>
                      <w:color w:val="000000" w:themeColor="text1"/>
                      <w:szCs w:val="22"/>
                      <w:vertAlign w:val="superscript"/>
                    </w:rPr>
                    <w:t>3</w:t>
                  </w:r>
                  <w:r>
                    <w:rPr>
                      <w:color w:val="000000" w:themeColor="text1"/>
                      <w:szCs w:val="22"/>
                    </w:rPr>
                    <w:t>）处理，定期委托周边村民清运，用于农作物施肥。</w:t>
                  </w:r>
                </w:p>
                <w:p w14:paraId="36C39DB4">
                  <w:pPr>
                    <w:pStyle w:val="78"/>
                    <w:ind w:left="51" w:right="51" w:firstLine="422" w:firstLineChars="200"/>
                    <w:jc w:val="left"/>
                    <w:rPr>
                      <w:rFonts w:eastAsiaTheme="minorEastAsia"/>
                      <w:b/>
                      <w:color w:val="000000" w:themeColor="text1"/>
                      <w:szCs w:val="21"/>
                    </w:rPr>
                  </w:pPr>
                  <w:r>
                    <w:rPr>
                      <w:rFonts w:eastAsiaTheme="minorEastAsia"/>
                      <w:b/>
                      <w:color w:val="000000" w:themeColor="text1"/>
                      <w:szCs w:val="21"/>
                    </w:rPr>
                    <w:t>（</w:t>
                  </w:r>
                  <w:r>
                    <w:rPr>
                      <w:rFonts w:hint="eastAsia" w:eastAsiaTheme="minorEastAsia"/>
                      <w:b/>
                      <w:color w:val="000000" w:themeColor="text1"/>
                      <w:szCs w:val="21"/>
                    </w:rPr>
                    <w:t>3</w:t>
                  </w:r>
                  <w:r>
                    <w:rPr>
                      <w:rFonts w:eastAsiaTheme="minorEastAsia"/>
                      <w:b/>
                      <w:color w:val="000000" w:themeColor="text1"/>
                      <w:szCs w:val="21"/>
                    </w:rPr>
                    <w:t>）生产废水</w:t>
                  </w:r>
                </w:p>
                <w:p w14:paraId="31BE011D">
                  <w:pPr>
                    <w:pStyle w:val="78"/>
                    <w:ind w:left="51" w:right="51" w:firstLine="420" w:firstLineChars="200"/>
                    <w:jc w:val="left"/>
                    <w:rPr>
                      <w:rFonts w:eastAsiaTheme="minorEastAsia"/>
                      <w:color w:val="000000" w:themeColor="text1"/>
                      <w:szCs w:val="21"/>
                    </w:rPr>
                  </w:pPr>
                  <w:r>
                    <w:rPr>
                      <w:color w:val="000000" w:themeColor="text1"/>
                      <w:szCs w:val="21"/>
                    </w:rPr>
                    <w:t>生产废水通过自建的</w:t>
                  </w:r>
                  <w:r>
                    <w:rPr>
                      <w:rFonts w:hint="eastAsia"/>
                      <w:color w:val="000000" w:themeColor="text1"/>
                      <w:szCs w:val="21"/>
                    </w:rPr>
                    <w:t>隔油池</w:t>
                  </w:r>
                  <w:r>
                    <w:rPr>
                      <w:color w:val="000000" w:themeColor="text1"/>
                      <w:szCs w:val="21"/>
                    </w:rPr>
                    <w:t>（</w:t>
                  </w:r>
                  <w:r>
                    <w:rPr>
                      <w:rFonts w:hint="eastAsia"/>
                      <w:snapToGrid w:val="0"/>
                      <w:color w:val="000000" w:themeColor="text1"/>
                      <w:kern w:val="0"/>
                      <w:szCs w:val="21"/>
                    </w:rPr>
                    <w:t>2</w:t>
                  </w:r>
                  <w:r>
                    <w:rPr>
                      <w:snapToGrid w:val="0"/>
                      <w:color w:val="000000" w:themeColor="text1"/>
                      <w:kern w:val="0"/>
                      <w:szCs w:val="21"/>
                    </w:rPr>
                    <w:t>m</w:t>
                  </w:r>
                  <w:r>
                    <w:rPr>
                      <w:snapToGrid w:val="0"/>
                      <w:color w:val="000000" w:themeColor="text1"/>
                      <w:kern w:val="0"/>
                      <w:szCs w:val="21"/>
                      <w:vertAlign w:val="superscript"/>
                    </w:rPr>
                    <w:t>3</w:t>
                  </w:r>
                  <w:r>
                    <w:rPr>
                      <w:color w:val="000000" w:themeColor="text1"/>
                      <w:szCs w:val="21"/>
                    </w:rPr>
                    <w:t>）</w:t>
                  </w:r>
                  <w:r>
                    <w:rPr>
                      <w:rFonts w:hint="eastAsia"/>
                      <w:color w:val="000000" w:themeColor="text1"/>
                      <w:szCs w:val="21"/>
                    </w:rPr>
                    <w:t>+沉淀池</w:t>
                  </w:r>
                  <w:r>
                    <w:rPr>
                      <w:color w:val="000000" w:themeColor="text1"/>
                      <w:szCs w:val="21"/>
                    </w:rPr>
                    <w:t>（</w:t>
                  </w:r>
                  <w:r>
                    <w:rPr>
                      <w:rFonts w:hint="eastAsia"/>
                      <w:snapToGrid w:val="0"/>
                      <w:color w:val="000000" w:themeColor="text1"/>
                      <w:kern w:val="0"/>
                      <w:szCs w:val="21"/>
                    </w:rPr>
                    <w:t>8</w:t>
                  </w:r>
                  <w:r>
                    <w:rPr>
                      <w:snapToGrid w:val="0"/>
                      <w:color w:val="000000" w:themeColor="text1"/>
                      <w:kern w:val="0"/>
                      <w:szCs w:val="21"/>
                    </w:rPr>
                    <w:t>m</w:t>
                  </w:r>
                  <w:r>
                    <w:rPr>
                      <w:snapToGrid w:val="0"/>
                      <w:color w:val="000000" w:themeColor="text1"/>
                      <w:kern w:val="0"/>
                      <w:szCs w:val="21"/>
                      <w:vertAlign w:val="superscript"/>
                    </w:rPr>
                    <w:t>3</w:t>
                  </w:r>
                  <w:r>
                    <w:rPr>
                      <w:color w:val="000000" w:themeColor="text1"/>
                      <w:szCs w:val="21"/>
                    </w:rPr>
                    <w:t>）处理后，储存于</w:t>
                  </w:r>
                  <w:r>
                    <w:rPr>
                      <w:rFonts w:hint="eastAsia"/>
                      <w:color w:val="000000" w:themeColor="text1"/>
                      <w:szCs w:val="21"/>
                    </w:rPr>
                    <w:t>供水</w:t>
                  </w:r>
                  <w:r>
                    <w:rPr>
                      <w:color w:val="000000" w:themeColor="text1"/>
                      <w:szCs w:val="21"/>
                    </w:rPr>
                    <w:t>池回用于生产。</w:t>
                  </w:r>
                </w:p>
              </w:tc>
            </w:tr>
            <w:tr w14:paraId="2EF6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3" w:type="pct"/>
                  <w:vMerge w:val="continue"/>
                  <w:vAlign w:val="center"/>
                </w:tcPr>
                <w:p w14:paraId="52484C91">
                  <w:pPr>
                    <w:pStyle w:val="78"/>
                    <w:ind w:left="50" w:right="50"/>
                    <w:jc w:val="center"/>
                    <w:rPr>
                      <w:rFonts w:eastAsiaTheme="minorEastAsia"/>
                      <w:color w:val="000000" w:themeColor="text1"/>
                      <w:szCs w:val="21"/>
                    </w:rPr>
                  </w:pPr>
                </w:p>
              </w:tc>
              <w:tc>
                <w:tcPr>
                  <w:tcW w:w="816" w:type="pct"/>
                  <w:vAlign w:val="center"/>
                </w:tcPr>
                <w:p w14:paraId="7A84E242">
                  <w:pPr>
                    <w:pStyle w:val="78"/>
                    <w:ind w:left="50" w:right="50"/>
                    <w:jc w:val="center"/>
                    <w:rPr>
                      <w:rFonts w:eastAsiaTheme="minorEastAsia"/>
                      <w:color w:val="000000" w:themeColor="text1"/>
                      <w:szCs w:val="21"/>
                    </w:rPr>
                  </w:pPr>
                  <w:r>
                    <w:rPr>
                      <w:rFonts w:eastAsiaTheme="minorEastAsia"/>
                      <w:color w:val="000000" w:themeColor="text1"/>
                      <w:szCs w:val="21"/>
                    </w:rPr>
                    <w:t>固废</w:t>
                  </w:r>
                </w:p>
              </w:tc>
              <w:tc>
                <w:tcPr>
                  <w:tcW w:w="3681" w:type="pct"/>
                  <w:vAlign w:val="center"/>
                </w:tcPr>
                <w:p w14:paraId="78340C00">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（1）一般工业固体废物：</w:t>
                  </w:r>
                  <w:r>
                    <w:rPr>
                      <w:color w:val="000000" w:themeColor="text1"/>
                      <w:szCs w:val="21"/>
                    </w:rPr>
                    <w:t>项目区生产区东侧设置一般固废堆放间（占地</w:t>
                  </w:r>
                  <w:r>
                    <w:rPr>
                      <w:rFonts w:hint="eastAsia"/>
                      <w:color w:val="000000" w:themeColor="text1"/>
                      <w:szCs w:val="21"/>
                    </w:rPr>
                    <w:t>3</w:t>
                  </w:r>
                  <w:r>
                    <w:rPr>
                      <w:color w:val="000000" w:themeColor="text1"/>
                      <w:szCs w:val="21"/>
                    </w:rPr>
                    <w:t>m</w:t>
                  </w:r>
                  <w:r>
                    <w:rPr>
                      <w:color w:val="000000" w:themeColor="text1"/>
                      <w:szCs w:val="21"/>
                      <w:vertAlign w:val="superscript"/>
                    </w:rPr>
                    <w:t>2</w:t>
                  </w:r>
                  <w:r>
                    <w:rPr>
                      <w:color w:val="000000" w:themeColor="text1"/>
                      <w:szCs w:val="21"/>
                    </w:rPr>
                    <w:t>）</w:t>
                  </w:r>
                  <w:r>
                    <w:rPr>
                      <w:rFonts w:eastAsiaTheme="minorEastAsia"/>
                      <w:color w:val="000000" w:themeColor="text1"/>
                      <w:szCs w:val="21"/>
                    </w:rPr>
                    <w:t>。</w:t>
                  </w:r>
                </w:p>
                <w:p w14:paraId="328B26C9">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（2）生活垃圾：设置垃圾桶，经分类收集后运至最近垃圾收集点。</w:t>
                  </w:r>
                </w:p>
              </w:tc>
            </w:tr>
            <w:tr w14:paraId="51C7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503" w:type="pct"/>
                  <w:vMerge w:val="continue"/>
                  <w:vAlign w:val="center"/>
                </w:tcPr>
                <w:p w14:paraId="328E8392">
                  <w:pPr>
                    <w:pStyle w:val="78"/>
                    <w:ind w:left="50" w:right="50"/>
                    <w:jc w:val="center"/>
                    <w:rPr>
                      <w:rFonts w:eastAsiaTheme="minorEastAsia"/>
                      <w:color w:val="000000" w:themeColor="text1"/>
                      <w:szCs w:val="21"/>
                    </w:rPr>
                  </w:pPr>
                </w:p>
              </w:tc>
              <w:tc>
                <w:tcPr>
                  <w:tcW w:w="816" w:type="pct"/>
                  <w:vAlign w:val="center"/>
                </w:tcPr>
                <w:p w14:paraId="2375D86A">
                  <w:pPr>
                    <w:pStyle w:val="78"/>
                    <w:ind w:left="50" w:right="50"/>
                    <w:jc w:val="center"/>
                    <w:rPr>
                      <w:rFonts w:eastAsiaTheme="minorEastAsia"/>
                      <w:color w:val="000000" w:themeColor="text1"/>
                      <w:szCs w:val="21"/>
                    </w:rPr>
                  </w:pPr>
                  <w:r>
                    <w:rPr>
                      <w:rFonts w:eastAsiaTheme="minorEastAsia"/>
                      <w:color w:val="000000" w:themeColor="text1"/>
                      <w:szCs w:val="21"/>
                    </w:rPr>
                    <w:t>噪声</w:t>
                  </w:r>
                </w:p>
              </w:tc>
              <w:tc>
                <w:tcPr>
                  <w:tcW w:w="3681" w:type="pct"/>
                  <w:vAlign w:val="center"/>
                </w:tcPr>
                <w:p w14:paraId="76D6669B">
                  <w:pPr>
                    <w:pStyle w:val="78"/>
                    <w:ind w:left="51" w:right="51" w:firstLine="420" w:firstLineChars="200"/>
                    <w:jc w:val="left"/>
                    <w:rPr>
                      <w:rFonts w:eastAsiaTheme="minorEastAsia"/>
                      <w:color w:val="000000" w:themeColor="text1"/>
                      <w:szCs w:val="21"/>
                    </w:rPr>
                  </w:pPr>
                  <w:r>
                    <w:rPr>
                      <w:rFonts w:eastAsiaTheme="minorEastAsia"/>
                      <w:color w:val="000000" w:themeColor="text1"/>
                      <w:szCs w:val="21"/>
                    </w:rPr>
                    <w:t>房屋隔声、设备减振。</w:t>
                  </w:r>
                </w:p>
              </w:tc>
            </w:tr>
          </w:tbl>
          <w:p w14:paraId="115B3540">
            <w:pPr>
              <w:spacing w:line="360" w:lineRule="auto"/>
              <w:ind w:left="105" w:leftChars="50" w:firstLine="360" w:firstLineChars="150"/>
              <w:rPr>
                <w:rFonts w:ascii="Times New Roman" w:hAnsi="Times New Roman" w:cs="Times New Roman"/>
                <w:b/>
                <w:color w:val="000000" w:themeColor="text1"/>
                <w:sz w:val="24"/>
              </w:rPr>
            </w:pPr>
            <w:r>
              <w:rPr>
                <w:rFonts w:ascii="Times New Roman" w:hAnsi="Times New Roman" w:cs="Times New Roman"/>
                <w:color w:val="000000" w:themeColor="text1"/>
                <w:sz w:val="24"/>
              </w:rPr>
              <w:t>项目的主要建筑指标见下表。</w:t>
            </w:r>
          </w:p>
          <w:p w14:paraId="4B24CC91">
            <w:pPr>
              <w:ind w:left="50" w:right="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表1-2  项目主要建筑指标一览表</w:t>
            </w:r>
          </w:p>
          <w:tbl>
            <w:tblPr>
              <w:tblStyle w:val="39"/>
              <w:tblW w:w="5000" w:type="pct"/>
              <w:tblInd w:w="0" w:type="dxa"/>
              <w:tblLayout w:type="autofit"/>
              <w:tblCellMar>
                <w:top w:w="0" w:type="dxa"/>
                <w:left w:w="108" w:type="dxa"/>
                <w:bottom w:w="0" w:type="dxa"/>
                <w:right w:w="108" w:type="dxa"/>
              </w:tblCellMar>
            </w:tblPr>
            <w:tblGrid>
              <w:gridCol w:w="589"/>
              <w:gridCol w:w="2700"/>
              <w:gridCol w:w="2414"/>
              <w:gridCol w:w="4080"/>
            </w:tblGrid>
            <w:tr w14:paraId="5FE93D35">
              <w:tblPrEx>
                <w:tblCellMar>
                  <w:top w:w="0" w:type="dxa"/>
                  <w:left w:w="108" w:type="dxa"/>
                  <w:bottom w:w="0" w:type="dxa"/>
                  <w:right w:w="108" w:type="dxa"/>
                </w:tblCellMar>
              </w:tblPrEx>
              <w:trPr>
                <w:trHeight w:val="20" w:hRule="atLeast"/>
              </w:trPr>
              <w:tc>
                <w:tcPr>
                  <w:tcW w:w="168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424DAD46">
                  <w:pPr>
                    <w:widowControl/>
                    <w:jc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项目</w:t>
                  </w:r>
                </w:p>
              </w:tc>
              <w:tc>
                <w:tcPr>
                  <w:tcW w:w="1234" w:type="pct"/>
                  <w:tcBorders>
                    <w:top w:val="single" w:color="auto" w:sz="8" w:space="0"/>
                    <w:left w:val="nil"/>
                    <w:bottom w:val="single" w:color="auto" w:sz="8" w:space="0"/>
                    <w:right w:val="single" w:color="auto" w:sz="8" w:space="0"/>
                  </w:tcBorders>
                  <w:shd w:val="clear" w:color="auto" w:fill="auto"/>
                  <w:vAlign w:val="center"/>
                </w:tcPr>
                <w:p w14:paraId="12EEBDE8">
                  <w:pPr>
                    <w:widowControl/>
                    <w:jc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单位</w:t>
                  </w:r>
                </w:p>
              </w:tc>
              <w:tc>
                <w:tcPr>
                  <w:tcW w:w="2085" w:type="pct"/>
                  <w:tcBorders>
                    <w:top w:val="single" w:color="auto" w:sz="8" w:space="0"/>
                    <w:left w:val="nil"/>
                    <w:bottom w:val="single" w:color="auto" w:sz="8" w:space="0"/>
                    <w:right w:val="single" w:color="auto" w:sz="8" w:space="0"/>
                  </w:tcBorders>
                  <w:shd w:val="clear" w:color="auto" w:fill="auto"/>
                  <w:vAlign w:val="center"/>
                </w:tcPr>
                <w:p w14:paraId="02BF3F53">
                  <w:pPr>
                    <w:widowControl/>
                    <w:jc w:val="center"/>
                    <w:rPr>
                      <w:rFonts w:ascii="Times New Roman" w:hAnsi="Times New Roman" w:eastAsia="宋体" w:cs="Times New Roman"/>
                      <w:b/>
                      <w:bCs/>
                      <w:color w:val="000000" w:themeColor="text1"/>
                      <w:kern w:val="0"/>
                      <w:szCs w:val="21"/>
                    </w:rPr>
                  </w:pPr>
                  <w:r>
                    <w:rPr>
                      <w:rFonts w:ascii="Times New Roman" w:hAnsi="Times New Roman" w:eastAsia="宋体" w:cs="Times New Roman"/>
                      <w:b/>
                      <w:bCs/>
                      <w:color w:val="000000" w:themeColor="text1"/>
                      <w:kern w:val="0"/>
                      <w:szCs w:val="21"/>
                    </w:rPr>
                    <w:t>指标</w:t>
                  </w:r>
                </w:p>
              </w:tc>
            </w:tr>
            <w:tr w14:paraId="0F35D755">
              <w:tblPrEx>
                <w:tblCellMar>
                  <w:top w:w="0" w:type="dxa"/>
                  <w:left w:w="108" w:type="dxa"/>
                  <w:bottom w:w="0" w:type="dxa"/>
                  <w:right w:w="108" w:type="dxa"/>
                </w:tblCellMar>
              </w:tblPrEx>
              <w:trPr>
                <w:trHeight w:val="20" w:hRule="atLeast"/>
              </w:trPr>
              <w:tc>
                <w:tcPr>
                  <w:tcW w:w="168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6BC8F240">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总占地面积</w:t>
                  </w:r>
                </w:p>
              </w:tc>
              <w:tc>
                <w:tcPr>
                  <w:tcW w:w="1234" w:type="pct"/>
                  <w:tcBorders>
                    <w:top w:val="nil"/>
                    <w:left w:val="nil"/>
                    <w:bottom w:val="single" w:color="auto" w:sz="8" w:space="0"/>
                    <w:right w:val="single" w:color="auto" w:sz="8" w:space="0"/>
                  </w:tcBorders>
                  <w:shd w:val="clear" w:color="auto" w:fill="auto"/>
                  <w:vAlign w:val="center"/>
                </w:tcPr>
                <w:p w14:paraId="1AE1D690">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39ED9F91">
                  <w:pPr>
                    <w:widowControl/>
                    <w:jc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2700</w:t>
                  </w:r>
                </w:p>
              </w:tc>
            </w:tr>
            <w:tr w14:paraId="092DEC0A">
              <w:tblPrEx>
                <w:tblCellMar>
                  <w:top w:w="0" w:type="dxa"/>
                  <w:left w:w="108" w:type="dxa"/>
                  <w:bottom w:w="0" w:type="dxa"/>
                  <w:right w:w="108" w:type="dxa"/>
                </w:tblCellMar>
              </w:tblPrEx>
              <w:trPr>
                <w:trHeight w:val="20" w:hRule="atLeast"/>
              </w:trPr>
              <w:tc>
                <w:tcPr>
                  <w:tcW w:w="168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187523BA">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建筑面积</w:t>
                  </w:r>
                </w:p>
              </w:tc>
              <w:tc>
                <w:tcPr>
                  <w:tcW w:w="1234" w:type="pct"/>
                  <w:tcBorders>
                    <w:top w:val="nil"/>
                    <w:left w:val="nil"/>
                    <w:bottom w:val="single" w:color="auto" w:sz="8" w:space="0"/>
                    <w:right w:val="single" w:color="auto" w:sz="8" w:space="0"/>
                  </w:tcBorders>
                  <w:shd w:val="clear" w:color="auto" w:fill="auto"/>
                  <w:vAlign w:val="center"/>
                </w:tcPr>
                <w:p w14:paraId="7B54F97D">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2ABA4351">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800</w:t>
                  </w:r>
                </w:p>
              </w:tc>
            </w:tr>
            <w:tr w14:paraId="5DDEE746">
              <w:tblPrEx>
                <w:tblCellMar>
                  <w:top w:w="0" w:type="dxa"/>
                  <w:left w:w="108" w:type="dxa"/>
                  <w:bottom w:w="0" w:type="dxa"/>
                  <w:right w:w="108" w:type="dxa"/>
                </w:tblCellMar>
              </w:tblPrEx>
              <w:trPr>
                <w:trHeight w:val="20" w:hRule="atLeast"/>
              </w:trPr>
              <w:tc>
                <w:tcPr>
                  <w:tcW w:w="301" w:type="pct"/>
                  <w:vMerge w:val="restart"/>
                  <w:tcBorders>
                    <w:top w:val="nil"/>
                    <w:left w:val="single" w:color="auto" w:sz="8" w:space="0"/>
                    <w:bottom w:val="single" w:color="000000" w:sz="8" w:space="0"/>
                    <w:right w:val="single" w:color="auto" w:sz="8" w:space="0"/>
                  </w:tcBorders>
                  <w:shd w:val="clear" w:color="auto" w:fill="auto"/>
                  <w:vAlign w:val="center"/>
                </w:tcPr>
                <w:p w14:paraId="385FC908">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其中</w:t>
                  </w:r>
                </w:p>
              </w:tc>
              <w:tc>
                <w:tcPr>
                  <w:tcW w:w="1380" w:type="pct"/>
                  <w:tcBorders>
                    <w:top w:val="single" w:color="auto" w:sz="8" w:space="0"/>
                    <w:left w:val="nil"/>
                    <w:bottom w:val="single" w:color="auto" w:sz="8" w:space="0"/>
                    <w:right w:val="single" w:color="000000" w:sz="8" w:space="0"/>
                  </w:tcBorders>
                  <w:shd w:val="clear" w:color="auto" w:fill="auto"/>
                  <w:vAlign w:val="center"/>
                </w:tcPr>
                <w:p w14:paraId="0F80ACE5">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生产区及原料仓库</w:t>
                  </w:r>
                </w:p>
              </w:tc>
              <w:tc>
                <w:tcPr>
                  <w:tcW w:w="1234" w:type="pct"/>
                  <w:tcBorders>
                    <w:top w:val="nil"/>
                    <w:left w:val="nil"/>
                    <w:bottom w:val="single" w:color="auto" w:sz="8" w:space="0"/>
                    <w:right w:val="single" w:color="auto" w:sz="8" w:space="0"/>
                  </w:tcBorders>
                  <w:shd w:val="clear" w:color="auto" w:fill="auto"/>
                  <w:vAlign w:val="center"/>
                </w:tcPr>
                <w:p w14:paraId="5BA2DC0E">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3A197B5A">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216</w:t>
                  </w:r>
                </w:p>
              </w:tc>
            </w:tr>
            <w:tr w14:paraId="09CFA04C">
              <w:tblPrEx>
                <w:tblCellMar>
                  <w:top w:w="0" w:type="dxa"/>
                  <w:left w:w="108" w:type="dxa"/>
                  <w:bottom w:w="0" w:type="dxa"/>
                  <w:right w:w="108" w:type="dxa"/>
                </w:tblCellMar>
              </w:tblPrEx>
              <w:trPr>
                <w:trHeight w:val="20" w:hRule="atLeast"/>
              </w:trPr>
              <w:tc>
                <w:tcPr>
                  <w:tcW w:w="301" w:type="pct"/>
                  <w:vMerge w:val="continue"/>
                  <w:tcBorders>
                    <w:top w:val="nil"/>
                    <w:left w:val="single" w:color="auto" w:sz="8" w:space="0"/>
                    <w:bottom w:val="single" w:color="000000" w:sz="8" w:space="0"/>
                    <w:right w:val="single" w:color="auto" w:sz="8" w:space="0"/>
                  </w:tcBorders>
                  <w:vAlign w:val="center"/>
                </w:tcPr>
                <w:p w14:paraId="65F91C94">
                  <w:pPr>
                    <w:widowControl/>
                    <w:jc w:val="left"/>
                    <w:rPr>
                      <w:rFonts w:ascii="Times New Roman" w:hAnsi="Times New Roman" w:eastAsia="宋体" w:cs="Times New Roman"/>
                      <w:color w:val="000000" w:themeColor="text1"/>
                      <w:kern w:val="0"/>
                      <w:szCs w:val="21"/>
                    </w:rPr>
                  </w:pPr>
                </w:p>
              </w:tc>
              <w:tc>
                <w:tcPr>
                  <w:tcW w:w="1380" w:type="pct"/>
                  <w:tcBorders>
                    <w:top w:val="single" w:color="auto" w:sz="8" w:space="0"/>
                    <w:left w:val="nil"/>
                    <w:bottom w:val="single" w:color="auto" w:sz="8" w:space="0"/>
                    <w:right w:val="single" w:color="000000" w:sz="8" w:space="0"/>
                  </w:tcBorders>
                  <w:shd w:val="clear" w:color="auto" w:fill="auto"/>
                  <w:vAlign w:val="center"/>
                </w:tcPr>
                <w:p w14:paraId="2A45ED3A">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成品库</w:t>
                  </w:r>
                </w:p>
              </w:tc>
              <w:tc>
                <w:tcPr>
                  <w:tcW w:w="1234" w:type="pct"/>
                  <w:tcBorders>
                    <w:top w:val="nil"/>
                    <w:left w:val="nil"/>
                    <w:bottom w:val="single" w:color="auto" w:sz="8" w:space="0"/>
                    <w:right w:val="single" w:color="auto" w:sz="8" w:space="0"/>
                  </w:tcBorders>
                  <w:shd w:val="clear" w:color="auto" w:fill="auto"/>
                  <w:vAlign w:val="center"/>
                </w:tcPr>
                <w:p w14:paraId="4BEB8601">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4EA03E6F">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152</w:t>
                  </w:r>
                </w:p>
              </w:tc>
            </w:tr>
            <w:tr w14:paraId="4882629F">
              <w:tblPrEx>
                <w:tblCellMar>
                  <w:top w:w="0" w:type="dxa"/>
                  <w:left w:w="108" w:type="dxa"/>
                  <w:bottom w:w="0" w:type="dxa"/>
                  <w:right w:w="108" w:type="dxa"/>
                </w:tblCellMar>
              </w:tblPrEx>
              <w:trPr>
                <w:trHeight w:val="347" w:hRule="atLeast"/>
              </w:trPr>
              <w:tc>
                <w:tcPr>
                  <w:tcW w:w="301" w:type="pct"/>
                  <w:vMerge w:val="continue"/>
                  <w:tcBorders>
                    <w:top w:val="nil"/>
                    <w:left w:val="single" w:color="auto" w:sz="8" w:space="0"/>
                    <w:bottom w:val="single" w:color="000000" w:sz="8" w:space="0"/>
                    <w:right w:val="single" w:color="auto" w:sz="8" w:space="0"/>
                  </w:tcBorders>
                  <w:vAlign w:val="center"/>
                </w:tcPr>
                <w:p w14:paraId="3A50CF63">
                  <w:pPr>
                    <w:widowControl/>
                    <w:jc w:val="left"/>
                    <w:rPr>
                      <w:rFonts w:ascii="Times New Roman" w:hAnsi="Times New Roman" w:eastAsia="宋体" w:cs="Times New Roman"/>
                      <w:color w:val="000000" w:themeColor="text1"/>
                      <w:kern w:val="0"/>
                      <w:szCs w:val="21"/>
                    </w:rPr>
                  </w:pPr>
                </w:p>
              </w:tc>
              <w:tc>
                <w:tcPr>
                  <w:tcW w:w="1380" w:type="pct"/>
                  <w:tcBorders>
                    <w:top w:val="single" w:color="auto" w:sz="8" w:space="0"/>
                    <w:left w:val="nil"/>
                    <w:bottom w:val="single" w:color="auto" w:sz="8" w:space="0"/>
                    <w:right w:val="single" w:color="000000" w:sz="8" w:space="0"/>
                  </w:tcBorders>
                  <w:shd w:val="clear" w:color="auto" w:fill="auto"/>
                  <w:vAlign w:val="center"/>
                </w:tcPr>
                <w:p w14:paraId="39DACBEF">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办公区</w:t>
                  </w:r>
                </w:p>
              </w:tc>
              <w:tc>
                <w:tcPr>
                  <w:tcW w:w="1234" w:type="pct"/>
                  <w:tcBorders>
                    <w:top w:val="nil"/>
                    <w:left w:val="nil"/>
                    <w:bottom w:val="single" w:color="auto" w:sz="8" w:space="0"/>
                    <w:right w:val="single" w:color="auto" w:sz="8" w:space="0"/>
                  </w:tcBorders>
                  <w:shd w:val="clear" w:color="auto" w:fill="auto"/>
                  <w:vAlign w:val="center"/>
                </w:tcPr>
                <w:p w14:paraId="3553B99C">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1467614C">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182</w:t>
                  </w:r>
                </w:p>
              </w:tc>
            </w:tr>
            <w:tr w14:paraId="3DD18FF3">
              <w:tblPrEx>
                <w:tblCellMar>
                  <w:top w:w="0" w:type="dxa"/>
                  <w:left w:w="108" w:type="dxa"/>
                  <w:bottom w:w="0" w:type="dxa"/>
                  <w:right w:w="108" w:type="dxa"/>
                </w:tblCellMar>
              </w:tblPrEx>
              <w:trPr>
                <w:trHeight w:val="20" w:hRule="atLeast"/>
              </w:trPr>
              <w:tc>
                <w:tcPr>
                  <w:tcW w:w="168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9E39265">
                  <w:pPr>
                    <w:widowControl/>
                    <w:jc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原料堆场</w:t>
                  </w:r>
                </w:p>
              </w:tc>
              <w:tc>
                <w:tcPr>
                  <w:tcW w:w="1234" w:type="pct"/>
                  <w:tcBorders>
                    <w:top w:val="nil"/>
                    <w:left w:val="nil"/>
                    <w:bottom w:val="single" w:color="auto" w:sz="8" w:space="0"/>
                    <w:right w:val="single" w:color="auto" w:sz="8" w:space="0"/>
                  </w:tcBorders>
                  <w:shd w:val="clear" w:color="auto" w:fill="auto"/>
                  <w:vAlign w:val="center"/>
                </w:tcPr>
                <w:p w14:paraId="403186B3">
                  <w:pPr>
                    <w:widowControl/>
                    <w:jc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m</w:t>
                  </w:r>
                  <w:r>
                    <w:rPr>
                      <w:rFonts w:hint="eastAsia"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5E412DDC">
                  <w:pPr>
                    <w:widowControl/>
                    <w:jc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665</w:t>
                  </w:r>
                </w:p>
              </w:tc>
            </w:tr>
            <w:tr w14:paraId="2A3D34E3">
              <w:tblPrEx>
                <w:tblCellMar>
                  <w:top w:w="0" w:type="dxa"/>
                  <w:left w:w="108" w:type="dxa"/>
                  <w:bottom w:w="0" w:type="dxa"/>
                  <w:right w:w="108" w:type="dxa"/>
                </w:tblCellMar>
              </w:tblPrEx>
              <w:trPr>
                <w:trHeight w:val="20" w:hRule="atLeast"/>
              </w:trPr>
              <w:tc>
                <w:tcPr>
                  <w:tcW w:w="168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39E4365">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绿化</w:t>
                  </w:r>
                </w:p>
              </w:tc>
              <w:tc>
                <w:tcPr>
                  <w:tcW w:w="1234" w:type="pct"/>
                  <w:tcBorders>
                    <w:top w:val="nil"/>
                    <w:left w:val="nil"/>
                    <w:bottom w:val="single" w:color="auto" w:sz="8" w:space="0"/>
                    <w:right w:val="single" w:color="auto" w:sz="8" w:space="0"/>
                  </w:tcBorders>
                  <w:shd w:val="clear" w:color="auto" w:fill="auto"/>
                  <w:vAlign w:val="center"/>
                </w:tcPr>
                <w:p w14:paraId="6312F14D">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7E844133">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150</w:t>
                  </w:r>
                </w:p>
              </w:tc>
            </w:tr>
            <w:tr w14:paraId="18134404">
              <w:tblPrEx>
                <w:tblCellMar>
                  <w:top w:w="0" w:type="dxa"/>
                  <w:left w:w="108" w:type="dxa"/>
                  <w:bottom w:w="0" w:type="dxa"/>
                  <w:right w:w="108" w:type="dxa"/>
                </w:tblCellMar>
              </w:tblPrEx>
              <w:trPr>
                <w:trHeight w:val="20" w:hRule="atLeast"/>
              </w:trPr>
              <w:tc>
                <w:tcPr>
                  <w:tcW w:w="1681" w:type="pct"/>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DD9DCBC">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其它（过道、硬地等）</w:t>
                  </w:r>
                </w:p>
              </w:tc>
              <w:tc>
                <w:tcPr>
                  <w:tcW w:w="1234" w:type="pct"/>
                  <w:tcBorders>
                    <w:top w:val="nil"/>
                    <w:left w:val="nil"/>
                    <w:bottom w:val="single" w:color="auto" w:sz="8" w:space="0"/>
                    <w:right w:val="single" w:color="auto" w:sz="8" w:space="0"/>
                  </w:tcBorders>
                  <w:shd w:val="clear" w:color="auto" w:fill="auto"/>
                  <w:vAlign w:val="center"/>
                </w:tcPr>
                <w:p w14:paraId="3A16C391">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m</w:t>
                  </w:r>
                  <w:r>
                    <w:rPr>
                      <w:rFonts w:ascii="Times New Roman" w:hAnsi="Times New Roman" w:eastAsia="宋体" w:cs="Times New Roman"/>
                      <w:color w:val="000000" w:themeColor="text1"/>
                      <w:kern w:val="0"/>
                      <w:szCs w:val="21"/>
                      <w:vertAlign w:val="superscript"/>
                    </w:rPr>
                    <w:t>2</w:t>
                  </w:r>
                </w:p>
              </w:tc>
              <w:tc>
                <w:tcPr>
                  <w:tcW w:w="2085" w:type="pct"/>
                  <w:tcBorders>
                    <w:top w:val="nil"/>
                    <w:left w:val="nil"/>
                    <w:bottom w:val="single" w:color="auto" w:sz="8" w:space="0"/>
                    <w:right w:val="single" w:color="auto" w:sz="8" w:space="0"/>
                  </w:tcBorders>
                  <w:shd w:val="clear" w:color="auto" w:fill="auto"/>
                  <w:vAlign w:val="center"/>
                </w:tcPr>
                <w:p w14:paraId="5CBF505C">
                  <w:pPr>
                    <w:widowControl/>
                    <w:jc w:val="center"/>
                    <w:rPr>
                      <w:rFonts w:ascii="Times New Roman" w:hAnsi="Times New Roman" w:eastAsia="宋体" w:cs="Times New Roman"/>
                      <w:color w:val="000000" w:themeColor="text1"/>
                      <w:kern w:val="0"/>
                      <w:szCs w:val="21"/>
                    </w:rPr>
                  </w:pPr>
                  <w:r>
                    <w:rPr>
                      <w:rFonts w:hint="eastAsia" w:ascii="Times New Roman" w:hAnsi="Times New Roman" w:eastAsia="宋体" w:cs="Times New Roman"/>
                      <w:color w:val="000000" w:themeColor="text1"/>
                      <w:kern w:val="0"/>
                      <w:szCs w:val="21"/>
                    </w:rPr>
                    <w:t>1085</w:t>
                  </w:r>
                </w:p>
              </w:tc>
            </w:tr>
          </w:tbl>
          <w:p w14:paraId="57A6A1C1">
            <w:pPr>
              <w:tabs>
                <w:tab w:val="left" w:pos="2395"/>
              </w:tabs>
              <w:spacing w:line="360" w:lineRule="auto"/>
              <w:ind w:left="105" w:leftChars="50" w:right="105" w:rightChars="50" w:firstLine="495"/>
              <w:rPr>
                <w:rFonts w:ascii="Times New Roman" w:hAnsi="Times New Roman" w:cs="Times New Roman"/>
                <w:b/>
                <w:color w:val="000000" w:themeColor="text1"/>
                <w:sz w:val="24"/>
              </w:rPr>
            </w:pPr>
            <w:r>
              <w:rPr>
                <w:rFonts w:ascii="Times New Roman" w:hAnsi="Times New Roman" w:cs="Times New Roman"/>
                <w:b/>
                <w:color w:val="000000" w:themeColor="text1"/>
                <w:sz w:val="24"/>
              </w:rPr>
              <w:t>3、产品方案</w:t>
            </w:r>
          </w:p>
          <w:p w14:paraId="7834E34B">
            <w:pPr>
              <w:ind w:left="51" w:right="51"/>
              <w:jc w:val="center"/>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表1-3  产品方案</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3"/>
              <w:gridCol w:w="4480"/>
            </w:tblGrid>
            <w:tr w14:paraId="481C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pct"/>
                  <w:vAlign w:val="center"/>
                </w:tcPr>
                <w:p w14:paraId="6F3B0210">
                  <w:pPr>
                    <w:tabs>
                      <w:tab w:val="left" w:pos="2395"/>
                    </w:tabs>
                    <w:ind w:right="105" w:rightChars="50"/>
                    <w:jc w:val="center"/>
                    <w:rPr>
                      <w:rFonts w:ascii="Times New Roman" w:hAnsi="Times New Roman" w:cs="Times New Roman" w:eastAsiaTheme="minorEastAsia"/>
                      <w:b/>
                      <w:color w:val="000000" w:themeColor="text1"/>
                      <w:szCs w:val="21"/>
                    </w:rPr>
                  </w:pPr>
                  <w:r>
                    <w:rPr>
                      <w:rFonts w:ascii="Times New Roman" w:hAnsi="Times New Roman" w:cs="Times New Roman" w:eastAsiaTheme="minorEastAsia"/>
                      <w:b/>
                      <w:color w:val="000000" w:themeColor="text1"/>
                      <w:szCs w:val="21"/>
                    </w:rPr>
                    <w:t>产品</w:t>
                  </w:r>
                </w:p>
              </w:tc>
              <w:tc>
                <w:tcPr>
                  <w:tcW w:w="2292" w:type="pct"/>
                  <w:vAlign w:val="center"/>
                </w:tcPr>
                <w:p w14:paraId="1A33206B">
                  <w:pPr>
                    <w:tabs>
                      <w:tab w:val="left" w:pos="2395"/>
                    </w:tabs>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年产量（t）</w:t>
                  </w:r>
                </w:p>
              </w:tc>
            </w:tr>
            <w:tr w14:paraId="6F59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pct"/>
                  <w:vAlign w:val="center"/>
                </w:tcPr>
                <w:p w14:paraId="2DE9C798">
                  <w:pPr>
                    <w:tabs>
                      <w:tab w:val="left" w:pos="2395"/>
                    </w:tabs>
                    <w:ind w:right="105" w:rightChars="50"/>
                    <w:jc w:val="center"/>
                    <w:rPr>
                      <w:rFonts w:ascii="Times New Roman" w:hAnsi="Times New Roman" w:cs="Times New Roman" w:eastAsiaTheme="minorEastAsia"/>
                      <w:color w:val="000000" w:themeColor="text1"/>
                      <w:szCs w:val="21"/>
                    </w:rPr>
                  </w:pPr>
                  <w:r>
                    <w:rPr>
                      <w:rFonts w:ascii="Times New Roman" w:hAnsi="Times New Roman" w:cs="Times New Roman" w:eastAsiaTheme="minorEastAsia"/>
                      <w:color w:val="000000" w:themeColor="text1"/>
                      <w:szCs w:val="21"/>
                    </w:rPr>
                    <w:t>塑料片（1-2cm塑料碎片）</w:t>
                  </w:r>
                </w:p>
              </w:tc>
              <w:tc>
                <w:tcPr>
                  <w:tcW w:w="2292" w:type="pct"/>
                  <w:vAlign w:val="center"/>
                </w:tcPr>
                <w:p w14:paraId="16D10DD6">
                  <w:pPr>
                    <w:tabs>
                      <w:tab w:val="left" w:pos="2395"/>
                    </w:tabs>
                    <w:ind w:right="105" w:rightChars="5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29980</w:t>
                  </w:r>
                </w:p>
              </w:tc>
            </w:tr>
          </w:tbl>
          <w:p w14:paraId="64F9FF82">
            <w:pPr>
              <w:tabs>
                <w:tab w:val="left" w:pos="2395"/>
              </w:tabs>
              <w:spacing w:line="360" w:lineRule="auto"/>
              <w:ind w:left="105" w:leftChars="50" w:right="105" w:rightChars="50" w:firstLine="495"/>
              <w:rPr>
                <w:rFonts w:ascii="Times New Roman" w:hAnsi="Times New Roman" w:cs="Times New Roman"/>
                <w:b/>
                <w:color w:val="000000" w:themeColor="text1"/>
                <w:sz w:val="24"/>
              </w:rPr>
            </w:pPr>
            <w:r>
              <w:rPr>
                <w:rFonts w:ascii="Times New Roman" w:hAnsi="Times New Roman" w:cs="Times New Roman"/>
                <w:b/>
                <w:color w:val="000000" w:themeColor="text1"/>
                <w:sz w:val="24"/>
              </w:rPr>
              <w:t>4、原辅料</w:t>
            </w:r>
          </w:p>
          <w:p w14:paraId="67F42417">
            <w:pPr>
              <w:ind w:left="51" w:right="51"/>
              <w:jc w:val="center"/>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表1-4  原辅料用量</w:t>
            </w:r>
          </w:p>
          <w:tbl>
            <w:tblPr>
              <w:tblStyle w:val="3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8"/>
              <w:gridCol w:w="2170"/>
              <w:gridCol w:w="1620"/>
              <w:gridCol w:w="1317"/>
              <w:gridCol w:w="868"/>
              <w:gridCol w:w="2930"/>
            </w:tblGrid>
            <w:tr w14:paraId="4323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4" w:type="pct"/>
                  <w:vAlign w:val="center"/>
                </w:tcPr>
                <w:p w14:paraId="6025ABE0">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序号</w:t>
                  </w:r>
                </w:p>
              </w:tc>
              <w:tc>
                <w:tcPr>
                  <w:tcW w:w="1110" w:type="pct"/>
                  <w:vAlign w:val="center"/>
                </w:tcPr>
                <w:p w14:paraId="561A36D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原料名称</w:t>
                  </w:r>
                </w:p>
              </w:tc>
              <w:tc>
                <w:tcPr>
                  <w:tcW w:w="829" w:type="pct"/>
                  <w:vAlign w:val="center"/>
                </w:tcPr>
                <w:p w14:paraId="3D21F951">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规格</w:t>
                  </w:r>
                </w:p>
              </w:tc>
              <w:tc>
                <w:tcPr>
                  <w:tcW w:w="674" w:type="pct"/>
                  <w:vAlign w:val="center"/>
                </w:tcPr>
                <w:p w14:paraId="263DAF90">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年消耗量</w:t>
                  </w:r>
                </w:p>
              </w:tc>
              <w:tc>
                <w:tcPr>
                  <w:tcW w:w="444" w:type="pct"/>
                  <w:vAlign w:val="center"/>
                </w:tcPr>
                <w:p w14:paraId="4864A027">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来源</w:t>
                  </w:r>
                </w:p>
              </w:tc>
              <w:tc>
                <w:tcPr>
                  <w:tcW w:w="1499" w:type="pct"/>
                  <w:vAlign w:val="center"/>
                </w:tcPr>
                <w:p w14:paraId="3F6B061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备注</w:t>
                  </w:r>
                </w:p>
              </w:tc>
            </w:tr>
            <w:tr w14:paraId="7BF88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4" w:type="pct"/>
                  <w:vAlign w:val="center"/>
                </w:tcPr>
                <w:p w14:paraId="7EFBCE27">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1110" w:type="pct"/>
                  <w:vAlign w:val="center"/>
                </w:tcPr>
                <w:p w14:paraId="520CC423">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废塑料瓶</w:t>
                  </w:r>
                </w:p>
              </w:tc>
              <w:tc>
                <w:tcPr>
                  <w:tcW w:w="829" w:type="pct"/>
                  <w:vAlign w:val="center"/>
                </w:tcPr>
                <w:p w14:paraId="70D5124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200~800kg/包</w:t>
                  </w:r>
                </w:p>
              </w:tc>
              <w:tc>
                <w:tcPr>
                  <w:tcW w:w="674" w:type="pct"/>
                  <w:vAlign w:val="center"/>
                </w:tcPr>
                <w:p w14:paraId="1B9392F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30000t/a</w:t>
                  </w:r>
                </w:p>
              </w:tc>
              <w:tc>
                <w:tcPr>
                  <w:tcW w:w="444" w:type="pct"/>
                  <w:vAlign w:val="center"/>
                </w:tcPr>
                <w:p w14:paraId="11455761">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外购</w:t>
                  </w:r>
                </w:p>
              </w:tc>
              <w:tc>
                <w:tcPr>
                  <w:tcW w:w="1499" w:type="pct"/>
                  <w:vAlign w:val="center"/>
                </w:tcPr>
                <w:p w14:paraId="7E370BD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国内原瓶，主要为</w:t>
                  </w:r>
                  <w:r>
                    <w:rPr>
                      <w:rFonts w:ascii="Times New Roman" w:hAnsi="Times New Roman" w:cs="Times New Roman"/>
                      <w:bCs/>
                      <w:color w:val="000000" w:themeColor="text1"/>
                      <w:szCs w:val="21"/>
                    </w:rPr>
                    <w:t>矿泉水瓶、饮料瓶、废旧食用油塑料瓶、废弃塑料酱油瓶</w:t>
                  </w:r>
                </w:p>
              </w:tc>
            </w:tr>
            <w:tr w14:paraId="567EB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4" w:type="pct"/>
                  <w:vAlign w:val="center"/>
                </w:tcPr>
                <w:p w14:paraId="5C94DAB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1110" w:type="pct"/>
                  <w:vAlign w:val="center"/>
                </w:tcPr>
                <w:p w14:paraId="139CF3F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水</w:t>
                  </w:r>
                </w:p>
              </w:tc>
              <w:tc>
                <w:tcPr>
                  <w:tcW w:w="829" w:type="pct"/>
                  <w:vAlign w:val="center"/>
                </w:tcPr>
                <w:p w14:paraId="17A42D3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t/a</w:t>
                  </w:r>
                </w:p>
              </w:tc>
              <w:tc>
                <w:tcPr>
                  <w:tcW w:w="674" w:type="pct"/>
                  <w:vAlign w:val="center"/>
                </w:tcPr>
                <w:p w14:paraId="63D5272A">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7098</w:t>
                  </w:r>
                </w:p>
              </w:tc>
              <w:tc>
                <w:tcPr>
                  <w:tcW w:w="444" w:type="pct"/>
                  <w:vAlign w:val="center"/>
                </w:tcPr>
                <w:p w14:paraId="37AD0B2A">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w:t>
                  </w:r>
                </w:p>
              </w:tc>
              <w:tc>
                <w:tcPr>
                  <w:tcW w:w="1499" w:type="pct"/>
                  <w:vAlign w:val="center"/>
                </w:tcPr>
                <w:p w14:paraId="2F6125F8">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w:t>
                  </w:r>
                </w:p>
              </w:tc>
            </w:tr>
            <w:tr w14:paraId="7E085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44" w:type="pct"/>
                  <w:vAlign w:val="center"/>
                </w:tcPr>
                <w:p w14:paraId="7E5ADCE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w:t>
                  </w:r>
                </w:p>
              </w:tc>
              <w:tc>
                <w:tcPr>
                  <w:tcW w:w="1110" w:type="pct"/>
                  <w:vAlign w:val="center"/>
                </w:tcPr>
                <w:p w14:paraId="3B1C936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电</w:t>
                  </w:r>
                </w:p>
              </w:tc>
              <w:tc>
                <w:tcPr>
                  <w:tcW w:w="829" w:type="pct"/>
                  <w:vAlign w:val="center"/>
                </w:tcPr>
                <w:p w14:paraId="2E37127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kWh/a</w:t>
                  </w:r>
                </w:p>
              </w:tc>
              <w:tc>
                <w:tcPr>
                  <w:tcW w:w="674" w:type="pct"/>
                  <w:vAlign w:val="center"/>
                </w:tcPr>
                <w:p w14:paraId="4D1D645A">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w:t>
                  </w:r>
                  <w:r>
                    <w:rPr>
                      <w:rFonts w:ascii="Times New Roman" w:hAnsi="Times New Roman" w:cs="Times New Roman"/>
                      <w:color w:val="000000" w:themeColor="text1"/>
                      <w:szCs w:val="21"/>
                    </w:rPr>
                    <w:t>万</w:t>
                  </w:r>
                </w:p>
              </w:tc>
              <w:tc>
                <w:tcPr>
                  <w:tcW w:w="444" w:type="pct"/>
                  <w:vAlign w:val="center"/>
                </w:tcPr>
                <w:p w14:paraId="5C3B1E42">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w:t>
                  </w:r>
                </w:p>
              </w:tc>
              <w:tc>
                <w:tcPr>
                  <w:tcW w:w="1499" w:type="pct"/>
                  <w:vAlign w:val="center"/>
                </w:tcPr>
                <w:p w14:paraId="6849D915">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w:t>
                  </w:r>
                </w:p>
              </w:tc>
            </w:tr>
          </w:tbl>
          <w:p w14:paraId="47838E60">
            <w:pPr>
              <w:ind w:left="51" w:right="51"/>
              <w:jc w:val="center"/>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表1-5</w:t>
            </w:r>
            <w:r>
              <w:rPr>
                <w:rFonts w:hint="eastAsia" w:ascii="Times New Roman" w:hAnsi="Times New Roman" w:cs="Times New Roman"/>
                <w:b/>
                <w:bCs/>
                <w:color w:val="000000" w:themeColor="text1"/>
                <w:sz w:val="24"/>
                <w:szCs w:val="28"/>
              </w:rPr>
              <w:t xml:space="preserve">   </w:t>
            </w:r>
            <w:r>
              <w:rPr>
                <w:rFonts w:ascii="Times New Roman" w:hAnsi="Times New Roman" w:cs="Times New Roman"/>
                <w:b/>
                <w:bCs/>
                <w:color w:val="000000" w:themeColor="text1"/>
                <w:sz w:val="24"/>
                <w:szCs w:val="28"/>
              </w:rPr>
              <w:t>原辅材料负面清单一览表（本厂不涉及）</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795"/>
            </w:tblGrid>
            <w:tr w14:paraId="741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2" w:type="pct"/>
                </w:tcPr>
                <w:p w14:paraId="26762A1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序号</w:t>
                  </w:r>
                </w:p>
              </w:tc>
              <w:tc>
                <w:tcPr>
                  <w:tcW w:w="3988" w:type="pct"/>
                  <w:vAlign w:val="center"/>
                </w:tcPr>
                <w:p w14:paraId="34C9289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名称</w:t>
                  </w:r>
                </w:p>
              </w:tc>
            </w:tr>
            <w:tr w14:paraId="0BD4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2" w:type="pct"/>
                  <w:vAlign w:val="center"/>
                </w:tcPr>
                <w:p w14:paraId="448962AA">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3988" w:type="pct"/>
                  <w:vAlign w:val="center"/>
                </w:tcPr>
                <w:p w14:paraId="4F4D2E6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进口废塑料</w:t>
                  </w:r>
                </w:p>
              </w:tc>
            </w:tr>
            <w:tr w14:paraId="2E4A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012" w:type="pct"/>
                </w:tcPr>
                <w:p w14:paraId="12AE347E">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3988" w:type="pct"/>
                  <w:vAlign w:val="center"/>
                </w:tcPr>
                <w:p w14:paraId="2AE1CB0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含有或沾染医疗废物的废塑料</w:t>
                  </w:r>
                </w:p>
              </w:tc>
            </w:tr>
            <w:tr w14:paraId="119A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2" w:type="pct"/>
                </w:tcPr>
                <w:p w14:paraId="397E373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w:t>
                  </w:r>
                </w:p>
              </w:tc>
              <w:tc>
                <w:tcPr>
                  <w:tcW w:w="3988" w:type="pct"/>
                  <w:vAlign w:val="center"/>
                </w:tcPr>
                <w:p w14:paraId="3C00AF13">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含有或沾染毒性、感染性危险废物的废塑料</w:t>
                  </w:r>
                </w:p>
              </w:tc>
            </w:tr>
            <w:tr w14:paraId="00D5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2" w:type="pct"/>
                </w:tcPr>
                <w:p w14:paraId="2EA2948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w:t>
                  </w:r>
                </w:p>
              </w:tc>
              <w:tc>
                <w:tcPr>
                  <w:tcW w:w="3988" w:type="pct"/>
                  <w:vAlign w:val="center"/>
                </w:tcPr>
                <w:p w14:paraId="0BA6727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其他《国家危险废物名录》中规定的危险废物</w:t>
                  </w:r>
                </w:p>
              </w:tc>
            </w:tr>
          </w:tbl>
          <w:p w14:paraId="59CEC176">
            <w:pPr>
              <w:tabs>
                <w:tab w:val="left" w:pos="2395"/>
              </w:tabs>
              <w:spacing w:line="360" w:lineRule="auto"/>
              <w:ind w:left="105" w:leftChars="50" w:right="105" w:rightChars="50" w:firstLine="495"/>
              <w:rPr>
                <w:rFonts w:ascii="Times New Roman" w:hAnsi="Times New Roman" w:cs="Times New Roman"/>
                <w:b/>
                <w:color w:val="000000" w:themeColor="text1"/>
                <w:sz w:val="24"/>
              </w:rPr>
            </w:pPr>
            <w:r>
              <w:rPr>
                <w:rFonts w:ascii="Times New Roman" w:hAnsi="Times New Roman" w:cs="Times New Roman"/>
                <w:b/>
                <w:color w:val="000000" w:themeColor="text1"/>
                <w:sz w:val="24"/>
              </w:rPr>
              <w:t>5、设备</w:t>
            </w:r>
          </w:p>
          <w:p w14:paraId="609D54BA">
            <w:pPr>
              <w:ind w:left="51" w:right="51"/>
              <w:jc w:val="center"/>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表1-6  设备清单</w:t>
            </w:r>
          </w:p>
          <w:tbl>
            <w:tblPr>
              <w:tblStyle w:val="39"/>
              <w:tblW w:w="5000" w:type="pct"/>
              <w:jc w:val="center"/>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2121"/>
              <w:gridCol w:w="1669"/>
              <w:gridCol w:w="907"/>
              <w:gridCol w:w="1820"/>
              <w:gridCol w:w="2187"/>
            </w:tblGrid>
            <w:tr w14:paraId="0321B86E">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7F176BA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序号</w:t>
                  </w:r>
                </w:p>
              </w:tc>
              <w:tc>
                <w:tcPr>
                  <w:tcW w:w="1085" w:type="pct"/>
                  <w:vAlign w:val="center"/>
                </w:tcPr>
                <w:p w14:paraId="1421DFF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设备名称</w:t>
                  </w:r>
                </w:p>
              </w:tc>
              <w:tc>
                <w:tcPr>
                  <w:tcW w:w="854" w:type="pct"/>
                  <w:vAlign w:val="center"/>
                </w:tcPr>
                <w:p w14:paraId="4D5B14D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单位</w:t>
                  </w:r>
                </w:p>
              </w:tc>
              <w:tc>
                <w:tcPr>
                  <w:tcW w:w="464" w:type="pct"/>
                  <w:vAlign w:val="center"/>
                </w:tcPr>
                <w:p w14:paraId="792AC463">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数量</w:t>
                  </w:r>
                </w:p>
              </w:tc>
              <w:tc>
                <w:tcPr>
                  <w:tcW w:w="931" w:type="pct"/>
                </w:tcPr>
                <w:p w14:paraId="2FA8CEE6">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型号</w:t>
                  </w:r>
                </w:p>
              </w:tc>
              <w:tc>
                <w:tcPr>
                  <w:tcW w:w="1119" w:type="pct"/>
                  <w:vAlign w:val="center"/>
                </w:tcPr>
                <w:p w14:paraId="6E53751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备注</w:t>
                  </w:r>
                </w:p>
              </w:tc>
            </w:tr>
            <w:tr w14:paraId="4CB6A09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77F9F2C3">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1085" w:type="pct"/>
                  <w:vAlign w:val="center"/>
                </w:tcPr>
                <w:p w14:paraId="61160EAE">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破碎机</w:t>
                  </w:r>
                </w:p>
              </w:tc>
              <w:tc>
                <w:tcPr>
                  <w:tcW w:w="854" w:type="pct"/>
                  <w:vAlign w:val="center"/>
                </w:tcPr>
                <w:p w14:paraId="29C48A7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台</w:t>
                  </w:r>
                </w:p>
              </w:tc>
              <w:tc>
                <w:tcPr>
                  <w:tcW w:w="464" w:type="pct"/>
                  <w:vAlign w:val="center"/>
                </w:tcPr>
                <w:p w14:paraId="3B922D5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31" w:type="pct"/>
                </w:tcPr>
                <w:p w14:paraId="318F92DB">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8</w:t>
                  </w:r>
                  <w:r>
                    <w:rPr>
                      <w:rFonts w:ascii="Times New Roman" w:hAnsi="Times New Roman" w:cs="Times New Roman"/>
                      <w:color w:val="000000" w:themeColor="text1"/>
                      <w:szCs w:val="21"/>
                    </w:rPr>
                    <w:t>t/h-60型</w:t>
                  </w:r>
                </w:p>
              </w:tc>
              <w:tc>
                <w:tcPr>
                  <w:tcW w:w="1119" w:type="pct"/>
                  <w:vAlign w:val="center"/>
                </w:tcPr>
                <w:p w14:paraId="5DAAE71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年产能30000t</w:t>
                  </w:r>
                </w:p>
              </w:tc>
            </w:tr>
            <w:tr w14:paraId="58650F87">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5C1DD961">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1085" w:type="pct"/>
                  <w:vAlign w:val="center"/>
                </w:tcPr>
                <w:p w14:paraId="238C845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输送带</w:t>
                  </w:r>
                </w:p>
              </w:tc>
              <w:tc>
                <w:tcPr>
                  <w:tcW w:w="854" w:type="pct"/>
                  <w:vAlign w:val="center"/>
                </w:tcPr>
                <w:p w14:paraId="57C580FA">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条</w:t>
                  </w:r>
                </w:p>
              </w:tc>
              <w:tc>
                <w:tcPr>
                  <w:tcW w:w="464" w:type="pct"/>
                  <w:vAlign w:val="center"/>
                </w:tcPr>
                <w:p w14:paraId="35644BCC">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3</w:t>
                  </w:r>
                </w:p>
              </w:tc>
              <w:tc>
                <w:tcPr>
                  <w:tcW w:w="931" w:type="pct"/>
                </w:tcPr>
                <w:p w14:paraId="6C47C246">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50*450cm</w:t>
                  </w:r>
                </w:p>
              </w:tc>
              <w:tc>
                <w:tcPr>
                  <w:tcW w:w="1119" w:type="pct"/>
                  <w:vAlign w:val="center"/>
                </w:tcPr>
                <w:p w14:paraId="16A4F871">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r>
            <w:tr w14:paraId="26A197C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4197863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w:t>
                  </w:r>
                </w:p>
              </w:tc>
              <w:tc>
                <w:tcPr>
                  <w:tcW w:w="1085" w:type="pct"/>
                  <w:vAlign w:val="center"/>
                </w:tcPr>
                <w:p w14:paraId="7960E1BE">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剥标机</w:t>
                  </w:r>
                </w:p>
              </w:tc>
              <w:tc>
                <w:tcPr>
                  <w:tcW w:w="854" w:type="pct"/>
                  <w:vAlign w:val="center"/>
                </w:tcPr>
                <w:p w14:paraId="3EE3E463">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台</w:t>
                  </w:r>
                </w:p>
              </w:tc>
              <w:tc>
                <w:tcPr>
                  <w:tcW w:w="464" w:type="pct"/>
                  <w:vAlign w:val="center"/>
                </w:tcPr>
                <w:p w14:paraId="3E01852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31" w:type="pct"/>
                </w:tcPr>
                <w:p w14:paraId="2576497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60*450</w:t>
                  </w:r>
                </w:p>
              </w:tc>
              <w:tc>
                <w:tcPr>
                  <w:tcW w:w="1119" w:type="pct"/>
                  <w:vAlign w:val="center"/>
                </w:tcPr>
                <w:p w14:paraId="2FE553C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r>
            <w:tr w14:paraId="18EF2008">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03B2E09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w:t>
                  </w:r>
                </w:p>
              </w:tc>
              <w:tc>
                <w:tcPr>
                  <w:tcW w:w="1085" w:type="pct"/>
                  <w:vAlign w:val="center"/>
                </w:tcPr>
                <w:p w14:paraId="5C4F7250">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清洗机</w:t>
                  </w:r>
                </w:p>
              </w:tc>
              <w:tc>
                <w:tcPr>
                  <w:tcW w:w="854" w:type="pct"/>
                  <w:vAlign w:val="center"/>
                </w:tcPr>
                <w:p w14:paraId="1B5E4936">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套</w:t>
                  </w:r>
                </w:p>
              </w:tc>
              <w:tc>
                <w:tcPr>
                  <w:tcW w:w="464" w:type="pct"/>
                  <w:vAlign w:val="center"/>
                </w:tcPr>
                <w:p w14:paraId="1DF8FC9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31" w:type="pct"/>
                  <w:vAlign w:val="center"/>
                </w:tcPr>
                <w:p w14:paraId="6956861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1119" w:type="pct"/>
                  <w:vAlign w:val="center"/>
                </w:tcPr>
                <w:p w14:paraId="72F2A5A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能源为电</w:t>
                  </w:r>
                </w:p>
              </w:tc>
            </w:tr>
            <w:tr w14:paraId="5FA07A85">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3B8983A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w:t>
                  </w:r>
                </w:p>
              </w:tc>
              <w:tc>
                <w:tcPr>
                  <w:tcW w:w="1085" w:type="pct"/>
                  <w:vAlign w:val="center"/>
                </w:tcPr>
                <w:p w14:paraId="4FEC5697">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甩干机</w:t>
                  </w:r>
                </w:p>
              </w:tc>
              <w:tc>
                <w:tcPr>
                  <w:tcW w:w="854" w:type="pct"/>
                  <w:vAlign w:val="center"/>
                </w:tcPr>
                <w:p w14:paraId="42DC8327">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台</w:t>
                  </w:r>
                </w:p>
              </w:tc>
              <w:tc>
                <w:tcPr>
                  <w:tcW w:w="464" w:type="pct"/>
                  <w:vAlign w:val="center"/>
                </w:tcPr>
                <w:p w14:paraId="57DDD3B3">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31" w:type="pct"/>
                </w:tcPr>
                <w:p w14:paraId="39E8736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1119" w:type="pct"/>
                  <w:vAlign w:val="center"/>
                </w:tcPr>
                <w:p w14:paraId="5FB6CE4D">
                  <w:pPr>
                    <w:jc w:val="center"/>
                    <w:rPr>
                      <w:rFonts w:ascii="Times New Roman" w:hAnsi="Times New Roman" w:cs="Times New Roman"/>
                      <w:color w:val="000000" w:themeColor="text1"/>
                      <w:szCs w:val="21"/>
                    </w:rPr>
                  </w:pPr>
                </w:p>
              </w:tc>
            </w:tr>
            <w:tr w14:paraId="690150CD">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2BBC296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c>
                <w:tcPr>
                  <w:tcW w:w="1085" w:type="pct"/>
                  <w:vAlign w:val="center"/>
                </w:tcPr>
                <w:p w14:paraId="31053A9C">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分选机</w:t>
                  </w:r>
                </w:p>
              </w:tc>
              <w:tc>
                <w:tcPr>
                  <w:tcW w:w="854" w:type="pct"/>
                  <w:vAlign w:val="center"/>
                </w:tcPr>
                <w:p w14:paraId="1C7D6119">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台</w:t>
                  </w:r>
                </w:p>
              </w:tc>
              <w:tc>
                <w:tcPr>
                  <w:tcW w:w="464" w:type="pct"/>
                  <w:vAlign w:val="center"/>
                </w:tcPr>
                <w:p w14:paraId="678E9FBB">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31" w:type="pct"/>
                </w:tcPr>
                <w:p w14:paraId="5B0D7D86">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c>
                <w:tcPr>
                  <w:tcW w:w="1119" w:type="pct"/>
                  <w:vAlign w:val="center"/>
                </w:tcPr>
                <w:p w14:paraId="3C56BA77">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t>
                  </w:r>
                </w:p>
              </w:tc>
            </w:tr>
            <w:tr w14:paraId="56F0A41F">
              <w:tblPrEx>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7" w:type="pct"/>
                </w:tcPr>
                <w:p w14:paraId="51A5B7E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7</w:t>
                  </w:r>
                </w:p>
              </w:tc>
              <w:tc>
                <w:tcPr>
                  <w:tcW w:w="1085" w:type="pct"/>
                  <w:vAlign w:val="center"/>
                </w:tcPr>
                <w:p w14:paraId="3F15EA19">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打包机</w:t>
                  </w:r>
                </w:p>
              </w:tc>
              <w:tc>
                <w:tcPr>
                  <w:tcW w:w="854" w:type="pct"/>
                  <w:vAlign w:val="center"/>
                </w:tcPr>
                <w:p w14:paraId="75FA53B9">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台</w:t>
                  </w:r>
                </w:p>
              </w:tc>
              <w:tc>
                <w:tcPr>
                  <w:tcW w:w="464" w:type="pct"/>
                  <w:vAlign w:val="center"/>
                </w:tcPr>
                <w:p w14:paraId="50EF0240">
                  <w:pPr>
                    <w:ind w:left="-105" w:leftChars="-50" w:right="-105" w:rightChars="-5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931" w:type="pct"/>
                </w:tcPr>
                <w:p w14:paraId="5A3126F0">
                  <w:pPr>
                    <w:ind w:left="-105" w:leftChars="-50" w:right="-105" w:rightChars="-50"/>
                    <w:jc w:val="center"/>
                    <w:rPr>
                      <w:rFonts w:ascii="Times New Roman" w:hAnsi="Times New Roman" w:cs="Times New Roman"/>
                      <w:color w:val="000000" w:themeColor="text1"/>
                      <w:szCs w:val="21"/>
                    </w:rPr>
                  </w:pPr>
                </w:p>
              </w:tc>
              <w:tc>
                <w:tcPr>
                  <w:tcW w:w="1119" w:type="pct"/>
                  <w:vAlign w:val="center"/>
                </w:tcPr>
                <w:p w14:paraId="48227949">
                  <w:pPr>
                    <w:ind w:left="-105" w:leftChars="-50" w:right="-105" w:rightChars="-50"/>
                    <w:jc w:val="center"/>
                    <w:rPr>
                      <w:rFonts w:ascii="Times New Roman" w:hAnsi="Times New Roman" w:cs="Times New Roman"/>
                      <w:color w:val="000000" w:themeColor="text1"/>
                      <w:szCs w:val="21"/>
                    </w:rPr>
                  </w:pPr>
                </w:p>
              </w:tc>
            </w:tr>
          </w:tbl>
          <w:p w14:paraId="46920517">
            <w:pPr>
              <w:ind w:left="51" w:right="51"/>
              <w:jc w:val="center"/>
              <w:rPr>
                <w:rFonts w:ascii="Times New Roman" w:hAnsi="Times New Roman" w:cs="Times New Roman"/>
                <w:b/>
                <w:bCs/>
                <w:color w:val="000000" w:themeColor="text1"/>
                <w:sz w:val="24"/>
                <w:szCs w:val="28"/>
              </w:rPr>
            </w:pPr>
          </w:p>
          <w:p w14:paraId="0F0A4D32">
            <w:pPr>
              <w:tabs>
                <w:tab w:val="left" w:pos="2395"/>
              </w:tabs>
              <w:spacing w:line="360" w:lineRule="auto"/>
              <w:ind w:left="105" w:leftChars="50" w:right="105" w:rightChars="50" w:firstLine="495"/>
              <w:rPr>
                <w:rFonts w:ascii="Times New Roman" w:hAnsi="Times New Roman" w:cs="Times New Roman"/>
                <w:b/>
                <w:color w:val="000000" w:themeColor="text1"/>
                <w:sz w:val="24"/>
              </w:rPr>
            </w:pPr>
            <w:r>
              <w:rPr>
                <w:rFonts w:ascii="Times New Roman" w:hAnsi="Times New Roman" w:cs="Times New Roman"/>
                <w:b/>
                <w:color w:val="000000" w:themeColor="text1"/>
                <w:sz w:val="24"/>
              </w:rPr>
              <w:t>6、工作制度及劳动定员</w:t>
            </w:r>
          </w:p>
          <w:p w14:paraId="2D8778F0">
            <w:pPr>
              <w:tabs>
                <w:tab w:val="left" w:pos="2395"/>
              </w:tabs>
              <w:spacing w:line="360" w:lineRule="auto"/>
              <w:ind w:left="50" w:right="50" w:firstLine="493"/>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项目年工作时间约300d，每天</w:t>
            </w:r>
            <w:r>
              <w:rPr>
                <w:rFonts w:hint="eastAsia" w:ascii="Times New Roman" w:hAnsi="Times New Roman" w:cs="Times New Roman"/>
                <w:color w:val="000000" w:themeColor="text1"/>
                <w:sz w:val="24"/>
              </w:rPr>
              <w:t>16</w:t>
            </w:r>
            <w:r>
              <w:rPr>
                <w:rFonts w:ascii="Times New Roman" w:hAnsi="Times New Roman" w:cs="Times New Roman"/>
                <w:color w:val="000000" w:themeColor="text1"/>
                <w:sz w:val="24"/>
              </w:rPr>
              <w:t>h，有员工</w:t>
            </w:r>
            <w:r>
              <w:rPr>
                <w:rFonts w:hint="eastAsia" w:ascii="Times New Roman" w:hAnsi="Times New Roman" w:cs="Times New Roman"/>
                <w:color w:val="000000" w:themeColor="text1"/>
                <w:sz w:val="24"/>
              </w:rPr>
              <w:t>10</w:t>
            </w:r>
            <w:r>
              <w:rPr>
                <w:rFonts w:ascii="Times New Roman" w:hAnsi="Times New Roman" w:cs="Times New Roman"/>
                <w:color w:val="000000" w:themeColor="text1"/>
                <w:sz w:val="24"/>
              </w:rPr>
              <w:t>人，</w:t>
            </w:r>
            <w:r>
              <w:rPr>
                <w:rFonts w:hint="eastAsia" w:ascii="Times New Roman" w:hAnsi="Times New Roman" w:cs="Times New Roman"/>
                <w:color w:val="000000" w:themeColor="text1"/>
                <w:sz w:val="24"/>
              </w:rPr>
              <w:t>9</w:t>
            </w:r>
            <w:r>
              <w:rPr>
                <w:rFonts w:ascii="Times New Roman" w:hAnsi="Times New Roman" w:cs="Times New Roman"/>
                <w:color w:val="000000" w:themeColor="text1"/>
                <w:sz w:val="24"/>
              </w:rPr>
              <w:t>人不在</w:t>
            </w:r>
            <w:r>
              <w:rPr>
                <w:rFonts w:ascii="Times New Roman" w:hAnsi="Times New Roman" w:cs="Times New Roman"/>
                <w:bCs/>
                <w:color w:val="000000" w:themeColor="text1"/>
                <w:sz w:val="24"/>
              </w:rPr>
              <w:t>项目区住宿，1人夜间看守住宿，全部</w:t>
            </w:r>
            <w:r>
              <w:rPr>
                <w:rFonts w:hint="eastAsia" w:ascii="Times New Roman" w:hAnsi="Times New Roman" w:cs="Times New Roman"/>
                <w:bCs/>
                <w:color w:val="000000" w:themeColor="text1"/>
                <w:sz w:val="24"/>
              </w:rPr>
              <w:t>10名</w:t>
            </w:r>
            <w:r>
              <w:rPr>
                <w:rFonts w:ascii="Times New Roman" w:hAnsi="Times New Roman" w:cs="Times New Roman"/>
                <w:bCs/>
                <w:color w:val="000000" w:themeColor="text1"/>
                <w:sz w:val="24"/>
              </w:rPr>
              <w:t>员工在项目饮食</w:t>
            </w:r>
            <w:r>
              <w:rPr>
                <w:rFonts w:ascii="Times New Roman" w:hAnsi="Times New Roman" w:cs="Times New Roman"/>
                <w:color w:val="000000" w:themeColor="text1"/>
                <w:sz w:val="24"/>
              </w:rPr>
              <w:t>。</w:t>
            </w:r>
          </w:p>
          <w:p w14:paraId="40232465">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7、总平面布置</w:t>
            </w:r>
          </w:p>
          <w:p w14:paraId="5347C955">
            <w:pPr>
              <w:tabs>
                <w:tab w:val="left" w:pos="2395"/>
              </w:tabs>
              <w:spacing w:line="360" w:lineRule="auto"/>
              <w:ind w:left="105" w:leftChars="50" w:right="105" w:rightChars="50"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厂区呈多边形，西侧为办公区；生产区位于项目区西侧，生产区设置有原料仓库，原料露天堆场位于生产区南侧，利于原料的进出运输。详见附图2。</w:t>
            </w:r>
          </w:p>
          <w:p w14:paraId="53D4E048">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8、公用工程</w:t>
            </w:r>
          </w:p>
          <w:p w14:paraId="6AEBF9E7">
            <w:pPr>
              <w:spacing w:line="360" w:lineRule="auto"/>
              <w:ind w:left="105" w:leftChars="50" w:right="105" w:rightChars="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（1）供水</w:t>
            </w:r>
          </w:p>
          <w:p w14:paraId="0BF4734A">
            <w:pPr>
              <w:spacing w:line="360" w:lineRule="auto"/>
              <w:ind w:left="105" w:leftChars="50" w:right="105" w:rightChars="50"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由</w:t>
            </w:r>
            <w:r>
              <w:rPr>
                <w:rFonts w:ascii="Times New Roman" w:hAnsi="Times New Roman" w:eastAsia="宋体" w:cs="Times New Roman"/>
                <w:bCs/>
                <w:color w:val="000000" w:themeColor="text1"/>
                <w:sz w:val="24"/>
              </w:rPr>
              <w:t>市政</w:t>
            </w:r>
            <w:r>
              <w:rPr>
                <w:rFonts w:ascii="Times New Roman" w:hAnsi="Times New Roman" w:eastAsia="宋体" w:cs="Times New Roman"/>
                <w:color w:val="000000" w:themeColor="text1"/>
                <w:sz w:val="24"/>
              </w:rPr>
              <w:t>自来水管网供给。</w:t>
            </w:r>
          </w:p>
          <w:p w14:paraId="15E84D3F">
            <w:pPr>
              <w:spacing w:line="360" w:lineRule="auto"/>
              <w:ind w:left="105" w:leftChars="50" w:right="105" w:rightChars="50" w:firstLine="482" w:firstLineChars="200"/>
              <w:rPr>
                <w:rFonts w:ascii="Times New Roman" w:hAnsi="Times New Roman" w:eastAsia="宋体" w:cs="Times New Roman"/>
                <w:b/>
                <w:color w:val="000000" w:themeColor="text1"/>
                <w:sz w:val="24"/>
                <w:lang w:val="zh-CN"/>
              </w:rPr>
            </w:pPr>
            <w:r>
              <w:rPr>
                <w:rFonts w:ascii="Times New Roman" w:hAnsi="Times New Roman" w:eastAsia="宋体" w:cs="Times New Roman"/>
                <w:b/>
                <w:color w:val="000000" w:themeColor="text1"/>
                <w:kern w:val="0"/>
                <w:sz w:val="24"/>
              </w:rPr>
              <w:t>（2）排水</w:t>
            </w:r>
          </w:p>
          <w:p w14:paraId="27A0E63C">
            <w:pPr>
              <w:spacing w:line="360" w:lineRule="auto"/>
              <w:ind w:left="105" w:leftChars="50" w:right="105" w:rightChars="50"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项目区实行雨污分流；</w:t>
            </w:r>
          </w:p>
          <w:p w14:paraId="0DCB6609">
            <w:pPr>
              <w:spacing w:line="360" w:lineRule="auto"/>
              <w:ind w:left="105" w:leftChars="50" w:right="105" w:rightChars="50" w:firstLine="482" w:firstLineChars="200"/>
              <w:rPr>
                <w:rFonts w:ascii="Times New Roman" w:hAnsi="Times New Roman" w:eastAsia="宋体" w:cs="Times New Roman"/>
                <w:color w:val="000000" w:themeColor="text1"/>
                <w:sz w:val="24"/>
              </w:rPr>
            </w:pPr>
            <w:r>
              <w:rPr>
                <w:rFonts w:hint="eastAsia" w:ascii="Times New Roman" w:hAnsi="Times New Roman" w:eastAsia="宋体" w:cs="Times New Roman"/>
                <w:b/>
                <w:color w:val="000000" w:themeColor="text1"/>
                <w:sz w:val="24"/>
              </w:rPr>
              <w:t>雨水：</w:t>
            </w:r>
            <w:r>
              <w:rPr>
                <w:rFonts w:hint="eastAsia" w:ascii="Times New Roman" w:hAnsi="Times New Roman" w:eastAsia="宋体" w:cs="Times New Roman"/>
                <w:color w:val="000000" w:themeColor="text1"/>
                <w:sz w:val="24"/>
              </w:rPr>
              <w:t>一个雨水收集池（1m</w:t>
            </w:r>
            <w:r>
              <w:rPr>
                <w:rFonts w:hint="eastAsia" w:ascii="Times New Roman" w:hAnsi="Times New Roman" w:eastAsia="宋体" w:cs="Times New Roman"/>
                <w:color w:val="000000" w:themeColor="text1"/>
                <w:sz w:val="24"/>
                <w:vertAlign w:val="superscript"/>
              </w:rPr>
              <w:t>3</w:t>
            </w:r>
            <w:r>
              <w:rPr>
                <w:rFonts w:hint="eastAsia" w:ascii="Times New Roman" w:hAnsi="Times New Roman" w:eastAsia="宋体" w:cs="Times New Roman"/>
                <w:color w:val="000000" w:themeColor="text1"/>
                <w:sz w:val="24"/>
              </w:rPr>
              <w:t>）；建设</w:t>
            </w:r>
            <w:r>
              <w:rPr>
                <w:rFonts w:ascii="Times New Roman" w:hAnsi="Times New Roman" w:eastAsia="宋体" w:cs="Times New Roman"/>
                <w:color w:val="000000" w:themeColor="text1"/>
                <w:sz w:val="24"/>
              </w:rPr>
              <w:t>具有防雨、防风、防渗等功能的厂房或加盖雨棚</w:t>
            </w:r>
            <w:r>
              <w:rPr>
                <w:rFonts w:hint="eastAsia" w:ascii="Times New Roman" w:hAnsi="Times New Roman" w:eastAsia="宋体" w:cs="Times New Roman"/>
                <w:color w:val="000000" w:themeColor="text1"/>
                <w:sz w:val="24"/>
              </w:rPr>
              <w:t>的原料、生产仓库；</w:t>
            </w:r>
          </w:p>
          <w:p w14:paraId="71D50A4D">
            <w:pPr>
              <w:spacing w:line="360" w:lineRule="auto"/>
              <w:ind w:left="105" w:leftChars="50" w:right="105" w:rightChars="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生活废水：</w:t>
            </w:r>
            <w:r>
              <w:rPr>
                <w:rFonts w:ascii="Times New Roman" w:hAnsi="Times New Roman" w:eastAsia="宋体" w:cs="Times New Roman"/>
                <w:color w:val="000000" w:themeColor="text1"/>
                <w:sz w:val="24"/>
              </w:rPr>
              <w:t>厨房废水经隔油池处理后，与其它生活废水经化粪池处理，定期委托周边村民清运，用于农作物施肥。</w:t>
            </w:r>
          </w:p>
          <w:p w14:paraId="6A193D22">
            <w:pPr>
              <w:spacing w:line="360" w:lineRule="auto"/>
              <w:ind w:left="105" w:leftChars="50" w:right="105" w:rightChars="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生产废水：</w:t>
            </w:r>
            <w:r>
              <w:rPr>
                <w:rFonts w:ascii="Times New Roman" w:hAnsi="Times New Roman" w:eastAsia="宋体" w:cs="Times New Roman"/>
                <w:color w:val="000000" w:themeColor="text1"/>
                <w:sz w:val="24"/>
              </w:rPr>
              <w:t>主要为塑料清洗废水，生产废水均通过自建的</w:t>
            </w:r>
            <w:r>
              <w:rPr>
                <w:rFonts w:hint="eastAsia" w:ascii="Times New Roman" w:hAnsi="Times New Roman" w:eastAsia="宋体" w:cs="Times New Roman"/>
                <w:color w:val="000000" w:themeColor="text1"/>
                <w:sz w:val="24"/>
              </w:rPr>
              <w:t>隔油池+沉淀池</w:t>
            </w:r>
            <w:r>
              <w:rPr>
                <w:rFonts w:ascii="Times New Roman" w:hAnsi="Times New Roman" w:eastAsia="宋体" w:cs="Times New Roman"/>
                <w:color w:val="000000" w:themeColor="text1"/>
                <w:sz w:val="24"/>
              </w:rPr>
              <w:t>处理后</w:t>
            </w:r>
            <w:r>
              <w:rPr>
                <w:rFonts w:hint="eastAsia" w:ascii="Times New Roman" w:hAnsi="Times New Roman" w:eastAsia="宋体" w:cs="Times New Roman"/>
                <w:color w:val="000000" w:themeColor="text1"/>
                <w:sz w:val="24"/>
              </w:rPr>
              <w:t>，</w:t>
            </w:r>
            <w:r>
              <w:rPr>
                <w:rFonts w:ascii="Times New Roman" w:hAnsi="Times New Roman" w:eastAsia="宋体" w:cs="Times New Roman"/>
                <w:color w:val="000000" w:themeColor="text1"/>
                <w:sz w:val="24"/>
              </w:rPr>
              <w:t>回用于生产。</w:t>
            </w:r>
          </w:p>
          <w:p w14:paraId="00CE3111">
            <w:pPr>
              <w:spacing w:line="360" w:lineRule="auto"/>
              <w:ind w:left="105" w:leftChars="50" w:right="105" w:rightChars="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（3）供电</w:t>
            </w:r>
          </w:p>
          <w:p w14:paraId="6AC4E1F9">
            <w:pPr>
              <w:spacing w:line="360" w:lineRule="auto"/>
              <w:ind w:left="105" w:leftChars="50" w:right="105" w:rightChars="50" w:firstLine="480" w:firstLineChars="200"/>
              <w:textAlignment w:val="baseline"/>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sz w:val="24"/>
              </w:rPr>
              <w:t>由</w:t>
            </w:r>
            <w:r>
              <w:rPr>
                <w:rFonts w:ascii="Times New Roman" w:hAnsi="Times New Roman" w:eastAsia="宋体" w:cs="Times New Roman"/>
                <w:bCs/>
                <w:color w:val="000000" w:themeColor="text1"/>
                <w:sz w:val="24"/>
              </w:rPr>
              <w:t>市政电网供给</w:t>
            </w:r>
            <w:r>
              <w:rPr>
                <w:rFonts w:ascii="Times New Roman" w:hAnsi="Times New Roman" w:eastAsia="宋体" w:cs="Times New Roman"/>
                <w:color w:val="000000" w:themeColor="text1"/>
                <w:sz w:val="24"/>
              </w:rPr>
              <w:t>。</w:t>
            </w:r>
          </w:p>
          <w:p w14:paraId="4F86B105">
            <w:pPr>
              <w:tabs>
                <w:tab w:val="left" w:pos="2395"/>
              </w:tabs>
              <w:spacing w:line="360" w:lineRule="auto"/>
              <w:ind w:left="50" w:right="50" w:firstLine="493"/>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9、施工进度</w:t>
            </w:r>
          </w:p>
          <w:p w14:paraId="5FE1C8FE">
            <w:pPr>
              <w:pStyle w:val="78"/>
              <w:spacing w:line="360" w:lineRule="auto"/>
              <w:ind w:left="51" w:right="51" w:firstLine="480" w:firstLineChars="200"/>
              <w:jc w:val="left"/>
              <w:rPr>
                <w:rFonts w:eastAsiaTheme="minorEastAsia"/>
                <w:color w:val="000000" w:themeColor="text1"/>
                <w:sz w:val="24"/>
              </w:rPr>
            </w:pPr>
            <w:r>
              <w:rPr>
                <w:rFonts w:eastAsiaTheme="minorEastAsia"/>
                <w:color w:val="000000" w:themeColor="text1"/>
                <w:sz w:val="24"/>
              </w:rPr>
              <w:t>本项目于2018年</w:t>
            </w:r>
            <w:r>
              <w:rPr>
                <w:rFonts w:hint="eastAsia" w:eastAsiaTheme="minorEastAsia"/>
                <w:color w:val="000000" w:themeColor="text1"/>
                <w:sz w:val="24"/>
              </w:rPr>
              <w:t>10</w:t>
            </w:r>
            <w:r>
              <w:rPr>
                <w:rFonts w:eastAsiaTheme="minorEastAsia"/>
                <w:color w:val="000000" w:themeColor="text1"/>
                <w:sz w:val="24"/>
              </w:rPr>
              <w:t>月末开始建设，2018年</w:t>
            </w:r>
            <w:r>
              <w:rPr>
                <w:rFonts w:hint="eastAsia" w:eastAsiaTheme="minorEastAsia"/>
                <w:color w:val="000000" w:themeColor="text1"/>
                <w:sz w:val="24"/>
              </w:rPr>
              <w:t>11</w:t>
            </w:r>
            <w:r>
              <w:rPr>
                <w:rFonts w:eastAsiaTheme="minorEastAsia"/>
                <w:color w:val="000000" w:themeColor="text1"/>
                <w:sz w:val="24"/>
              </w:rPr>
              <w:t>月正式投产。</w:t>
            </w:r>
          </w:p>
          <w:p w14:paraId="36708D44">
            <w:pPr>
              <w:tabs>
                <w:tab w:val="left" w:pos="2395"/>
              </w:tabs>
              <w:spacing w:line="360" w:lineRule="auto"/>
              <w:ind w:left="105" w:leftChars="50" w:right="105" w:rightChars="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10、环保投资情况</w:t>
            </w:r>
          </w:p>
          <w:p w14:paraId="3E865CF0">
            <w:pPr>
              <w:tabs>
                <w:tab w:val="left" w:pos="2395"/>
              </w:tabs>
              <w:spacing w:line="360" w:lineRule="auto"/>
              <w:ind w:left="105" w:leftChars="50" w:right="105" w:rightChars="50"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项目总投资50万，其中环保投资</w:t>
            </w:r>
            <w:r>
              <w:rPr>
                <w:rFonts w:hint="eastAsia" w:ascii="Times New Roman" w:hAnsi="Times New Roman" w:eastAsia="宋体" w:cs="Times New Roman"/>
                <w:color w:val="000000" w:themeColor="text1"/>
                <w:sz w:val="24"/>
              </w:rPr>
              <w:t>6.35</w:t>
            </w:r>
            <w:r>
              <w:rPr>
                <w:rFonts w:ascii="Times New Roman" w:hAnsi="Times New Roman" w:eastAsia="宋体" w:cs="Times New Roman"/>
                <w:color w:val="000000" w:themeColor="text1"/>
                <w:sz w:val="24"/>
              </w:rPr>
              <w:t>万元，占项目总投资的</w:t>
            </w:r>
            <w:r>
              <w:rPr>
                <w:rFonts w:hint="eastAsia" w:ascii="Times New Roman" w:hAnsi="Times New Roman" w:eastAsia="宋体" w:cs="Times New Roman"/>
                <w:color w:val="000000" w:themeColor="text1"/>
                <w:sz w:val="24"/>
              </w:rPr>
              <w:t>12.7</w:t>
            </w:r>
            <w:r>
              <w:rPr>
                <w:rFonts w:ascii="Times New Roman" w:hAnsi="Times New Roman" w:eastAsia="宋体" w:cs="Times New Roman"/>
                <w:color w:val="000000" w:themeColor="text1"/>
                <w:sz w:val="24"/>
              </w:rPr>
              <w:t>%，环保投资一览表见下表。</w:t>
            </w:r>
          </w:p>
          <w:p w14:paraId="29B1F175">
            <w:pPr>
              <w:tabs>
                <w:tab w:val="left" w:pos="2395"/>
              </w:tabs>
              <w:ind w:left="105" w:leftChars="50" w:right="105" w:rightChars="5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表1-7  环保投资一览表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6755"/>
              <w:gridCol w:w="1951"/>
            </w:tblGrid>
            <w:tr w14:paraId="172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6" w:type="pct"/>
                  <w:shd w:val="clear" w:color="auto" w:fill="auto"/>
                  <w:vAlign w:val="center"/>
                </w:tcPr>
                <w:p w14:paraId="0AF7F352">
                  <w:pPr>
                    <w:ind w:left="50" w:right="50"/>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项目</w:t>
                  </w:r>
                </w:p>
              </w:tc>
              <w:tc>
                <w:tcPr>
                  <w:tcW w:w="3456" w:type="pct"/>
                  <w:shd w:val="clear" w:color="auto" w:fill="auto"/>
                  <w:vAlign w:val="center"/>
                </w:tcPr>
                <w:p w14:paraId="1C29B9EB">
                  <w:pPr>
                    <w:ind w:left="50" w:right="50"/>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环保措施</w:t>
                  </w:r>
                </w:p>
              </w:tc>
              <w:tc>
                <w:tcPr>
                  <w:tcW w:w="998" w:type="pct"/>
                  <w:shd w:val="clear" w:color="auto" w:fill="auto"/>
                  <w:vAlign w:val="center"/>
                </w:tcPr>
                <w:p w14:paraId="05AF78AD">
                  <w:pPr>
                    <w:ind w:left="50" w:right="50"/>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投资额(万元)</w:t>
                  </w:r>
                </w:p>
              </w:tc>
            </w:tr>
            <w:tr w14:paraId="00C2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6" w:type="pct"/>
                  <w:shd w:val="clear" w:color="auto" w:fill="auto"/>
                  <w:vAlign w:val="center"/>
                </w:tcPr>
                <w:p w14:paraId="4A73571F">
                  <w:pPr>
                    <w:ind w:left="50" w:right="50"/>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废水</w:t>
                  </w:r>
                </w:p>
              </w:tc>
              <w:tc>
                <w:tcPr>
                  <w:tcW w:w="3456" w:type="pct"/>
                  <w:shd w:val="clear" w:color="auto" w:fill="auto"/>
                  <w:vAlign w:val="center"/>
                </w:tcPr>
                <w:p w14:paraId="5C45347B">
                  <w:pPr>
                    <w:ind w:firstLine="422" w:firstLineChars="200"/>
                    <w:jc w:val="left"/>
                    <w:rPr>
                      <w:rFonts w:ascii="Times New Roman" w:hAnsi="Times New Roman" w:eastAsia="宋体" w:cs="Times New Roman"/>
                      <w:color w:val="000000" w:themeColor="text1"/>
                      <w:szCs w:val="21"/>
                    </w:rPr>
                  </w:pPr>
                  <w:r>
                    <w:rPr>
                      <w:rFonts w:ascii="Times New Roman" w:hAnsi="Times New Roman" w:eastAsia="宋体" w:cs="Times New Roman"/>
                      <w:b/>
                      <w:color w:val="000000" w:themeColor="text1"/>
                      <w:szCs w:val="21"/>
                    </w:rPr>
                    <w:t>雨污分流</w:t>
                  </w:r>
                  <w:r>
                    <w:rPr>
                      <w:rFonts w:hint="eastAsia" w:ascii="Times New Roman" w:hAnsi="Times New Roman" w:eastAsia="宋体" w:cs="Times New Roman"/>
                      <w:b/>
                      <w:color w:val="000000" w:themeColor="text1"/>
                      <w:szCs w:val="21"/>
                    </w:rPr>
                    <w:t>；</w:t>
                  </w:r>
                  <w:r>
                    <w:rPr>
                      <w:rFonts w:hint="eastAsia" w:ascii="Times New Roman" w:hAnsi="Times New Roman" w:eastAsia="宋体" w:cs="Times New Roman"/>
                      <w:color w:val="000000" w:themeColor="text1"/>
                      <w:szCs w:val="21"/>
                    </w:rPr>
                    <w:t>一个雨水收集池（1m</w:t>
                  </w:r>
                  <w:r>
                    <w:rPr>
                      <w:rFonts w:hint="eastAsia" w:ascii="Times New Roman" w:hAnsi="Times New Roman" w:eastAsia="宋体" w:cs="Times New Roman"/>
                      <w:color w:val="000000" w:themeColor="text1"/>
                      <w:szCs w:val="21"/>
                      <w:vertAlign w:val="superscript"/>
                    </w:rPr>
                    <w:t>3</w:t>
                  </w:r>
                  <w:r>
                    <w:rPr>
                      <w:rFonts w:hint="eastAsia" w:ascii="Times New Roman" w:hAnsi="Times New Roman" w:eastAsia="宋体" w:cs="Times New Roman"/>
                      <w:color w:val="000000" w:themeColor="text1"/>
                      <w:szCs w:val="21"/>
                    </w:rPr>
                    <w:t>）；建设</w:t>
                  </w:r>
                  <w:r>
                    <w:rPr>
                      <w:rFonts w:ascii="Times New Roman" w:hAnsi="Times New Roman" w:eastAsia="宋体" w:cs="Times New Roman"/>
                      <w:color w:val="000000" w:themeColor="text1"/>
                      <w:szCs w:val="21"/>
                    </w:rPr>
                    <w:t>具有防雨、防风、防渗等功能的厂房或加盖雨棚</w:t>
                  </w:r>
                  <w:r>
                    <w:rPr>
                      <w:rFonts w:hint="eastAsia" w:ascii="Times New Roman" w:hAnsi="Times New Roman" w:eastAsia="宋体" w:cs="Times New Roman"/>
                      <w:color w:val="000000" w:themeColor="text1"/>
                      <w:szCs w:val="21"/>
                    </w:rPr>
                    <w:t>的原料、生产仓库。</w:t>
                  </w:r>
                </w:p>
                <w:p w14:paraId="21FA511A">
                  <w:pPr>
                    <w:ind w:firstLine="422" w:firstLineChars="200"/>
                    <w:jc w:val="left"/>
                    <w:rPr>
                      <w:rFonts w:ascii="Times New Roman" w:hAnsi="Times New Roman" w:eastAsia="宋体" w:cs="Times New Roman"/>
                      <w:color w:val="000000" w:themeColor="text1"/>
                      <w:szCs w:val="21"/>
                    </w:rPr>
                  </w:pPr>
                  <w:r>
                    <w:rPr>
                      <w:rFonts w:ascii="Times New Roman" w:hAnsi="Times New Roman" w:eastAsia="宋体" w:cs="Times New Roman"/>
                      <w:b/>
                      <w:color w:val="000000" w:themeColor="text1"/>
                      <w:szCs w:val="21"/>
                    </w:rPr>
                    <w:t>生活污水：</w:t>
                  </w:r>
                  <w:r>
                    <w:rPr>
                      <w:rFonts w:ascii="Times New Roman" w:hAnsi="Times New Roman" w:eastAsia="宋体" w:cs="Times New Roman"/>
                      <w:color w:val="000000" w:themeColor="text1"/>
                      <w:szCs w:val="21"/>
                    </w:rPr>
                    <w:t xml:space="preserve"> 1个隔油池（新建，0.</w:t>
                  </w:r>
                  <w:r>
                    <w:rPr>
                      <w:rFonts w:hint="eastAsia" w:ascii="Times New Roman" w:hAnsi="Times New Roman" w:eastAsia="宋体" w:cs="Times New Roman"/>
                      <w:color w:val="000000" w:themeColor="text1"/>
                      <w:szCs w:val="21"/>
                    </w:rPr>
                    <w:t>2</w:t>
                  </w:r>
                  <w:r>
                    <w:rPr>
                      <w:rFonts w:ascii="Times New Roman" w:hAnsi="Times New Roman" w:eastAsia="宋体" w:cs="Times New Roman"/>
                      <w:color w:val="000000" w:themeColor="text1"/>
                      <w:szCs w:val="21"/>
                    </w:rPr>
                    <w:t>m</w:t>
                  </w:r>
                  <w:r>
                    <w:rPr>
                      <w:rFonts w:ascii="Times New Roman" w:hAnsi="Times New Roman" w:eastAsia="宋体" w:cs="Times New Roman"/>
                      <w:color w:val="000000" w:themeColor="text1"/>
                      <w:szCs w:val="21"/>
                      <w:vertAlign w:val="superscript"/>
                    </w:rPr>
                    <w:t>3</w:t>
                  </w:r>
                  <w:r>
                    <w:rPr>
                      <w:rFonts w:ascii="Times New Roman" w:hAnsi="Times New Roman" w:eastAsia="宋体" w:cs="Times New Roman"/>
                      <w:color w:val="000000" w:themeColor="text1"/>
                      <w:szCs w:val="21"/>
                    </w:rPr>
                    <w:t>）；化粪池（1</w:t>
                  </w:r>
                  <w:r>
                    <w:rPr>
                      <w:rFonts w:hint="eastAsia" w:ascii="Times New Roman" w:hAnsi="Times New Roman" w:eastAsia="宋体" w:cs="Times New Roman"/>
                      <w:color w:val="000000" w:themeColor="text1"/>
                      <w:szCs w:val="21"/>
                    </w:rPr>
                    <w:t>5</w:t>
                  </w:r>
                  <w:r>
                    <w:rPr>
                      <w:rFonts w:ascii="Times New Roman" w:hAnsi="Times New Roman" w:eastAsia="宋体" w:cs="Times New Roman"/>
                      <w:color w:val="000000" w:themeColor="text1"/>
                      <w:szCs w:val="21"/>
                    </w:rPr>
                    <w:t>m</w:t>
                  </w:r>
                  <w:r>
                    <w:rPr>
                      <w:rFonts w:ascii="Times New Roman" w:hAnsi="Times New Roman" w:eastAsia="宋体" w:cs="Times New Roman"/>
                      <w:color w:val="000000" w:themeColor="text1"/>
                      <w:szCs w:val="21"/>
                      <w:vertAlign w:val="superscript"/>
                    </w:rPr>
                    <w:t>3</w:t>
                  </w:r>
                  <w:r>
                    <w:rPr>
                      <w:rFonts w:ascii="Times New Roman" w:hAnsi="Times New Roman" w:eastAsia="宋体" w:cs="Times New Roman"/>
                      <w:color w:val="000000" w:themeColor="text1"/>
                      <w:szCs w:val="21"/>
                    </w:rPr>
                    <w:t>）</w:t>
                  </w:r>
                  <w:r>
                    <w:rPr>
                      <w:rFonts w:hint="eastAsia" w:ascii="Times New Roman" w:hAnsi="Times New Roman" w:eastAsia="宋体" w:cs="Times New Roman"/>
                      <w:color w:val="000000" w:themeColor="text1"/>
                      <w:szCs w:val="21"/>
                    </w:rPr>
                    <w:t>；</w:t>
                  </w:r>
                </w:p>
                <w:p w14:paraId="38BDEABD">
                  <w:pPr>
                    <w:ind w:firstLine="422" w:firstLineChars="200"/>
                    <w:jc w:val="left"/>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生产废水：</w:t>
                  </w:r>
                  <w:r>
                    <w:rPr>
                      <w:rFonts w:hint="eastAsia" w:ascii="Times New Roman" w:hAnsi="Times New Roman" w:eastAsia="宋体" w:cs="Times New Roman"/>
                      <w:color w:val="000000" w:themeColor="text1"/>
                      <w:szCs w:val="21"/>
                    </w:rPr>
                    <w:t>隔油池</w:t>
                  </w:r>
                  <w:r>
                    <w:rPr>
                      <w:rFonts w:ascii="Times New Roman" w:hAnsi="Times New Roman" w:eastAsia="宋体" w:cs="Times New Roman"/>
                      <w:color w:val="000000" w:themeColor="text1"/>
                      <w:szCs w:val="21"/>
                    </w:rPr>
                    <w:t>（</w:t>
                  </w:r>
                  <w:r>
                    <w:rPr>
                      <w:rFonts w:hint="eastAsia" w:ascii="Times New Roman" w:hAnsi="Times New Roman" w:eastAsia="宋体" w:cs="Times New Roman"/>
                      <w:snapToGrid w:val="0"/>
                      <w:color w:val="000000" w:themeColor="text1"/>
                      <w:kern w:val="0"/>
                      <w:szCs w:val="21"/>
                    </w:rPr>
                    <w:t>2</w:t>
                  </w:r>
                  <w:r>
                    <w:rPr>
                      <w:rFonts w:ascii="Times New Roman" w:hAnsi="Times New Roman" w:eastAsia="宋体" w:cs="Times New Roman"/>
                      <w:snapToGrid w:val="0"/>
                      <w:color w:val="000000" w:themeColor="text1"/>
                      <w:kern w:val="0"/>
                      <w:szCs w:val="21"/>
                    </w:rPr>
                    <w:t>m</w:t>
                  </w:r>
                  <w:r>
                    <w:rPr>
                      <w:rFonts w:ascii="Times New Roman" w:hAnsi="Times New Roman" w:eastAsia="宋体" w:cs="Times New Roman"/>
                      <w:snapToGrid w:val="0"/>
                      <w:color w:val="000000" w:themeColor="text1"/>
                      <w:kern w:val="0"/>
                      <w:szCs w:val="21"/>
                      <w:vertAlign w:val="superscript"/>
                    </w:rPr>
                    <w:t>3</w:t>
                  </w:r>
                  <w:r>
                    <w:rPr>
                      <w:rFonts w:ascii="Times New Roman" w:hAnsi="Times New Roman" w:eastAsia="宋体" w:cs="Times New Roman"/>
                      <w:color w:val="000000" w:themeColor="text1"/>
                      <w:szCs w:val="21"/>
                    </w:rPr>
                    <w:t>）</w:t>
                  </w:r>
                  <w:r>
                    <w:rPr>
                      <w:rFonts w:hint="eastAsia" w:ascii="Times New Roman" w:hAnsi="Times New Roman" w:eastAsia="宋体" w:cs="Times New Roman"/>
                      <w:color w:val="000000" w:themeColor="text1"/>
                      <w:szCs w:val="21"/>
                    </w:rPr>
                    <w:t>+沉淀池</w:t>
                  </w:r>
                  <w:r>
                    <w:rPr>
                      <w:rFonts w:ascii="Times New Roman" w:hAnsi="Times New Roman" w:eastAsia="宋体" w:cs="Times New Roman"/>
                      <w:color w:val="000000" w:themeColor="text1"/>
                      <w:szCs w:val="21"/>
                    </w:rPr>
                    <w:t>（</w:t>
                  </w:r>
                  <w:r>
                    <w:rPr>
                      <w:rFonts w:hint="eastAsia" w:ascii="Times New Roman" w:hAnsi="Times New Roman" w:eastAsia="宋体" w:cs="Times New Roman"/>
                      <w:snapToGrid w:val="0"/>
                      <w:color w:val="000000" w:themeColor="text1"/>
                      <w:kern w:val="0"/>
                      <w:szCs w:val="21"/>
                    </w:rPr>
                    <w:t>8</w:t>
                  </w:r>
                  <w:r>
                    <w:rPr>
                      <w:rFonts w:ascii="Times New Roman" w:hAnsi="Times New Roman" w:eastAsia="宋体" w:cs="Times New Roman"/>
                      <w:snapToGrid w:val="0"/>
                      <w:color w:val="000000" w:themeColor="text1"/>
                      <w:kern w:val="0"/>
                      <w:szCs w:val="21"/>
                    </w:rPr>
                    <w:t>m</w:t>
                  </w:r>
                  <w:r>
                    <w:rPr>
                      <w:rFonts w:ascii="Times New Roman" w:hAnsi="Times New Roman" w:eastAsia="宋体" w:cs="Times New Roman"/>
                      <w:snapToGrid w:val="0"/>
                      <w:color w:val="000000" w:themeColor="text1"/>
                      <w:kern w:val="0"/>
                      <w:szCs w:val="21"/>
                      <w:vertAlign w:val="superscript"/>
                    </w:rPr>
                    <w:t>3</w:t>
                  </w:r>
                  <w:r>
                    <w:rPr>
                      <w:rFonts w:ascii="Times New Roman" w:hAnsi="Times New Roman" w:eastAsia="宋体" w:cs="Times New Roman"/>
                      <w:color w:val="000000" w:themeColor="text1"/>
                      <w:szCs w:val="21"/>
                    </w:rPr>
                    <w:t>）</w:t>
                  </w:r>
                  <w:r>
                    <w:rPr>
                      <w:rFonts w:hint="eastAsia" w:ascii="Times New Roman" w:hAnsi="Times New Roman" w:eastAsia="宋体" w:cs="Times New Roman"/>
                      <w:color w:val="000000" w:themeColor="text1"/>
                      <w:szCs w:val="21"/>
                    </w:rPr>
                    <w:t>。</w:t>
                  </w:r>
                </w:p>
              </w:tc>
              <w:tc>
                <w:tcPr>
                  <w:tcW w:w="998" w:type="pct"/>
                  <w:shd w:val="clear" w:color="auto" w:fill="auto"/>
                  <w:vAlign w:val="center"/>
                </w:tcPr>
                <w:p w14:paraId="5B9F16CB">
                  <w:pPr>
                    <w:ind w:left="51" w:right="51"/>
                    <w:jc w:val="center"/>
                    <w:rPr>
                      <w:rFonts w:ascii="Times New Roman" w:hAnsi="Times New Roman" w:eastAsia="宋体" w:cs="Times New Roman"/>
                      <w:color w:val="000000" w:themeColor="text1"/>
                    </w:rPr>
                  </w:pPr>
                  <w:r>
                    <w:rPr>
                      <w:rFonts w:hint="eastAsia" w:ascii="Times New Roman" w:hAnsi="Times New Roman" w:eastAsia="宋体" w:cs="Times New Roman"/>
                      <w:color w:val="000000" w:themeColor="text1"/>
                    </w:rPr>
                    <w:t>6.2</w:t>
                  </w:r>
                </w:p>
              </w:tc>
            </w:tr>
            <w:tr w14:paraId="5DCB1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6" w:type="pct"/>
                  <w:shd w:val="clear" w:color="auto" w:fill="auto"/>
                  <w:vAlign w:val="center"/>
                </w:tcPr>
                <w:p w14:paraId="25B3E955">
                  <w:pPr>
                    <w:ind w:left="50" w:right="50"/>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噪声</w:t>
                  </w:r>
                </w:p>
              </w:tc>
              <w:tc>
                <w:tcPr>
                  <w:tcW w:w="3456" w:type="pct"/>
                  <w:shd w:val="clear" w:color="auto" w:fill="auto"/>
                  <w:vAlign w:val="center"/>
                </w:tcPr>
                <w:p w14:paraId="5591162A">
                  <w:pPr>
                    <w:ind w:firstLine="420" w:firstLineChars="200"/>
                    <w:jc w:val="left"/>
                    <w:rPr>
                      <w:rFonts w:ascii="Times New Roman" w:hAnsi="Times New Roman" w:eastAsia="宋体" w:cs="Times New Roman"/>
                      <w:color w:val="000000" w:themeColor="text1"/>
                    </w:rPr>
                  </w:pPr>
                  <w:r>
                    <w:rPr>
                      <w:rFonts w:ascii="Times New Roman" w:hAnsi="Times New Roman" w:eastAsia="宋体" w:cs="Times New Roman"/>
                      <w:color w:val="000000" w:themeColor="text1"/>
                      <w:szCs w:val="21"/>
                    </w:rPr>
                    <w:t>低噪声设备，加装减震垫，厂房隔音</w:t>
                  </w:r>
                  <w:r>
                    <w:rPr>
                      <w:rFonts w:hint="eastAsia" w:ascii="Times New Roman" w:hAnsi="Times New Roman" w:eastAsia="宋体" w:cs="Times New Roman"/>
                      <w:color w:val="000000" w:themeColor="text1"/>
                      <w:szCs w:val="21"/>
                    </w:rPr>
                    <w:t>；</w:t>
                  </w:r>
                </w:p>
              </w:tc>
              <w:tc>
                <w:tcPr>
                  <w:tcW w:w="998" w:type="pct"/>
                  <w:shd w:val="clear" w:color="auto" w:fill="auto"/>
                  <w:vAlign w:val="center"/>
                </w:tcPr>
                <w:p w14:paraId="3481C12D">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0.05</w:t>
                  </w:r>
                </w:p>
              </w:tc>
            </w:tr>
            <w:tr w14:paraId="1680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6" w:type="pct"/>
                  <w:shd w:val="clear" w:color="auto" w:fill="auto"/>
                  <w:vAlign w:val="center"/>
                </w:tcPr>
                <w:p w14:paraId="33C9297A">
                  <w:pPr>
                    <w:ind w:left="50" w:right="50"/>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固废</w:t>
                  </w:r>
                </w:p>
              </w:tc>
              <w:tc>
                <w:tcPr>
                  <w:tcW w:w="3456" w:type="pct"/>
                  <w:shd w:val="clear" w:color="auto" w:fill="auto"/>
                  <w:vAlign w:val="center"/>
                </w:tcPr>
                <w:p w14:paraId="1F26A40B">
                  <w:pPr>
                    <w:ind w:firstLine="420" w:firstLineChars="200"/>
                    <w:jc w:val="left"/>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生活垃圾桶若干；</w:t>
                  </w:r>
                </w:p>
                <w:p w14:paraId="602A32F5">
                  <w:pPr>
                    <w:ind w:firstLine="420" w:firstLineChars="200"/>
                    <w:jc w:val="left"/>
                    <w:rPr>
                      <w:rFonts w:ascii="Times New Roman" w:hAnsi="Times New Roman" w:eastAsia="宋体" w:cs="Times New Roman"/>
                      <w:color w:val="000000" w:themeColor="text1"/>
                    </w:rPr>
                  </w:pPr>
                  <w:r>
                    <w:rPr>
                      <w:rFonts w:ascii="Times New Roman" w:hAnsi="Times New Roman" w:eastAsia="宋体" w:cs="Times New Roman"/>
                      <w:color w:val="000000" w:themeColor="text1"/>
                      <w:szCs w:val="21"/>
                    </w:rPr>
                    <w:t>项目区生产区东侧设置一般固废堆放间（占地</w:t>
                  </w:r>
                  <w:r>
                    <w:rPr>
                      <w:rFonts w:hint="eastAsia" w:ascii="Times New Roman" w:hAnsi="Times New Roman" w:eastAsia="宋体" w:cs="Times New Roman"/>
                      <w:color w:val="000000" w:themeColor="text1"/>
                      <w:szCs w:val="21"/>
                    </w:rPr>
                    <w:t>3</w:t>
                  </w:r>
                  <w:r>
                    <w:rPr>
                      <w:rFonts w:ascii="Times New Roman" w:hAnsi="Times New Roman" w:eastAsia="宋体" w:cs="Times New Roman"/>
                      <w:color w:val="000000" w:themeColor="text1"/>
                      <w:szCs w:val="21"/>
                    </w:rPr>
                    <w:t>m</w:t>
                  </w:r>
                  <w:r>
                    <w:rPr>
                      <w:rFonts w:ascii="Times New Roman" w:hAnsi="Times New Roman" w:eastAsia="宋体" w:cs="Times New Roman"/>
                      <w:color w:val="000000" w:themeColor="text1"/>
                      <w:szCs w:val="21"/>
                      <w:vertAlign w:val="superscript"/>
                    </w:rPr>
                    <w:t>2</w:t>
                  </w:r>
                  <w:r>
                    <w:rPr>
                      <w:rFonts w:ascii="Times New Roman" w:hAnsi="Times New Roman" w:eastAsia="宋体" w:cs="Times New Roman"/>
                      <w:color w:val="000000" w:themeColor="text1"/>
                      <w:szCs w:val="21"/>
                    </w:rPr>
                    <w:t>）。</w:t>
                  </w:r>
                </w:p>
              </w:tc>
              <w:tc>
                <w:tcPr>
                  <w:tcW w:w="998" w:type="pct"/>
                  <w:shd w:val="clear" w:color="auto" w:fill="auto"/>
                  <w:vAlign w:val="center"/>
                </w:tcPr>
                <w:p w14:paraId="60EE89CD">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0.1</w:t>
                  </w:r>
                </w:p>
              </w:tc>
            </w:tr>
            <w:tr w14:paraId="44EC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2" w:type="pct"/>
                  <w:gridSpan w:val="2"/>
                  <w:shd w:val="clear" w:color="auto" w:fill="auto"/>
                  <w:vAlign w:val="center"/>
                </w:tcPr>
                <w:p w14:paraId="70CC12B9">
                  <w:pPr>
                    <w:ind w:left="50" w:right="50"/>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共计</w:t>
                  </w:r>
                </w:p>
              </w:tc>
              <w:tc>
                <w:tcPr>
                  <w:tcW w:w="998" w:type="pct"/>
                  <w:shd w:val="clear" w:color="auto" w:fill="auto"/>
                  <w:vAlign w:val="center"/>
                </w:tcPr>
                <w:p w14:paraId="1E14E57D">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6.35</w:t>
                  </w:r>
                </w:p>
              </w:tc>
            </w:tr>
          </w:tbl>
          <w:p w14:paraId="5682D3AC">
            <w:pPr>
              <w:pStyle w:val="78"/>
              <w:spacing w:line="360" w:lineRule="auto"/>
              <w:ind w:left="51" w:right="51" w:firstLine="482" w:firstLineChars="200"/>
              <w:jc w:val="left"/>
              <w:rPr>
                <w:rFonts w:eastAsiaTheme="minorEastAsia"/>
                <w:b/>
                <w:color w:val="000000" w:themeColor="text1"/>
                <w:sz w:val="24"/>
              </w:rPr>
            </w:pPr>
            <w:r>
              <w:rPr>
                <w:rFonts w:eastAsiaTheme="minorEastAsia"/>
                <w:b/>
                <w:color w:val="000000" w:themeColor="text1"/>
                <w:sz w:val="24"/>
              </w:rPr>
              <w:t>与本项目有关的原有污染情况及主要环境问题：</w:t>
            </w:r>
          </w:p>
          <w:p w14:paraId="04F81538">
            <w:pPr>
              <w:pStyle w:val="78"/>
              <w:spacing w:line="360" w:lineRule="auto"/>
              <w:ind w:left="51" w:right="51" w:firstLine="480" w:firstLineChars="200"/>
              <w:jc w:val="left"/>
              <w:rPr>
                <w:rFonts w:eastAsiaTheme="minorEastAsia"/>
                <w:color w:val="000000" w:themeColor="text1"/>
                <w:sz w:val="24"/>
              </w:rPr>
            </w:pPr>
            <w:r>
              <w:rPr>
                <w:rFonts w:eastAsiaTheme="minorEastAsia"/>
                <w:color w:val="000000" w:themeColor="text1"/>
                <w:sz w:val="24"/>
              </w:rPr>
              <w:t>本项目为新建项目，本项目所租厂房已闲置多年，无预留污染物，无原有污染情况及环境问题。</w:t>
            </w:r>
          </w:p>
          <w:p w14:paraId="39D62D2E">
            <w:pPr>
              <w:pStyle w:val="78"/>
              <w:spacing w:line="360" w:lineRule="auto"/>
              <w:ind w:left="51" w:right="51" w:firstLine="480" w:firstLineChars="200"/>
              <w:jc w:val="left"/>
              <w:rPr>
                <w:rFonts w:eastAsiaTheme="minorEastAsia"/>
                <w:color w:val="000000" w:themeColor="text1"/>
                <w:sz w:val="24"/>
              </w:rPr>
            </w:pPr>
          </w:p>
          <w:p w14:paraId="016C8A3A">
            <w:pPr>
              <w:pStyle w:val="78"/>
              <w:spacing w:line="360" w:lineRule="auto"/>
              <w:ind w:left="51" w:right="51" w:firstLine="480" w:firstLineChars="200"/>
              <w:jc w:val="left"/>
              <w:rPr>
                <w:color w:val="000000" w:themeColor="text1"/>
                <w:sz w:val="24"/>
              </w:rPr>
            </w:pPr>
          </w:p>
          <w:p w14:paraId="42592C63">
            <w:pPr>
              <w:pStyle w:val="78"/>
              <w:spacing w:line="360" w:lineRule="auto"/>
              <w:ind w:left="51" w:right="51" w:firstLine="480" w:firstLineChars="200"/>
              <w:jc w:val="left"/>
              <w:rPr>
                <w:color w:val="000000" w:themeColor="text1"/>
                <w:sz w:val="24"/>
              </w:rPr>
            </w:pPr>
          </w:p>
          <w:p w14:paraId="444FAC02">
            <w:pPr>
              <w:pStyle w:val="78"/>
              <w:spacing w:line="360" w:lineRule="auto"/>
              <w:ind w:left="51" w:right="51" w:firstLine="480" w:firstLineChars="200"/>
              <w:jc w:val="left"/>
              <w:rPr>
                <w:color w:val="000000" w:themeColor="text1"/>
                <w:sz w:val="24"/>
              </w:rPr>
            </w:pPr>
          </w:p>
          <w:p w14:paraId="4CF1613A">
            <w:pPr>
              <w:pStyle w:val="78"/>
              <w:spacing w:line="360" w:lineRule="auto"/>
              <w:ind w:left="51" w:right="51" w:firstLine="480" w:firstLineChars="200"/>
              <w:jc w:val="left"/>
              <w:rPr>
                <w:color w:val="000000" w:themeColor="text1"/>
                <w:sz w:val="24"/>
              </w:rPr>
            </w:pPr>
          </w:p>
          <w:p w14:paraId="23AD2479">
            <w:pPr>
              <w:pStyle w:val="78"/>
              <w:spacing w:line="360" w:lineRule="auto"/>
              <w:ind w:left="51" w:right="51" w:firstLine="480" w:firstLineChars="200"/>
              <w:jc w:val="left"/>
              <w:rPr>
                <w:color w:val="000000" w:themeColor="text1"/>
                <w:sz w:val="24"/>
              </w:rPr>
            </w:pPr>
          </w:p>
          <w:p w14:paraId="0C8D3EF3">
            <w:pPr>
              <w:pStyle w:val="78"/>
              <w:spacing w:line="360" w:lineRule="auto"/>
              <w:ind w:left="51" w:right="51" w:firstLine="480" w:firstLineChars="200"/>
              <w:jc w:val="left"/>
              <w:rPr>
                <w:color w:val="000000" w:themeColor="text1"/>
                <w:sz w:val="24"/>
                <w:u w:val="single"/>
              </w:rPr>
            </w:pPr>
          </w:p>
          <w:p w14:paraId="7881F355">
            <w:pPr>
              <w:pStyle w:val="78"/>
              <w:spacing w:line="360" w:lineRule="auto"/>
              <w:ind w:left="51" w:right="51" w:firstLine="480" w:firstLineChars="200"/>
              <w:jc w:val="left"/>
              <w:rPr>
                <w:color w:val="000000" w:themeColor="text1"/>
                <w:sz w:val="24"/>
              </w:rPr>
            </w:pPr>
          </w:p>
          <w:p w14:paraId="67CAA2F7">
            <w:pPr>
              <w:pStyle w:val="78"/>
              <w:spacing w:line="360" w:lineRule="auto"/>
              <w:ind w:left="51" w:right="51" w:firstLine="480" w:firstLineChars="200"/>
              <w:jc w:val="left"/>
              <w:rPr>
                <w:color w:val="000000" w:themeColor="text1"/>
                <w:sz w:val="24"/>
              </w:rPr>
            </w:pPr>
          </w:p>
          <w:p w14:paraId="16AC766D">
            <w:pPr>
              <w:pStyle w:val="78"/>
              <w:spacing w:line="360" w:lineRule="auto"/>
              <w:ind w:left="51" w:right="51" w:firstLine="480" w:firstLineChars="200"/>
              <w:jc w:val="left"/>
              <w:rPr>
                <w:color w:val="000000" w:themeColor="text1"/>
                <w:sz w:val="24"/>
              </w:rPr>
            </w:pPr>
          </w:p>
          <w:p w14:paraId="6DACA519">
            <w:pPr>
              <w:pStyle w:val="78"/>
              <w:spacing w:line="360" w:lineRule="auto"/>
              <w:ind w:left="51" w:right="51" w:firstLine="480" w:firstLineChars="200"/>
              <w:jc w:val="left"/>
              <w:rPr>
                <w:color w:val="000000" w:themeColor="text1"/>
                <w:sz w:val="24"/>
              </w:rPr>
            </w:pPr>
          </w:p>
          <w:p w14:paraId="341F8E28">
            <w:pPr>
              <w:pStyle w:val="78"/>
              <w:spacing w:line="360" w:lineRule="auto"/>
              <w:ind w:left="51" w:right="51" w:firstLine="480" w:firstLineChars="200"/>
              <w:jc w:val="left"/>
              <w:rPr>
                <w:color w:val="000000" w:themeColor="text1"/>
                <w:sz w:val="24"/>
              </w:rPr>
            </w:pPr>
          </w:p>
          <w:p w14:paraId="5EACA667">
            <w:pPr>
              <w:pStyle w:val="78"/>
              <w:spacing w:line="360" w:lineRule="auto"/>
              <w:ind w:left="51" w:right="51" w:firstLine="480" w:firstLineChars="200"/>
              <w:jc w:val="left"/>
              <w:rPr>
                <w:color w:val="000000" w:themeColor="text1"/>
                <w:sz w:val="24"/>
              </w:rPr>
            </w:pPr>
          </w:p>
          <w:p w14:paraId="0A2A9B0B">
            <w:pPr>
              <w:pStyle w:val="78"/>
              <w:spacing w:line="360" w:lineRule="auto"/>
              <w:ind w:left="51" w:right="51" w:firstLine="480" w:firstLineChars="200"/>
              <w:jc w:val="left"/>
              <w:rPr>
                <w:color w:val="000000" w:themeColor="text1"/>
                <w:sz w:val="24"/>
              </w:rPr>
            </w:pPr>
          </w:p>
          <w:p w14:paraId="599112B2">
            <w:pPr>
              <w:pStyle w:val="78"/>
              <w:spacing w:line="360" w:lineRule="auto"/>
              <w:ind w:left="51" w:right="51" w:firstLine="480" w:firstLineChars="200"/>
              <w:jc w:val="left"/>
              <w:rPr>
                <w:color w:val="000000" w:themeColor="text1"/>
                <w:sz w:val="24"/>
              </w:rPr>
            </w:pPr>
          </w:p>
        </w:tc>
      </w:tr>
    </w:tbl>
    <w:p w14:paraId="6284096F">
      <w:pPr>
        <w:keepNext/>
        <w:keepLines/>
        <w:pageBreakBefore/>
        <w:jc w:val="left"/>
        <w:outlineLvl w:val="0"/>
        <w:rPr>
          <w:rFonts w:ascii="Times New Roman" w:hAnsi="Times New Roman" w:eastAsia="宋体" w:cs="Times New Roman"/>
          <w:b/>
          <w:bCs/>
          <w:color w:val="000000" w:themeColor="text1"/>
          <w:kern w:val="44"/>
          <w:sz w:val="30"/>
          <w:szCs w:val="44"/>
        </w:rPr>
      </w:pPr>
      <w:r>
        <w:rPr>
          <w:rFonts w:ascii="Times New Roman" w:hAnsi="Times New Roman" w:eastAsia="宋体" w:cs="Times New Roman"/>
          <w:b/>
          <w:bCs/>
          <w:color w:val="000000" w:themeColor="text1"/>
          <w:kern w:val="44"/>
          <w:sz w:val="30"/>
          <w:szCs w:val="44"/>
        </w:rPr>
        <w:t>表二、建设项目所在地自然环境社会环境简况</w:t>
      </w:r>
    </w:p>
    <w:tbl>
      <w:tblPr>
        <w:tblStyle w:val="39"/>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14:paraId="5309A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shd w:val="clear" w:color="auto" w:fill="auto"/>
          </w:tcPr>
          <w:p w14:paraId="44AE9F5F">
            <w:pPr>
              <w:spacing w:before="156" w:beforeLines="50" w:line="360" w:lineRule="auto"/>
              <w:jc w:val="left"/>
              <w:rPr>
                <w:rFonts w:ascii="Times New Roman" w:hAnsi="Times New Roman" w:eastAsia="宋体" w:cs="Times New Roman"/>
                <w:b/>
                <w:color w:val="000000" w:themeColor="text1"/>
                <w:sz w:val="28"/>
              </w:rPr>
            </w:pPr>
            <w:r>
              <w:rPr>
                <w:rFonts w:ascii="Times New Roman" w:hAnsi="Times New Roman" w:eastAsia="宋体" w:cs="Times New Roman"/>
                <w:b/>
                <w:color w:val="000000" w:themeColor="text1"/>
                <w:sz w:val="28"/>
              </w:rPr>
              <w:t>自然环境简况（地形、地貌、地质、气候、水文、植被、生物多样性等）</w:t>
            </w:r>
          </w:p>
          <w:p w14:paraId="7504B27D">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1、地理位置及周边情况</w:t>
            </w:r>
          </w:p>
          <w:p w14:paraId="69CC593B">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芒市为德宏州州府所在地，地处云南省西部，德宏州东南部，距昆明679km，位于东经98°01′~98°44′，北纬24°05′~24°39′区间。芒市是</w:t>
            </w:r>
            <w:r>
              <w:fldChar w:fldCharType="begin"/>
            </w:r>
            <w:r>
              <w:instrText xml:space="preserve"> HYPERLINK "http://baike.baidu.com/view/7242.htm" \t "_blank" </w:instrText>
            </w:r>
            <w:r>
              <w:fldChar w:fldCharType="separate"/>
            </w:r>
            <w:r>
              <w:rPr>
                <w:rFonts w:ascii="Times New Roman" w:hAnsi="Times New Roman" w:eastAsia="宋体" w:cs="Times New Roman"/>
                <w:snapToGrid w:val="0"/>
                <w:color w:val="000000" w:themeColor="text1"/>
                <w:kern w:val="0"/>
                <w:sz w:val="24"/>
                <w:szCs w:val="20"/>
              </w:rPr>
              <w:t>云南</w:t>
            </w:r>
            <w:r>
              <w:rPr>
                <w:rFonts w:ascii="Times New Roman" w:hAnsi="Times New Roman" w:eastAsia="宋体" w:cs="Times New Roman"/>
                <w:snapToGrid w:val="0"/>
                <w:color w:val="000000" w:themeColor="text1"/>
                <w:kern w:val="0"/>
                <w:sz w:val="24"/>
                <w:szCs w:val="20"/>
              </w:rPr>
              <w:fldChar w:fldCharType="end"/>
            </w:r>
            <w:r>
              <w:rPr>
                <w:rFonts w:ascii="Times New Roman" w:hAnsi="Times New Roman" w:eastAsia="宋体" w:cs="Times New Roman"/>
                <w:snapToGrid w:val="0"/>
                <w:color w:val="000000" w:themeColor="text1"/>
                <w:kern w:val="0"/>
                <w:sz w:val="24"/>
                <w:szCs w:val="20"/>
              </w:rPr>
              <w:t>西边的窗口以及中缅文化交流的窗口和中缅经济效益的门户，是通往</w:t>
            </w:r>
            <w:r>
              <w:fldChar w:fldCharType="begin"/>
            </w:r>
            <w:r>
              <w:instrText xml:space="preserve"> HYPERLINK "http://baike.baidu.com/view/55927.htm" \t "_blank" </w:instrText>
            </w:r>
            <w:r>
              <w:fldChar w:fldCharType="separate"/>
            </w:r>
            <w:r>
              <w:rPr>
                <w:rFonts w:ascii="Times New Roman" w:hAnsi="Times New Roman" w:eastAsia="宋体" w:cs="Times New Roman"/>
                <w:snapToGrid w:val="0"/>
                <w:color w:val="000000" w:themeColor="text1"/>
                <w:kern w:val="0"/>
                <w:sz w:val="24"/>
                <w:szCs w:val="20"/>
              </w:rPr>
              <w:t>瑞丽</w:t>
            </w:r>
            <w:r>
              <w:rPr>
                <w:rFonts w:ascii="Times New Roman" w:hAnsi="Times New Roman" w:eastAsia="宋体" w:cs="Times New Roman"/>
                <w:snapToGrid w:val="0"/>
                <w:color w:val="000000" w:themeColor="text1"/>
                <w:kern w:val="0"/>
                <w:sz w:val="24"/>
                <w:szCs w:val="20"/>
              </w:rPr>
              <w:fldChar w:fldCharType="end"/>
            </w:r>
            <w:r>
              <w:rPr>
                <w:rFonts w:ascii="Times New Roman" w:hAnsi="Times New Roman" w:eastAsia="宋体" w:cs="Times New Roman"/>
                <w:snapToGrid w:val="0"/>
                <w:color w:val="000000" w:themeColor="text1"/>
                <w:kern w:val="0"/>
                <w:sz w:val="24"/>
                <w:szCs w:val="20"/>
              </w:rPr>
              <w:t>、</w:t>
            </w:r>
            <w:r>
              <w:fldChar w:fldCharType="begin"/>
            </w:r>
            <w:r>
              <w:instrText xml:space="preserve"> HYPERLINK "http://baike.baidu.com/view/705346.htm" \t "_blank" </w:instrText>
            </w:r>
            <w:r>
              <w:fldChar w:fldCharType="separate"/>
            </w:r>
            <w:r>
              <w:rPr>
                <w:rFonts w:ascii="Times New Roman" w:hAnsi="Times New Roman" w:eastAsia="宋体" w:cs="Times New Roman"/>
                <w:snapToGrid w:val="0"/>
                <w:color w:val="000000" w:themeColor="text1"/>
                <w:kern w:val="0"/>
                <w:sz w:val="24"/>
                <w:szCs w:val="20"/>
              </w:rPr>
              <w:t>陇川</w:t>
            </w:r>
            <w:r>
              <w:rPr>
                <w:rFonts w:ascii="Times New Roman" w:hAnsi="Times New Roman" w:eastAsia="宋体" w:cs="Times New Roman"/>
                <w:snapToGrid w:val="0"/>
                <w:color w:val="000000" w:themeColor="text1"/>
                <w:kern w:val="0"/>
                <w:sz w:val="24"/>
                <w:szCs w:val="20"/>
              </w:rPr>
              <w:fldChar w:fldCharType="end"/>
            </w:r>
            <w:r>
              <w:rPr>
                <w:rFonts w:ascii="Times New Roman" w:hAnsi="Times New Roman" w:eastAsia="宋体" w:cs="Times New Roman"/>
                <w:snapToGrid w:val="0"/>
                <w:color w:val="000000" w:themeColor="text1"/>
                <w:kern w:val="0"/>
                <w:sz w:val="24"/>
                <w:szCs w:val="20"/>
              </w:rPr>
              <w:t>、盈江、梁河，直到</w:t>
            </w:r>
            <w:r>
              <w:fldChar w:fldCharType="begin"/>
            </w:r>
            <w:r>
              <w:instrText xml:space="preserve"> HYPERLINK "http://baike.baidu.com/view/7227.htm" \t "_blank" </w:instrText>
            </w:r>
            <w:r>
              <w:fldChar w:fldCharType="separate"/>
            </w:r>
            <w:r>
              <w:rPr>
                <w:rFonts w:ascii="Times New Roman" w:hAnsi="Times New Roman" w:eastAsia="宋体" w:cs="Times New Roman"/>
                <w:snapToGrid w:val="0"/>
                <w:color w:val="000000" w:themeColor="text1"/>
                <w:kern w:val="0"/>
                <w:sz w:val="24"/>
                <w:szCs w:val="20"/>
              </w:rPr>
              <w:t>缅甸</w:t>
            </w:r>
            <w:r>
              <w:rPr>
                <w:rFonts w:ascii="Times New Roman" w:hAnsi="Times New Roman" w:eastAsia="宋体" w:cs="Times New Roman"/>
                <w:snapToGrid w:val="0"/>
                <w:color w:val="000000" w:themeColor="text1"/>
                <w:kern w:val="0"/>
                <w:sz w:val="24"/>
                <w:szCs w:val="20"/>
              </w:rPr>
              <w:fldChar w:fldCharType="end"/>
            </w:r>
            <w:r>
              <w:rPr>
                <w:rFonts w:ascii="Times New Roman" w:hAnsi="Times New Roman" w:eastAsia="宋体" w:cs="Times New Roman"/>
                <w:snapToGrid w:val="0"/>
                <w:color w:val="000000" w:themeColor="text1"/>
                <w:kern w:val="0"/>
                <w:sz w:val="24"/>
                <w:szCs w:val="20"/>
              </w:rPr>
              <w:t>的交通枢纽和商贸物资集散地及边境口岸，东侧及东北侧接保山市龙陵县，西南连瑞丽市、畹町经济开发区，西侧及西北侧与梁河县、陇川县隔陇川江相望，南与缅甸交界，国境线长68.3km。境内320国道贯穿南北，有芒市至象滚塘，芒市至回贤等乡村道路，交通网络发达。</w:t>
            </w:r>
          </w:p>
          <w:p w14:paraId="68CEA946">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本项目位于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，中心地理坐标为</w:t>
            </w:r>
            <w:r>
              <w:rPr>
                <w:rFonts w:ascii="Times New Roman" w:hAnsi="Times New Roman" w:eastAsia="宋体" w:cs="Times New Roman"/>
                <w:bCs/>
                <w:snapToGrid w:val="0"/>
                <w:color w:val="000000" w:themeColor="text1"/>
                <w:kern w:val="0"/>
                <w:sz w:val="24"/>
                <w:szCs w:val="20"/>
              </w:rPr>
              <w:t>北纬24°19′20.94″</w:t>
            </w:r>
            <w:r>
              <w:rPr>
                <w:rFonts w:hint="eastAsia" w:ascii="Times New Roman" w:hAnsi="Times New Roman" w:eastAsia="宋体" w:cs="Times New Roman"/>
                <w:bCs/>
                <w:snapToGrid w:val="0"/>
                <w:color w:val="000000" w:themeColor="text1"/>
                <w:kern w:val="0"/>
                <w:sz w:val="24"/>
                <w:szCs w:val="20"/>
              </w:rPr>
              <w:t>，</w:t>
            </w:r>
            <w:r>
              <w:rPr>
                <w:rFonts w:ascii="Times New Roman" w:hAnsi="Times New Roman" w:eastAsia="宋体" w:cs="Times New Roman"/>
                <w:bCs/>
                <w:snapToGrid w:val="0"/>
                <w:color w:val="000000" w:themeColor="text1"/>
                <w:kern w:val="0"/>
                <w:sz w:val="24"/>
                <w:szCs w:val="20"/>
              </w:rPr>
              <w:t>东经98°34′50.70″</w:t>
            </w:r>
            <w:r>
              <w:rPr>
                <w:rFonts w:ascii="Times New Roman" w:hAnsi="Times New Roman" w:eastAsia="宋体" w:cs="Times New Roman"/>
                <w:snapToGrid w:val="0"/>
                <w:color w:val="000000" w:themeColor="text1"/>
                <w:kern w:val="0"/>
                <w:sz w:val="24"/>
                <w:szCs w:val="20"/>
              </w:rPr>
              <w:t>。</w:t>
            </w:r>
          </w:p>
          <w:p w14:paraId="7269A012">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项目区周边关系列表见表2-1，项目区周边关系图见附图3。</w:t>
            </w:r>
          </w:p>
          <w:p w14:paraId="64AC8521">
            <w:pPr>
              <w:adjustRightInd w:val="0"/>
              <w:ind w:firstLine="482" w:firstLineChars="200"/>
              <w:jc w:val="center"/>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表2-1 项目区周边关系列表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3042"/>
              <w:gridCol w:w="2463"/>
              <w:gridCol w:w="3182"/>
            </w:tblGrid>
            <w:tr w14:paraId="65BA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454" w:type="pct"/>
                  <w:vAlign w:val="center"/>
                </w:tcPr>
                <w:p w14:paraId="175CF5D1">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序号</w:t>
                  </w:r>
                </w:p>
              </w:tc>
              <w:tc>
                <w:tcPr>
                  <w:tcW w:w="1592" w:type="pct"/>
                  <w:vAlign w:val="center"/>
                </w:tcPr>
                <w:p w14:paraId="4AD2DE95">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名称</w:t>
                  </w:r>
                </w:p>
              </w:tc>
              <w:tc>
                <w:tcPr>
                  <w:tcW w:w="1289" w:type="pct"/>
                  <w:vAlign w:val="center"/>
                </w:tcPr>
                <w:p w14:paraId="05ADE077">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方位</w:t>
                  </w:r>
                </w:p>
              </w:tc>
              <w:tc>
                <w:tcPr>
                  <w:tcW w:w="1665" w:type="pct"/>
                  <w:vAlign w:val="center"/>
                </w:tcPr>
                <w:p w14:paraId="08540213">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与厂界距离</w:t>
                  </w:r>
                </w:p>
              </w:tc>
            </w:tr>
            <w:tr w14:paraId="5A5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54" w:type="pct"/>
                  <w:vAlign w:val="center"/>
                </w:tcPr>
                <w:p w14:paraId="06E3054F">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1</w:t>
                  </w:r>
                </w:p>
              </w:tc>
              <w:tc>
                <w:tcPr>
                  <w:tcW w:w="1592" w:type="pct"/>
                  <w:vAlign w:val="center"/>
                </w:tcPr>
                <w:p w14:paraId="284C1514">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当连村</w:t>
                  </w:r>
                </w:p>
              </w:tc>
              <w:tc>
                <w:tcPr>
                  <w:tcW w:w="1289" w:type="pct"/>
                  <w:vAlign w:val="center"/>
                </w:tcPr>
                <w:p w14:paraId="3A676B92">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北侧</w:t>
                  </w:r>
                </w:p>
              </w:tc>
              <w:tc>
                <w:tcPr>
                  <w:tcW w:w="1665" w:type="pct"/>
                  <w:vAlign w:val="center"/>
                </w:tcPr>
                <w:p w14:paraId="3804E780">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1260m</w:t>
                  </w:r>
                </w:p>
              </w:tc>
            </w:tr>
            <w:tr w14:paraId="1F65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54" w:type="pct"/>
                  <w:vAlign w:val="center"/>
                </w:tcPr>
                <w:p w14:paraId="5ECB0C7C">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2</w:t>
                  </w:r>
                </w:p>
              </w:tc>
              <w:tc>
                <w:tcPr>
                  <w:tcW w:w="1592" w:type="pct"/>
                  <w:vAlign w:val="center"/>
                </w:tcPr>
                <w:p w14:paraId="521358F1">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烤烟房</w:t>
                  </w:r>
                </w:p>
              </w:tc>
              <w:tc>
                <w:tcPr>
                  <w:tcW w:w="1289" w:type="pct"/>
                  <w:vAlign w:val="center"/>
                </w:tcPr>
                <w:p w14:paraId="421116D3">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西侧</w:t>
                  </w:r>
                </w:p>
              </w:tc>
              <w:tc>
                <w:tcPr>
                  <w:tcW w:w="1665" w:type="pct"/>
                  <w:vAlign w:val="center"/>
                </w:tcPr>
                <w:p w14:paraId="02EBFE9A">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45m</w:t>
                  </w:r>
                </w:p>
              </w:tc>
            </w:tr>
          </w:tbl>
          <w:p w14:paraId="56893713">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2、地貌、地质</w:t>
            </w:r>
          </w:p>
          <w:p w14:paraId="120605D8">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芒市全境是以中、低山山地为主的低纬山原地区，最高</w:t>
            </w:r>
            <w:r>
              <w:fldChar w:fldCharType="begin"/>
            </w:r>
            <w:r>
              <w:instrText xml:space="preserve"> HYPERLINK "http://baike.baidu.com/view/36833.htm" \t "_blank" </w:instrText>
            </w:r>
            <w:r>
              <w:fldChar w:fldCharType="separate"/>
            </w:r>
            <w:r>
              <w:rPr>
                <w:rFonts w:ascii="Times New Roman" w:hAnsi="Times New Roman" w:eastAsia="宋体" w:cs="Times New Roman"/>
                <w:snapToGrid w:val="0"/>
                <w:color w:val="000000" w:themeColor="text1"/>
                <w:kern w:val="0"/>
                <w:sz w:val="24"/>
                <w:szCs w:val="20"/>
              </w:rPr>
              <w:t>海拔</w:t>
            </w:r>
            <w:r>
              <w:rPr>
                <w:rFonts w:ascii="Times New Roman" w:hAnsi="Times New Roman" w:eastAsia="宋体" w:cs="Times New Roman"/>
                <w:snapToGrid w:val="0"/>
                <w:color w:val="000000" w:themeColor="text1"/>
                <w:kern w:val="0"/>
                <w:sz w:val="24"/>
                <w:szCs w:val="20"/>
              </w:rPr>
              <w:fldChar w:fldCharType="end"/>
            </w:r>
            <w:r>
              <w:rPr>
                <w:rFonts w:ascii="Times New Roman" w:hAnsi="Times New Roman" w:eastAsia="宋体" w:cs="Times New Roman"/>
                <w:snapToGrid w:val="0"/>
                <w:color w:val="000000" w:themeColor="text1"/>
                <w:kern w:val="0"/>
                <w:sz w:val="24"/>
                <w:szCs w:val="20"/>
              </w:rPr>
              <w:t>2377米（</w:t>
            </w:r>
            <w:r>
              <w:fldChar w:fldCharType="begin"/>
            </w:r>
            <w:r>
              <w:instrText xml:space="preserve"> HYPERLINK "http://baike.baidu.com/view/4132547.htm" \t "_blank" </w:instrText>
            </w:r>
            <w:r>
              <w:fldChar w:fldCharType="separate"/>
            </w:r>
            <w:r>
              <w:rPr>
                <w:rFonts w:ascii="Times New Roman" w:hAnsi="Times New Roman" w:eastAsia="宋体" w:cs="Times New Roman"/>
                <w:snapToGrid w:val="0"/>
                <w:color w:val="000000" w:themeColor="text1"/>
                <w:kern w:val="0"/>
                <w:sz w:val="24"/>
                <w:szCs w:val="20"/>
              </w:rPr>
              <w:t>背阴山</w:t>
            </w:r>
            <w:r>
              <w:rPr>
                <w:rFonts w:ascii="Times New Roman" w:hAnsi="Times New Roman" w:eastAsia="宋体" w:cs="Times New Roman"/>
                <w:snapToGrid w:val="0"/>
                <w:color w:val="000000" w:themeColor="text1"/>
                <w:kern w:val="0"/>
                <w:sz w:val="24"/>
                <w:szCs w:val="20"/>
              </w:rPr>
              <w:fldChar w:fldCharType="end"/>
            </w:r>
            <w:r>
              <w:rPr>
                <w:rFonts w:ascii="Times New Roman" w:hAnsi="Times New Roman" w:eastAsia="宋体" w:cs="Times New Roman"/>
                <w:snapToGrid w:val="0"/>
                <w:color w:val="000000" w:themeColor="text1"/>
                <w:kern w:val="0"/>
                <w:sz w:val="24"/>
                <w:szCs w:val="20"/>
              </w:rPr>
              <w:t>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0AF42B3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芒市海拔高差悬殊很大，山谷、河流、盆谷走向一致，并呈相间平行排列势态，展现了两山夹一峡谷、一条河、一个盆坝的地貌特征。以溶蚀槽谷、溶蚀洼地、漏斗、溶洞、落水洞、溶牙、溶峰等地貌较为显著。</w:t>
            </w:r>
          </w:p>
          <w:p w14:paraId="71060D5F">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本项目位于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bCs/>
                <w:snapToGrid w:val="0"/>
                <w:color w:val="000000" w:themeColor="text1"/>
                <w:kern w:val="0"/>
                <w:sz w:val="24"/>
                <w:szCs w:val="20"/>
              </w:rPr>
              <w:t>，所在地块地势较为东高西低，标高最高为1042m，最低为1022m。</w:t>
            </w:r>
          </w:p>
          <w:p w14:paraId="7CA3CC5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3、气候、气象</w:t>
            </w:r>
          </w:p>
          <w:p w14:paraId="0D78F123">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芒市地处低纬高原，热量丰富，</w:t>
            </w:r>
            <w:r>
              <w:rPr>
                <w:rFonts w:hint="eastAsia" w:ascii="Times New Roman" w:hAnsi="Times New Roman" w:eastAsia="宋体" w:cs="Times New Roman"/>
                <w:snapToGrid w:val="0"/>
                <w:color w:val="000000" w:themeColor="text1"/>
                <w:kern w:val="0"/>
                <w:sz w:val="24"/>
                <w:szCs w:val="20"/>
                <w:lang w:eastAsia="zh-CN"/>
              </w:rPr>
              <w:t>气候</w:t>
            </w:r>
            <w:r>
              <w:rPr>
                <w:rFonts w:ascii="Times New Roman" w:hAnsi="Times New Roman" w:eastAsia="宋体" w:cs="Times New Roman"/>
                <w:snapToGrid w:val="0"/>
                <w:color w:val="000000" w:themeColor="text1"/>
                <w:kern w:val="0"/>
                <w:sz w:val="24"/>
                <w:szCs w:val="20"/>
              </w:rPr>
              <w:t>温和，属南亚热带季风气候，具有夏长冬短、干湿分明、冬无严寒、夏无酷暑，日照时间长、雨量充沛、冬季多雾等特点。年平均气温19.6</w:t>
            </w:r>
            <w:r>
              <w:rPr>
                <w:rFonts w:hint="eastAsia" w:ascii="宋体" w:hAnsi="宋体" w:eastAsia="宋体" w:cs="宋体"/>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，最热月（6月）平均气温24.1</w:t>
            </w:r>
            <w:r>
              <w:rPr>
                <w:rFonts w:hint="eastAsia" w:ascii="宋体" w:hAnsi="宋体" w:eastAsia="宋体" w:cs="宋体"/>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，最冷月（1月）平均气温12.3</w:t>
            </w:r>
            <w:r>
              <w:rPr>
                <w:rFonts w:hint="eastAsia" w:ascii="宋体" w:hAnsi="宋体" w:eastAsia="宋体" w:cs="宋体"/>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，极端最高气温36.2</w:t>
            </w:r>
            <w:r>
              <w:rPr>
                <w:rFonts w:hint="eastAsia" w:ascii="宋体" w:hAnsi="宋体" w:eastAsia="宋体" w:cs="宋体"/>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，极端最低气温-0.6</w:t>
            </w:r>
            <w:r>
              <w:rPr>
                <w:rFonts w:hint="eastAsia" w:ascii="宋体" w:hAnsi="宋体" w:eastAsia="宋体" w:cs="宋体"/>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（1963年1月5日），年积温7170</w:t>
            </w:r>
            <w:r>
              <w:rPr>
                <w:rFonts w:hint="eastAsia" w:ascii="宋体" w:hAnsi="宋体" w:eastAsia="宋体" w:cs="宋体"/>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年平均降水量1654.6㎜，年最多降水量2294.4mm，年最少降水量1177.3mm（2006年），雨季（5～10月）降水量占全年降水量的89%，年平均降雨日数170天，一日最大降水量158.3mm。日照时数2252.9小时，蒸发量1723.6mm，无霜期315天，主导风向为西南风，年平均风速为0.9m/s。</w:t>
            </w:r>
          </w:p>
          <w:p w14:paraId="747B1EE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4、河流水系</w:t>
            </w:r>
          </w:p>
          <w:p w14:paraId="0EF669C9">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水系主要有“三江四河”。三江：大盈江、瑞丽江（陇川江）、怒江；四河：芒市河、南畹河、户撒河、芒东河（萝卜坝河）。芒市年平均总产水量31.8亿立方米，其中地表水23.11亿立方米，地下水8.69亿立方米。</w:t>
            </w:r>
          </w:p>
          <w:p w14:paraId="0EBCF9D3">
            <w:pPr>
              <w:adjustRightInd w:val="0"/>
              <w:spacing w:line="360" w:lineRule="auto"/>
              <w:ind w:firstLine="480" w:firstLineChars="200"/>
              <w:rPr>
                <w:rFonts w:ascii="Times New Roman" w:hAnsi="Times New Roman" w:eastAsia="宋体" w:cs="Times New Roman"/>
                <w:snapToGrid w:val="0"/>
                <w:color w:val="000000" w:themeColor="text1"/>
                <w:kern w:val="0"/>
                <w:sz w:val="24"/>
              </w:rPr>
            </w:pPr>
            <w:r>
              <w:rPr>
                <w:rFonts w:ascii="Times New Roman" w:hAnsi="Times New Roman" w:eastAsia="宋体" w:cs="Times New Roman"/>
                <w:snapToGrid w:val="0"/>
                <w:color w:val="000000" w:themeColor="text1"/>
                <w:kern w:val="0"/>
                <w:sz w:val="24"/>
                <w:szCs w:val="20"/>
              </w:rPr>
              <w:t>根据现场勘查，</w:t>
            </w:r>
            <w:r>
              <w:rPr>
                <w:rFonts w:ascii="Times New Roman" w:hAnsi="Times New Roman" w:eastAsia="宋体" w:cs="Times New Roman"/>
                <w:snapToGrid w:val="0"/>
                <w:color w:val="000000" w:themeColor="text1"/>
                <w:kern w:val="0"/>
                <w:sz w:val="24"/>
              </w:rPr>
              <w:t>本项目属于芒市大河汇水范围，根据现场勘查，距本项目最近的为项目西侧350m的当连河，当连河为芒市大河的支流，项目西侧13.0km为芒市大河。</w:t>
            </w:r>
          </w:p>
          <w:p w14:paraId="3AD5C628">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芒市大河：</w:t>
            </w:r>
            <w:r>
              <w:rPr>
                <w:rFonts w:ascii="Times New Roman" w:hAnsi="Times New Roman" w:eastAsia="宋体" w:cs="Times New Roman"/>
                <w:snapToGrid w:val="0"/>
                <w:color w:val="000000" w:themeColor="text1"/>
                <w:kern w:val="0"/>
                <w:sz w:val="24"/>
                <w:szCs w:val="20"/>
              </w:rPr>
              <w:t>为瑞丽江一支流，属伊洛瓦底江水系，发源于龙陵县金竹村北部诸山溪，从大山田进入潞西市境内，入境海拔1300米，之帕连进入芒市盆底首部，沿北东至南西流经遮告、芒黑、弄相、风平、芒波、帕底、允门，纵穿芒市坝，而后进入三台山峡谷，至遮放镇芒里寨出谷进入遮放盆底，纵贯盆地内的团结、户信、芒瓦、东相、至南蚌西注入龙江，汇口海拔783米。芒市河径流面积1830.5平方公里，主河长102.1千米，河道平均坡度11‰，多年平均径流量20.6亿立方米，水能理论蕴藏量35.34万千瓦。</w:t>
            </w:r>
          </w:p>
          <w:p w14:paraId="548E7B69">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项目区水系详见附图4。</w:t>
            </w:r>
          </w:p>
          <w:p w14:paraId="484F634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5、植被、生物多样性</w:t>
            </w:r>
          </w:p>
          <w:p w14:paraId="681AA2F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芒市植被类型为南亚热带雨林、季雨林植被类型，主要树种有高山榕、对叶榕、楹树、木乃果、酸枣、铁刀木、大叶藤黄、窄叶、红椿、羊蹄甲、攀枝花、木荷、桦木、椿木等。</w:t>
            </w:r>
          </w:p>
          <w:p w14:paraId="15353581">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芒市野生动物主要为当地常见种，缺乏大型兽类及鸟类，以小型哺乳动物、常见鸟类为主，小型哺乳动物主要为啮齿类动物，如松鼠、家鼠、草兔等，鸟类主要有麻雀、乌鸦、燕子、斑鸠等。</w:t>
            </w:r>
          </w:p>
          <w:p w14:paraId="383E08A0">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项目所在地受人类活动影响，原生植被已经不复存在，以人工植被为主，动物主要为家鼠等，项目区范围内未发现珍稀濒危保护动物和地方特有种。</w:t>
            </w:r>
          </w:p>
        </w:tc>
      </w:tr>
    </w:tbl>
    <w:p w14:paraId="4E5776C1">
      <w:pPr>
        <w:rPr>
          <w:rFonts w:ascii="Times New Roman" w:hAnsi="Times New Roman" w:cs="Times New Roman"/>
          <w:color w:val="000000" w:themeColor="text1"/>
        </w:rPr>
      </w:pPr>
    </w:p>
    <w:p w14:paraId="2AC18424">
      <w:pPr>
        <w:rPr>
          <w:rFonts w:ascii="Times New Roman" w:hAnsi="Times New Roman" w:cs="Times New Roman"/>
          <w:color w:val="000000" w:themeColor="text1"/>
        </w:rPr>
      </w:pPr>
    </w:p>
    <w:p w14:paraId="45A00A72">
      <w:pPr>
        <w:keepNext/>
        <w:keepLines/>
        <w:pageBreakBefore/>
        <w:jc w:val="left"/>
        <w:outlineLvl w:val="0"/>
        <w:rPr>
          <w:rFonts w:ascii="Times New Roman" w:hAnsi="Times New Roman" w:eastAsia="宋体" w:cs="Times New Roman"/>
          <w:b/>
          <w:bCs/>
          <w:color w:val="000000" w:themeColor="text1"/>
          <w:kern w:val="44"/>
          <w:sz w:val="30"/>
          <w:szCs w:val="44"/>
        </w:rPr>
      </w:pPr>
      <w:r>
        <w:rPr>
          <w:rFonts w:ascii="Times New Roman" w:hAnsi="Times New Roman" w:eastAsia="宋体" w:cs="Times New Roman"/>
          <w:b/>
          <w:bCs/>
          <w:color w:val="000000" w:themeColor="text1"/>
          <w:kern w:val="44"/>
          <w:sz w:val="30"/>
          <w:szCs w:val="44"/>
        </w:rPr>
        <w:t>表三、环境质量状况</w:t>
      </w:r>
    </w:p>
    <w:tbl>
      <w:tblPr>
        <w:tblStyle w:val="39"/>
        <w:tblW w:w="5823" w:type="pct"/>
        <w:tblInd w:w="-7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925"/>
      </w:tblGrid>
      <w:tr w14:paraId="62932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1" w:hRule="atLeast"/>
        </w:trPr>
        <w:tc>
          <w:tcPr>
            <w:tcW w:w="5000" w:type="pct"/>
            <w:tcBorders>
              <w:left w:val="single" w:color="000000" w:sz="4" w:space="0"/>
            </w:tcBorders>
          </w:tcPr>
          <w:p w14:paraId="2A1EF48C">
            <w:pPr>
              <w:spacing w:before="156" w:beforeLines="50" w:line="360" w:lineRule="auto"/>
              <w:jc w:val="left"/>
              <w:rPr>
                <w:rFonts w:ascii="Times New Roman" w:hAnsi="Times New Roman" w:eastAsia="宋体" w:cs="Times New Roman"/>
                <w:b/>
                <w:color w:val="000000" w:themeColor="text1"/>
                <w:sz w:val="28"/>
              </w:rPr>
            </w:pPr>
            <w:r>
              <w:rPr>
                <w:rFonts w:ascii="Times New Roman" w:hAnsi="Times New Roman" w:eastAsia="宋体" w:cs="Times New Roman"/>
                <w:b/>
                <w:color w:val="000000" w:themeColor="text1"/>
                <w:sz w:val="28"/>
              </w:rPr>
              <w:t>建设项目所在区域环境质量现状及主要环境问题（环境空气、地表水、地下水、声环境、生态环境等）</w:t>
            </w:r>
          </w:p>
          <w:p w14:paraId="794C1F7D">
            <w:pPr>
              <w:keepNext/>
              <w:keepLines/>
              <w:spacing w:line="360" w:lineRule="auto"/>
              <w:ind w:firstLine="482" w:firstLineChars="200"/>
              <w:jc w:val="left"/>
              <w:outlineLvl w:val="2"/>
              <w:rPr>
                <w:rFonts w:ascii="Times New Roman" w:hAnsi="Times New Roman" w:eastAsia="宋体" w:cs="Times New Roman"/>
                <w:b/>
                <w:bCs/>
                <w:color w:val="000000" w:themeColor="text1"/>
                <w:sz w:val="28"/>
                <w:szCs w:val="32"/>
              </w:rPr>
            </w:pPr>
            <w:r>
              <w:rPr>
                <w:rFonts w:ascii="Times New Roman" w:hAnsi="Times New Roman" w:eastAsia="宋体" w:cs="Times New Roman"/>
                <w:b/>
                <w:bCs/>
                <w:color w:val="000000" w:themeColor="text1"/>
                <w:sz w:val="24"/>
                <w:szCs w:val="32"/>
              </w:rPr>
              <w:t>1、环境空气质量现状</w:t>
            </w:r>
          </w:p>
          <w:p w14:paraId="3B853B52">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本项目位于</w:t>
            </w:r>
            <w:r>
              <w:rPr>
                <w:rFonts w:ascii="Times New Roman" w:hAnsi="Times New Roman" w:eastAsia="宋体" w:cs="Times New Roman"/>
                <w:bCs/>
                <w:snapToGrid w:val="0"/>
                <w:color w:val="000000" w:themeColor="text1"/>
                <w:kern w:val="0"/>
                <w:sz w:val="24"/>
                <w:szCs w:val="20"/>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，环境空气质量功能区划为二类区，执行《环境空气质量标准》（GB3095-2012）二级标准。</w:t>
            </w:r>
          </w:p>
          <w:p w14:paraId="2D1075C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根据《德宏州2016年环境质量公报》，芒市空气质量监测有效天数354 天，优176 天，比上年多23天；良158 天，比上年少34 天；轻度污染20 天，比上年多2 天；无中度污染、重度污染和严重污染天数。环境空气质量优良率为94.3%，比上年下降0.7%。轻度污染发生的时间为1 月份至4 月份，其中1 月份4 天，2 月份8 天，3 月份4 天，4 月份4 天。影响空气质量的主要污染物为细颗粒物和臭氧。芒市城区空气质量年均浓度值符合《环境空气质量标准》二级标准。</w:t>
            </w:r>
          </w:p>
          <w:p w14:paraId="76782D74">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根据《芒市大气质量报告》，2018年7月25日，芒市空气质量指数34，首要污染物为– ,级别</w:t>
            </w:r>
            <w:r>
              <w:rPr>
                <w:rFonts w:hint="eastAsia" w:ascii="宋体" w:hAnsi="宋体" w:eastAsia="宋体" w:cs="宋体"/>
                <w:snapToGrid w:val="0"/>
                <w:color w:val="000000" w:themeColor="text1"/>
                <w:kern w:val="0"/>
                <w:sz w:val="24"/>
                <w:szCs w:val="20"/>
              </w:rPr>
              <w:t>Ⅰ</w:t>
            </w:r>
            <w:r>
              <w:rPr>
                <w:rFonts w:ascii="Times New Roman" w:hAnsi="Times New Roman" w:eastAsia="宋体" w:cs="Times New Roman"/>
                <w:snapToGrid w:val="0"/>
                <w:color w:val="000000" w:themeColor="text1"/>
                <w:kern w:val="0"/>
                <w:sz w:val="24"/>
                <w:szCs w:val="20"/>
              </w:rPr>
              <w:t>，类别优。</w:t>
            </w:r>
          </w:p>
          <w:p w14:paraId="40FC793E">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项目所在区域大气环境质量满足《环境空气质量标准》（GB3095-2012）二级标准。</w:t>
            </w:r>
          </w:p>
          <w:p w14:paraId="6AA6EAB5">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2、地表水质量现状</w:t>
            </w:r>
          </w:p>
          <w:p w14:paraId="17D6055F">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根据现场勘查，</w:t>
            </w:r>
            <w:r>
              <w:rPr>
                <w:rFonts w:ascii="Times New Roman" w:hAnsi="Times New Roman" w:eastAsia="宋体" w:cs="Times New Roman"/>
                <w:snapToGrid w:val="0"/>
                <w:color w:val="000000" w:themeColor="text1"/>
                <w:kern w:val="0"/>
                <w:sz w:val="24"/>
              </w:rPr>
              <w:t>本项目最近的为项目西侧350m的当连河，当连河为芒市大河的支流，项目西侧13.0km为芒市大河</w:t>
            </w:r>
            <w:r>
              <w:rPr>
                <w:rFonts w:ascii="Times New Roman" w:hAnsi="Times New Roman" w:eastAsia="宋体" w:cs="Times New Roman"/>
                <w:snapToGrid w:val="0"/>
                <w:color w:val="000000" w:themeColor="text1"/>
                <w:kern w:val="0"/>
                <w:sz w:val="24"/>
                <w:szCs w:val="20"/>
              </w:rPr>
              <w:t>。</w:t>
            </w:r>
          </w:p>
          <w:p w14:paraId="27566DFB">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根据《云南省地表水水环境功能区划（2010~2020）》，芒市大河“木康断面——入瑞丽江口”水环境功能为农业用水、工业用水，水质类别为</w:t>
            </w:r>
            <w:r>
              <w:rPr>
                <w:rFonts w:hint="eastAsia" w:ascii="宋体" w:hAnsi="宋体" w:eastAsia="宋体" w:cs="宋体"/>
                <w:snapToGrid w:val="0"/>
                <w:color w:val="000000" w:themeColor="text1"/>
                <w:kern w:val="0"/>
                <w:sz w:val="24"/>
                <w:szCs w:val="20"/>
              </w:rPr>
              <w:t>Ⅲ</w:t>
            </w:r>
            <w:r>
              <w:rPr>
                <w:rFonts w:ascii="Times New Roman" w:hAnsi="Times New Roman" w:eastAsia="宋体" w:cs="Times New Roman"/>
                <w:snapToGrid w:val="0"/>
                <w:color w:val="000000" w:themeColor="text1"/>
                <w:kern w:val="0"/>
                <w:sz w:val="24"/>
                <w:szCs w:val="20"/>
              </w:rPr>
              <w:t>类，地表水环境执行GB3838-2002《地表水环境质量标准》</w:t>
            </w:r>
            <w:r>
              <w:rPr>
                <w:rFonts w:hint="eastAsia" w:ascii="宋体" w:hAnsi="宋体" w:eastAsia="宋体" w:cs="宋体"/>
                <w:snapToGrid w:val="0"/>
                <w:color w:val="000000" w:themeColor="text1"/>
                <w:kern w:val="0"/>
                <w:sz w:val="24"/>
                <w:szCs w:val="20"/>
              </w:rPr>
              <w:t>Ⅲ</w:t>
            </w:r>
            <w:r>
              <w:rPr>
                <w:rFonts w:ascii="Times New Roman" w:hAnsi="Times New Roman" w:eastAsia="宋体" w:cs="Times New Roman"/>
                <w:snapToGrid w:val="0"/>
                <w:color w:val="000000" w:themeColor="text1"/>
                <w:kern w:val="0"/>
                <w:sz w:val="24"/>
                <w:szCs w:val="20"/>
              </w:rPr>
              <w:t>类要求。</w:t>
            </w:r>
          </w:p>
          <w:p w14:paraId="69A7906A">
            <w:pPr>
              <w:adjustRightInd w:val="0"/>
              <w:spacing w:line="360" w:lineRule="auto"/>
              <w:ind w:firstLine="48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根据《德宏州2016年环境质量公报》，2016年芒市大河风平断面未满足区划要求，年均评价为</w:t>
            </w:r>
            <w:r>
              <w:rPr>
                <w:rFonts w:hint="eastAsia" w:ascii="Times New Roman" w:hAnsi="Times New Roman" w:eastAsia="宋体" w:cs="Times New Roman"/>
                <w:snapToGrid w:val="0"/>
                <w:color w:val="000000" w:themeColor="text1"/>
                <w:kern w:val="0"/>
                <w:sz w:val="24"/>
                <w:szCs w:val="20"/>
              </w:rPr>
              <w:t>Ⅳ</w:t>
            </w:r>
            <w:r>
              <w:rPr>
                <w:rFonts w:ascii="Times New Roman" w:hAnsi="Times New Roman" w:eastAsia="宋体" w:cs="Times New Roman"/>
                <w:snapToGrid w:val="0"/>
                <w:color w:val="000000" w:themeColor="text1"/>
                <w:kern w:val="0"/>
                <w:sz w:val="24"/>
                <w:szCs w:val="20"/>
              </w:rPr>
              <w:t>类水质，属轻度污染；其余断面均满足，与上年相比无明显变化。</w:t>
            </w:r>
          </w:p>
          <w:p w14:paraId="0AD33189">
            <w:pPr>
              <w:adjustRightInd w:val="0"/>
              <w:spacing w:line="360" w:lineRule="auto"/>
              <w:ind w:firstLine="48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项目区河段水环境功能良好，能满足《地表水环境质量标准》（GB3838-2002）中</w:t>
            </w:r>
            <w:r>
              <w:rPr>
                <w:rFonts w:hint="eastAsia" w:ascii="Times New Roman" w:hAnsi="Times New Roman" w:eastAsia="宋体" w:cs="Times New Roman"/>
                <w:snapToGrid w:val="0"/>
                <w:color w:val="000000" w:themeColor="text1"/>
                <w:kern w:val="0"/>
                <w:sz w:val="24"/>
                <w:szCs w:val="20"/>
              </w:rPr>
              <w:t>Ⅳ</w:t>
            </w:r>
            <w:r>
              <w:rPr>
                <w:rFonts w:ascii="Times New Roman" w:hAnsi="Times New Roman" w:eastAsia="宋体" w:cs="Times New Roman"/>
                <w:snapToGrid w:val="0"/>
                <w:color w:val="000000" w:themeColor="text1"/>
                <w:kern w:val="0"/>
                <w:sz w:val="24"/>
                <w:szCs w:val="20"/>
              </w:rPr>
              <w:t>类水质要求。</w:t>
            </w:r>
          </w:p>
          <w:p w14:paraId="72B29508">
            <w:pPr>
              <w:widowControl/>
              <w:snapToGrid w:val="0"/>
              <w:spacing w:before="156" w:beforeLines="50" w:line="360" w:lineRule="auto"/>
              <w:ind w:firstLine="482" w:firstLineChars="200"/>
              <w:jc w:val="left"/>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3、声环境质量现状</w:t>
            </w:r>
          </w:p>
          <w:p w14:paraId="57538E75">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项目所在区域位于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，依据GB3096-2008《声环境质量标准》声环境功能区分类，属2类声环境功能区，声环境执行《声环境质量标准》（GB3096-2008）2类标准。</w:t>
            </w:r>
          </w:p>
          <w:p w14:paraId="3E160118">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根据现场踏勘，项目区域声环境质量现状良好，可达GB3096-2008《声环境质量标准》2类区标准。</w:t>
            </w:r>
          </w:p>
          <w:p w14:paraId="06FAD3C9">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4、生态环境现状</w:t>
            </w:r>
          </w:p>
          <w:p w14:paraId="1FF4B11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本项目位于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，经过现场踏勘，项目区区域为人工植被，原生植被几乎没有，整个区域生态环境主要受人类影响，自我调节能力一般。</w:t>
            </w:r>
          </w:p>
          <w:p w14:paraId="21E86778">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主要环境保护目标（列出名单及保护级别）：</w:t>
            </w:r>
          </w:p>
          <w:p w14:paraId="10435862">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项目评价范围内无自然保护区、风景旅游点、文物古迹等需要特殊保护的环境敏感对象。结合以上的描述及项目周边环境的关系，项目的环境保护目标如下。</w:t>
            </w:r>
          </w:p>
          <w:p w14:paraId="5CD2F4B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由于项目500m范围内无居民区，因此不设声环境保护目标。</w:t>
            </w:r>
          </w:p>
          <w:p w14:paraId="32C42C4F">
            <w:pPr>
              <w:widowControl/>
              <w:snapToGrid w:val="0"/>
              <w:jc w:val="center"/>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表3-2</w:t>
            </w:r>
            <w:r>
              <w:rPr>
                <w:rFonts w:hint="eastAsia" w:ascii="Times New Roman" w:hAnsi="Times New Roman" w:eastAsia="宋体" w:cs="Times New Roman"/>
                <w:b/>
                <w:snapToGrid w:val="0"/>
                <w:color w:val="000000" w:themeColor="text1"/>
                <w:kern w:val="0"/>
                <w:sz w:val="24"/>
              </w:rPr>
              <w:t xml:space="preserve">   </w:t>
            </w:r>
            <w:r>
              <w:rPr>
                <w:rFonts w:ascii="Times New Roman" w:hAnsi="Times New Roman" w:eastAsia="宋体" w:cs="Times New Roman"/>
                <w:b/>
                <w:snapToGrid w:val="0"/>
                <w:color w:val="000000" w:themeColor="text1"/>
                <w:kern w:val="0"/>
                <w:sz w:val="24"/>
              </w:rPr>
              <w:t>主要环境保护目标及保护级别一览表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1785"/>
              <w:gridCol w:w="797"/>
              <w:gridCol w:w="881"/>
              <w:gridCol w:w="1207"/>
              <w:gridCol w:w="993"/>
              <w:gridCol w:w="3573"/>
            </w:tblGrid>
            <w:tr w14:paraId="2B06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 w:type="pct"/>
                  <w:vAlign w:val="center"/>
                </w:tcPr>
                <w:p w14:paraId="555F1D1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序号</w:t>
                  </w:r>
                </w:p>
              </w:tc>
              <w:tc>
                <w:tcPr>
                  <w:tcW w:w="920" w:type="pct"/>
                  <w:shd w:val="clear" w:color="auto" w:fill="auto"/>
                  <w:noWrap/>
                  <w:vAlign w:val="center"/>
                </w:tcPr>
                <w:p w14:paraId="0842B74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保护目标</w:t>
                  </w:r>
                </w:p>
              </w:tc>
              <w:tc>
                <w:tcPr>
                  <w:tcW w:w="411" w:type="pct"/>
                  <w:shd w:val="clear" w:color="auto" w:fill="auto"/>
                  <w:noWrap/>
                  <w:vAlign w:val="center"/>
                </w:tcPr>
                <w:p w14:paraId="77C26D1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方位</w:t>
                  </w:r>
                </w:p>
              </w:tc>
              <w:tc>
                <w:tcPr>
                  <w:tcW w:w="454" w:type="pct"/>
                  <w:shd w:val="clear" w:color="auto" w:fill="auto"/>
                  <w:vAlign w:val="center"/>
                </w:tcPr>
                <w:p w14:paraId="734929E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距离（m）</w:t>
                  </w:r>
                </w:p>
              </w:tc>
              <w:tc>
                <w:tcPr>
                  <w:tcW w:w="622" w:type="pct"/>
                  <w:vAlign w:val="center"/>
                </w:tcPr>
                <w:p w14:paraId="0F52577A">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特征</w:t>
                  </w:r>
                </w:p>
              </w:tc>
              <w:tc>
                <w:tcPr>
                  <w:tcW w:w="512" w:type="pct"/>
                  <w:vAlign w:val="center"/>
                </w:tcPr>
                <w:p w14:paraId="64043AD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保护类别</w:t>
                  </w:r>
                </w:p>
              </w:tc>
              <w:tc>
                <w:tcPr>
                  <w:tcW w:w="1842" w:type="pct"/>
                  <w:vAlign w:val="center"/>
                </w:tcPr>
                <w:p w14:paraId="392680B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保护级别</w:t>
                  </w:r>
                </w:p>
              </w:tc>
            </w:tr>
            <w:tr w14:paraId="3271B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 w:type="pct"/>
                  <w:vAlign w:val="center"/>
                </w:tcPr>
                <w:p w14:paraId="7042CD5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w:t>
                  </w:r>
                </w:p>
              </w:tc>
              <w:tc>
                <w:tcPr>
                  <w:tcW w:w="920" w:type="pct"/>
                  <w:shd w:val="clear" w:color="auto" w:fill="auto"/>
                  <w:noWrap/>
                  <w:vAlign w:val="center"/>
                </w:tcPr>
                <w:p w14:paraId="3280FF69">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当连村</w:t>
                  </w:r>
                </w:p>
              </w:tc>
              <w:tc>
                <w:tcPr>
                  <w:tcW w:w="411" w:type="pct"/>
                  <w:shd w:val="clear" w:color="auto" w:fill="auto"/>
                  <w:noWrap/>
                  <w:vAlign w:val="center"/>
                </w:tcPr>
                <w:p w14:paraId="59B63FF0">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北侧</w:t>
                  </w:r>
                </w:p>
              </w:tc>
              <w:tc>
                <w:tcPr>
                  <w:tcW w:w="454" w:type="pct"/>
                  <w:shd w:val="clear" w:color="auto" w:fill="auto"/>
                  <w:noWrap/>
                  <w:vAlign w:val="center"/>
                </w:tcPr>
                <w:p w14:paraId="6A8F43B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kern w:val="0"/>
                      <w:szCs w:val="21"/>
                    </w:rPr>
                    <w:t>1260</w:t>
                  </w:r>
                </w:p>
              </w:tc>
              <w:tc>
                <w:tcPr>
                  <w:tcW w:w="622" w:type="pct"/>
                  <w:vAlign w:val="center"/>
                </w:tcPr>
                <w:p w14:paraId="6180A97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975户</w:t>
                  </w:r>
                </w:p>
              </w:tc>
              <w:tc>
                <w:tcPr>
                  <w:tcW w:w="512" w:type="pct"/>
                  <w:vAlign w:val="center"/>
                </w:tcPr>
                <w:p w14:paraId="18BF820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大气</w:t>
                  </w:r>
                </w:p>
              </w:tc>
              <w:tc>
                <w:tcPr>
                  <w:tcW w:w="1842" w:type="pct"/>
                  <w:vAlign w:val="center"/>
                </w:tcPr>
                <w:p w14:paraId="504DC7D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GB3095-2012《环境空气质量标准》二级</w:t>
                  </w:r>
                </w:p>
              </w:tc>
            </w:tr>
            <w:tr w14:paraId="0DA2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 w:type="pct"/>
                  <w:vAlign w:val="center"/>
                </w:tcPr>
                <w:p w14:paraId="55C5841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w:t>
                  </w:r>
                </w:p>
              </w:tc>
              <w:tc>
                <w:tcPr>
                  <w:tcW w:w="920" w:type="pct"/>
                  <w:shd w:val="clear" w:color="auto" w:fill="auto"/>
                  <w:vAlign w:val="center"/>
                </w:tcPr>
                <w:p w14:paraId="39E497A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当连河</w:t>
                  </w:r>
                </w:p>
              </w:tc>
              <w:tc>
                <w:tcPr>
                  <w:tcW w:w="411" w:type="pct"/>
                  <w:shd w:val="clear" w:color="auto" w:fill="auto"/>
                  <w:noWrap/>
                  <w:vAlign w:val="center"/>
                </w:tcPr>
                <w:p w14:paraId="1F18189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西侧</w:t>
                  </w:r>
                </w:p>
              </w:tc>
              <w:tc>
                <w:tcPr>
                  <w:tcW w:w="454" w:type="pct"/>
                  <w:shd w:val="clear" w:color="auto" w:fill="auto"/>
                  <w:noWrap/>
                  <w:vAlign w:val="center"/>
                </w:tcPr>
                <w:p w14:paraId="6F11490A">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350</w:t>
                  </w:r>
                </w:p>
              </w:tc>
              <w:tc>
                <w:tcPr>
                  <w:tcW w:w="622" w:type="pct"/>
                  <w:vAlign w:val="center"/>
                </w:tcPr>
                <w:p w14:paraId="15909EB1">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现状III类</w:t>
                  </w:r>
                </w:p>
              </w:tc>
              <w:tc>
                <w:tcPr>
                  <w:tcW w:w="512" w:type="pct"/>
                  <w:vMerge w:val="restart"/>
                  <w:vAlign w:val="center"/>
                </w:tcPr>
                <w:p w14:paraId="53435C4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水环境</w:t>
                  </w:r>
                </w:p>
              </w:tc>
              <w:tc>
                <w:tcPr>
                  <w:tcW w:w="1842" w:type="pct"/>
                  <w:vMerge w:val="restart"/>
                  <w:vAlign w:val="center"/>
                </w:tcPr>
                <w:p w14:paraId="4283230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GB3838-2002《地表水环境质量标准》的</w:t>
                  </w:r>
                  <w:r>
                    <w:rPr>
                      <w:rFonts w:hint="eastAsia" w:ascii="宋体" w:hAnsi="宋体" w:eastAsia="宋体" w:cs="宋体"/>
                      <w:color w:val="000000" w:themeColor="text1"/>
                      <w:szCs w:val="22"/>
                    </w:rPr>
                    <w:t>Ⅲ</w:t>
                  </w:r>
                  <w:r>
                    <w:rPr>
                      <w:rFonts w:ascii="Times New Roman" w:hAnsi="Times New Roman" w:eastAsia="宋体" w:cs="Times New Roman"/>
                      <w:color w:val="000000" w:themeColor="text1"/>
                      <w:szCs w:val="22"/>
                    </w:rPr>
                    <w:t>类标准</w:t>
                  </w:r>
                </w:p>
              </w:tc>
            </w:tr>
            <w:tr w14:paraId="143E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39" w:type="pct"/>
                  <w:vAlign w:val="center"/>
                </w:tcPr>
                <w:p w14:paraId="25E9DE6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3</w:t>
                  </w:r>
                </w:p>
              </w:tc>
              <w:tc>
                <w:tcPr>
                  <w:tcW w:w="920" w:type="pct"/>
                  <w:shd w:val="clear" w:color="auto" w:fill="auto"/>
                  <w:noWrap/>
                  <w:vAlign w:val="center"/>
                </w:tcPr>
                <w:p w14:paraId="245CF09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芒市大河</w:t>
                  </w:r>
                </w:p>
              </w:tc>
              <w:tc>
                <w:tcPr>
                  <w:tcW w:w="411" w:type="pct"/>
                  <w:shd w:val="clear" w:color="auto" w:fill="auto"/>
                  <w:noWrap/>
                  <w:vAlign w:val="center"/>
                </w:tcPr>
                <w:p w14:paraId="048C120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西侧</w:t>
                  </w:r>
                </w:p>
              </w:tc>
              <w:tc>
                <w:tcPr>
                  <w:tcW w:w="454" w:type="pct"/>
                  <w:shd w:val="clear" w:color="auto" w:fill="auto"/>
                  <w:noWrap/>
                  <w:vAlign w:val="center"/>
                </w:tcPr>
                <w:p w14:paraId="779545E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13</w:t>
                  </w:r>
                  <w:r>
                    <w:rPr>
                      <w:rFonts w:hint="eastAsia" w:ascii="Times New Roman" w:hAnsi="Times New Roman" w:eastAsia="宋体" w:cs="Times New Roman"/>
                      <w:color w:val="000000" w:themeColor="text1"/>
                      <w:szCs w:val="22"/>
                    </w:rPr>
                    <w:t>000</w:t>
                  </w:r>
                </w:p>
              </w:tc>
              <w:tc>
                <w:tcPr>
                  <w:tcW w:w="622" w:type="pct"/>
                  <w:vAlign w:val="center"/>
                </w:tcPr>
                <w:p w14:paraId="4135C79D">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现状III类</w:t>
                  </w:r>
                </w:p>
              </w:tc>
              <w:tc>
                <w:tcPr>
                  <w:tcW w:w="512" w:type="pct"/>
                  <w:vMerge w:val="continue"/>
                  <w:vAlign w:val="center"/>
                </w:tcPr>
                <w:p w14:paraId="3C9DDD2F">
                  <w:pPr>
                    <w:jc w:val="center"/>
                    <w:rPr>
                      <w:rFonts w:ascii="Times New Roman" w:hAnsi="Times New Roman" w:eastAsia="宋体" w:cs="Times New Roman"/>
                      <w:color w:val="000000" w:themeColor="text1"/>
                      <w:szCs w:val="22"/>
                    </w:rPr>
                  </w:pPr>
                </w:p>
              </w:tc>
              <w:tc>
                <w:tcPr>
                  <w:tcW w:w="1842" w:type="pct"/>
                  <w:vMerge w:val="continue"/>
                  <w:vAlign w:val="center"/>
                </w:tcPr>
                <w:p w14:paraId="119D32CA">
                  <w:pPr>
                    <w:jc w:val="center"/>
                    <w:rPr>
                      <w:rFonts w:ascii="Times New Roman" w:hAnsi="Times New Roman" w:eastAsia="宋体" w:cs="Times New Roman"/>
                      <w:color w:val="000000" w:themeColor="text1"/>
                      <w:szCs w:val="22"/>
                    </w:rPr>
                  </w:pPr>
                </w:p>
              </w:tc>
            </w:tr>
          </w:tbl>
          <w:p w14:paraId="1AB9CAD4">
            <w:pPr>
              <w:adjustRightInd w:val="0"/>
              <w:snapToGrid w:val="0"/>
              <w:spacing w:line="360" w:lineRule="auto"/>
              <w:ind w:firstLine="602" w:firstLineChars="200"/>
              <w:rPr>
                <w:rFonts w:ascii="Times New Roman" w:hAnsi="Times New Roman" w:eastAsia="宋体" w:cs="Times New Roman"/>
                <w:b/>
                <w:color w:val="000000" w:themeColor="text1"/>
                <w:sz w:val="30"/>
                <w:szCs w:val="30"/>
              </w:rPr>
            </w:pPr>
          </w:p>
          <w:p w14:paraId="0AE7DEDC">
            <w:pPr>
              <w:spacing w:line="360" w:lineRule="auto"/>
              <w:ind w:firstLine="600" w:firstLineChars="200"/>
              <w:rPr>
                <w:rFonts w:ascii="Times New Roman" w:hAnsi="Times New Roman" w:eastAsia="宋体" w:cs="Times New Roman"/>
                <w:color w:val="000000" w:themeColor="text1"/>
                <w:sz w:val="30"/>
                <w:szCs w:val="30"/>
              </w:rPr>
            </w:pPr>
          </w:p>
          <w:p w14:paraId="658529CD">
            <w:pPr>
              <w:spacing w:line="360" w:lineRule="auto"/>
              <w:ind w:firstLine="600" w:firstLineChars="200"/>
              <w:rPr>
                <w:rFonts w:ascii="Times New Roman" w:hAnsi="Times New Roman" w:eastAsia="宋体" w:cs="Times New Roman"/>
                <w:color w:val="000000" w:themeColor="text1"/>
                <w:sz w:val="30"/>
                <w:szCs w:val="30"/>
              </w:rPr>
            </w:pPr>
          </w:p>
          <w:p w14:paraId="2275B76D">
            <w:pPr>
              <w:spacing w:line="360" w:lineRule="auto"/>
              <w:ind w:firstLine="600" w:firstLineChars="200"/>
              <w:rPr>
                <w:rFonts w:ascii="Times New Roman" w:hAnsi="Times New Roman" w:eastAsia="宋体" w:cs="Times New Roman"/>
                <w:color w:val="000000" w:themeColor="text1"/>
                <w:sz w:val="30"/>
                <w:szCs w:val="30"/>
              </w:rPr>
            </w:pPr>
          </w:p>
          <w:p w14:paraId="76BD4676">
            <w:pPr>
              <w:spacing w:line="360" w:lineRule="auto"/>
              <w:rPr>
                <w:rFonts w:ascii="Times New Roman" w:hAnsi="Times New Roman" w:eastAsia="宋体" w:cs="Times New Roman"/>
                <w:color w:val="000000" w:themeColor="text1"/>
                <w:sz w:val="30"/>
                <w:szCs w:val="30"/>
              </w:rPr>
            </w:pPr>
          </w:p>
          <w:p w14:paraId="6EEFC90E">
            <w:pPr>
              <w:spacing w:line="360" w:lineRule="auto"/>
              <w:rPr>
                <w:rFonts w:ascii="Times New Roman" w:hAnsi="Times New Roman" w:eastAsia="宋体" w:cs="Times New Roman"/>
                <w:color w:val="000000" w:themeColor="text1"/>
                <w:sz w:val="30"/>
                <w:szCs w:val="30"/>
              </w:rPr>
            </w:pPr>
          </w:p>
          <w:p w14:paraId="6C746CC5">
            <w:pPr>
              <w:spacing w:line="360" w:lineRule="auto"/>
              <w:ind w:firstLine="600" w:firstLineChars="200"/>
              <w:rPr>
                <w:rFonts w:ascii="Times New Roman" w:hAnsi="Times New Roman" w:eastAsia="宋体" w:cs="Times New Roman"/>
                <w:color w:val="000000" w:themeColor="text1"/>
                <w:sz w:val="30"/>
                <w:szCs w:val="30"/>
              </w:rPr>
            </w:pPr>
          </w:p>
          <w:p w14:paraId="04FD23FC">
            <w:pPr>
              <w:jc w:val="center"/>
              <w:rPr>
                <w:rFonts w:ascii="Times New Roman" w:hAnsi="Times New Roman" w:eastAsia="宋体" w:cs="Times New Roman"/>
                <w:color w:val="000000" w:themeColor="text1"/>
              </w:rPr>
            </w:pPr>
          </w:p>
        </w:tc>
      </w:tr>
    </w:tbl>
    <w:p w14:paraId="57E4A027">
      <w:pPr>
        <w:rPr>
          <w:rFonts w:ascii="Times New Roman" w:hAnsi="Times New Roman" w:cs="Times New Roman"/>
          <w:color w:val="000000" w:themeColor="text1"/>
        </w:rPr>
      </w:pPr>
    </w:p>
    <w:p w14:paraId="10642C1C">
      <w:pPr>
        <w:rPr>
          <w:rFonts w:ascii="Times New Roman" w:hAnsi="Times New Roman" w:cs="Times New Roman"/>
          <w:color w:val="000000" w:themeColor="text1"/>
        </w:rPr>
      </w:pPr>
    </w:p>
    <w:p w14:paraId="098B5B42">
      <w:pPr>
        <w:rPr>
          <w:rFonts w:ascii="Times New Roman" w:hAnsi="Times New Roman" w:cs="Times New Roman"/>
          <w:color w:val="000000" w:themeColor="text1"/>
        </w:rPr>
      </w:pPr>
    </w:p>
    <w:p w14:paraId="5DD78431">
      <w:pPr>
        <w:keepNext/>
        <w:keepLines/>
        <w:pageBreakBefore/>
        <w:spacing w:after="156" w:afterLines="50"/>
        <w:outlineLvl w:val="0"/>
        <w:rPr>
          <w:rFonts w:ascii="Times New Roman" w:hAnsi="Times New Roman" w:eastAsia="宋体" w:cs="Times New Roman"/>
          <w:b/>
          <w:bCs/>
          <w:color w:val="000000" w:themeColor="text1"/>
          <w:kern w:val="44"/>
          <w:sz w:val="30"/>
          <w:szCs w:val="44"/>
        </w:rPr>
      </w:pPr>
      <w:r>
        <w:rPr>
          <w:rFonts w:ascii="Times New Roman" w:hAnsi="Times New Roman" w:eastAsia="宋体" w:cs="Times New Roman"/>
          <w:b/>
          <w:bCs/>
          <w:color w:val="000000" w:themeColor="text1"/>
          <w:kern w:val="44"/>
          <w:sz w:val="30"/>
          <w:szCs w:val="44"/>
        </w:rPr>
        <w:t>表四、评价适用标准</w:t>
      </w:r>
    </w:p>
    <w:tbl>
      <w:tblPr>
        <w:tblStyle w:val="39"/>
        <w:tblW w:w="5822"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9047"/>
      </w:tblGrid>
      <w:tr w14:paraId="2FCD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0" w:type="pct"/>
            <w:vAlign w:val="center"/>
          </w:tcPr>
          <w:p w14:paraId="0411F1A7">
            <w:pPr>
              <w:spacing w:line="360" w:lineRule="auto"/>
              <w:jc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环境质量标准</w:t>
            </w:r>
          </w:p>
        </w:tc>
        <w:tc>
          <w:tcPr>
            <w:tcW w:w="4770" w:type="pct"/>
          </w:tcPr>
          <w:p w14:paraId="6B71D51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1、环境空气质量</w:t>
            </w:r>
          </w:p>
          <w:p w14:paraId="2C121076">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项目区域环境空气质量为二类区，环境空气质量执行GB3095-2012《环境空气质量标准》二级标准。标准值见表4-1。</w:t>
            </w:r>
          </w:p>
          <w:p w14:paraId="465D617E">
            <w:pPr>
              <w:widowControl/>
              <w:snapToGrid w:val="0"/>
              <w:jc w:val="center"/>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表4-1   环境空气质量标准限值  单位μg/m</w:t>
            </w:r>
            <w:r>
              <w:rPr>
                <w:rFonts w:ascii="Times New Roman" w:hAnsi="Times New Roman" w:eastAsia="宋体" w:cs="Times New Roman"/>
                <w:b/>
                <w:snapToGrid w:val="0"/>
                <w:color w:val="000000" w:themeColor="text1"/>
                <w:kern w:val="0"/>
                <w:sz w:val="24"/>
                <w:vertAlign w:val="superscript"/>
              </w:rPr>
              <w:t>3</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669"/>
              <w:gridCol w:w="1669"/>
              <w:gridCol w:w="1328"/>
              <w:gridCol w:w="2486"/>
            </w:tblGrid>
            <w:tr w14:paraId="3972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Merge w:val="restart"/>
                  <w:vAlign w:val="center"/>
                </w:tcPr>
                <w:p w14:paraId="680386A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污染因子</w:t>
                  </w:r>
                </w:p>
              </w:tc>
              <w:tc>
                <w:tcPr>
                  <w:tcW w:w="2645" w:type="pct"/>
                  <w:gridSpan w:val="3"/>
                  <w:vAlign w:val="center"/>
                </w:tcPr>
                <w:p w14:paraId="0961A97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标准限值</w:t>
                  </w:r>
                </w:p>
              </w:tc>
              <w:tc>
                <w:tcPr>
                  <w:tcW w:w="1409" w:type="pct"/>
                  <w:vMerge w:val="restart"/>
                  <w:vAlign w:val="center"/>
                </w:tcPr>
                <w:p w14:paraId="45403FD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标准</w:t>
                  </w:r>
                </w:p>
              </w:tc>
            </w:tr>
            <w:tr w14:paraId="752C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Merge w:val="continue"/>
                  <w:vAlign w:val="center"/>
                </w:tcPr>
                <w:p w14:paraId="345AC26B">
                  <w:pPr>
                    <w:jc w:val="center"/>
                    <w:rPr>
                      <w:rFonts w:ascii="Times New Roman" w:hAnsi="Times New Roman" w:eastAsia="宋体" w:cs="Times New Roman"/>
                      <w:color w:val="000000" w:themeColor="text1"/>
                      <w:szCs w:val="22"/>
                    </w:rPr>
                  </w:pPr>
                </w:p>
              </w:tc>
              <w:tc>
                <w:tcPr>
                  <w:tcW w:w="946" w:type="pct"/>
                  <w:vAlign w:val="center"/>
                </w:tcPr>
                <w:p w14:paraId="116CDF6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1小时平均</w:t>
                  </w:r>
                </w:p>
              </w:tc>
              <w:tc>
                <w:tcPr>
                  <w:tcW w:w="946" w:type="pct"/>
                  <w:vAlign w:val="center"/>
                </w:tcPr>
                <w:p w14:paraId="28DCE77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24小时平均</w:t>
                  </w:r>
                </w:p>
              </w:tc>
              <w:tc>
                <w:tcPr>
                  <w:tcW w:w="753" w:type="pct"/>
                  <w:vAlign w:val="center"/>
                </w:tcPr>
                <w:p w14:paraId="6FE51E6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年平均</w:t>
                  </w:r>
                </w:p>
              </w:tc>
              <w:tc>
                <w:tcPr>
                  <w:tcW w:w="1409" w:type="pct"/>
                  <w:vMerge w:val="continue"/>
                  <w:vAlign w:val="center"/>
                </w:tcPr>
                <w:p w14:paraId="79FE9BFC">
                  <w:pPr>
                    <w:jc w:val="center"/>
                    <w:rPr>
                      <w:rFonts w:ascii="Times New Roman" w:hAnsi="Times New Roman" w:eastAsia="宋体" w:cs="Times New Roman"/>
                      <w:color w:val="000000" w:themeColor="text1"/>
                      <w:szCs w:val="22"/>
                    </w:rPr>
                  </w:pPr>
                </w:p>
              </w:tc>
            </w:tr>
            <w:tr w14:paraId="24311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7B2C645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SO</w:t>
                  </w:r>
                  <w:r>
                    <w:rPr>
                      <w:rFonts w:ascii="Times New Roman" w:hAnsi="Times New Roman" w:eastAsia="宋体" w:cs="Times New Roman"/>
                      <w:color w:val="000000" w:themeColor="text1"/>
                      <w:szCs w:val="22"/>
                      <w:vertAlign w:val="subscript"/>
                    </w:rPr>
                    <w:t>2</w:t>
                  </w:r>
                </w:p>
              </w:tc>
              <w:tc>
                <w:tcPr>
                  <w:tcW w:w="946" w:type="pct"/>
                  <w:vAlign w:val="center"/>
                </w:tcPr>
                <w:p w14:paraId="4CF13A1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500</w:t>
                  </w:r>
                </w:p>
              </w:tc>
              <w:tc>
                <w:tcPr>
                  <w:tcW w:w="946" w:type="pct"/>
                  <w:vAlign w:val="center"/>
                </w:tcPr>
                <w:p w14:paraId="265DBB4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150</w:t>
                  </w:r>
                </w:p>
              </w:tc>
              <w:tc>
                <w:tcPr>
                  <w:tcW w:w="753" w:type="pct"/>
                  <w:vAlign w:val="center"/>
                </w:tcPr>
                <w:p w14:paraId="438C572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60</w:t>
                  </w:r>
                </w:p>
              </w:tc>
              <w:tc>
                <w:tcPr>
                  <w:tcW w:w="1409" w:type="pct"/>
                  <w:vMerge w:val="restart"/>
                  <w:vAlign w:val="center"/>
                </w:tcPr>
                <w:p w14:paraId="3C61DF0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《环境空气质量标准》(GB3095-2012)二级标准</w:t>
                  </w:r>
                </w:p>
              </w:tc>
            </w:tr>
            <w:tr w14:paraId="60D7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7563067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NO</w:t>
                  </w:r>
                  <w:r>
                    <w:rPr>
                      <w:rFonts w:ascii="Times New Roman" w:hAnsi="Times New Roman" w:eastAsia="宋体" w:cs="Times New Roman"/>
                      <w:color w:val="000000" w:themeColor="text1"/>
                      <w:szCs w:val="22"/>
                      <w:vertAlign w:val="subscript"/>
                    </w:rPr>
                    <w:t>2</w:t>
                  </w:r>
                </w:p>
              </w:tc>
              <w:tc>
                <w:tcPr>
                  <w:tcW w:w="946" w:type="pct"/>
                  <w:vAlign w:val="center"/>
                </w:tcPr>
                <w:p w14:paraId="5BD1763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200</w:t>
                  </w:r>
                </w:p>
              </w:tc>
              <w:tc>
                <w:tcPr>
                  <w:tcW w:w="946" w:type="pct"/>
                  <w:vAlign w:val="center"/>
                </w:tcPr>
                <w:p w14:paraId="1C441CC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80</w:t>
                  </w:r>
                </w:p>
              </w:tc>
              <w:tc>
                <w:tcPr>
                  <w:tcW w:w="753" w:type="pct"/>
                  <w:vAlign w:val="center"/>
                </w:tcPr>
                <w:p w14:paraId="085479A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40</w:t>
                  </w:r>
                </w:p>
              </w:tc>
              <w:tc>
                <w:tcPr>
                  <w:tcW w:w="1409" w:type="pct"/>
                  <w:vMerge w:val="continue"/>
                  <w:vAlign w:val="center"/>
                </w:tcPr>
                <w:p w14:paraId="4C00A8EC">
                  <w:pPr>
                    <w:jc w:val="center"/>
                    <w:rPr>
                      <w:rFonts w:ascii="Times New Roman" w:hAnsi="Times New Roman" w:eastAsia="宋体" w:cs="Times New Roman"/>
                      <w:color w:val="000000" w:themeColor="text1"/>
                      <w:szCs w:val="22"/>
                    </w:rPr>
                  </w:pPr>
                </w:p>
              </w:tc>
            </w:tr>
            <w:tr w14:paraId="7C2B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946" w:type="pct"/>
                  <w:vAlign w:val="center"/>
                </w:tcPr>
                <w:p w14:paraId="58F5C0D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NO</w:t>
                  </w:r>
                  <w:r>
                    <w:rPr>
                      <w:rFonts w:ascii="Times New Roman" w:hAnsi="Times New Roman" w:eastAsia="宋体" w:cs="Times New Roman"/>
                      <w:color w:val="000000" w:themeColor="text1"/>
                      <w:szCs w:val="22"/>
                      <w:vertAlign w:val="subscript"/>
                    </w:rPr>
                    <w:t>x</w:t>
                  </w:r>
                </w:p>
              </w:tc>
              <w:tc>
                <w:tcPr>
                  <w:tcW w:w="946" w:type="pct"/>
                  <w:vAlign w:val="center"/>
                </w:tcPr>
                <w:p w14:paraId="2349796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250</w:t>
                  </w:r>
                </w:p>
              </w:tc>
              <w:tc>
                <w:tcPr>
                  <w:tcW w:w="946" w:type="pct"/>
                  <w:vAlign w:val="center"/>
                </w:tcPr>
                <w:p w14:paraId="264620D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100</w:t>
                  </w:r>
                </w:p>
              </w:tc>
              <w:tc>
                <w:tcPr>
                  <w:tcW w:w="753" w:type="pct"/>
                  <w:vAlign w:val="center"/>
                </w:tcPr>
                <w:p w14:paraId="3B45E73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50</w:t>
                  </w:r>
                </w:p>
              </w:tc>
              <w:tc>
                <w:tcPr>
                  <w:tcW w:w="1409" w:type="pct"/>
                  <w:vMerge w:val="continue"/>
                  <w:vAlign w:val="center"/>
                </w:tcPr>
                <w:p w14:paraId="4EA9BFE9">
                  <w:pPr>
                    <w:jc w:val="center"/>
                    <w:rPr>
                      <w:rFonts w:ascii="Times New Roman" w:hAnsi="Times New Roman" w:eastAsia="宋体" w:cs="Times New Roman"/>
                      <w:color w:val="000000" w:themeColor="text1"/>
                      <w:szCs w:val="22"/>
                    </w:rPr>
                  </w:pPr>
                </w:p>
              </w:tc>
            </w:tr>
            <w:tr w14:paraId="46CB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2285763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TSP</w:t>
                  </w:r>
                </w:p>
              </w:tc>
              <w:tc>
                <w:tcPr>
                  <w:tcW w:w="946" w:type="pct"/>
                  <w:vAlign w:val="center"/>
                </w:tcPr>
                <w:p w14:paraId="2DC0597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w:t>
                  </w:r>
                </w:p>
              </w:tc>
              <w:tc>
                <w:tcPr>
                  <w:tcW w:w="946" w:type="pct"/>
                  <w:vAlign w:val="center"/>
                </w:tcPr>
                <w:p w14:paraId="02C7401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300</w:t>
                  </w:r>
                </w:p>
              </w:tc>
              <w:tc>
                <w:tcPr>
                  <w:tcW w:w="753" w:type="pct"/>
                  <w:vAlign w:val="center"/>
                </w:tcPr>
                <w:p w14:paraId="47ED131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200</w:t>
                  </w:r>
                </w:p>
              </w:tc>
              <w:tc>
                <w:tcPr>
                  <w:tcW w:w="1409" w:type="pct"/>
                  <w:vMerge w:val="continue"/>
                  <w:vAlign w:val="center"/>
                </w:tcPr>
                <w:p w14:paraId="767FA77F">
                  <w:pPr>
                    <w:jc w:val="center"/>
                    <w:rPr>
                      <w:rFonts w:ascii="Times New Roman" w:hAnsi="Times New Roman" w:eastAsia="宋体" w:cs="Times New Roman"/>
                      <w:color w:val="000000" w:themeColor="text1"/>
                      <w:szCs w:val="22"/>
                    </w:rPr>
                  </w:pPr>
                </w:p>
              </w:tc>
            </w:tr>
            <w:tr w14:paraId="473F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0740704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PM</w:t>
                  </w:r>
                  <w:r>
                    <w:rPr>
                      <w:rFonts w:ascii="Times New Roman" w:hAnsi="Times New Roman" w:eastAsia="宋体" w:cs="Times New Roman"/>
                      <w:color w:val="000000" w:themeColor="text1"/>
                      <w:szCs w:val="22"/>
                      <w:vertAlign w:val="subscript"/>
                    </w:rPr>
                    <w:t>10</w:t>
                  </w:r>
                </w:p>
              </w:tc>
              <w:tc>
                <w:tcPr>
                  <w:tcW w:w="946" w:type="pct"/>
                  <w:vAlign w:val="center"/>
                </w:tcPr>
                <w:p w14:paraId="755569D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w:t>
                  </w:r>
                </w:p>
              </w:tc>
              <w:tc>
                <w:tcPr>
                  <w:tcW w:w="946" w:type="pct"/>
                  <w:vAlign w:val="center"/>
                </w:tcPr>
                <w:p w14:paraId="0BA7F6D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150</w:t>
                  </w:r>
                </w:p>
              </w:tc>
              <w:tc>
                <w:tcPr>
                  <w:tcW w:w="753" w:type="pct"/>
                  <w:vAlign w:val="center"/>
                </w:tcPr>
                <w:p w14:paraId="0F5AFE9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70</w:t>
                  </w:r>
                </w:p>
              </w:tc>
              <w:tc>
                <w:tcPr>
                  <w:tcW w:w="1409" w:type="pct"/>
                  <w:vMerge w:val="continue"/>
                  <w:vAlign w:val="center"/>
                </w:tcPr>
                <w:p w14:paraId="49DD2D21">
                  <w:pPr>
                    <w:jc w:val="center"/>
                    <w:rPr>
                      <w:rFonts w:ascii="Times New Roman" w:hAnsi="Times New Roman" w:eastAsia="宋体" w:cs="Times New Roman"/>
                      <w:color w:val="000000" w:themeColor="text1"/>
                      <w:szCs w:val="22"/>
                    </w:rPr>
                  </w:pPr>
                </w:p>
              </w:tc>
            </w:tr>
            <w:tr w14:paraId="1C997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 w:type="pct"/>
                  <w:vAlign w:val="center"/>
                </w:tcPr>
                <w:p w14:paraId="7AFF3D2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PM</w:t>
                  </w:r>
                  <w:r>
                    <w:rPr>
                      <w:rFonts w:ascii="Times New Roman" w:hAnsi="Times New Roman" w:eastAsia="宋体" w:cs="Times New Roman"/>
                      <w:color w:val="000000" w:themeColor="text1"/>
                      <w:szCs w:val="22"/>
                      <w:vertAlign w:val="subscript"/>
                    </w:rPr>
                    <w:t>2.5</w:t>
                  </w:r>
                </w:p>
              </w:tc>
              <w:tc>
                <w:tcPr>
                  <w:tcW w:w="946" w:type="pct"/>
                  <w:vAlign w:val="center"/>
                </w:tcPr>
                <w:p w14:paraId="408D939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w:t>
                  </w:r>
                </w:p>
              </w:tc>
              <w:tc>
                <w:tcPr>
                  <w:tcW w:w="946" w:type="pct"/>
                  <w:vAlign w:val="center"/>
                </w:tcPr>
                <w:p w14:paraId="35CCAB7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75</w:t>
                  </w:r>
                </w:p>
              </w:tc>
              <w:tc>
                <w:tcPr>
                  <w:tcW w:w="753" w:type="pct"/>
                  <w:vAlign w:val="center"/>
                </w:tcPr>
                <w:p w14:paraId="6E4F089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35</w:t>
                  </w:r>
                </w:p>
              </w:tc>
              <w:tc>
                <w:tcPr>
                  <w:tcW w:w="1409" w:type="pct"/>
                  <w:vMerge w:val="continue"/>
                  <w:vAlign w:val="center"/>
                </w:tcPr>
                <w:p w14:paraId="1E09365A">
                  <w:pPr>
                    <w:jc w:val="center"/>
                    <w:rPr>
                      <w:rFonts w:ascii="Times New Roman" w:hAnsi="Times New Roman" w:eastAsia="宋体" w:cs="Times New Roman"/>
                      <w:color w:val="000000" w:themeColor="text1"/>
                      <w:szCs w:val="22"/>
                    </w:rPr>
                  </w:pPr>
                </w:p>
              </w:tc>
            </w:tr>
          </w:tbl>
          <w:p w14:paraId="63FBA89D">
            <w:pPr>
              <w:widowControl/>
              <w:snapToGrid w:val="0"/>
              <w:spacing w:before="156" w:beforeLines="50" w:line="360" w:lineRule="auto"/>
              <w:ind w:firstLine="482" w:firstLineChars="200"/>
              <w:jc w:val="left"/>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2、地表水环境质量</w:t>
            </w:r>
          </w:p>
          <w:p w14:paraId="15C384DE">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项目区最近地表水为西侧350m的当连河，最终汇入西侧13km为芒市大河。</w:t>
            </w:r>
          </w:p>
          <w:p w14:paraId="16896DF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根据《云南省地表水水环境功能区划》（2010～2020），该段属于芒市大河木康至瑞丽江口河段，规划为</w:t>
            </w:r>
            <w:r>
              <w:rPr>
                <w:rFonts w:hint="eastAsia" w:ascii="宋体" w:hAnsi="宋体" w:eastAsia="宋体" w:cs="宋体"/>
                <w:snapToGrid w:val="0"/>
                <w:color w:val="000000" w:themeColor="text1"/>
                <w:kern w:val="0"/>
                <w:sz w:val="24"/>
                <w:szCs w:val="20"/>
              </w:rPr>
              <w:t>Ⅲ</w:t>
            </w:r>
            <w:r>
              <w:rPr>
                <w:rFonts w:ascii="Times New Roman" w:hAnsi="Times New Roman" w:eastAsia="宋体" w:cs="Times New Roman"/>
                <w:snapToGrid w:val="0"/>
                <w:color w:val="000000" w:themeColor="text1"/>
                <w:kern w:val="0"/>
                <w:sz w:val="24"/>
                <w:szCs w:val="20"/>
              </w:rPr>
              <w:t>类水体，水环境质量执行GB3838-2002《地表水环境质量标准》</w:t>
            </w:r>
            <w:r>
              <w:rPr>
                <w:rFonts w:hint="eastAsia" w:ascii="宋体" w:hAnsi="宋体" w:eastAsia="宋体" w:cs="宋体"/>
                <w:snapToGrid w:val="0"/>
                <w:color w:val="000000" w:themeColor="text1"/>
                <w:kern w:val="0"/>
                <w:sz w:val="24"/>
                <w:szCs w:val="20"/>
              </w:rPr>
              <w:t>Ⅲ</w:t>
            </w:r>
            <w:r>
              <w:rPr>
                <w:rFonts w:ascii="Times New Roman" w:hAnsi="Times New Roman" w:eastAsia="宋体" w:cs="Times New Roman"/>
                <w:snapToGrid w:val="0"/>
                <w:color w:val="000000" w:themeColor="text1"/>
                <w:kern w:val="0"/>
                <w:sz w:val="24"/>
                <w:szCs w:val="20"/>
              </w:rPr>
              <w:t>类标准，所以项目区地表水环境质量标准执行</w:t>
            </w:r>
            <w:r>
              <w:rPr>
                <w:rFonts w:hint="eastAsia" w:ascii="宋体" w:hAnsi="宋体" w:eastAsia="宋体" w:cs="宋体"/>
                <w:snapToGrid w:val="0"/>
                <w:color w:val="000000" w:themeColor="text1"/>
                <w:kern w:val="0"/>
                <w:sz w:val="24"/>
                <w:szCs w:val="20"/>
              </w:rPr>
              <w:t>Ⅲ</w:t>
            </w:r>
            <w:r>
              <w:rPr>
                <w:rFonts w:ascii="Times New Roman" w:hAnsi="Times New Roman" w:eastAsia="宋体" w:cs="Times New Roman"/>
                <w:snapToGrid w:val="0"/>
                <w:color w:val="000000" w:themeColor="text1"/>
                <w:kern w:val="0"/>
                <w:sz w:val="24"/>
                <w:szCs w:val="20"/>
              </w:rPr>
              <w:t>类标准，标准值见表4-2。</w:t>
            </w:r>
          </w:p>
          <w:p w14:paraId="254FEA09">
            <w:pPr>
              <w:widowControl/>
              <w:snapToGrid w:val="0"/>
              <w:jc w:val="center"/>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表4-2  地表水环境质量标准  单位：mg/L</w:t>
            </w:r>
          </w:p>
          <w:tbl>
            <w:tblPr>
              <w:tblStyle w:val="3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30"/>
              <w:gridCol w:w="1033"/>
              <w:gridCol w:w="1026"/>
              <w:gridCol w:w="1109"/>
              <w:gridCol w:w="1053"/>
              <w:gridCol w:w="1053"/>
              <w:gridCol w:w="1053"/>
              <w:gridCol w:w="1359"/>
            </w:tblGrid>
            <w:tr w14:paraId="71B45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1" w:type="pct"/>
                  <w:vAlign w:val="center"/>
                </w:tcPr>
                <w:p w14:paraId="26C4981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项目</w:t>
                  </w:r>
                </w:p>
              </w:tc>
              <w:tc>
                <w:tcPr>
                  <w:tcW w:w="586" w:type="pct"/>
                  <w:vAlign w:val="center"/>
                </w:tcPr>
                <w:p w14:paraId="0E8736F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PH</w:t>
                  </w:r>
                </w:p>
              </w:tc>
              <w:tc>
                <w:tcPr>
                  <w:tcW w:w="582" w:type="pct"/>
                  <w:vAlign w:val="center"/>
                </w:tcPr>
                <w:p w14:paraId="443EFA5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COD</w:t>
                  </w:r>
                </w:p>
              </w:tc>
              <w:tc>
                <w:tcPr>
                  <w:tcW w:w="629" w:type="pct"/>
                  <w:vAlign w:val="center"/>
                </w:tcPr>
                <w:p w14:paraId="7E8EC24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BOD</w:t>
                  </w:r>
                  <w:r>
                    <w:rPr>
                      <w:rFonts w:ascii="Times New Roman" w:hAnsi="Times New Roman" w:eastAsia="宋体" w:cs="Times New Roman"/>
                      <w:color w:val="000000" w:themeColor="text1"/>
                      <w:szCs w:val="22"/>
                      <w:vertAlign w:val="subscript"/>
                    </w:rPr>
                    <w:t>5</w:t>
                  </w:r>
                </w:p>
              </w:tc>
              <w:tc>
                <w:tcPr>
                  <w:tcW w:w="597" w:type="pct"/>
                  <w:vAlign w:val="center"/>
                </w:tcPr>
                <w:p w14:paraId="3D3D17F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氨氮</w:t>
                  </w:r>
                </w:p>
              </w:tc>
              <w:tc>
                <w:tcPr>
                  <w:tcW w:w="597" w:type="pct"/>
                  <w:vAlign w:val="center"/>
                </w:tcPr>
                <w:p w14:paraId="7E5CAF2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总氮</w:t>
                  </w:r>
                </w:p>
              </w:tc>
              <w:tc>
                <w:tcPr>
                  <w:tcW w:w="597" w:type="pct"/>
                  <w:vAlign w:val="center"/>
                </w:tcPr>
                <w:p w14:paraId="5E707A5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总磷</w:t>
                  </w:r>
                </w:p>
              </w:tc>
              <w:tc>
                <w:tcPr>
                  <w:tcW w:w="770" w:type="pct"/>
                  <w:vAlign w:val="center"/>
                </w:tcPr>
                <w:p w14:paraId="1E427F2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石油类</w:t>
                  </w:r>
                </w:p>
              </w:tc>
            </w:tr>
            <w:tr w14:paraId="511A44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41" w:type="pct"/>
                  <w:vAlign w:val="center"/>
                </w:tcPr>
                <w:p w14:paraId="5444E6BC">
                  <w:pPr>
                    <w:jc w:val="center"/>
                    <w:rPr>
                      <w:rFonts w:ascii="Times New Roman" w:hAnsi="Times New Roman" w:eastAsia="宋体" w:cs="Times New Roman"/>
                      <w:color w:val="000000" w:themeColor="text1"/>
                      <w:szCs w:val="22"/>
                    </w:rPr>
                  </w:pPr>
                  <w:r>
                    <w:rPr>
                      <w:rFonts w:hint="eastAsia" w:ascii="宋体" w:hAnsi="宋体" w:eastAsia="宋体" w:cs="宋体"/>
                      <w:color w:val="000000" w:themeColor="text1"/>
                      <w:szCs w:val="22"/>
                    </w:rPr>
                    <w:t>Ⅲ</w:t>
                  </w:r>
                  <w:r>
                    <w:rPr>
                      <w:rFonts w:ascii="Times New Roman" w:hAnsi="Times New Roman" w:eastAsia="宋体" w:cs="Times New Roman"/>
                      <w:color w:val="000000" w:themeColor="text1"/>
                      <w:szCs w:val="22"/>
                    </w:rPr>
                    <w:t>类标准</w:t>
                  </w:r>
                </w:p>
              </w:tc>
              <w:tc>
                <w:tcPr>
                  <w:tcW w:w="586" w:type="pct"/>
                  <w:vAlign w:val="center"/>
                </w:tcPr>
                <w:p w14:paraId="09E5864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6-9</w:t>
                  </w:r>
                </w:p>
              </w:tc>
              <w:tc>
                <w:tcPr>
                  <w:tcW w:w="582" w:type="pct"/>
                  <w:vAlign w:val="center"/>
                </w:tcPr>
                <w:p w14:paraId="09F06F0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≤20</w:t>
                  </w:r>
                </w:p>
              </w:tc>
              <w:tc>
                <w:tcPr>
                  <w:tcW w:w="629" w:type="pct"/>
                  <w:vAlign w:val="center"/>
                </w:tcPr>
                <w:p w14:paraId="4090C59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≤4</w:t>
                  </w:r>
                </w:p>
              </w:tc>
              <w:tc>
                <w:tcPr>
                  <w:tcW w:w="597" w:type="pct"/>
                  <w:vAlign w:val="center"/>
                </w:tcPr>
                <w:p w14:paraId="0EDD556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≤1.0</w:t>
                  </w:r>
                </w:p>
              </w:tc>
              <w:tc>
                <w:tcPr>
                  <w:tcW w:w="597" w:type="pct"/>
                  <w:vAlign w:val="center"/>
                </w:tcPr>
                <w:p w14:paraId="40F7C8E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≤1.0</w:t>
                  </w:r>
                </w:p>
              </w:tc>
              <w:tc>
                <w:tcPr>
                  <w:tcW w:w="597" w:type="pct"/>
                  <w:vAlign w:val="center"/>
                </w:tcPr>
                <w:p w14:paraId="4CA18BC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≤0.2</w:t>
                  </w:r>
                </w:p>
              </w:tc>
              <w:tc>
                <w:tcPr>
                  <w:tcW w:w="770" w:type="pct"/>
                  <w:vAlign w:val="center"/>
                </w:tcPr>
                <w:p w14:paraId="71D50D6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≤0.05</w:t>
                  </w:r>
                </w:p>
              </w:tc>
            </w:tr>
          </w:tbl>
          <w:p w14:paraId="618906C5">
            <w:pPr>
              <w:widowControl/>
              <w:snapToGrid w:val="0"/>
              <w:spacing w:before="156" w:beforeLines="50" w:line="360" w:lineRule="auto"/>
              <w:ind w:firstLine="482" w:firstLineChars="200"/>
              <w:jc w:val="left"/>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3、声环境质量</w:t>
            </w:r>
          </w:p>
          <w:p w14:paraId="76CE00B0">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项目区执行GB3096-2008《声环境质量标准》2类区标准，标准值见表4-3。</w:t>
            </w:r>
          </w:p>
          <w:p w14:paraId="20129910">
            <w:pPr>
              <w:spacing w:before="62" w:beforeLines="20" w:after="46" w:afterLines="15"/>
              <w:jc w:val="center"/>
              <w:rPr>
                <w:rFonts w:ascii="Times New Roman" w:hAnsi="Times New Roman" w:eastAsia="宋体" w:cs="Times New Roman"/>
                <w:b/>
                <w:color w:val="000000" w:themeColor="text1"/>
                <w:sz w:val="24"/>
                <w:szCs w:val="21"/>
              </w:rPr>
            </w:pPr>
            <w:r>
              <w:rPr>
                <w:rFonts w:ascii="Times New Roman" w:hAnsi="Times New Roman" w:eastAsia="宋体" w:cs="Times New Roman"/>
                <w:b/>
                <w:color w:val="000000" w:themeColor="text1"/>
                <w:sz w:val="24"/>
              </w:rPr>
              <w:t xml:space="preserve">表4-3  声环境质量标准限值  </w:t>
            </w:r>
            <w:r>
              <w:rPr>
                <w:rFonts w:ascii="Times New Roman" w:hAnsi="Times New Roman" w:eastAsia="宋体" w:cs="Times New Roman"/>
                <w:b/>
                <w:color w:val="000000" w:themeColor="text1"/>
                <w:sz w:val="24"/>
                <w:szCs w:val="21"/>
              </w:rPr>
              <w:t>单位：dB(A)</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2969"/>
              <w:gridCol w:w="2839"/>
            </w:tblGrid>
            <w:tr w14:paraId="008B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Merge w:val="restart"/>
                  <w:vAlign w:val="center"/>
                </w:tcPr>
                <w:p w14:paraId="6F5DADA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声环境功能区类</w:t>
                  </w:r>
                </w:p>
              </w:tc>
              <w:tc>
                <w:tcPr>
                  <w:tcW w:w="3292" w:type="pct"/>
                  <w:gridSpan w:val="2"/>
                  <w:vAlign w:val="center"/>
                </w:tcPr>
                <w:p w14:paraId="400A367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时段</w:t>
                  </w:r>
                </w:p>
              </w:tc>
            </w:tr>
            <w:tr w14:paraId="4E80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Merge w:val="continue"/>
                  <w:vAlign w:val="center"/>
                </w:tcPr>
                <w:p w14:paraId="59FB0F70">
                  <w:pPr>
                    <w:jc w:val="center"/>
                    <w:rPr>
                      <w:rFonts w:ascii="Times New Roman" w:hAnsi="Times New Roman" w:eastAsia="宋体" w:cs="Times New Roman"/>
                      <w:color w:val="000000" w:themeColor="text1"/>
                      <w:szCs w:val="22"/>
                    </w:rPr>
                  </w:pPr>
                </w:p>
              </w:tc>
              <w:tc>
                <w:tcPr>
                  <w:tcW w:w="1683" w:type="pct"/>
                  <w:vAlign w:val="center"/>
                </w:tcPr>
                <w:p w14:paraId="48AC6E8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昼间</w:t>
                  </w:r>
                </w:p>
              </w:tc>
              <w:tc>
                <w:tcPr>
                  <w:tcW w:w="1609" w:type="pct"/>
                  <w:vAlign w:val="center"/>
                </w:tcPr>
                <w:p w14:paraId="5844D60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夜间</w:t>
                  </w:r>
                </w:p>
              </w:tc>
            </w:tr>
            <w:tr w14:paraId="4B1C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8" w:type="pct"/>
                  <w:vAlign w:val="center"/>
                </w:tcPr>
                <w:p w14:paraId="2D3F0DD5">
                  <w:pPr>
                    <w:jc w:val="center"/>
                    <w:rPr>
                      <w:rFonts w:ascii="Times New Roman" w:hAnsi="Times New Roman" w:eastAsia="宋体" w:cs="Times New Roman"/>
                      <w:color w:val="000000" w:themeColor="text1"/>
                      <w:szCs w:val="18"/>
                    </w:rPr>
                  </w:pPr>
                  <w:r>
                    <w:rPr>
                      <w:rFonts w:ascii="Times New Roman" w:hAnsi="Times New Roman" w:eastAsia="宋体" w:cs="Times New Roman"/>
                      <w:color w:val="000000" w:themeColor="text1"/>
                      <w:szCs w:val="18"/>
                    </w:rPr>
                    <w:t>2类</w:t>
                  </w:r>
                </w:p>
              </w:tc>
              <w:tc>
                <w:tcPr>
                  <w:tcW w:w="1683" w:type="pct"/>
                  <w:vAlign w:val="center"/>
                </w:tcPr>
                <w:p w14:paraId="7014663C">
                  <w:pPr>
                    <w:jc w:val="center"/>
                    <w:rPr>
                      <w:rFonts w:ascii="Times New Roman" w:hAnsi="Times New Roman" w:eastAsia="宋体" w:cs="Times New Roman"/>
                      <w:color w:val="000000" w:themeColor="text1"/>
                      <w:szCs w:val="18"/>
                    </w:rPr>
                  </w:pPr>
                  <w:r>
                    <w:rPr>
                      <w:rFonts w:ascii="Times New Roman" w:hAnsi="Times New Roman" w:eastAsia="宋体" w:cs="Times New Roman"/>
                      <w:color w:val="000000" w:themeColor="text1"/>
                      <w:szCs w:val="18"/>
                    </w:rPr>
                    <w:t>60</w:t>
                  </w:r>
                </w:p>
              </w:tc>
              <w:tc>
                <w:tcPr>
                  <w:tcW w:w="1609" w:type="pct"/>
                  <w:vAlign w:val="center"/>
                </w:tcPr>
                <w:p w14:paraId="0E6BBDDC">
                  <w:pPr>
                    <w:jc w:val="center"/>
                    <w:rPr>
                      <w:rFonts w:ascii="Times New Roman" w:hAnsi="Times New Roman" w:eastAsia="宋体" w:cs="Times New Roman"/>
                      <w:color w:val="000000" w:themeColor="text1"/>
                      <w:szCs w:val="18"/>
                    </w:rPr>
                  </w:pPr>
                  <w:r>
                    <w:rPr>
                      <w:rFonts w:ascii="Times New Roman" w:hAnsi="Times New Roman" w:eastAsia="宋体" w:cs="Times New Roman"/>
                      <w:color w:val="000000" w:themeColor="text1"/>
                      <w:szCs w:val="18"/>
                    </w:rPr>
                    <w:t>50</w:t>
                  </w:r>
                </w:p>
              </w:tc>
            </w:tr>
          </w:tbl>
          <w:p w14:paraId="03972D2B">
            <w:pPr>
              <w:spacing w:line="360" w:lineRule="auto"/>
              <w:rPr>
                <w:rFonts w:ascii="Times New Roman" w:hAnsi="Times New Roman" w:eastAsia="宋体" w:cs="Times New Roman"/>
                <w:color w:val="000000" w:themeColor="text1"/>
                <w:sz w:val="24"/>
              </w:rPr>
            </w:pPr>
          </w:p>
        </w:tc>
      </w:tr>
      <w:tr w14:paraId="2624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0" w:type="pct"/>
            <w:vAlign w:val="center"/>
          </w:tcPr>
          <w:p w14:paraId="5129D7B6">
            <w:pPr>
              <w:spacing w:line="360" w:lineRule="auto"/>
              <w:ind w:firstLine="480" w:firstLineChars="200"/>
              <w:jc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污污染物排放标准</w:t>
            </w:r>
          </w:p>
        </w:tc>
        <w:tc>
          <w:tcPr>
            <w:tcW w:w="4770" w:type="pct"/>
          </w:tcPr>
          <w:p w14:paraId="63FF7733">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1、废气</w:t>
            </w:r>
          </w:p>
          <w:p w14:paraId="2789CFAB">
            <w:pPr>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（1）施工期大气污染物排放标准</w:t>
            </w:r>
          </w:p>
          <w:p w14:paraId="333CB5BB">
            <w:pPr>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施工期执行《大气污染物综合排放标准》（GB16297-1996）表2二级标准，标准值见表4-4。</w:t>
            </w:r>
          </w:p>
          <w:p w14:paraId="7EE3EEA1">
            <w:pPr>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表4-4  大气污染物综合排放标准</w:t>
            </w:r>
          </w:p>
          <w:tbl>
            <w:tblPr>
              <w:tblStyle w:val="3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408"/>
              <w:gridCol w:w="4408"/>
            </w:tblGrid>
            <w:tr w14:paraId="0F653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500" w:type="pct"/>
                  <w:vAlign w:val="center"/>
                </w:tcPr>
                <w:p w14:paraId="55BEAA08">
                  <w:pPr>
                    <w:spacing w:line="276" w:lineRule="auto"/>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标准类别</w:t>
                  </w:r>
                </w:p>
              </w:tc>
              <w:tc>
                <w:tcPr>
                  <w:tcW w:w="2500" w:type="pct"/>
                  <w:vAlign w:val="center"/>
                </w:tcPr>
                <w:p w14:paraId="4B517669">
                  <w:pPr>
                    <w:spacing w:line="276" w:lineRule="auto"/>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颗粒物（mg/ m</w:t>
                  </w:r>
                  <w:r>
                    <w:rPr>
                      <w:rFonts w:ascii="Times New Roman" w:hAnsi="Times New Roman" w:eastAsia="宋体" w:cs="Times New Roman"/>
                      <w:color w:val="000000" w:themeColor="text1"/>
                      <w:szCs w:val="21"/>
                      <w:vertAlign w:val="superscript"/>
                    </w:rPr>
                    <w:t>3</w:t>
                  </w:r>
                  <w:r>
                    <w:rPr>
                      <w:rFonts w:ascii="Times New Roman" w:hAnsi="Times New Roman" w:eastAsia="宋体" w:cs="Times New Roman"/>
                      <w:color w:val="000000" w:themeColor="text1"/>
                      <w:szCs w:val="21"/>
                    </w:rPr>
                    <w:t>）</w:t>
                  </w:r>
                </w:p>
              </w:tc>
            </w:tr>
            <w:tr w14:paraId="09607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 w:hRule="atLeast"/>
                <w:jc w:val="center"/>
              </w:trPr>
              <w:tc>
                <w:tcPr>
                  <w:tcW w:w="2500" w:type="pct"/>
                  <w:vAlign w:val="center"/>
                </w:tcPr>
                <w:p w14:paraId="77B1EE37">
                  <w:pPr>
                    <w:spacing w:line="276" w:lineRule="auto"/>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无组织排放限值</w:t>
                  </w:r>
                </w:p>
              </w:tc>
              <w:tc>
                <w:tcPr>
                  <w:tcW w:w="2500" w:type="pct"/>
                  <w:vAlign w:val="center"/>
                </w:tcPr>
                <w:p w14:paraId="0B7C9C65">
                  <w:pPr>
                    <w:spacing w:line="276" w:lineRule="auto"/>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1.0</w:t>
                  </w:r>
                </w:p>
              </w:tc>
            </w:tr>
          </w:tbl>
          <w:p w14:paraId="2E08CADB">
            <w:pPr>
              <w:adjustRightInd w:val="0"/>
              <w:snapToGrid w:val="0"/>
              <w:spacing w:line="360" w:lineRule="auto"/>
              <w:ind w:firstLine="48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（2）运营期大气污染物排放标准</w:t>
            </w:r>
          </w:p>
          <w:p w14:paraId="67538A2D">
            <w:pPr>
              <w:adjustRightInd w:val="0"/>
              <w:snapToGrid w:val="0"/>
              <w:spacing w:line="360" w:lineRule="auto"/>
              <w:ind w:firstLine="480"/>
              <w:rPr>
                <w:rFonts w:ascii="Times New Roman" w:hAnsi="Times New Roman" w:eastAsia="宋体" w:cs="Times New Roman"/>
                <w:color w:val="000000" w:themeColor="text1"/>
                <w:sz w:val="24"/>
              </w:rPr>
            </w:pPr>
            <w:r>
              <w:rPr>
                <w:rFonts w:hint="eastAsia" w:ascii="Times New Roman" w:hAnsi="Times New Roman" w:eastAsia="宋体" w:cs="Times New Roman"/>
                <w:color w:val="000000" w:themeColor="text1"/>
                <w:sz w:val="24"/>
              </w:rPr>
              <w:t>本项目运营期无生产废气，不设标准。</w:t>
            </w:r>
          </w:p>
          <w:p w14:paraId="1F7485A9">
            <w:pPr>
              <w:widowControl/>
              <w:snapToGrid w:val="0"/>
              <w:spacing w:before="156" w:beforeLines="50" w:line="360" w:lineRule="auto"/>
              <w:ind w:firstLine="482" w:firstLineChars="200"/>
              <w:jc w:val="left"/>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2、废水</w:t>
            </w:r>
          </w:p>
          <w:p w14:paraId="0BBE0682">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生活废水：</w:t>
            </w:r>
            <w:r>
              <w:rPr>
                <w:rFonts w:ascii="Times New Roman" w:hAnsi="Times New Roman" w:eastAsia="宋体" w:cs="Times New Roman"/>
                <w:snapToGrid w:val="0"/>
                <w:color w:val="000000" w:themeColor="text1"/>
                <w:kern w:val="0"/>
                <w:sz w:val="24"/>
                <w:szCs w:val="20"/>
              </w:rPr>
              <w:t>废水主要为员工生活废水，厨房废水经1个隔油池处理后，与其它生活废水排入化粪池处理，定期委托周边村民清运，用于农作物施肥，不外排。本项目无废水排放，不设排放标准。</w:t>
            </w:r>
          </w:p>
          <w:p w14:paraId="00CFD09B">
            <w:pPr>
              <w:adjustRightInd w:val="0"/>
              <w:snapToGrid w:val="0"/>
              <w:spacing w:line="360" w:lineRule="auto"/>
              <w:ind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snapToGrid w:val="0"/>
                <w:color w:val="000000" w:themeColor="text1"/>
                <w:kern w:val="0"/>
                <w:sz w:val="24"/>
                <w:szCs w:val="20"/>
              </w:rPr>
              <w:t>生产废水</w:t>
            </w:r>
            <w:r>
              <w:rPr>
                <w:rFonts w:hint="eastAsia" w:ascii="Times New Roman" w:hAnsi="Times New Roman" w:eastAsia="宋体" w:cs="Times New Roman"/>
                <w:b/>
                <w:snapToGrid w:val="0"/>
                <w:color w:val="000000" w:themeColor="text1"/>
                <w:kern w:val="0"/>
                <w:sz w:val="24"/>
                <w:szCs w:val="20"/>
              </w:rPr>
              <w:t>：</w:t>
            </w:r>
            <w:r>
              <w:rPr>
                <w:rFonts w:ascii="Times New Roman" w:hAnsi="Times New Roman" w:eastAsia="宋体" w:cs="Times New Roman"/>
                <w:color w:val="000000" w:themeColor="text1"/>
                <w:sz w:val="24"/>
              </w:rPr>
              <w:t>本项目生产废水通过自建的</w:t>
            </w:r>
            <w:r>
              <w:rPr>
                <w:rFonts w:hint="eastAsia" w:ascii="Times New Roman" w:hAnsi="Times New Roman" w:eastAsia="宋体" w:cs="Times New Roman"/>
                <w:color w:val="000000" w:themeColor="text1"/>
                <w:sz w:val="24"/>
              </w:rPr>
              <w:t>隔油池+沉淀池</w:t>
            </w:r>
            <w:r>
              <w:rPr>
                <w:rFonts w:ascii="Times New Roman" w:hAnsi="Times New Roman" w:eastAsia="宋体" w:cs="Times New Roman"/>
                <w:color w:val="000000" w:themeColor="text1"/>
                <w:sz w:val="24"/>
              </w:rPr>
              <w:t>处理后，回用于生产</w:t>
            </w:r>
            <w:r>
              <w:rPr>
                <w:rFonts w:hint="eastAsia" w:ascii="Times New Roman" w:hAnsi="Times New Roman" w:eastAsia="宋体" w:cs="Times New Roman"/>
                <w:color w:val="000000" w:themeColor="text1"/>
                <w:sz w:val="24"/>
              </w:rPr>
              <w:t>，本项目</w:t>
            </w:r>
            <w:r>
              <w:rPr>
                <w:rFonts w:hint="eastAsia" w:ascii="Times New Roman" w:hAnsi="Times New Roman" w:cs="Times New Roman"/>
                <w:color w:val="000000" w:themeColor="text1"/>
                <w:kern w:val="0"/>
                <w:sz w:val="24"/>
              </w:rPr>
              <w:t>主要清洗对象为矿泉水瓶，少量油壶等，本项目只进行简单的清洗、破碎，主要污染物为SS等；同时本项目对水质要求不高，经隔油+沉淀处理后，回用于生产是可行的，不设标准。</w:t>
            </w:r>
          </w:p>
          <w:p w14:paraId="6E43B8CD">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3、噪声</w:t>
            </w:r>
          </w:p>
          <w:p w14:paraId="116A1813">
            <w:pPr>
              <w:tabs>
                <w:tab w:val="left" w:pos="4395"/>
              </w:tabs>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（1）施工期噪声</w:t>
            </w:r>
          </w:p>
          <w:p w14:paraId="337A8138">
            <w:pPr>
              <w:tabs>
                <w:tab w:val="left" w:pos="4395"/>
              </w:tabs>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项目施工场界噪声执行GB12523-2011《建筑施工场界环境噪声排放标准》，标准限值列于表4-</w:t>
            </w:r>
            <w:r>
              <w:rPr>
                <w:rFonts w:hint="eastAsia" w:ascii="Times New Roman" w:hAnsi="Times New Roman" w:eastAsia="宋体" w:cs="Times New Roman"/>
                <w:color w:val="000000" w:themeColor="text1"/>
                <w:sz w:val="24"/>
              </w:rPr>
              <w:t>7</w:t>
            </w:r>
            <w:r>
              <w:rPr>
                <w:rFonts w:ascii="Times New Roman" w:hAnsi="Times New Roman" w:eastAsia="宋体" w:cs="Times New Roman"/>
                <w:color w:val="000000" w:themeColor="text1"/>
                <w:sz w:val="24"/>
              </w:rPr>
              <w:t>。</w:t>
            </w:r>
          </w:p>
          <w:p w14:paraId="3B582F3A">
            <w:pPr>
              <w:ind w:firstLine="482" w:firstLineChars="20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表4-</w:t>
            </w:r>
            <w:r>
              <w:rPr>
                <w:rFonts w:hint="eastAsia" w:ascii="Times New Roman" w:hAnsi="Times New Roman" w:eastAsia="宋体" w:cs="Times New Roman"/>
                <w:b/>
                <w:color w:val="000000" w:themeColor="text1"/>
                <w:sz w:val="24"/>
              </w:rPr>
              <w:t>7</w:t>
            </w:r>
            <w:r>
              <w:rPr>
                <w:rFonts w:ascii="Times New Roman" w:hAnsi="Times New Roman" w:eastAsia="宋体" w:cs="Times New Roman"/>
                <w:b/>
                <w:color w:val="000000" w:themeColor="text1"/>
                <w:sz w:val="24"/>
              </w:rPr>
              <w:t xml:space="preserve">  建筑施工场界环境噪声排放限值   单位：</w:t>
            </w:r>
            <w:r>
              <w:rPr>
                <w:rFonts w:ascii="Times New Roman" w:hAnsi="Times New Roman" w:eastAsia="宋体" w:cs="Times New Roman"/>
                <w:color w:val="000000" w:themeColor="text1"/>
                <w:sz w:val="24"/>
              </w:rPr>
              <w:t>dB(A)</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0"/>
              <w:gridCol w:w="4411"/>
            </w:tblGrid>
            <w:tr w14:paraId="572F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6687BEE0">
                  <w:pPr>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bCs/>
                      <w:color w:val="000000" w:themeColor="text1"/>
                      <w:szCs w:val="21"/>
                    </w:rPr>
                    <w:t>昼间</w:t>
                  </w:r>
                </w:p>
              </w:tc>
              <w:tc>
                <w:tcPr>
                  <w:tcW w:w="2500" w:type="pct"/>
                  <w:vAlign w:val="center"/>
                </w:tcPr>
                <w:p w14:paraId="2C357241">
                  <w:pPr>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bCs/>
                      <w:color w:val="000000" w:themeColor="text1"/>
                      <w:szCs w:val="21"/>
                    </w:rPr>
                    <w:t>夜间</w:t>
                  </w:r>
                </w:p>
              </w:tc>
            </w:tr>
            <w:tr w14:paraId="04F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3F2F7894">
                  <w:pPr>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70</w:t>
                  </w:r>
                </w:p>
              </w:tc>
              <w:tc>
                <w:tcPr>
                  <w:tcW w:w="2500" w:type="pct"/>
                  <w:vAlign w:val="center"/>
                </w:tcPr>
                <w:p w14:paraId="600A9E42">
                  <w:pPr>
                    <w:ind w:firstLine="420" w:firstLineChars="20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55</w:t>
                  </w:r>
                </w:p>
              </w:tc>
            </w:tr>
          </w:tbl>
          <w:p w14:paraId="2B5FD4BE">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（2）运营期</w:t>
            </w:r>
          </w:p>
          <w:p w14:paraId="63E6907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项目运营期执行GB12348-2008《工业企业厂界环境噪声排放标准》2类区排放标准，标准值见下表4-</w:t>
            </w:r>
            <w:r>
              <w:rPr>
                <w:rFonts w:hint="eastAsia" w:ascii="Times New Roman" w:hAnsi="Times New Roman" w:eastAsia="宋体" w:cs="Times New Roman"/>
                <w:snapToGrid w:val="0"/>
                <w:color w:val="000000" w:themeColor="text1"/>
                <w:kern w:val="0"/>
                <w:sz w:val="24"/>
                <w:szCs w:val="20"/>
              </w:rPr>
              <w:t>8</w:t>
            </w:r>
            <w:r>
              <w:rPr>
                <w:rFonts w:ascii="Times New Roman" w:hAnsi="Times New Roman" w:eastAsia="宋体" w:cs="Times New Roman"/>
                <w:snapToGrid w:val="0"/>
                <w:color w:val="000000" w:themeColor="text1"/>
                <w:kern w:val="0"/>
                <w:sz w:val="24"/>
                <w:szCs w:val="20"/>
              </w:rPr>
              <w:t>。</w:t>
            </w:r>
          </w:p>
          <w:p w14:paraId="3E1ADE7A">
            <w:pPr>
              <w:widowControl/>
              <w:snapToGrid w:val="0"/>
              <w:jc w:val="center"/>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表4-</w:t>
            </w:r>
            <w:r>
              <w:rPr>
                <w:rFonts w:hint="eastAsia" w:ascii="Times New Roman" w:hAnsi="Times New Roman" w:eastAsia="宋体" w:cs="Times New Roman"/>
                <w:b/>
                <w:snapToGrid w:val="0"/>
                <w:color w:val="000000" w:themeColor="text1"/>
                <w:kern w:val="0"/>
                <w:sz w:val="24"/>
              </w:rPr>
              <w:t>8</w:t>
            </w:r>
            <w:r>
              <w:rPr>
                <w:rFonts w:ascii="Times New Roman" w:hAnsi="Times New Roman" w:eastAsia="宋体" w:cs="Times New Roman"/>
                <w:b/>
                <w:snapToGrid w:val="0"/>
                <w:color w:val="000000" w:themeColor="text1"/>
                <w:kern w:val="0"/>
                <w:sz w:val="24"/>
              </w:rPr>
              <w:t xml:space="preserve">  工业企业厂界噪声排放标准限值  单位：dB(A)</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697"/>
              <w:gridCol w:w="2781"/>
            </w:tblGrid>
            <w:tr w14:paraId="5CD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5" w:type="pct"/>
                  <w:vMerge w:val="restart"/>
                  <w:tcBorders>
                    <w:tl2br w:val="single" w:color="auto" w:sz="4" w:space="0"/>
                  </w:tcBorders>
                  <w:vAlign w:val="center"/>
                </w:tcPr>
                <w:p w14:paraId="53DF074E">
                  <w:pPr>
                    <w:ind w:firstLine="480"/>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 xml:space="preserve">        时段</w:t>
                  </w:r>
                </w:p>
                <w:p w14:paraId="514EA9AD">
                  <w:pP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声环境功能区类</w:t>
                  </w:r>
                </w:p>
              </w:tc>
              <w:tc>
                <w:tcPr>
                  <w:tcW w:w="3105" w:type="pct"/>
                  <w:gridSpan w:val="2"/>
                  <w:vAlign w:val="center"/>
                </w:tcPr>
                <w:p w14:paraId="6EC3F73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等效声级[dB(A)]</w:t>
                  </w:r>
                </w:p>
              </w:tc>
            </w:tr>
            <w:tr w14:paraId="1075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5" w:type="pct"/>
                  <w:vMerge w:val="continue"/>
                  <w:vAlign w:val="center"/>
                </w:tcPr>
                <w:p w14:paraId="345A290B">
                  <w:pPr>
                    <w:ind w:firstLine="480"/>
                    <w:jc w:val="center"/>
                    <w:rPr>
                      <w:rFonts w:ascii="Times New Roman" w:hAnsi="Times New Roman" w:eastAsia="宋体" w:cs="Times New Roman"/>
                      <w:color w:val="000000" w:themeColor="text1"/>
                      <w:szCs w:val="22"/>
                    </w:rPr>
                  </w:pPr>
                </w:p>
              </w:tc>
              <w:tc>
                <w:tcPr>
                  <w:tcW w:w="1529" w:type="pct"/>
                  <w:vAlign w:val="center"/>
                </w:tcPr>
                <w:p w14:paraId="5803C0E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昼间</w:t>
                  </w:r>
                </w:p>
              </w:tc>
              <w:tc>
                <w:tcPr>
                  <w:tcW w:w="1576" w:type="pct"/>
                  <w:vAlign w:val="center"/>
                </w:tcPr>
                <w:p w14:paraId="1F9BFFD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夜间</w:t>
                  </w:r>
                </w:p>
              </w:tc>
            </w:tr>
            <w:tr w14:paraId="46759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95" w:type="pct"/>
                  <w:vAlign w:val="center"/>
                </w:tcPr>
                <w:p w14:paraId="5B7A0C1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2类</w:t>
                  </w:r>
                </w:p>
              </w:tc>
              <w:tc>
                <w:tcPr>
                  <w:tcW w:w="1529" w:type="pct"/>
                  <w:vAlign w:val="center"/>
                </w:tcPr>
                <w:p w14:paraId="06FD42F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60</w:t>
                  </w:r>
                </w:p>
              </w:tc>
              <w:tc>
                <w:tcPr>
                  <w:tcW w:w="1576" w:type="pct"/>
                  <w:vAlign w:val="center"/>
                </w:tcPr>
                <w:p w14:paraId="68DDEBA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50</w:t>
                  </w:r>
                </w:p>
              </w:tc>
            </w:tr>
          </w:tbl>
          <w:p w14:paraId="702625E5">
            <w:pPr>
              <w:widowControl/>
              <w:snapToGrid w:val="0"/>
              <w:spacing w:before="156" w:beforeLines="50" w:line="360" w:lineRule="auto"/>
              <w:ind w:firstLine="482" w:firstLineChars="200"/>
              <w:jc w:val="left"/>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4、固体废弃物</w:t>
            </w:r>
          </w:p>
          <w:p w14:paraId="7F639381">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项目运营期间产生的固体废弃物处置执行《一般工业固体废物贮存、处置场污染控制标准》（GB18599-2001）</w:t>
            </w:r>
            <w:r>
              <w:rPr>
                <w:rFonts w:hint="eastAsia" w:ascii="Times New Roman" w:hAnsi="Times New Roman" w:eastAsia="宋体" w:cs="Times New Roman"/>
                <w:snapToGrid w:val="0"/>
                <w:color w:val="000000" w:themeColor="text1"/>
                <w:kern w:val="0"/>
                <w:sz w:val="24"/>
                <w:szCs w:val="20"/>
              </w:rPr>
              <w:t>及2013年修改版</w:t>
            </w:r>
            <w:r>
              <w:rPr>
                <w:rFonts w:ascii="Times New Roman" w:hAnsi="Times New Roman" w:eastAsia="宋体" w:cs="Times New Roman"/>
                <w:snapToGrid w:val="0"/>
                <w:color w:val="000000" w:themeColor="text1"/>
                <w:kern w:val="0"/>
                <w:sz w:val="24"/>
                <w:szCs w:val="20"/>
              </w:rPr>
              <w:t>。</w:t>
            </w:r>
          </w:p>
          <w:p w14:paraId="5D3C3508">
            <w:pPr>
              <w:adjustRightInd w:val="0"/>
              <w:spacing w:line="360" w:lineRule="auto"/>
              <w:rPr>
                <w:rFonts w:ascii="Times New Roman" w:hAnsi="Times New Roman" w:eastAsia="宋体" w:cs="Times New Roman"/>
                <w:snapToGrid w:val="0"/>
                <w:color w:val="000000" w:themeColor="text1"/>
                <w:kern w:val="0"/>
                <w:sz w:val="24"/>
                <w:szCs w:val="20"/>
              </w:rPr>
            </w:pPr>
          </w:p>
        </w:tc>
      </w:tr>
      <w:tr w14:paraId="2739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0" w:type="pct"/>
            <w:vAlign w:val="center"/>
          </w:tcPr>
          <w:p w14:paraId="4BFEFE94">
            <w:pPr>
              <w:keepNext/>
              <w:keepLines/>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总总量控制标准</w:t>
            </w:r>
          </w:p>
        </w:tc>
        <w:tc>
          <w:tcPr>
            <w:tcW w:w="4770" w:type="pct"/>
          </w:tcPr>
          <w:p w14:paraId="5312130B">
            <w:pPr>
              <w:keepNext/>
              <w:keepLines/>
              <w:spacing w:line="360" w:lineRule="auto"/>
              <w:ind w:firstLine="482" w:firstLineChars="200"/>
              <w:jc w:val="left"/>
              <w:outlineLvl w:val="2"/>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本项目建议总量控制指标如下。</w:t>
            </w:r>
          </w:p>
          <w:p w14:paraId="6E150A1B">
            <w:pPr>
              <w:keepNext/>
              <w:keepLines/>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1、废气</w:t>
            </w:r>
          </w:p>
          <w:p w14:paraId="4D4005CE">
            <w:pPr>
              <w:keepNext/>
              <w:keepLines/>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项目运营期产生废气主要为食堂油烟，不设总量。</w:t>
            </w:r>
          </w:p>
          <w:p w14:paraId="76FE5AD1">
            <w:pPr>
              <w:keepNext/>
              <w:keepLines/>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2、废水</w:t>
            </w:r>
          </w:p>
          <w:p w14:paraId="12C8064B">
            <w:pPr>
              <w:keepNext/>
              <w:keepLines/>
              <w:adjustRightInd w:val="0"/>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本项目废水主要为员工生活污水，经隔油池、化粪池收集处理后，委托周边村民定期清掏，不外排。</w:t>
            </w:r>
          </w:p>
          <w:p w14:paraId="76FBE98C">
            <w:pPr>
              <w:keepNext/>
              <w:keepLines/>
              <w:adjustRightInd w:val="0"/>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生产废水经自建</w:t>
            </w:r>
            <w:r>
              <w:rPr>
                <w:rFonts w:hint="eastAsia" w:ascii="Times New Roman" w:hAnsi="Times New Roman" w:eastAsia="宋体" w:cs="Times New Roman"/>
                <w:bCs/>
                <w:color w:val="000000" w:themeColor="text1"/>
                <w:sz w:val="24"/>
              </w:rPr>
              <w:t>隔油池+沉淀池</w:t>
            </w:r>
            <w:r>
              <w:rPr>
                <w:rFonts w:ascii="Times New Roman" w:hAnsi="Times New Roman" w:eastAsia="宋体" w:cs="Times New Roman"/>
                <w:bCs/>
                <w:color w:val="000000" w:themeColor="text1"/>
                <w:sz w:val="24"/>
              </w:rPr>
              <w:t>处理后</w:t>
            </w:r>
            <w:r>
              <w:rPr>
                <w:rFonts w:hint="eastAsia" w:ascii="Times New Roman" w:hAnsi="Times New Roman" w:eastAsia="宋体" w:cs="Times New Roman"/>
                <w:bCs/>
                <w:color w:val="000000" w:themeColor="text1"/>
                <w:sz w:val="24"/>
              </w:rPr>
              <w:t>，回用于生产，</w:t>
            </w:r>
            <w:r>
              <w:rPr>
                <w:rFonts w:ascii="Times New Roman" w:hAnsi="Times New Roman" w:eastAsia="宋体" w:cs="Times New Roman"/>
                <w:bCs/>
                <w:color w:val="000000" w:themeColor="text1"/>
                <w:sz w:val="24"/>
              </w:rPr>
              <w:t>不外排。</w:t>
            </w:r>
          </w:p>
          <w:p w14:paraId="1335C673">
            <w:pPr>
              <w:keepNext/>
              <w:keepLines/>
              <w:adjustRightInd w:val="0"/>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因此，废水不设总量控制指标。</w:t>
            </w:r>
          </w:p>
          <w:p w14:paraId="38C518EE">
            <w:pPr>
              <w:keepNext/>
              <w:keepLines/>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3、固废</w:t>
            </w:r>
          </w:p>
          <w:p w14:paraId="22539BCC">
            <w:pPr>
              <w:keepNext/>
              <w:keepLines/>
              <w:adjustRightInd w:val="0"/>
              <w:spacing w:line="360" w:lineRule="auto"/>
              <w:ind w:firstLine="480" w:firstLineChars="200"/>
              <w:jc w:val="left"/>
              <w:outlineLvl w:val="2"/>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固废处置率为100%。</w:t>
            </w:r>
          </w:p>
        </w:tc>
      </w:tr>
    </w:tbl>
    <w:p w14:paraId="6EE61E2D">
      <w:pPr>
        <w:rPr>
          <w:rFonts w:ascii="Times New Roman" w:hAnsi="Times New Roman" w:cs="Times New Roman"/>
          <w:color w:val="000000" w:themeColor="text1"/>
        </w:rPr>
      </w:pPr>
    </w:p>
    <w:p w14:paraId="5C60466A">
      <w:pPr>
        <w:rPr>
          <w:rFonts w:ascii="Times New Roman" w:hAnsi="Times New Roman" w:cs="Times New Roman"/>
          <w:color w:val="000000" w:themeColor="text1"/>
        </w:rPr>
      </w:pPr>
    </w:p>
    <w:p w14:paraId="689118E8">
      <w:pPr>
        <w:rPr>
          <w:rFonts w:ascii="Times New Roman" w:hAnsi="Times New Roman" w:cs="Times New Roman"/>
          <w:color w:val="000000" w:themeColor="text1"/>
        </w:rPr>
      </w:pPr>
    </w:p>
    <w:p w14:paraId="1FA74216">
      <w:pPr>
        <w:rPr>
          <w:rFonts w:ascii="Times New Roman" w:hAnsi="Times New Roman" w:cs="Times New Roman"/>
          <w:color w:val="000000" w:themeColor="text1"/>
        </w:rPr>
      </w:pPr>
    </w:p>
    <w:p w14:paraId="3E83F8CC">
      <w:pPr>
        <w:widowControl/>
        <w:jc w:val="left"/>
        <w:rPr>
          <w:rFonts w:ascii="Times New Roman" w:hAnsi="Times New Roman" w:cs="Times New Roman"/>
          <w:b/>
          <w:bCs/>
          <w:color w:val="000000" w:themeColor="text1"/>
          <w:kern w:val="44"/>
          <w:sz w:val="28"/>
          <w:szCs w:val="28"/>
        </w:rPr>
      </w:pPr>
      <w:r>
        <w:rPr>
          <w:rFonts w:ascii="Times New Roman" w:hAnsi="Times New Roman" w:cs="Times New Roman"/>
          <w:color w:val="000000" w:themeColor="text1"/>
          <w:sz w:val="28"/>
          <w:szCs w:val="28"/>
        </w:rPr>
        <w:br w:type="page"/>
      </w:r>
    </w:p>
    <w:p w14:paraId="412F9926">
      <w:pPr>
        <w:pStyle w:val="3"/>
        <w:spacing w:before="0" w:after="0" w:line="240" w:lineRule="auto"/>
        <w:ind w:right="105" w:rightChars="5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表五、建设项目工程分析及工艺流程简述</w:t>
      </w:r>
    </w:p>
    <w:tbl>
      <w:tblPr>
        <w:tblStyle w:val="39"/>
        <w:tblW w:w="573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6B75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5000" w:type="pct"/>
          </w:tcPr>
          <w:p w14:paraId="58AD6989">
            <w:pPr>
              <w:spacing w:line="336" w:lineRule="auto"/>
              <w:ind w:left="105" w:leftChars="50" w:right="105" w:rightChars="50" w:firstLine="482" w:firstLineChars="200"/>
              <w:rPr>
                <w:rFonts w:ascii="Times New Roman" w:hAnsi="Times New Roman" w:cs="Times New Roman"/>
                <w:b/>
                <w:color w:val="000000" w:themeColor="text1"/>
                <w:sz w:val="24"/>
              </w:rPr>
            </w:pPr>
            <w:r>
              <w:rPr>
                <w:rFonts w:ascii="Times New Roman" w:hAnsi="Times New Roman" w:cs="Times New Roman"/>
                <w:b/>
                <w:color w:val="000000" w:themeColor="text1"/>
                <w:sz w:val="24"/>
              </w:rPr>
              <w:t>一、工艺流程简述</w:t>
            </w:r>
          </w:p>
          <w:p w14:paraId="74318DF3">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1.1、施工期工艺</w:t>
            </w:r>
          </w:p>
          <w:p w14:paraId="120E6E55">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本项目施工期主要是将现有房屋、厂房改造成废塑料清洗破碎生产等，其施工工艺及产排污详见图5-1。</w:t>
            </w:r>
          </w:p>
          <w:p w14:paraId="14FB84FB">
            <w:pPr>
              <w:ind w:firstLine="480" w:firstLineChars="200"/>
              <w:jc w:val="center"/>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object>
                <v:shape id="_x0000_i1025" o:spt="75" type="#_x0000_t75" style="height:90.75pt;width:320.25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14:paraId="796E46AB">
            <w:pPr>
              <w:adjustRightInd w:val="0"/>
              <w:snapToGrid w:val="0"/>
              <w:spacing w:line="360" w:lineRule="auto"/>
              <w:ind w:firstLine="482" w:firstLineChars="20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图5-1   项目施工期工艺流程及产污环节图</w:t>
            </w:r>
          </w:p>
          <w:p w14:paraId="29AC7374">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工艺流程简述：</w:t>
            </w:r>
          </w:p>
          <w:p w14:paraId="0CF0CE42">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（1）现有房屋、厂房改造</w:t>
            </w:r>
          </w:p>
          <w:p w14:paraId="1EE69BA9">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主要是将将现有房屋、厂房改造成废塑料清洗破碎生产，将现有房屋的设施进行清理，在改造过程中产生的污染物主要为清理和运输过程中产生的扬尘、噪声和建筑垃圾、废水。</w:t>
            </w:r>
          </w:p>
          <w:p w14:paraId="11146768">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（2）设备安装</w:t>
            </w:r>
          </w:p>
          <w:p w14:paraId="0DCBC3B1">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现有房屋、厂房改造完成后，将新购买的设备进行安装，设备安装过程中产生的污染物主要为设备运输过程中产生的扬尘和设备安装过程中产生的噪声。</w:t>
            </w:r>
          </w:p>
          <w:p w14:paraId="4C30501C">
            <w:pPr>
              <w:spacing w:line="336" w:lineRule="auto"/>
              <w:ind w:left="105" w:leftChars="50" w:right="105" w:rightChars="50" w:firstLine="482" w:firstLineChars="200"/>
              <w:rPr>
                <w:rFonts w:ascii="Times New Roman" w:hAnsi="Times New Roman" w:cs="Times New Roman"/>
                <w:b/>
                <w:color w:val="000000" w:themeColor="text1"/>
                <w:sz w:val="24"/>
              </w:rPr>
            </w:pPr>
          </w:p>
          <w:p w14:paraId="7BEBA346">
            <w:pPr>
              <w:spacing w:line="360" w:lineRule="auto"/>
              <w:ind w:left="50" w:right="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1.2、运营期工艺流程</w:t>
            </w:r>
          </w:p>
          <w:p w14:paraId="189E9BE8">
            <w:pPr>
              <w:spacing w:line="360" w:lineRule="auto"/>
              <w:ind w:left="50" w:right="50"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1.2.1、运营期工艺流程图</w:t>
            </w:r>
          </w:p>
          <w:p w14:paraId="7C48DB0E">
            <w:pPr>
              <w:spacing w:line="360" w:lineRule="auto"/>
              <w:ind w:left="50" w:right="50"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项目工艺流程简图见图5-2。</w:t>
            </w:r>
          </w:p>
          <w:p w14:paraId="5BEBBF75">
            <w:pPr>
              <w:pStyle w:val="139"/>
              <w:jc w:val="center"/>
              <w:rPr>
                <w:rStyle w:val="140"/>
                <w:rFonts w:ascii="Times New Roman" w:hAnsi="Times New Roman"/>
                <w:b/>
                <w:color w:val="000000" w:themeColor="text1"/>
                <w:sz w:val="30"/>
                <w:szCs w:val="30"/>
              </w:rPr>
            </w:pPr>
            <w:r>
              <w:rPr>
                <w:b w:val="0"/>
                <w:bCs/>
                <w:color w:val="000000" w:themeColor="text1"/>
                <w:szCs w:val="28"/>
              </w:rPr>
              <w:object>
                <v:shape id="_x0000_i1026" o:spt="75" type="#_x0000_t75" style="height:393.75pt;width:261.75pt;" o:ole="t" filled="f" o:preferrelative="t" stroked="f" coordsize="21600,21600">
                  <v:path/>
                  <v:fill on="f" focussize="0,0"/>
                  <v:stroke on="f" joinstyle="miter"/>
                  <v:imagedata r:id="rId8" o:title=""/>
                  <o:lock v:ext="edit" aspectratio="t"/>
                  <w10:wrap type="none"/>
                  <w10:anchorlock/>
                </v:shape>
                <o:OLEObject Type="Embed" ProgID="Visio.Drawing.11" ShapeID="_x0000_i1026" DrawAspect="Content" ObjectID="_1468075726" r:id="rId7">
                  <o:LockedField>false</o:LockedField>
                </o:OLEObject>
              </w:object>
            </w:r>
          </w:p>
          <w:p w14:paraId="6C4A0DFD">
            <w:pPr>
              <w:ind w:left="50" w:right="105" w:rightChars="5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图5-2  工艺流程、产污环节及物料平衡图</w:t>
            </w:r>
          </w:p>
          <w:p w14:paraId="6C73FF3F">
            <w:pPr>
              <w:widowControl/>
              <w:spacing w:line="360" w:lineRule="auto"/>
              <w:ind w:left="50" w:right="50" w:firstLine="482" w:firstLineChars="200"/>
              <w:jc w:val="left"/>
              <w:rPr>
                <w:rFonts w:ascii="Times New Roman" w:hAnsi="Times New Roman" w:cs="Times New Roman"/>
                <w:b/>
                <w:bCs/>
                <w:color w:val="000000" w:themeColor="text1"/>
                <w:sz w:val="24"/>
                <w:szCs w:val="28"/>
              </w:rPr>
            </w:pPr>
            <w:r>
              <w:rPr>
                <w:rFonts w:ascii="Times New Roman" w:hAnsi="Times New Roman" w:cs="Times New Roman"/>
                <w:b/>
                <w:bCs/>
                <w:color w:val="000000" w:themeColor="text1"/>
                <w:sz w:val="24"/>
                <w:szCs w:val="28"/>
              </w:rPr>
              <w:t>1.2.2、工艺流程简述</w:t>
            </w:r>
          </w:p>
          <w:p w14:paraId="6AAD3222">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（1）拆包</w:t>
            </w:r>
          </w:p>
          <w:p w14:paraId="605D0CA4">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将外购回来的废塑料瓶砖拆包，此过程会产生铁丝等固体废物。</w:t>
            </w:r>
          </w:p>
          <w:p w14:paraId="3D293ECC">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（2）人工分拣</w:t>
            </w:r>
          </w:p>
          <w:p w14:paraId="0BB0184A">
            <w:pPr>
              <w:spacing w:line="360" w:lineRule="auto"/>
              <w:ind w:left="105" w:leftChars="50" w:right="105" w:rightChars="50" w:firstLine="480" w:firstLineChars="200"/>
              <w:jc w:val="left"/>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外购来的废塑料瓶进行人工分拣，分选出瓶盖及商标，同时分拣出不容易去除商标的瓶子（油瓶、酱油瓶等），进入</w:t>
            </w:r>
            <w:r>
              <w:rPr>
                <w:rFonts w:ascii="Times New Roman" w:hAnsi="Times New Roman" w:cs="Times New Roman"/>
                <w:color w:val="000000" w:themeColor="text1"/>
                <w:sz w:val="24"/>
              </w:rPr>
              <w:t>剥</w:t>
            </w:r>
            <w:r>
              <w:rPr>
                <w:rFonts w:ascii="Times New Roman" w:hAnsi="Times New Roman" w:cs="Times New Roman"/>
                <w:color w:val="000000" w:themeColor="text1"/>
                <w:kern w:val="0"/>
                <w:sz w:val="24"/>
              </w:rPr>
              <w:t>标机。</w:t>
            </w:r>
          </w:p>
          <w:p w14:paraId="68064EB0">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（3）剥标</w:t>
            </w:r>
          </w:p>
          <w:p w14:paraId="6BC6ED9F">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利用剥标机脱去瓶子上的标签纸，此过程会有标签纸产生。</w:t>
            </w:r>
          </w:p>
          <w:p w14:paraId="09091FD8">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（4）清洗</w:t>
            </w:r>
          </w:p>
          <w:p w14:paraId="25673AD7">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将塑料瓶送入清洗机自动清洗，清洗过程清洗机自带加热功能，直接将冷水加热至70</w:t>
            </w:r>
            <w:r>
              <w:rPr>
                <w:rFonts w:hint="eastAsia" w:ascii="宋体" w:hAnsi="宋体" w:eastAsia="宋体" w:cs="宋体"/>
                <w:color w:val="000000" w:themeColor="text1"/>
                <w:sz w:val="24"/>
              </w:rPr>
              <w:t>℃</w:t>
            </w:r>
            <w:r>
              <w:rPr>
                <w:rFonts w:ascii="Times New Roman" w:hAnsi="Times New Roman" w:eastAsia="宋体" w:cs="Times New Roman"/>
                <w:color w:val="000000" w:themeColor="text1"/>
                <w:sz w:val="24"/>
              </w:rPr>
              <w:t>)蒸煮约10s</w:t>
            </w:r>
            <w:r>
              <w:rPr>
                <w:rFonts w:ascii="Times New Roman" w:hAnsi="Times New Roman" w:cs="Times New Roman"/>
                <w:color w:val="000000" w:themeColor="text1"/>
                <w:sz w:val="24"/>
              </w:rPr>
              <w:t>，清洗后的废水排入</w:t>
            </w:r>
            <w:r>
              <w:rPr>
                <w:rFonts w:hint="eastAsia" w:ascii="Times New Roman" w:hAnsi="Times New Roman" w:cs="Times New Roman"/>
                <w:color w:val="000000" w:themeColor="text1"/>
                <w:sz w:val="24"/>
              </w:rPr>
              <w:t>隔油池+沉淀池</w:t>
            </w:r>
            <w:r>
              <w:rPr>
                <w:rFonts w:ascii="Times New Roman" w:hAnsi="Times New Roman" w:cs="Times New Roman"/>
                <w:color w:val="000000" w:themeColor="text1"/>
                <w:sz w:val="24"/>
              </w:rPr>
              <w:t>，处理后返回至蓄水池，回用清洗工序。</w:t>
            </w:r>
          </w:p>
          <w:p w14:paraId="137F8422">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（5）分选</w:t>
            </w:r>
          </w:p>
          <w:p w14:paraId="026FEC17">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该工序利用分选机自动识别塑料瓶各种颜色，分别进行破碎。</w:t>
            </w:r>
          </w:p>
          <w:p w14:paraId="3C39B752">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（6）破碎</w:t>
            </w:r>
          </w:p>
          <w:p w14:paraId="7C17FCDF">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废塑料瓶破碎采用湿式破碎，破碎系统密闭化，同时由于采用湿式破碎，因此破碎过程无粉尘产生。破碎后塑料片为直径1~2cm不规则片料。此过程会有废水和噪声产生。</w:t>
            </w:r>
          </w:p>
          <w:p w14:paraId="0E2D915C">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（7）脱水</w:t>
            </w:r>
          </w:p>
          <w:p w14:paraId="582C6CAC">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由于采用湿式破碎，片料带有约20%的</w:t>
            </w:r>
            <w:r>
              <w:rPr>
                <w:rFonts w:hint="eastAsia" w:ascii="Times New Roman" w:hAnsi="Times New Roman" w:cs="Times New Roman"/>
                <w:color w:val="000000" w:themeColor="text1"/>
                <w:sz w:val="24"/>
                <w:lang w:eastAsia="zh-CN"/>
              </w:rPr>
              <w:t>水分</w:t>
            </w:r>
            <w:r>
              <w:rPr>
                <w:rFonts w:ascii="Times New Roman" w:hAnsi="Times New Roman" w:cs="Times New Roman"/>
                <w:color w:val="000000" w:themeColor="text1"/>
                <w:sz w:val="24"/>
              </w:rPr>
              <w:t>，此工序将带水片料送入脱水机内，通过离心力将片料与水分离。此过程会有废水和噪声产生。</w:t>
            </w:r>
          </w:p>
          <w:p w14:paraId="2D00D5C7">
            <w:pPr>
              <w:spacing w:line="360" w:lineRule="auto"/>
              <w:ind w:firstLine="480" w:firstLineChars="20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（8）打包、外售。</w:t>
            </w:r>
          </w:p>
          <w:p w14:paraId="1CBE733D">
            <w:pPr>
              <w:spacing w:line="360" w:lineRule="auto"/>
              <w:ind w:left="105" w:leftChars="50" w:right="105" w:rightChars="50" w:firstLine="482"/>
              <w:jc w:val="left"/>
              <w:rPr>
                <w:rFonts w:ascii="Times New Roman" w:hAnsi="Times New Roman" w:cs="Times New Roman"/>
                <w:b/>
                <w:color w:val="000000" w:themeColor="text1"/>
                <w:kern w:val="0"/>
                <w:sz w:val="24"/>
              </w:rPr>
            </w:pPr>
            <w:r>
              <w:rPr>
                <w:rFonts w:ascii="Times New Roman" w:hAnsi="Times New Roman" w:cs="Times New Roman"/>
                <w:b/>
                <w:color w:val="000000" w:themeColor="text1"/>
                <w:kern w:val="0"/>
                <w:sz w:val="24"/>
              </w:rPr>
              <w:t>1.2.3、工艺污染物及处置措施统计</w:t>
            </w:r>
          </w:p>
          <w:p w14:paraId="364990F6">
            <w:pPr>
              <w:jc w:val="center"/>
              <w:rPr>
                <w:rFonts w:ascii="Times New Roman" w:hAnsi="Times New Roman" w:cs="Times New Roman"/>
                <w:b/>
                <w:color w:val="000000" w:themeColor="text1"/>
              </w:rPr>
            </w:pPr>
            <w:r>
              <w:rPr>
                <w:rFonts w:ascii="Times New Roman" w:hAnsi="Times New Roman" w:cs="Times New Roman"/>
                <w:b/>
                <w:color w:val="000000" w:themeColor="text1"/>
                <w:sz w:val="24"/>
              </w:rPr>
              <w:t>表5-1  污染物产生点及处置措施</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458"/>
              <w:gridCol w:w="1560"/>
              <w:gridCol w:w="2183"/>
              <w:gridCol w:w="4509"/>
            </w:tblGrid>
            <w:tr w14:paraId="694D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Align w:val="center"/>
                </w:tcPr>
                <w:p w14:paraId="3DB96E3F">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名称</w:t>
                  </w:r>
                </w:p>
              </w:tc>
              <w:tc>
                <w:tcPr>
                  <w:tcW w:w="1056" w:type="pct"/>
                  <w:gridSpan w:val="2"/>
                  <w:vAlign w:val="center"/>
                </w:tcPr>
                <w:p w14:paraId="5A13A8BD">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产生点</w:t>
                  </w:r>
                </w:p>
              </w:tc>
              <w:tc>
                <w:tcPr>
                  <w:tcW w:w="1142" w:type="pct"/>
                  <w:vAlign w:val="center"/>
                </w:tcPr>
                <w:p w14:paraId="72CED1D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污染物</w:t>
                  </w:r>
                </w:p>
              </w:tc>
              <w:tc>
                <w:tcPr>
                  <w:tcW w:w="2359" w:type="pct"/>
                  <w:vAlign w:val="center"/>
                </w:tcPr>
                <w:p w14:paraId="710F834D">
                  <w:pPr>
                    <w:ind w:firstLine="42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处置措施</w:t>
                  </w:r>
                </w:p>
              </w:tc>
            </w:tr>
            <w:tr w14:paraId="4218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Align w:val="center"/>
                </w:tcPr>
                <w:p w14:paraId="2B714B5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废气</w:t>
                  </w:r>
                </w:p>
              </w:tc>
              <w:tc>
                <w:tcPr>
                  <w:tcW w:w="1056" w:type="pct"/>
                  <w:gridSpan w:val="2"/>
                  <w:vAlign w:val="center"/>
                </w:tcPr>
                <w:p w14:paraId="020FFF6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食堂</w:t>
                  </w:r>
                </w:p>
              </w:tc>
              <w:tc>
                <w:tcPr>
                  <w:tcW w:w="1142" w:type="pct"/>
                  <w:vAlign w:val="center"/>
                </w:tcPr>
                <w:p w14:paraId="055BAC56">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油烟</w:t>
                  </w:r>
                </w:p>
              </w:tc>
              <w:tc>
                <w:tcPr>
                  <w:tcW w:w="2359" w:type="pct"/>
                  <w:vAlign w:val="center"/>
                </w:tcPr>
                <w:p w14:paraId="002ED492">
                  <w:pPr>
                    <w:jc w:val="center"/>
                    <w:rPr>
                      <w:rFonts w:ascii="Times New Roman" w:hAnsi="Times New Roman" w:cs="Times New Roman"/>
                      <w:color w:val="000000" w:themeColor="text1"/>
                      <w:szCs w:val="21"/>
                    </w:rPr>
                  </w:pPr>
                  <w:r>
                    <w:rPr>
                      <w:rFonts w:ascii="Times New Roman" w:hAnsi="Times New Roman" w:cs="Times New Roman"/>
                      <w:bCs/>
                      <w:color w:val="000000" w:themeColor="text1"/>
                      <w:szCs w:val="21"/>
                    </w:rPr>
                    <w:t>食堂油烟经</w:t>
                  </w:r>
                  <w:r>
                    <w:rPr>
                      <w:rFonts w:hint="eastAsia" w:ascii="Times New Roman" w:hAnsi="Times New Roman" w:cs="Times New Roman"/>
                      <w:bCs/>
                      <w:color w:val="000000" w:themeColor="text1"/>
                      <w:szCs w:val="21"/>
                    </w:rPr>
                    <w:t>收集后，</w:t>
                  </w:r>
                  <w:r>
                    <w:rPr>
                      <w:rFonts w:ascii="Times New Roman" w:hAnsi="Times New Roman" w:cs="Times New Roman"/>
                      <w:bCs/>
                      <w:color w:val="000000" w:themeColor="text1"/>
                      <w:szCs w:val="21"/>
                    </w:rPr>
                    <w:t>达标外排。</w:t>
                  </w:r>
                </w:p>
              </w:tc>
            </w:tr>
            <w:tr w14:paraId="0F12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restart"/>
                  <w:vAlign w:val="center"/>
                </w:tcPr>
                <w:p w14:paraId="34FE1E23">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废水</w:t>
                  </w:r>
                </w:p>
              </w:tc>
              <w:tc>
                <w:tcPr>
                  <w:tcW w:w="1056" w:type="pct"/>
                  <w:gridSpan w:val="2"/>
                  <w:vAlign w:val="center"/>
                </w:tcPr>
                <w:p w14:paraId="4A06AD9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生活废水</w:t>
                  </w:r>
                </w:p>
              </w:tc>
              <w:tc>
                <w:tcPr>
                  <w:tcW w:w="1142" w:type="pct"/>
                  <w:vAlign w:val="center"/>
                </w:tcPr>
                <w:p w14:paraId="1617530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COD、BOD</w:t>
                  </w:r>
                  <w:r>
                    <w:rPr>
                      <w:rFonts w:ascii="Times New Roman" w:hAnsi="Times New Roman" w:cs="Times New Roman"/>
                      <w:color w:val="000000" w:themeColor="text1"/>
                      <w:szCs w:val="21"/>
                      <w:vertAlign w:val="subscript"/>
                    </w:rPr>
                    <w:t>5</w:t>
                  </w:r>
                  <w:r>
                    <w:rPr>
                      <w:rFonts w:ascii="Times New Roman" w:hAnsi="Times New Roman" w:cs="Times New Roman"/>
                      <w:color w:val="000000" w:themeColor="text1"/>
                      <w:szCs w:val="21"/>
                    </w:rPr>
                    <w:t>、SS、动植物油等等</w:t>
                  </w:r>
                </w:p>
              </w:tc>
              <w:tc>
                <w:tcPr>
                  <w:tcW w:w="2359" w:type="pct"/>
                  <w:vAlign w:val="center"/>
                </w:tcPr>
                <w:p w14:paraId="5AFA5844">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厨房废水经1个隔油池处理后，与其它生活废水排入化粪池处理，定期委托周边村民清运，用于农作物施肥。</w:t>
                  </w:r>
                </w:p>
              </w:tc>
            </w:tr>
            <w:tr w14:paraId="089C1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continue"/>
                  <w:vAlign w:val="center"/>
                </w:tcPr>
                <w:p w14:paraId="294F7CFE">
                  <w:pPr>
                    <w:jc w:val="center"/>
                    <w:rPr>
                      <w:rFonts w:ascii="Times New Roman" w:hAnsi="Times New Roman" w:cs="Times New Roman"/>
                      <w:color w:val="000000" w:themeColor="text1"/>
                      <w:szCs w:val="21"/>
                    </w:rPr>
                  </w:pPr>
                </w:p>
              </w:tc>
              <w:tc>
                <w:tcPr>
                  <w:tcW w:w="240" w:type="pct"/>
                  <w:vMerge w:val="restart"/>
                  <w:vAlign w:val="center"/>
                </w:tcPr>
                <w:p w14:paraId="395FB65C">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生产废水</w:t>
                  </w:r>
                </w:p>
              </w:tc>
              <w:tc>
                <w:tcPr>
                  <w:tcW w:w="816" w:type="pct"/>
                  <w:vAlign w:val="center"/>
                </w:tcPr>
                <w:p w14:paraId="081A0EE0">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W1</w:t>
                  </w:r>
                </w:p>
              </w:tc>
              <w:tc>
                <w:tcPr>
                  <w:tcW w:w="1142" w:type="pct"/>
                  <w:vAlign w:val="center"/>
                </w:tcPr>
                <w:p w14:paraId="2D61BE6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COD、BOD</w:t>
                  </w:r>
                  <w:r>
                    <w:rPr>
                      <w:rFonts w:ascii="Times New Roman" w:hAnsi="Times New Roman" w:cs="Times New Roman"/>
                      <w:color w:val="000000" w:themeColor="text1"/>
                      <w:szCs w:val="21"/>
                      <w:vertAlign w:val="subscript"/>
                    </w:rPr>
                    <w:t>5</w:t>
                  </w:r>
                  <w:r>
                    <w:rPr>
                      <w:rFonts w:ascii="Times New Roman" w:hAnsi="Times New Roman" w:cs="Times New Roman"/>
                      <w:color w:val="000000" w:themeColor="text1"/>
                      <w:szCs w:val="21"/>
                    </w:rPr>
                    <w:t>、SS、动植物油等等</w:t>
                  </w:r>
                </w:p>
              </w:tc>
              <w:tc>
                <w:tcPr>
                  <w:tcW w:w="2359" w:type="pct"/>
                  <w:vMerge w:val="restart"/>
                  <w:vAlign w:val="center"/>
                </w:tcPr>
                <w:p w14:paraId="718A758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生产废水均通过自建的</w:t>
                  </w:r>
                  <w:r>
                    <w:rPr>
                      <w:rFonts w:hint="eastAsia" w:ascii="Times New Roman" w:hAnsi="Times New Roman" w:cs="Times New Roman"/>
                      <w:color w:val="000000" w:themeColor="text1"/>
                      <w:szCs w:val="21"/>
                    </w:rPr>
                    <w:t>隔油池+沉淀池处理后</w:t>
                  </w:r>
                  <w:r>
                    <w:rPr>
                      <w:rFonts w:ascii="Times New Roman" w:hAnsi="Times New Roman" w:cs="Times New Roman"/>
                      <w:color w:val="000000" w:themeColor="text1"/>
                      <w:szCs w:val="21"/>
                    </w:rPr>
                    <w:t>回用于生产。</w:t>
                  </w:r>
                </w:p>
              </w:tc>
            </w:tr>
            <w:tr w14:paraId="3969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continue"/>
                  <w:vAlign w:val="center"/>
                </w:tcPr>
                <w:p w14:paraId="300B6D3E">
                  <w:pPr>
                    <w:jc w:val="center"/>
                    <w:rPr>
                      <w:rFonts w:ascii="Times New Roman" w:hAnsi="Times New Roman" w:cs="Times New Roman"/>
                      <w:color w:val="000000" w:themeColor="text1"/>
                      <w:szCs w:val="21"/>
                    </w:rPr>
                  </w:pPr>
                </w:p>
              </w:tc>
              <w:tc>
                <w:tcPr>
                  <w:tcW w:w="240" w:type="pct"/>
                  <w:vMerge w:val="continue"/>
                  <w:vAlign w:val="center"/>
                </w:tcPr>
                <w:p w14:paraId="01A73B48">
                  <w:pPr>
                    <w:jc w:val="center"/>
                    <w:rPr>
                      <w:rFonts w:ascii="Times New Roman" w:hAnsi="Times New Roman" w:cs="Times New Roman"/>
                      <w:color w:val="000000" w:themeColor="text1"/>
                      <w:szCs w:val="21"/>
                    </w:rPr>
                  </w:pPr>
                </w:p>
              </w:tc>
              <w:tc>
                <w:tcPr>
                  <w:tcW w:w="816" w:type="pct"/>
                  <w:vAlign w:val="center"/>
                </w:tcPr>
                <w:p w14:paraId="70DE3A27">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W2</w:t>
                  </w:r>
                </w:p>
              </w:tc>
              <w:tc>
                <w:tcPr>
                  <w:tcW w:w="1142" w:type="pct"/>
                  <w:vAlign w:val="center"/>
                </w:tcPr>
                <w:p w14:paraId="10FF0419">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COD、BOD</w:t>
                  </w:r>
                  <w:r>
                    <w:rPr>
                      <w:rFonts w:ascii="Times New Roman" w:hAnsi="Times New Roman" w:cs="Times New Roman"/>
                      <w:color w:val="000000" w:themeColor="text1"/>
                      <w:szCs w:val="21"/>
                      <w:vertAlign w:val="subscript"/>
                    </w:rPr>
                    <w:t>5</w:t>
                  </w:r>
                  <w:r>
                    <w:rPr>
                      <w:rFonts w:ascii="Times New Roman" w:hAnsi="Times New Roman" w:cs="Times New Roman"/>
                      <w:color w:val="000000" w:themeColor="text1"/>
                      <w:szCs w:val="21"/>
                    </w:rPr>
                    <w:t>、SS、动植物油等等</w:t>
                  </w:r>
                </w:p>
              </w:tc>
              <w:tc>
                <w:tcPr>
                  <w:tcW w:w="2359" w:type="pct"/>
                  <w:vMerge w:val="continue"/>
                  <w:vAlign w:val="center"/>
                </w:tcPr>
                <w:p w14:paraId="3A84F538">
                  <w:pPr>
                    <w:jc w:val="center"/>
                    <w:rPr>
                      <w:rFonts w:ascii="Times New Roman" w:hAnsi="Times New Roman" w:cs="Times New Roman"/>
                      <w:color w:val="000000" w:themeColor="text1"/>
                      <w:szCs w:val="21"/>
                    </w:rPr>
                  </w:pPr>
                </w:p>
              </w:tc>
            </w:tr>
            <w:tr w14:paraId="074BA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restart"/>
                  <w:vAlign w:val="center"/>
                </w:tcPr>
                <w:p w14:paraId="16BD46C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固废</w:t>
                  </w:r>
                </w:p>
              </w:tc>
              <w:tc>
                <w:tcPr>
                  <w:tcW w:w="1056" w:type="pct"/>
                  <w:gridSpan w:val="2"/>
                  <w:vAlign w:val="center"/>
                </w:tcPr>
                <w:p w14:paraId="7DD6865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拆包</w:t>
                  </w:r>
                </w:p>
              </w:tc>
              <w:tc>
                <w:tcPr>
                  <w:tcW w:w="1142" w:type="pct"/>
                  <w:vAlign w:val="center"/>
                </w:tcPr>
                <w:p w14:paraId="3DBF998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杂物S1</w:t>
                  </w:r>
                </w:p>
              </w:tc>
              <w:tc>
                <w:tcPr>
                  <w:tcW w:w="2359" w:type="pct"/>
                  <w:vAlign w:val="center"/>
                </w:tcPr>
                <w:p w14:paraId="30519DE7">
                  <w:pPr>
                    <w:ind w:left="51" w:right="51" w:firstLine="420" w:firstLineChars="200"/>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杂物主要为金属、大块砂渣等，属于一般工业固体废物，</w:t>
                  </w:r>
                  <w:r>
                    <w:rPr>
                      <w:rFonts w:hint="eastAsia" w:ascii="Times New Roman" w:hAnsi="Times New Roman" w:cs="Times New Roman"/>
                      <w:color w:val="000000" w:themeColor="text1"/>
                      <w:szCs w:val="21"/>
                    </w:rPr>
                    <w:t>分类收集后，一部分外卖，其余运至芒市生活垃圾填埋场</w:t>
                  </w:r>
                  <w:r>
                    <w:rPr>
                      <w:rFonts w:ascii="Times New Roman" w:hAnsi="Times New Roman" w:cs="Times New Roman"/>
                      <w:color w:val="000000" w:themeColor="text1"/>
                      <w:szCs w:val="21"/>
                    </w:rPr>
                    <w:t>，禁止随意丢弃。</w:t>
                  </w:r>
                </w:p>
              </w:tc>
            </w:tr>
            <w:tr w14:paraId="769B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continue"/>
                  <w:vAlign w:val="center"/>
                </w:tcPr>
                <w:p w14:paraId="32134807">
                  <w:pPr>
                    <w:jc w:val="center"/>
                    <w:rPr>
                      <w:rFonts w:ascii="Times New Roman" w:hAnsi="Times New Roman" w:cs="Times New Roman"/>
                      <w:color w:val="000000" w:themeColor="text1"/>
                      <w:szCs w:val="21"/>
                    </w:rPr>
                  </w:pPr>
                </w:p>
              </w:tc>
              <w:tc>
                <w:tcPr>
                  <w:tcW w:w="1056" w:type="pct"/>
                  <w:gridSpan w:val="2"/>
                  <w:vAlign w:val="center"/>
                </w:tcPr>
                <w:p w14:paraId="119E7EEF">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剥离</w:t>
                  </w:r>
                </w:p>
              </w:tc>
              <w:tc>
                <w:tcPr>
                  <w:tcW w:w="1142" w:type="pct"/>
                  <w:vAlign w:val="center"/>
                </w:tcPr>
                <w:p w14:paraId="172003DA">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剥离废标签纸S2</w:t>
                  </w:r>
                </w:p>
              </w:tc>
              <w:tc>
                <w:tcPr>
                  <w:tcW w:w="2359" w:type="pct"/>
                  <w:vAlign w:val="center"/>
                </w:tcPr>
                <w:p w14:paraId="4F43202E">
                  <w:pPr>
                    <w:ind w:left="51" w:right="51"/>
                    <w:jc w:val="left"/>
                    <w:rPr>
                      <w:rFonts w:ascii="Times New Roman" w:hAnsi="Times New Roman" w:cs="Times New Roman"/>
                      <w:color w:val="000000" w:themeColor="text1"/>
                      <w:szCs w:val="21"/>
                    </w:rPr>
                  </w:pPr>
                  <w:r>
                    <w:rPr>
                      <w:rFonts w:ascii="Times New Roman" w:hAnsi="Times New Roman" w:cs="Times New Roman"/>
                      <w:color w:val="000000" w:themeColor="text1"/>
                      <w:szCs w:val="21"/>
                    </w:rPr>
                    <w:t>剥离废标签纸，这部分废标签纸</w:t>
                  </w:r>
                  <w:r>
                    <w:rPr>
                      <w:rFonts w:hint="eastAsia" w:ascii="Times New Roman" w:hAnsi="Times New Roman" w:cs="Times New Roman"/>
                      <w:color w:val="000000" w:themeColor="text1"/>
                      <w:szCs w:val="21"/>
                    </w:rPr>
                    <w:t>外卖处理</w:t>
                  </w:r>
                  <w:r>
                    <w:rPr>
                      <w:rFonts w:ascii="Times New Roman" w:hAnsi="Times New Roman" w:cs="Times New Roman"/>
                      <w:color w:val="000000" w:themeColor="text1"/>
                      <w:szCs w:val="21"/>
                    </w:rPr>
                    <w:t>。</w:t>
                  </w:r>
                </w:p>
              </w:tc>
            </w:tr>
            <w:tr w14:paraId="74AED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continue"/>
                  <w:vAlign w:val="center"/>
                </w:tcPr>
                <w:p w14:paraId="58A38E3C">
                  <w:pPr>
                    <w:jc w:val="center"/>
                    <w:rPr>
                      <w:rFonts w:ascii="Times New Roman" w:hAnsi="Times New Roman" w:cs="Times New Roman"/>
                      <w:color w:val="000000" w:themeColor="text1"/>
                      <w:szCs w:val="21"/>
                    </w:rPr>
                  </w:pPr>
                </w:p>
              </w:tc>
              <w:tc>
                <w:tcPr>
                  <w:tcW w:w="1056" w:type="pct"/>
                  <w:gridSpan w:val="2"/>
                  <w:vAlign w:val="center"/>
                </w:tcPr>
                <w:p w14:paraId="6A8B04EA">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生产废水隔油池、沉淀池</w:t>
                  </w:r>
                </w:p>
              </w:tc>
              <w:tc>
                <w:tcPr>
                  <w:tcW w:w="1142" w:type="pct"/>
                  <w:vAlign w:val="center"/>
                </w:tcPr>
                <w:p w14:paraId="3C925B73">
                  <w:pPr>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隔油池废油、沉淀池</w:t>
                  </w:r>
                  <w:r>
                    <w:rPr>
                      <w:rFonts w:ascii="Times New Roman" w:hAnsi="Times New Roman" w:cs="Times New Roman"/>
                      <w:color w:val="000000" w:themeColor="text1"/>
                      <w:szCs w:val="21"/>
                    </w:rPr>
                    <w:t>污泥</w:t>
                  </w:r>
                </w:p>
              </w:tc>
              <w:tc>
                <w:tcPr>
                  <w:tcW w:w="2359" w:type="pct"/>
                  <w:vAlign w:val="center"/>
                </w:tcPr>
                <w:p w14:paraId="2825293D">
                  <w:pPr>
                    <w:ind w:left="51" w:right="51" w:firstLine="420" w:firstLineChars="200"/>
                    <w:jc w:val="lef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隔油池废油交由有资质的单位处置；</w:t>
                  </w:r>
                </w:p>
                <w:p w14:paraId="353C214C">
                  <w:pPr>
                    <w:ind w:left="51" w:right="51" w:firstLine="420" w:firstLineChars="200"/>
                    <w:jc w:val="left"/>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沉淀池污泥</w:t>
                  </w:r>
                  <w:r>
                    <w:rPr>
                      <w:rFonts w:ascii="Times New Roman" w:hAnsi="Times New Roman" w:cs="Times New Roman"/>
                      <w:color w:val="000000" w:themeColor="text1"/>
                      <w:szCs w:val="21"/>
                    </w:rPr>
                    <w:t>外运至生活垃圾填埋场处置。</w:t>
                  </w:r>
                </w:p>
              </w:tc>
            </w:tr>
            <w:tr w14:paraId="0890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43" w:type="pct"/>
                  <w:vMerge w:val="continue"/>
                  <w:vAlign w:val="center"/>
                </w:tcPr>
                <w:p w14:paraId="6DA67E90">
                  <w:pPr>
                    <w:jc w:val="center"/>
                    <w:rPr>
                      <w:rFonts w:ascii="Times New Roman" w:hAnsi="Times New Roman" w:cs="Times New Roman"/>
                      <w:color w:val="000000" w:themeColor="text1"/>
                      <w:szCs w:val="21"/>
                    </w:rPr>
                  </w:pPr>
                </w:p>
              </w:tc>
              <w:tc>
                <w:tcPr>
                  <w:tcW w:w="1056" w:type="pct"/>
                  <w:gridSpan w:val="2"/>
                  <w:vAlign w:val="center"/>
                </w:tcPr>
                <w:p w14:paraId="7772C38B">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生活垃圾</w:t>
                  </w:r>
                </w:p>
              </w:tc>
              <w:tc>
                <w:tcPr>
                  <w:tcW w:w="1142" w:type="pct"/>
                  <w:vAlign w:val="center"/>
                </w:tcPr>
                <w:p w14:paraId="3024EDE8">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不合格产品S2</w:t>
                  </w:r>
                </w:p>
              </w:tc>
              <w:tc>
                <w:tcPr>
                  <w:tcW w:w="2359" w:type="pct"/>
                  <w:vAlign w:val="center"/>
                </w:tcPr>
                <w:p w14:paraId="1478BAC7">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运至最近</w:t>
                  </w:r>
                  <w:r>
                    <w:rPr>
                      <w:rFonts w:hint="eastAsia" w:ascii="Times New Roman" w:hAnsi="Times New Roman" w:cs="Times New Roman"/>
                      <w:color w:val="000000" w:themeColor="text1"/>
                      <w:szCs w:val="21"/>
                    </w:rPr>
                    <w:t>村庄</w:t>
                  </w:r>
                  <w:r>
                    <w:rPr>
                      <w:rFonts w:ascii="Times New Roman" w:hAnsi="Times New Roman" w:cs="Times New Roman"/>
                      <w:color w:val="000000" w:themeColor="text1"/>
                      <w:szCs w:val="21"/>
                    </w:rPr>
                    <w:t>垃圾收集点</w:t>
                  </w:r>
                  <w:r>
                    <w:rPr>
                      <w:rFonts w:hint="eastAsia" w:ascii="Times New Roman" w:hAnsi="Times New Roman" w:cs="Times New Roman"/>
                      <w:color w:val="000000" w:themeColor="text1"/>
                      <w:szCs w:val="21"/>
                    </w:rPr>
                    <w:t>集中处置</w:t>
                  </w:r>
                </w:p>
              </w:tc>
            </w:tr>
          </w:tbl>
          <w:p w14:paraId="1FAA74F2">
            <w:pPr>
              <w:adjustRightInd w:val="0"/>
              <w:snapToGrid w:val="0"/>
              <w:spacing w:before="156" w:beforeLines="50" w:line="360" w:lineRule="auto"/>
              <w:ind w:firstLine="480"/>
              <w:rPr>
                <w:rFonts w:ascii="Times New Roman" w:hAnsi="Times New Roman" w:eastAsia="宋体" w:cs="Times New Roman"/>
                <w:b/>
                <w:color w:val="000000" w:themeColor="text1"/>
                <w:sz w:val="28"/>
                <w:szCs w:val="28"/>
              </w:rPr>
            </w:pPr>
            <w:r>
              <w:rPr>
                <w:rFonts w:ascii="Times New Roman" w:hAnsi="Times New Roman" w:eastAsia="宋体" w:cs="Times New Roman"/>
                <w:b/>
                <w:color w:val="000000" w:themeColor="text1"/>
                <w:sz w:val="28"/>
                <w:szCs w:val="28"/>
              </w:rPr>
              <w:t>二、施工期主要污染工序</w:t>
            </w:r>
          </w:p>
          <w:p w14:paraId="056007DD">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本项目施工期主要是将将现有房屋、生产厂房改造成废塑料生产，其施工期产生的污染源主要为房屋改造过程中产生的扬尘、建筑垃圾和施工噪声等。项目施工期已结束，本次评价仅对施工期进行简单分析。</w:t>
            </w:r>
          </w:p>
          <w:p w14:paraId="7DD7C4A8">
            <w:pPr>
              <w:spacing w:line="360" w:lineRule="auto"/>
              <w:ind w:firstLine="482" w:firstLineChars="200"/>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（1）废气</w:t>
            </w:r>
          </w:p>
          <w:p w14:paraId="53AB3D3D">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项目施工期所产生的废气主要有粉尘、运输车辆和施工机械作业排放的尾气。</w:t>
            </w:r>
          </w:p>
          <w:p w14:paraId="5122A1E3">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期粉尘主要产生于运输车辆运输设备过程中产生的粉尘，主要污染因子为TSP，不含有毒有害的特殊污染物质，对施工环境及项目区有一定的污染。粉尘呈无组织排放，其产生强度与施工方式、气象条件有关，一般风大时产生粉尘较多，运输车辆引起的扬尘对路边100m范围以内影响较大。道路施工期应加强对运输道路的洒水降尘，做好运输车辆的管理工作，减轻道路扬尘造成的环境空气污染。</w:t>
            </w:r>
          </w:p>
          <w:p w14:paraId="4CB59D51">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尾气主要来源于运输车辆在运行过程中产生的尾气，其中的污染因子主要有NO</w:t>
            </w:r>
            <w:r>
              <w:rPr>
                <w:rFonts w:ascii="Times New Roman" w:hAnsi="Times New Roman" w:eastAsia="宋体" w:cs="Times New Roman"/>
                <w:color w:val="000000" w:themeColor="text1"/>
                <w:sz w:val="24"/>
                <w:vertAlign w:val="subscript"/>
              </w:rPr>
              <w:t>X</w:t>
            </w:r>
            <w:r>
              <w:rPr>
                <w:rFonts w:ascii="Times New Roman" w:hAnsi="Times New Roman" w:eastAsia="宋体" w:cs="Times New Roman"/>
                <w:color w:val="000000" w:themeColor="text1"/>
                <w:sz w:val="24"/>
              </w:rPr>
              <w:t>、CO及CH</w:t>
            </w:r>
            <w:r>
              <w:rPr>
                <w:rFonts w:ascii="Times New Roman" w:hAnsi="Times New Roman" w:eastAsia="宋体" w:cs="Times New Roman"/>
                <w:color w:val="000000" w:themeColor="text1"/>
                <w:sz w:val="24"/>
                <w:vertAlign w:val="subscript"/>
              </w:rPr>
              <w:t>X</w:t>
            </w:r>
            <w:r>
              <w:rPr>
                <w:rFonts w:ascii="Times New Roman" w:hAnsi="Times New Roman" w:eastAsia="宋体" w:cs="Times New Roman"/>
                <w:color w:val="000000" w:themeColor="text1"/>
                <w:sz w:val="24"/>
              </w:rPr>
              <w:t>等。施工期的废气呈无组织间断排放，会对环境空气造成一定影响。</w:t>
            </w:r>
          </w:p>
          <w:p w14:paraId="7BC5A1E7">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（2）废水</w:t>
            </w:r>
          </w:p>
          <w:p w14:paraId="2D34189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①</w:t>
            </w:r>
            <w:r>
              <w:rPr>
                <w:rFonts w:ascii="Times New Roman" w:hAnsi="Times New Roman" w:eastAsia="宋体" w:cs="Times New Roman"/>
                <w:color w:val="000000" w:themeColor="text1"/>
                <w:sz w:val="24"/>
              </w:rPr>
              <w:t>生活废水</w:t>
            </w:r>
          </w:p>
          <w:p w14:paraId="48CBD62F">
            <w:pPr>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项目施工人员为10人，均不在项目区内食宿，施工人员使用厂区厕所，定期委托周边村民清运。</w:t>
            </w:r>
          </w:p>
          <w:p w14:paraId="5C9A8F15">
            <w:pPr>
              <w:spacing w:line="360" w:lineRule="auto"/>
              <w:ind w:firstLine="480" w:firstLineChars="200"/>
              <w:jc w:val="left"/>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②</w:t>
            </w:r>
            <w:r>
              <w:rPr>
                <w:rFonts w:ascii="Times New Roman" w:hAnsi="Times New Roman" w:eastAsia="宋体" w:cs="Times New Roman"/>
                <w:color w:val="000000" w:themeColor="text1"/>
                <w:sz w:val="24"/>
              </w:rPr>
              <w:t>施工废水</w:t>
            </w:r>
          </w:p>
          <w:p w14:paraId="798BACD6">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施工期为2个星期，施工过程现有房屋改造，用水量较少，在与水泥砂浆拌合使用过程中消耗；项目区对已建的房屋厂房内部进行简单装修及改造，并不涉及基坑开挖等建设内容，因此施工废水量较小，施工废水在与水泥砂浆等建材的拌合使用的过程中消耗，无外排施工废水。</w:t>
            </w:r>
          </w:p>
          <w:p w14:paraId="6528A868">
            <w:pPr>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（3）噪声</w:t>
            </w:r>
          </w:p>
          <w:p w14:paraId="7769E26A">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施工期产生的噪声主要来源于设备安装噪声和运输车辆产生的噪声等，产生的噪声具有阶段性、临时性和不固定性。项目施工期施工噪声源强为65~85dB（A）。</w:t>
            </w:r>
          </w:p>
          <w:p w14:paraId="21AB7A6A">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（4）固体废物</w:t>
            </w:r>
          </w:p>
          <w:p w14:paraId="60AD2C3F">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施工过程中固体废物主要来自于现有房屋改造过程中产生的固废和施工人员的生活垃圾等。</w:t>
            </w:r>
          </w:p>
          <w:p w14:paraId="2A5AA28C">
            <w:pPr>
              <w:autoSpaceDE w:val="0"/>
              <w:autoSpaceDN w:val="0"/>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①</w:t>
            </w:r>
            <w:r>
              <w:rPr>
                <w:rFonts w:ascii="Times New Roman" w:hAnsi="Times New Roman" w:eastAsia="宋体" w:cs="Times New Roman"/>
                <w:b/>
                <w:color w:val="000000" w:themeColor="text1"/>
                <w:sz w:val="24"/>
              </w:rPr>
              <w:t>建筑垃圾</w:t>
            </w:r>
          </w:p>
          <w:p w14:paraId="4105D686">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项目施工期约为2个星期，原有房屋内部改造，根据类比同类型项目，每平方米建筑物的建筑垃圾产生量约为0.03t，本项目总建筑面积约为800m</w:t>
            </w:r>
            <w:r>
              <w:rPr>
                <w:rFonts w:ascii="Times New Roman" w:hAnsi="Times New Roman" w:eastAsia="宋体" w:cs="Times New Roman"/>
                <w:color w:val="000000" w:themeColor="text1"/>
                <w:sz w:val="24"/>
                <w:vertAlign w:val="superscript"/>
              </w:rPr>
              <w:t>2</w:t>
            </w:r>
            <w:r>
              <w:rPr>
                <w:rFonts w:ascii="Times New Roman" w:hAnsi="Times New Roman" w:eastAsia="宋体" w:cs="Times New Roman"/>
                <w:color w:val="000000" w:themeColor="text1"/>
                <w:sz w:val="24"/>
              </w:rPr>
              <w:t>，则本项目施工时产生的建筑垃圾</w:t>
            </w:r>
            <w:r>
              <w:rPr>
                <w:rFonts w:hint="eastAsia" w:ascii="Times New Roman" w:hAnsi="Times New Roman" w:eastAsia="宋体" w:cs="Times New Roman"/>
                <w:color w:val="000000" w:themeColor="text1"/>
                <w:sz w:val="24"/>
              </w:rPr>
              <w:t>和土方</w:t>
            </w:r>
            <w:r>
              <w:rPr>
                <w:rFonts w:ascii="Times New Roman" w:hAnsi="Times New Roman" w:eastAsia="宋体" w:cs="Times New Roman"/>
                <w:color w:val="000000" w:themeColor="text1"/>
                <w:sz w:val="24"/>
              </w:rPr>
              <w:t>为24t</w:t>
            </w:r>
            <w:r>
              <w:rPr>
                <w:rFonts w:hint="eastAsia" w:ascii="Times New Roman" w:hAnsi="Times New Roman" w:eastAsia="宋体" w:cs="Times New Roman"/>
                <w:color w:val="000000" w:themeColor="text1"/>
                <w:sz w:val="24"/>
              </w:rPr>
              <w:t>；</w:t>
            </w:r>
          </w:p>
          <w:p w14:paraId="30BB64AD">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hint="eastAsia" w:ascii="Times New Roman" w:hAnsi="Times New Roman" w:eastAsia="宋体" w:cs="Times New Roman"/>
                <w:color w:val="000000" w:themeColor="text1"/>
                <w:sz w:val="24"/>
              </w:rPr>
              <w:t>其中土方就地回填，其余少部分</w:t>
            </w:r>
            <w:r>
              <w:rPr>
                <w:rFonts w:ascii="Times New Roman" w:hAnsi="Times New Roman" w:eastAsia="宋体" w:cs="Times New Roman"/>
                <w:color w:val="000000" w:themeColor="text1"/>
                <w:sz w:val="24"/>
              </w:rPr>
              <w:t>建筑垃圾通过分类集中堆存，其中可再生利用部分回收利用，不能利用的由施工单位及时清运到住建部门制定堆放点，禁止与生活垃圾混合处置，禁止随意丢弃。</w:t>
            </w:r>
          </w:p>
          <w:p w14:paraId="44F1300C">
            <w:pPr>
              <w:autoSpaceDE w:val="0"/>
              <w:autoSpaceDN w:val="0"/>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②</w:t>
            </w:r>
            <w:r>
              <w:rPr>
                <w:rFonts w:ascii="Times New Roman" w:hAnsi="Times New Roman" w:eastAsia="宋体" w:cs="Times New Roman"/>
                <w:b/>
                <w:color w:val="000000" w:themeColor="text1"/>
                <w:sz w:val="24"/>
              </w:rPr>
              <w:t>生活垃圾</w:t>
            </w:r>
          </w:p>
          <w:p w14:paraId="553887A2">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人员不在项目区食宿，产生的生活垃圾很少。项目区每天的最大施工人员约为10人，施工人员产生的生活垃圾根据《第一次全国污染源普查排污系数手册》查得每人每天产生0.56kg固体废物，则施工期产生的生活垃圾量为5.6kg/d，总量约为0.078t。施工期生活垃圾收集由施工单位运至项目区</w:t>
            </w:r>
            <w:r>
              <w:rPr>
                <w:rFonts w:ascii="Times New Roman" w:hAnsi="Times New Roman" w:eastAsia="宋体" w:cs="Times New Roman"/>
                <w:bCs/>
                <w:color w:val="000000" w:themeColor="text1"/>
                <w:sz w:val="24"/>
              </w:rPr>
              <w:t>当连村</w:t>
            </w:r>
            <w:r>
              <w:rPr>
                <w:rFonts w:ascii="Times New Roman" w:hAnsi="Times New Roman" w:eastAsia="宋体" w:cs="Times New Roman"/>
                <w:color w:val="000000" w:themeColor="text1"/>
                <w:sz w:val="24"/>
              </w:rPr>
              <w:t>垃圾收集点处置。</w:t>
            </w:r>
          </w:p>
          <w:p w14:paraId="3F9A5F44">
            <w:pPr>
              <w:adjustRightInd w:val="0"/>
              <w:snapToGrid w:val="0"/>
              <w:spacing w:line="360" w:lineRule="auto"/>
              <w:ind w:firstLine="482"/>
              <w:jc w:val="left"/>
              <w:rPr>
                <w:rFonts w:ascii="Times New Roman" w:hAnsi="Times New Roman" w:eastAsia="宋体" w:cs="Times New Roman"/>
                <w:b/>
                <w:color w:val="000000" w:themeColor="text1"/>
                <w:sz w:val="28"/>
                <w:szCs w:val="28"/>
              </w:rPr>
            </w:pPr>
            <w:r>
              <w:rPr>
                <w:rFonts w:ascii="Times New Roman" w:hAnsi="Times New Roman" w:eastAsia="宋体" w:cs="Times New Roman"/>
                <w:b/>
                <w:color w:val="000000" w:themeColor="text1"/>
                <w:sz w:val="28"/>
                <w:szCs w:val="28"/>
              </w:rPr>
              <w:t>三、运营期主要污染工序</w:t>
            </w:r>
          </w:p>
          <w:p w14:paraId="17E997D3">
            <w:pPr>
              <w:tabs>
                <w:tab w:val="left" w:pos="2395"/>
              </w:tabs>
              <w:spacing w:line="360" w:lineRule="auto"/>
              <w:ind w:left="50" w:right="50"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项目正常运行后有员工</w:t>
            </w:r>
            <w:r>
              <w:rPr>
                <w:rFonts w:hint="eastAsia" w:ascii="Times New Roman" w:hAnsi="Times New Roman" w:eastAsia="宋体" w:cs="Times New Roman"/>
                <w:color w:val="000000" w:themeColor="text1"/>
                <w:sz w:val="24"/>
              </w:rPr>
              <w:t>10</w:t>
            </w:r>
            <w:r>
              <w:rPr>
                <w:rFonts w:ascii="Times New Roman" w:hAnsi="Times New Roman" w:eastAsia="宋体" w:cs="Times New Roman"/>
                <w:color w:val="000000" w:themeColor="text1"/>
                <w:sz w:val="24"/>
              </w:rPr>
              <w:t>人，其中管理人员1人（项目区吃住），其余</w:t>
            </w:r>
            <w:r>
              <w:rPr>
                <w:rFonts w:hint="eastAsia" w:ascii="Times New Roman" w:hAnsi="Times New Roman" w:eastAsia="宋体" w:cs="Times New Roman"/>
                <w:color w:val="000000" w:themeColor="text1"/>
                <w:sz w:val="24"/>
              </w:rPr>
              <w:t>9</w:t>
            </w:r>
            <w:r>
              <w:rPr>
                <w:rFonts w:ascii="Times New Roman" w:hAnsi="Times New Roman" w:eastAsia="宋体" w:cs="Times New Roman"/>
                <w:color w:val="000000" w:themeColor="text1"/>
                <w:sz w:val="24"/>
              </w:rPr>
              <w:t>名员工，均为</w:t>
            </w:r>
            <w:r>
              <w:rPr>
                <w:rFonts w:ascii="Times New Roman" w:hAnsi="Times New Roman" w:eastAsia="宋体" w:cs="Times New Roman"/>
                <w:bCs/>
                <w:color w:val="000000" w:themeColor="text1"/>
                <w:sz w:val="24"/>
              </w:rPr>
              <w:t>附近本村村民，不在项目区住宿、饮食</w:t>
            </w:r>
            <w:r>
              <w:rPr>
                <w:rFonts w:ascii="Times New Roman" w:hAnsi="Times New Roman" w:eastAsia="宋体" w:cs="Times New Roman"/>
                <w:color w:val="000000" w:themeColor="text1"/>
                <w:sz w:val="24"/>
              </w:rPr>
              <w:t>。</w:t>
            </w:r>
          </w:p>
          <w:p w14:paraId="302C47D4">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1、废气产排核算</w:t>
            </w:r>
          </w:p>
          <w:p w14:paraId="63B0EA03">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根据上述，本项目</w:t>
            </w:r>
            <w:r>
              <w:rPr>
                <w:rFonts w:ascii="Times New Roman" w:hAnsi="Times New Roman" w:cs="Times New Roman"/>
                <w:color w:val="000000" w:themeColor="text1"/>
                <w:sz w:val="24"/>
              </w:rPr>
              <w:t>由于采用湿式破碎，因此基本无粉尘产生，</w:t>
            </w:r>
            <w:r>
              <w:rPr>
                <w:rFonts w:ascii="Times New Roman" w:hAnsi="Times New Roman" w:eastAsia="宋体" w:cs="Times New Roman"/>
                <w:color w:val="000000" w:themeColor="text1"/>
                <w:sz w:val="24"/>
              </w:rPr>
              <w:t>废气主要为食堂油烟。</w:t>
            </w:r>
          </w:p>
          <w:p w14:paraId="1C8853CC">
            <w:pPr>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（1）食堂油烟产排核算</w:t>
            </w:r>
          </w:p>
          <w:p w14:paraId="472E48DB">
            <w:pPr>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项目区有食堂，每天提供三餐，规模属于小型，食堂就餐人数约</w:t>
            </w:r>
            <w:r>
              <w:rPr>
                <w:rFonts w:hint="eastAsia" w:ascii="Times New Roman" w:hAnsi="Times New Roman" w:eastAsia="宋体" w:cs="Times New Roman"/>
                <w:color w:val="000000" w:themeColor="text1"/>
                <w:sz w:val="24"/>
              </w:rPr>
              <w:t>10</w:t>
            </w:r>
            <w:r>
              <w:rPr>
                <w:rFonts w:ascii="Times New Roman" w:hAnsi="Times New Roman" w:eastAsia="宋体" w:cs="Times New Roman"/>
                <w:color w:val="000000" w:themeColor="text1"/>
                <w:sz w:val="24"/>
              </w:rPr>
              <w:t>人。按平衡膳食推荐的以每人每天食用25g食用油计算，则用油量为：0.</w:t>
            </w:r>
            <w:r>
              <w:rPr>
                <w:rFonts w:hint="eastAsia" w:ascii="Times New Roman" w:hAnsi="Times New Roman" w:eastAsia="宋体" w:cs="Times New Roman"/>
                <w:color w:val="000000" w:themeColor="text1"/>
                <w:sz w:val="24"/>
              </w:rPr>
              <w:t>25</w:t>
            </w:r>
            <w:r>
              <w:rPr>
                <w:rFonts w:ascii="Times New Roman" w:hAnsi="Times New Roman" w:eastAsia="宋体" w:cs="Times New Roman"/>
                <w:color w:val="000000" w:themeColor="text1"/>
                <w:sz w:val="24"/>
              </w:rPr>
              <w:t>kg/d。</w:t>
            </w:r>
          </w:p>
          <w:p w14:paraId="5D74D75C">
            <w:pPr>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据类比调查，不同的烧炸工况，油烟气中烟气浓度及挥发量均有所不同，油的平均挥发量为总耗油量的2.83%，经估算，本项目食堂产生油烟量约为0.0</w:t>
            </w:r>
            <w:r>
              <w:rPr>
                <w:rFonts w:hint="eastAsia" w:ascii="Times New Roman" w:hAnsi="Times New Roman" w:eastAsia="宋体" w:cs="Times New Roman"/>
                <w:color w:val="000000" w:themeColor="text1"/>
                <w:sz w:val="24"/>
              </w:rPr>
              <w:t>7</w:t>
            </w:r>
            <w:r>
              <w:rPr>
                <w:rFonts w:ascii="Times New Roman" w:hAnsi="Times New Roman" w:eastAsia="宋体" w:cs="Times New Roman"/>
                <w:color w:val="000000" w:themeColor="text1"/>
                <w:sz w:val="24"/>
              </w:rPr>
              <w:t>kg/d，0.</w:t>
            </w:r>
            <w:r>
              <w:rPr>
                <w:rFonts w:hint="eastAsia" w:ascii="Times New Roman" w:hAnsi="Times New Roman" w:eastAsia="宋体" w:cs="Times New Roman"/>
                <w:color w:val="000000" w:themeColor="text1"/>
                <w:sz w:val="24"/>
              </w:rPr>
              <w:t>14</w:t>
            </w:r>
            <w:r>
              <w:rPr>
                <w:rFonts w:ascii="Times New Roman" w:hAnsi="Times New Roman" w:eastAsia="宋体" w:cs="Times New Roman"/>
                <w:color w:val="000000" w:themeColor="text1"/>
                <w:sz w:val="24"/>
              </w:rPr>
              <w:t>t/a，高峰时段以6小时计，油烟产生量约为0.00</w:t>
            </w:r>
            <w:r>
              <w:rPr>
                <w:rFonts w:hint="eastAsia" w:ascii="Times New Roman" w:hAnsi="Times New Roman" w:eastAsia="宋体" w:cs="Times New Roman"/>
                <w:color w:val="000000" w:themeColor="text1"/>
                <w:sz w:val="24"/>
              </w:rPr>
              <w:t>1</w:t>
            </w:r>
            <w:r>
              <w:rPr>
                <w:rFonts w:ascii="Times New Roman" w:hAnsi="Times New Roman" w:eastAsia="宋体" w:cs="Times New Roman"/>
                <w:color w:val="000000" w:themeColor="text1"/>
                <w:sz w:val="24"/>
              </w:rPr>
              <w:t>kg/h</w:t>
            </w:r>
            <w:r>
              <w:rPr>
                <w:rFonts w:hint="eastAsia" w:ascii="Times New Roman" w:hAnsi="Times New Roman" w:eastAsia="宋体" w:cs="Times New Roman"/>
                <w:color w:val="000000" w:themeColor="text1"/>
                <w:sz w:val="24"/>
              </w:rPr>
              <w:t>，产生量较少。</w:t>
            </w:r>
          </w:p>
          <w:p w14:paraId="3181DA37">
            <w:pPr>
              <w:adjustRightInd w:val="0"/>
              <w:snapToGrid w:val="0"/>
              <w:spacing w:line="360" w:lineRule="auto"/>
              <w:ind w:firstLine="482" w:firstLineChars="200"/>
              <w:rPr>
                <w:rFonts w:ascii="Times New Roman" w:hAnsi="Times New Roman" w:eastAsia="宋体" w:cs="Times New Roman"/>
                <w:b/>
                <w:color w:val="000000" w:themeColor="text1"/>
                <w:sz w:val="24"/>
                <w:szCs w:val="20"/>
              </w:rPr>
            </w:pPr>
            <w:r>
              <w:rPr>
                <w:rFonts w:ascii="Times New Roman" w:hAnsi="Times New Roman" w:eastAsia="宋体" w:cs="Times New Roman"/>
                <w:b/>
                <w:color w:val="000000" w:themeColor="text1"/>
                <w:sz w:val="24"/>
                <w:szCs w:val="20"/>
              </w:rPr>
              <w:t>（2）汽车废气</w:t>
            </w:r>
          </w:p>
          <w:p w14:paraId="36C27012">
            <w:pPr>
              <w:autoSpaceDE w:val="0"/>
              <w:autoSpaceDN w:val="0"/>
              <w:adjustRightInd w:val="0"/>
              <w:snapToGrid w:val="0"/>
              <w:spacing w:line="360" w:lineRule="auto"/>
              <w:ind w:firstLine="480" w:firstLineChars="200"/>
              <w:rPr>
                <w:rFonts w:ascii="Times New Roman" w:hAnsi="Times New Roman" w:eastAsia="宋体" w:cs="Times New Roman"/>
                <w:color w:val="000000" w:themeColor="text1"/>
                <w:sz w:val="24"/>
                <w:szCs w:val="20"/>
              </w:rPr>
            </w:pPr>
            <w:r>
              <w:rPr>
                <w:rFonts w:ascii="Times New Roman" w:hAnsi="Times New Roman" w:eastAsia="宋体" w:cs="Times New Roman"/>
                <w:color w:val="000000" w:themeColor="text1"/>
                <w:sz w:val="24"/>
                <w:szCs w:val="20"/>
              </w:rPr>
              <w:t>汽车排放的废气主要集中于停车场，本项目不设地下停车场，在汽车的启动和停放过程中产生，废气中主要污染物为CO、HC、NO</w:t>
            </w:r>
            <w:r>
              <w:rPr>
                <w:rFonts w:ascii="Times New Roman" w:hAnsi="Times New Roman" w:eastAsia="宋体" w:cs="Times New Roman"/>
                <w:color w:val="000000" w:themeColor="text1"/>
                <w:sz w:val="24"/>
                <w:szCs w:val="20"/>
                <w:vertAlign w:val="subscript"/>
              </w:rPr>
              <w:t>x</w:t>
            </w:r>
            <w:r>
              <w:rPr>
                <w:rFonts w:ascii="Times New Roman" w:hAnsi="Times New Roman" w:eastAsia="宋体" w:cs="Times New Roman"/>
                <w:color w:val="000000" w:themeColor="text1"/>
                <w:sz w:val="24"/>
                <w:szCs w:val="20"/>
              </w:rPr>
              <w:t xml:space="preserve">等。 </w:t>
            </w:r>
          </w:p>
          <w:p w14:paraId="08D2320E">
            <w:pPr>
              <w:adjustRightInd w:val="0"/>
              <w:snapToGrid w:val="0"/>
              <w:spacing w:line="360" w:lineRule="auto"/>
              <w:ind w:firstLine="479" w:firstLineChars="199"/>
              <w:rPr>
                <w:rFonts w:ascii="Times New Roman" w:hAnsi="Times New Roman" w:eastAsia="宋体" w:cs="Times New Roman"/>
                <w:b/>
                <w:color w:val="000000" w:themeColor="text1"/>
                <w:sz w:val="24"/>
                <w:szCs w:val="20"/>
              </w:rPr>
            </w:pPr>
            <w:r>
              <w:rPr>
                <w:rFonts w:ascii="Times New Roman" w:hAnsi="Times New Roman" w:eastAsia="宋体" w:cs="Times New Roman"/>
                <w:b/>
                <w:color w:val="000000" w:themeColor="text1"/>
                <w:sz w:val="24"/>
                <w:szCs w:val="20"/>
              </w:rPr>
              <w:t>（3）</w:t>
            </w:r>
            <w:r>
              <w:rPr>
                <w:rFonts w:hint="eastAsia" w:ascii="Times New Roman" w:hAnsi="Times New Roman" w:eastAsia="宋体" w:cs="Times New Roman"/>
                <w:b/>
                <w:color w:val="000000" w:themeColor="text1"/>
                <w:sz w:val="24"/>
                <w:szCs w:val="20"/>
              </w:rPr>
              <w:t>生活垃圾</w:t>
            </w:r>
            <w:r>
              <w:rPr>
                <w:rFonts w:ascii="Times New Roman" w:hAnsi="Times New Roman" w:eastAsia="宋体" w:cs="Times New Roman"/>
                <w:b/>
                <w:color w:val="000000" w:themeColor="text1"/>
                <w:sz w:val="24"/>
                <w:szCs w:val="20"/>
              </w:rPr>
              <w:t>异味</w:t>
            </w:r>
          </w:p>
          <w:p w14:paraId="650D851E">
            <w:pPr>
              <w:adjustRightInd w:val="0"/>
              <w:snapToGrid w:val="0"/>
              <w:spacing w:line="360" w:lineRule="auto"/>
              <w:ind w:firstLine="480" w:firstLineChars="200"/>
              <w:rPr>
                <w:rFonts w:ascii="Times New Roman" w:hAnsi="Times New Roman" w:eastAsia="宋体" w:cs="Times New Roman"/>
                <w:color w:val="000000" w:themeColor="text1"/>
                <w:sz w:val="24"/>
                <w:szCs w:val="20"/>
              </w:rPr>
            </w:pPr>
            <w:r>
              <w:rPr>
                <w:rFonts w:ascii="Times New Roman" w:hAnsi="Times New Roman" w:eastAsia="宋体" w:cs="Times New Roman"/>
                <w:color w:val="000000" w:themeColor="text1"/>
                <w:sz w:val="24"/>
                <w:szCs w:val="20"/>
              </w:rPr>
              <w:t>项目生活垃圾采用活动室垃圾桶收集，会产生一定异味。</w:t>
            </w:r>
          </w:p>
          <w:p w14:paraId="5C62F16A">
            <w:pPr>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2、废水产排核算</w:t>
            </w:r>
          </w:p>
          <w:p w14:paraId="25C94D1E">
            <w:pPr>
              <w:spacing w:line="360" w:lineRule="auto"/>
              <w:ind w:firstLine="482" w:firstLineChars="200"/>
              <w:jc w:val="left"/>
              <w:rPr>
                <w:rFonts w:ascii="Times New Roman" w:hAnsi="Times New Roman" w:cs="Times New Roman"/>
                <w:b/>
                <w:color w:val="000000" w:themeColor="text1"/>
                <w:kern w:val="0"/>
                <w:sz w:val="24"/>
              </w:rPr>
            </w:pPr>
            <w:r>
              <w:rPr>
                <w:rFonts w:ascii="Times New Roman" w:hAnsi="Times New Roman" w:cs="Times New Roman"/>
                <w:b/>
                <w:color w:val="000000" w:themeColor="text1"/>
                <w:kern w:val="0"/>
                <w:sz w:val="24"/>
              </w:rPr>
              <w:t>2.1、生产废水产排核算</w:t>
            </w:r>
          </w:p>
          <w:p w14:paraId="6826163C">
            <w:pPr>
              <w:spacing w:line="360" w:lineRule="auto"/>
              <w:ind w:firstLine="480" w:firstLineChars="200"/>
              <w:jc w:val="left"/>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经类比《河源宏彩塑料制品有限公司年加工7.8万吨废塑料项目》，清洗一吨塑料需要用水0.</w:t>
            </w:r>
            <w:r>
              <w:rPr>
                <w:rFonts w:hint="eastAsia" w:ascii="Times New Roman" w:hAnsi="Times New Roman" w:cs="Times New Roman"/>
                <w:color w:val="000000" w:themeColor="text1"/>
                <w:kern w:val="0"/>
                <w:sz w:val="24"/>
              </w:rPr>
              <w:t>7</w:t>
            </w:r>
            <w:r>
              <w:rPr>
                <w:rFonts w:ascii="Times New Roman" w:hAnsi="Times New Roman" w:cs="Times New Roman"/>
                <w:color w:val="000000" w:themeColor="text1"/>
                <w:kern w:val="0"/>
                <w:sz w:val="24"/>
              </w:rPr>
              <w:t>t，破碎1吨塑料需要0.</w:t>
            </w:r>
            <w:r>
              <w:rPr>
                <w:rFonts w:hint="eastAsia" w:ascii="Times New Roman" w:hAnsi="Times New Roman" w:cs="Times New Roman"/>
                <w:color w:val="000000" w:themeColor="text1"/>
                <w:kern w:val="0"/>
                <w:sz w:val="24"/>
              </w:rPr>
              <w:t>2</w:t>
            </w:r>
            <w:r>
              <w:rPr>
                <w:rFonts w:ascii="Times New Roman" w:hAnsi="Times New Roman" w:cs="Times New Roman"/>
                <w:color w:val="000000" w:themeColor="text1"/>
                <w:kern w:val="0"/>
                <w:sz w:val="24"/>
              </w:rPr>
              <w:t>t。其中，清洗过程中由于水温较高，损耗按30%计；破碎甩干过程损耗按10%计；</w:t>
            </w:r>
          </w:p>
          <w:p w14:paraId="43B99859">
            <w:pPr>
              <w:spacing w:line="360" w:lineRule="auto"/>
              <w:ind w:firstLine="480" w:firstLineChars="200"/>
              <w:jc w:val="left"/>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本项目清洗、破碎（甩干）废水经</w:t>
            </w:r>
            <w:r>
              <w:rPr>
                <w:rFonts w:hint="eastAsia" w:ascii="Times New Roman" w:hAnsi="Times New Roman" w:eastAsia="宋体" w:cs="Times New Roman"/>
                <w:bCs/>
                <w:color w:val="000000" w:themeColor="text1"/>
                <w:sz w:val="24"/>
              </w:rPr>
              <w:t>隔油池+沉淀池</w:t>
            </w:r>
            <w:bookmarkStart w:id="3" w:name="_GoBack"/>
            <w:bookmarkEnd w:id="3"/>
            <w:r>
              <w:rPr>
                <w:rFonts w:ascii="Times New Roman" w:hAnsi="Times New Roman" w:cs="Times New Roman"/>
                <w:color w:val="000000" w:themeColor="text1"/>
                <w:kern w:val="0"/>
                <w:sz w:val="24"/>
              </w:rPr>
              <w:t>处理后，循环使用，不外排。</w:t>
            </w:r>
          </w:p>
          <w:p w14:paraId="32A62F19">
            <w:pPr>
              <w:spacing w:line="360" w:lineRule="auto"/>
              <w:ind w:firstLine="480" w:firstLineChars="200"/>
              <w:jc w:val="left"/>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综上，本项目清洗环节用水量为</w:t>
            </w:r>
            <w:r>
              <w:rPr>
                <w:rFonts w:hint="eastAsia" w:ascii="Times New Roman" w:hAnsi="Times New Roman" w:cs="Times New Roman"/>
                <w:color w:val="000000" w:themeColor="text1"/>
                <w:kern w:val="0"/>
                <w:sz w:val="24"/>
              </w:rPr>
              <w:t>70</w:t>
            </w:r>
            <w:r>
              <w:rPr>
                <w:rFonts w:ascii="Times New Roman" w:hAnsi="Times New Roman" w:cs="Times New Roman"/>
                <w:color w:val="000000" w:themeColor="text1"/>
                <w:kern w:val="0"/>
                <w:sz w:val="24"/>
              </w:rPr>
              <w:t>m</w:t>
            </w:r>
            <w:r>
              <w:rPr>
                <w:rFonts w:ascii="Times New Roman" w:hAnsi="Times New Roman" w:cs="Times New Roman"/>
                <w:color w:val="000000" w:themeColor="text1"/>
                <w:kern w:val="0"/>
                <w:sz w:val="24"/>
                <w:vertAlign w:val="superscript"/>
              </w:rPr>
              <w:t>3</w:t>
            </w:r>
            <w:r>
              <w:rPr>
                <w:rFonts w:ascii="Times New Roman" w:hAnsi="Times New Roman" w:cs="Times New Roman"/>
                <w:color w:val="000000" w:themeColor="text1"/>
                <w:kern w:val="0"/>
                <w:sz w:val="24"/>
              </w:rPr>
              <w:t>/d（每天清洗塑料量为10</w:t>
            </w:r>
            <w:r>
              <w:rPr>
                <w:rFonts w:hint="eastAsia" w:ascii="Times New Roman" w:hAnsi="Times New Roman" w:cs="Times New Roman"/>
                <w:color w:val="000000" w:themeColor="text1"/>
                <w:kern w:val="0"/>
                <w:sz w:val="24"/>
              </w:rPr>
              <w:t>0</w:t>
            </w:r>
            <w:r>
              <w:rPr>
                <w:rFonts w:ascii="Times New Roman" w:hAnsi="Times New Roman" w:cs="Times New Roman"/>
                <w:color w:val="000000" w:themeColor="text1"/>
                <w:kern w:val="0"/>
                <w:sz w:val="24"/>
              </w:rPr>
              <w:t>t/d），排水量为</w:t>
            </w:r>
            <w:r>
              <w:rPr>
                <w:rFonts w:hint="eastAsia" w:ascii="Times New Roman" w:hAnsi="Times New Roman" w:cs="Times New Roman"/>
                <w:color w:val="000000" w:themeColor="text1"/>
                <w:kern w:val="0"/>
                <w:sz w:val="24"/>
              </w:rPr>
              <w:t>49</w:t>
            </w:r>
            <w:r>
              <w:rPr>
                <w:rFonts w:ascii="Times New Roman" w:hAnsi="Times New Roman" w:cs="Times New Roman"/>
                <w:color w:val="000000" w:themeColor="text1"/>
                <w:kern w:val="0"/>
                <w:sz w:val="24"/>
              </w:rPr>
              <w:t xml:space="preserve"> m</w:t>
            </w:r>
            <w:r>
              <w:rPr>
                <w:rFonts w:ascii="Times New Roman" w:hAnsi="Times New Roman" w:cs="Times New Roman"/>
                <w:color w:val="000000" w:themeColor="text1"/>
                <w:kern w:val="0"/>
                <w:sz w:val="24"/>
                <w:vertAlign w:val="superscript"/>
              </w:rPr>
              <w:t>3</w:t>
            </w:r>
            <w:r>
              <w:rPr>
                <w:rFonts w:ascii="Times New Roman" w:hAnsi="Times New Roman" w:cs="Times New Roman"/>
                <w:color w:val="000000" w:themeColor="text1"/>
                <w:kern w:val="0"/>
                <w:sz w:val="24"/>
              </w:rPr>
              <w:t>/d；</w:t>
            </w:r>
          </w:p>
          <w:p w14:paraId="459046AC">
            <w:pPr>
              <w:spacing w:line="360" w:lineRule="auto"/>
              <w:ind w:firstLine="480" w:firstLineChars="200"/>
              <w:jc w:val="left"/>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破碎过程用水量为</w:t>
            </w:r>
            <w:r>
              <w:rPr>
                <w:rFonts w:hint="eastAsia" w:ascii="Times New Roman" w:hAnsi="Times New Roman" w:cs="Times New Roman"/>
                <w:color w:val="000000" w:themeColor="text1"/>
                <w:kern w:val="0"/>
                <w:sz w:val="24"/>
              </w:rPr>
              <w:t>20</w:t>
            </w:r>
            <w:r>
              <w:rPr>
                <w:rFonts w:ascii="Times New Roman" w:hAnsi="Times New Roman" w:cs="Times New Roman"/>
                <w:color w:val="000000" w:themeColor="text1"/>
                <w:kern w:val="0"/>
                <w:sz w:val="24"/>
              </w:rPr>
              <w:t>m</w:t>
            </w:r>
            <w:r>
              <w:rPr>
                <w:rFonts w:ascii="Times New Roman" w:hAnsi="Times New Roman" w:cs="Times New Roman"/>
                <w:color w:val="000000" w:themeColor="text1"/>
                <w:kern w:val="0"/>
                <w:sz w:val="24"/>
                <w:vertAlign w:val="superscript"/>
              </w:rPr>
              <w:t>3</w:t>
            </w:r>
            <w:r>
              <w:rPr>
                <w:rFonts w:ascii="Times New Roman" w:hAnsi="Times New Roman" w:cs="Times New Roman"/>
                <w:color w:val="000000" w:themeColor="text1"/>
                <w:kern w:val="0"/>
                <w:sz w:val="24"/>
              </w:rPr>
              <w:t>/d（每天破碎塑料量为10</w:t>
            </w:r>
            <w:r>
              <w:rPr>
                <w:rFonts w:hint="eastAsia" w:ascii="Times New Roman" w:hAnsi="Times New Roman" w:cs="Times New Roman"/>
                <w:color w:val="000000" w:themeColor="text1"/>
                <w:kern w:val="0"/>
                <w:sz w:val="24"/>
              </w:rPr>
              <w:t>0</w:t>
            </w:r>
            <w:r>
              <w:rPr>
                <w:rFonts w:ascii="Times New Roman" w:hAnsi="Times New Roman" w:cs="Times New Roman"/>
                <w:color w:val="000000" w:themeColor="text1"/>
                <w:kern w:val="0"/>
                <w:sz w:val="24"/>
              </w:rPr>
              <w:t>t/d），排水量为</w:t>
            </w:r>
            <w:r>
              <w:rPr>
                <w:rFonts w:hint="eastAsia" w:ascii="Times New Roman" w:hAnsi="Times New Roman" w:cs="Times New Roman"/>
                <w:color w:val="000000" w:themeColor="text1"/>
                <w:kern w:val="0"/>
                <w:sz w:val="24"/>
              </w:rPr>
              <w:t>18</w:t>
            </w:r>
            <w:r>
              <w:rPr>
                <w:rFonts w:ascii="Times New Roman" w:hAnsi="Times New Roman" w:cs="Times New Roman"/>
                <w:color w:val="000000" w:themeColor="text1"/>
                <w:kern w:val="0"/>
                <w:sz w:val="24"/>
              </w:rPr>
              <w:t>m</w:t>
            </w:r>
            <w:r>
              <w:rPr>
                <w:rFonts w:ascii="Times New Roman" w:hAnsi="Times New Roman" w:cs="Times New Roman"/>
                <w:color w:val="000000" w:themeColor="text1"/>
                <w:kern w:val="0"/>
                <w:sz w:val="24"/>
                <w:vertAlign w:val="superscript"/>
              </w:rPr>
              <w:t>3</w:t>
            </w:r>
            <w:r>
              <w:rPr>
                <w:rFonts w:ascii="Times New Roman" w:hAnsi="Times New Roman" w:cs="Times New Roman"/>
                <w:color w:val="000000" w:themeColor="text1"/>
                <w:kern w:val="0"/>
                <w:sz w:val="24"/>
              </w:rPr>
              <w:t>/d；</w:t>
            </w:r>
          </w:p>
          <w:p w14:paraId="2A7BC00D">
            <w:pPr>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2.2、生活污水产排核算</w:t>
            </w:r>
          </w:p>
          <w:p w14:paraId="1E5F1389">
            <w:pPr>
              <w:adjustRightInd w:val="0"/>
              <w:spacing w:line="360" w:lineRule="auto"/>
              <w:ind w:firstLine="480" w:firstLineChars="200"/>
              <w:jc w:val="left"/>
              <w:rPr>
                <w:rFonts w:ascii="Times New Roman" w:hAnsi="Times New Roman" w:cs="Times New Roman"/>
                <w:color w:val="000000" w:themeColor="text1"/>
                <w:sz w:val="24"/>
              </w:rPr>
            </w:pPr>
            <w:r>
              <w:rPr>
                <w:rFonts w:ascii="Times New Roman" w:hAnsi="Times New Roman" w:eastAsia="宋体" w:cs="Times New Roman"/>
                <w:snapToGrid w:val="0"/>
                <w:color w:val="000000" w:themeColor="text1"/>
                <w:kern w:val="0"/>
                <w:sz w:val="24"/>
                <w:szCs w:val="20"/>
              </w:rPr>
              <w:t>本项目根据建设单位提供的资料，正常运营后，工作人员约</w:t>
            </w:r>
            <w:r>
              <w:rPr>
                <w:rFonts w:hint="eastAsia" w:ascii="Times New Roman" w:hAnsi="Times New Roman" w:eastAsia="宋体" w:cs="Times New Roman"/>
                <w:snapToGrid w:val="0"/>
                <w:color w:val="000000" w:themeColor="text1"/>
                <w:kern w:val="0"/>
                <w:sz w:val="24"/>
                <w:szCs w:val="20"/>
              </w:rPr>
              <w:t>10</w:t>
            </w:r>
            <w:r>
              <w:rPr>
                <w:rFonts w:ascii="Times New Roman" w:hAnsi="Times New Roman" w:eastAsia="宋体" w:cs="Times New Roman"/>
                <w:snapToGrid w:val="0"/>
                <w:color w:val="000000" w:themeColor="text1"/>
                <w:kern w:val="0"/>
                <w:sz w:val="24"/>
                <w:szCs w:val="20"/>
              </w:rPr>
              <w:t>人</w:t>
            </w:r>
            <w:r>
              <w:rPr>
                <w:rFonts w:hint="eastAsia" w:ascii="Times New Roman" w:hAnsi="Times New Roman" w:eastAsia="宋体" w:cs="Times New Roman"/>
                <w:snapToGrid w:val="0"/>
                <w:color w:val="000000" w:themeColor="text1"/>
                <w:kern w:val="0"/>
                <w:sz w:val="24"/>
                <w:szCs w:val="20"/>
              </w:rPr>
              <w:t>，</w:t>
            </w:r>
            <w:r>
              <w:rPr>
                <w:rFonts w:hint="eastAsia" w:ascii="Times New Roman" w:hAnsi="Times New Roman" w:cs="Times New Roman"/>
                <w:color w:val="000000" w:themeColor="text1"/>
                <w:sz w:val="24"/>
              </w:rPr>
              <w:t>9</w:t>
            </w:r>
            <w:r>
              <w:rPr>
                <w:rFonts w:ascii="Times New Roman" w:hAnsi="Times New Roman" w:cs="Times New Roman"/>
                <w:color w:val="000000" w:themeColor="text1"/>
                <w:sz w:val="24"/>
              </w:rPr>
              <w:t>人不在</w:t>
            </w:r>
            <w:r>
              <w:rPr>
                <w:rFonts w:ascii="Times New Roman" w:hAnsi="Times New Roman" w:cs="Times New Roman"/>
                <w:bCs/>
                <w:color w:val="000000" w:themeColor="text1"/>
                <w:sz w:val="24"/>
              </w:rPr>
              <w:t>项目区住宿，1人夜间看守住宿，全部</w:t>
            </w:r>
            <w:r>
              <w:rPr>
                <w:rFonts w:hint="eastAsia" w:ascii="Times New Roman" w:hAnsi="Times New Roman" w:cs="Times New Roman"/>
                <w:bCs/>
                <w:color w:val="000000" w:themeColor="text1"/>
                <w:sz w:val="24"/>
              </w:rPr>
              <w:t>10名</w:t>
            </w:r>
            <w:r>
              <w:rPr>
                <w:rFonts w:ascii="Times New Roman" w:hAnsi="Times New Roman" w:cs="Times New Roman"/>
                <w:bCs/>
                <w:color w:val="000000" w:themeColor="text1"/>
                <w:sz w:val="24"/>
              </w:rPr>
              <w:t>员工在项目饮食</w:t>
            </w:r>
            <w:r>
              <w:rPr>
                <w:rFonts w:ascii="Times New Roman" w:hAnsi="Times New Roman" w:cs="Times New Roman"/>
                <w:color w:val="000000" w:themeColor="text1"/>
                <w:sz w:val="24"/>
              </w:rPr>
              <w:t>。</w:t>
            </w:r>
          </w:p>
          <w:p w14:paraId="05340DD3">
            <w:pPr>
              <w:adjustRightInd w:val="0"/>
              <w:spacing w:line="360" w:lineRule="auto"/>
              <w:ind w:firstLine="482" w:firstLineChars="200"/>
              <w:jc w:val="left"/>
              <w:rPr>
                <w:rFonts w:ascii="Times New Roman" w:hAnsi="Times New Roman" w:cs="Times New Roman"/>
                <w:b/>
                <w:color w:val="000000" w:themeColor="text1"/>
                <w:sz w:val="24"/>
              </w:rPr>
            </w:pPr>
            <w:r>
              <w:rPr>
                <w:rFonts w:hint="eastAsia" w:ascii="Times New Roman" w:hAnsi="Times New Roman" w:cs="Times New Roman"/>
                <w:b/>
                <w:color w:val="000000" w:themeColor="text1"/>
                <w:sz w:val="24"/>
              </w:rPr>
              <w:t>（1）</w:t>
            </w:r>
            <w:r>
              <w:rPr>
                <w:rFonts w:ascii="Times New Roman" w:hAnsi="Times New Roman" w:cs="Times New Roman"/>
                <w:b/>
                <w:color w:val="000000" w:themeColor="text1"/>
                <w:sz w:val="24"/>
              </w:rPr>
              <w:t>住宿、办公</w:t>
            </w:r>
            <w:r>
              <w:rPr>
                <w:rFonts w:hint="eastAsia" w:ascii="Times New Roman" w:hAnsi="Times New Roman" w:cs="Times New Roman"/>
                <w:b/>
                <w:color w:val="000000" w:themeColor="text1"/>
                <w:sz w:val="24"/>
              </w:rPr>
              <w:t>用排水核算</w:t>
            </w:r>
          </w:p>
          <w:p w14:paraId="1B47D139">
            <w:pPr>
              <w:adjustRightInd w:val="0"/>
              <w:spacing w:line="360" w:lineRule="auto"/>
              <w:ind w:firstLine="482"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不住宿</w:t>
            </w:r>
            <w:r>
              <w:rPr>
                <w:rFonts w:hint="eastAsia" w:ascii="Times New Roman" w:hAnsi="Times New Roman" w:eastAsia="宋体" w:cs="Times New Roman"/>
                <w:b/>
                <w:snapToGrid w:val="0"/>
                <w:color w:val="000000" w:themeColor="text1"/>
                <w:kern w:val="0"/>
                <w:sz w:val="24"/>
                <w:szCs w:val="20"/>
              </w:rPr>
              <w:t>员工用排水：</w:t>
            </w:r>
            <w:r>
              <w:rPr>
                <w:rFonts w:ascii="Times New Roman" w:hAnsi="Times New Roman" w:eastAsia="宋体" w:cs="Times New Roman"/>
                <w:snapToGrid w:val="0"/>
                <w:color w:val="000000" w:themeColor="text1"/>
                <w:kern w:val="0"/>
                <w:sz w:val="24"/>
                <w:szCs w:val="20"/>
              </w:rPr>
              <w:t>员工</w:t>
            </w:r>
            <w:r>
              <w:rPr>
                <w:rFonts w:hint="eastAsia" w:ascii="Times New Roman" w:hAnsi="Times New Roman" w:eastAsia="宋体" w:cs="Times New Roman"/>
                <w:snapToGrid w:val="0"/>
                <w:color w:val="000000" w:themeColor="text1"/>
                <w:kern w:val="0"/>
                <w:sz w:val="24"/>
                <w:szCs w:val="20"/>
              </w:rPr>
              <w:t>9</w:t>
            </w:r>
            <w:r>
              <w:rPr>
                <w:rFonts w:ascii="Times New Roman" w:hAnsi="Times New Roman" w:eastAsia="宋体" w:cs="Times New Roman"/>
                <w:snapToGrid w:val="0"/>
                <w:color w:val="000000" w:themeColor="text1"/>
                <w:kern w:val="0"/>
                <w:sz w:val="24"/>
                <w:szCs w:val="20"/>
              </w:rPr>
              <w:t>人不在项目区住宿，用水量按</w:t>
            </w:r>
            <w:r>
              <w:rPr>
                <w:rFonts w:hint="eastAsia" w:ascii="Times New Roman" w:hAnsi="Times New Roman" w:eastAsia="宋体" w:cs="Times New Roman"/>
                <w:snapToGrid w:val="0"/>
                <w:color w:val="000000" w:themeColor="text1"/>
                <w:kern w:val="0"/>
                <w:sz w:val="24"/>
                <w:szCs w:val="20"/>
              </w:rPr>
              <w:t>3</w:t>
            </w:r>
            <w:r>
              <w:rPr>
                <w:rFonts w:ascii="Times New Roman" w:hAnsi="Times New Roman" w:eastAsia="宋体" w:cs="Times New Roman"/>
                <w:snapToGrid w:val="0"/>
                <w:color w:val="000000" w:themeColor="text1"/>
                <w:kern w:val="0"/>
                <w:sz w:val="24"/>
                <w:szCs w:val="20"/>
              </w:rPr>
              <w:t>0L/（人.天）计，用水量为0.</w:t>
            </w:r>
            <w:r>
              <w:rPr>
                <w:rFonts w:hint="eastAsia" w:ascii="Times New Roman" w:hAnsi="Times New Roman" w:eastAsia="宋体" w:cs="Times New Roman"/>
                <w:snapToGrid w:val="0"/>
                <w:color w:val="000000" w:themeColor="text1"/>
                <w:kern w:val="0"/>
                <w:sz w:val="24"/>
                <w:szCs w:val="20"/>
              </w:rPr>
              <w:t>27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/d，排水量按用水量的80%计，为0.</w:t>
            </w:r>
            <w:r>
              <w:rPr>
                <w:rFonts w:hint="eastAsia" w:ascii="Times New Roman" w:hAnsi="Times New Roman" w:eastAsia="宋体" w:cs="Times New Roman"/>
                <w:snapToGrid w:val="0"/>
                <w:color w:val="000000" w:themeColor="text1"/>
                <w:kern w:val="0"/>
                <w:sz w:val="24"/>
                <w:szCs w:val="20"/>
              </w:rPr>
              <w:t>2</w:t>
            </w:r>
            <w:r>
              <w:rPr>
                <w:rFonts w:ascii="Times New Roman" w:hAnsi="Times New Roman" w:eastAsia="宋体" w:cs="Times New Roman"/>
                <w:snapToGrid w:val="0"/>
                <w:color w:val="000000" w:themeColor="text1"/>
                <w:kern w:val="0"/>
                <w:sz w:val="24"/>
                <w:szCs w:val="20"/>
              </w:rPr>
              <w:t>16m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p>
          <w:p w14:paraId="651DF363">
            <w:pPr>
              <w:adjustRightInd w:val="0"/>
              <w:spacing w:line="360" w:lineRule="auto"/>
              <w:ind w:firstLine="482"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住宿</w:t>
            </w:r>
            <w:r>
              <w:rPr>
                <w:rFonts w:hint="eastAsia" w:ascii="Times New Roman" w:hAnsi="Times New Roman" w:eastAsia="宋体" w:cs="Times New Roman"/>
                <w:b/>
                <w:snapToGrid w:val="0"/>
                <w:color w:val="000000" w:themeColor="text1"/>
                <w:kern w:val="0"/>
                <w:sz w:val="24"/>
                <w:szCs w:val="20"/>
              </w:rPr>
              <w:t>员工用排水：</w:t>
            </w:r>
            <w:r>
              <w:rPr>
                <w:rFonts w:ascii="Times New Roman" w:hAnsi="Times New Roman" w:eastAsia="宋体" w:cs="Times New Roman"/>
                <w:snapToGrid w:val="0"/>
                <w:color w:val="000000" w:themeColor="text1"/>
                <w:kern w:val="0"/>
                <w:sz w:val="24"/>
                <w:szCs w:val="20"/>
              </w:rPr>
              <w:t>1名管理人员用水量按</w:t>
            </w:r>
            <w:r>
              <w:rPr>
                <w:rFonts w:hint="eastAsia" w:ascii="Times New Roman" w:hAnsi="Times New Roman" w:eastAsia="宋体" w:cs="Times New Roman"/>
                <w:snapToGrid w:val="0"/>
                <w:color w:val="000000" w:themeColor="text1"/>
                <w:kern w:val="0"/>
                <w:sz w:val="24"/>
                <w:szCs w:val="20"/>
              </w:rPr>
              <w:t>9</w:t>
            </w:r>
            <w:r>
              <w:rPr>
                <w:rFonts w:ascii="Times New Roman" w:hAnsi="Times New Roman" w:eastAsia="宋体" w:cs="Times New Roman"/>
                <w:snapToGrid w:val="0"/>
                <w:color w:val="000000" w:themeColor="text1"/>
                <w:kern w:val="0"/>
                <w:sz w:val="24"/>
                <w:szCs w:val="20"/>
              </w:rPr>
              <w:t>0L/（人.天）计，用水量为0.</w:t>
            </w:r>
            <w:r>
              <w:rPr>
                <w:rFonts w:hint="eastAsia" w:ascii="Times New Roman" w:hAnsi="Times New Roman" w:eastAsia="宋体" w:cs="Times New Roman"/>
                <w:snapToGrid w:val="0"/>
                <w:color w:val="000000" w:themeColor="text1"/>
                <w:kern w:val="0"/>
                <w:sz w:val="24"/>
                <w:szCs w:val="20"/>
              </w:rPr>
              <w:t>09</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/d，排水量按用水量的80%计，为0.0</w:t>
            </w:r>
            <w:r>
              <w:rPr>
                <w:rFonts w:hint="eastAsia" w:ascii="Times New Roman" w:hAnsi="Times New Roman" w:eastAsia="宋体" w:cs="Times New Roman"/>
                <w:snapToGrid w:val="0"/>
                <w:color w:val="000000" w:themeColor="text1"/>
                <w:kern w:val="0"/>
                <w:sz w:val="24"/>
                <w:szCs w:val="20"/>
              </w:rPr>
              <w:t>81</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r>
              <w:rPr>
                <w:rFonts w:hint="eastAsia" w:ascii="Times New Roman" w:hAnsi="Times New Roman" w:eastAsia="宋体" w:cs="Times New Roman"/>
                <w:snapToGrid w:val="0"/>
                <w:color w:val="000000" w:themeColor="text1"/>
                <w:kern w:val="0"/>
                <w:sz w:val="24"/>
                <w:szCs w:val="20"/>
              </w:rPr>
              <w:t>；</w:t>
            </w:r>
          </w:p>
          <w:p w14:paraId="2BB12333">
            <w:pPr>
              <w:adjustRightInd w:val="0"/>
              <w:spacing w:line="360" w:lineRule="auto"/>
              <w:ind w:firstLine="482" w:firstLineChars="200"/>
              <w:jc w:val="left"/>
              <w:rPr>
                <w:rFonts w:ascii="Times New Roman" w:hAnsi="Times New Roman" w:eastAsia="宋体" w:cs="Times New Roman"/>
                <w:snapToGrid w:val="0"/>
                <w:color w:val="000000" w:themeColor="text1"/>
                <w:kern w:val="0"/>
                <w:sz w:val="24"/>
                <w:szCs w:val="20"/>
              </w:rPr>
            </w:pPr>
            <w:r>
              <w:rPr>
                <w:rFonts w:hint="eastAsia" w:ascii="Times New Roman" w:hAnsi="Times New Roman" w:eastAsia="宋体" w:cs="Times New Roman"/>
                <w:b/>
                <w:snapToGrid w:val="0"/>
                <w:color w:val="000000" w:themeColor="text1"/>
                <w:kern w:val="0"/>
                <w:sz w:val="24"/>
                <w:szCs w:val="20"/>
              </w:rPr>
              <w:t>小结：</w:t>
            </w:r>
            <w:r>
              <w:rPr>
                <w:rFonts w:ascii="Times New Roman" w:hAnsi="Times New Roman" w:cs="Times New Roman"/>
                <w:color w:val="000000" w:themeColor="text1"/>
                <w:sz w:val="24"/>
              </w:rPr>
              <w:t>住宿、办公</w:t>
            </w:r>
            <w:r>
              <w:rPr>
                <w:rFonts w:ascii="Times New Roman" w:hAnsi="Times New Roman" w:eastAsia="宋体" w:cs="Times New Roman"/>
                <w:snapToGrid w:val="0"/>
                <w:color w:val="000000" w:themeColor="text1"/>
                <w:kern w:val="0"/>
                <w:sz w:val="24"/>
                <w:szCs w:val="20"/>
              </w:rPr>
              <w:t>用水量为0.</w:t>
            </w:r>
            <w:r>
              <w:rPr>
                <w:rFonts w:hint="eastAsia" w:ascii="Times New Roman" w:hAnsi="Times New Roman" w:eastAsia="宋体" w:cs="Times New Roman"/>
                <w:snapToGrid w:val="0"/>
                <w:color w:val="000000" w:themeColor="text1"/>
                <w:kern w:val="0"/>
                <w:sz w:val="24"/>
                <w:szCs w:val="20"/>
              </w:rPr>
              <w:t>36</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/d，排水量为</w:t>
            </w:r>
            <w:r>
              <w:rPr>
                <w:rFonts w:hint="eastAsia" w:ascii="Times New Roman" w:hAnsi="Times New Roman" w:eastAsia="宋体" w:cs="Times New Roman"/>
                <w:snapToGrid w:val="0"/>
                <w:color w:val="000000" w:themeColor="text1"/>
                <w:kern w:val="0"/>
                <w:sz w:val="24"/>
                <w:szCs w:val="20"/>
              </w:rPr>
              <w:t>0.297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p>
          <w:p w14:paraId="5FBBC357">
            <w:pPr>
              <w:adjustRightInd w:val="0"/>
              <w:spacing w:line="360" w:lineRule="auto"/>
              <w:ind w:firstLine="482" w:firstLineChars="200"/>
              <w:jc w:val="left"/>
              <w:rPr>
                <w:rFonts w:ascii="Times New Roman" w:hAnsi="Times New Roman" w:eastAsia="宋体" w:cs="Times New Roman"/>
                <w:b/>
                <w:snapToGrid w:val="0"/>
                <w:color w:val="000000" w:themeColor="text1"/>
                <w:kern w:val="0"/>
                <w:sz w:val="24"/>
                <w:szCs w:val="20"/>
              </w:rPr>
            </w:pPr>
            <w:r>
              <w:rPr>
                <w:rFonts w:hint="eastAsia" w:ascii="Times New Roman" w:hAnsi="Times New Roman" w:eastAsia="宋体" w:cs="Times New Roman"/>
                <w:b/>
                <w:snapToGrid w:val="0"/>
                <w:color w:val="000000" w:themeColor="text1"/>
                <w:kern w:val="0"/>
                <w:sz w:val="24"/>
                <w:szCs w:val="20"/>
              </w:rPr>
              <w:t>（2）食堂用排水核算</w:t>
            </w:r>
          </w:p>
          <w:p w14:paraId="7A87D41B">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hint="eastAsia" w:ascii="Times New Roman" w:hAnsi="Times New Roman" w:cs="Times New Roman"/>
                <w:bCs/>
                <w:color w:val="000000" w:themeColor="text1"/>
                <w:sz w:val="24"/>
              </w:rPr>
              <w:t>10名</w:t>
            </w:r>
            <w:r>
              <w:rPr>
                <w:rFonts w:ascii="Times New Roman" w:hAnsi="Times New Roman" w:cs="Times New Roman"/>
                <w:bCs/>
                <w:color w:val="000000" w:themeColor="text1"/>
                <w:sz w:val="24"/>
              </w:rPr>
              <w:t>员工在项目饮食</w:t>
            </w:r>
            <w:r>
              <w:rPr>
                <w:rFonts w:hint="eastAsia" w:ascii="Times New Roman" w:hAnsi="Times New Roman" w:cs="Times New Roman"/>
                <w:bCs/>
                <w:color w:val="000000" w:themeColor="text1"/>
                <w:sz w:val="24"/>
              </w:rPr>
              <w:t>，</w:t>
            </w:r>
            <w:r>
              <w:rPr>
                <w:rFonts w:ascii="Times New Roman" w:hAnsi="Times New Roman" w:eastAsia="宋体" w:cs="Times New Roman"/>
                <w:snapToGrid w:val="0"/>
                <w:color w:val="000000" w:themeColor="text1"/>
                <w:kern w:val="0"/>
                <w:sz w:val="24"/>
                <w:szCs w:val="20"/>
              </w:rPr>
              <w:t>其中食堂</w:t>
            </w:r>
            <w:r>
              <w:rPr>
                <w:rFonts w:hint="eastAsia" w:ascii="Times New Roman" w:hAnsi="Times New Roman" w:eastAsia="宋体" w:cs="Times New Roman"/>
                <w:snapToGrid w:val="0"/>
                <w:color w:val="000000" w:themeColor="text1"/>
                <w:kern w:val="0"/>
                <w:sz w:val="24"/>
                <w:szCs w:val="20"/>
              </w:rPr>
              <w:t>用水按3</w:t>
            </w:r>
            <w:r>
              <w:rPr>
                <w:rFonts w:ascii="Times New Roman" w:hAnsi="Times New Roman" w:eastAsia="宋体" w:cs="Times New Roman"/>
                <w:snapToGrid w:val="0"/>
                <w:color w:val="000000" w:themeColor="text1"/>
                <w:kern w:val="0"/>
                <w:sz w:val="24"/>
                <w:szCs w:val="20"/>
              </w:rPr>
              <w:t>0L/（人.天）计</w:t>
            </w:r>
            <w:r>
              <w:rPr>
                <w:rFonts w:hint="eastAsia" w:ascii="Times New Roman" w:hAnsi="Times New Roman" w:eastAsia="宋体" w:cs="Times New Roman"/>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用水量为0.</w:t>
            </w:r>
            <w:r>
              <w:rPr>
                <w:rFonts w:hint="eastAsia" w:ascii="Times New Roman" w:hAnsi="Times New Roman" w:eastAsia="宋体" w:cs="Times New Roman"/>
                <w:snapToGrid w:val="0"/>
                <w:color w:val="000000" w:themeColor="text1"/>
                <w:kern w:val="0"/>
                <w:sz w:val="24"/>
                <w:szCs w:val="20"/>
              </w:rPr>
              <w:t>3</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/d，排水量按用水量的80%计，食堂废水量为0.</w:t>
            </w:r>
            <w:r>
              <w:rPr>
                <w:rFonts w:hint="eastAsia" w:ascii="Times New Roman" w:hAnsi="Times New Roman" w:eastAsia="宋体" w:cs="Times New Roman"/>
                <w:snapToGrid w:val="0"/>
                <w:color w:val="000000" w:themeColor="text1"/>
                <w:kern w:val="0"/>
                <w:sz w:val="24"/>
                <w:szCs w:val="20"/>
              </w:rPr>
              <w:t>24</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p>
          <w:p w14:paraId="3AC8BDE3">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rPr>
            </w:pPr>
            <w:r>
              <w:rPr>
                <w:rFonts w:hint="eastAsia" w:ascii="Times New Roman" w:hAnsi="Times New Roman" w:eastAsia="宋体" w:cs="Times New Roman"/>
                <w:b/>
                <w:snapToGrid w:val="0"/>
                <w:color w:val="000000" w:themeColor="text1"/>
                <w:kern w:val="0"/>
                <w:sz w:val="24"/>
                <w:szCs w:val="20"/>
              </w:rPr>
              <w:t>2.3、雨水</w:t>
            </w:r>
          </w:p>
          <w:p w14:paraId="04FDDB56">
            <w:pPr>
              <w:adjustRightInd w:val="0"/>
              <w:snapToGrid w:val="0"/>
              <w:spacing w:line="360" w:lineRule="auto"/>
              <w:ind w:right="-13" w:rightChars="-6"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本项目厂区地面全部硬化处理，待</w:t>
            </w:r>
            <w:r>
              <w:rPr>
                <w:rFonts w:hint="eastAsia" w:ascii="Times New Roman" w:hAnsi="Times New Roman" w:eastAsia="宋体" w:cs="Times New Roman"/>
                <w:color w:val="000000" w:themeColor="text1"/>
                <w:sz w:val="24"/>
              </w:rPr>
              <w:t>生产及原料储存</w:t>
            </w:r>
            <w:r>
              <w:rPr>
                <w:rFonts w:ascii="Times New Roman" w:hAnsi="Times New Roman" w:eastAsia="宋体" w:cs="Times New Roman"/>
                <w:color w:val="000000" w:themeColor="text1"/>
                <w:sz w:val="24"/>
              </w:rPr>
              <w:t>过程中，当下雨形成地表径流，污染物</w:t>
            </w:r>
            <w:r>
              <w:rPr>
                <w:rFonts w:hint="eastAsia" w:ascii="Times New Roman" w:hAnsi="Times New Roman" w:eastAsia="宋体" w:cs="Times New Roman"/>
                <w:color w:val="000000" w:themeColor="text1"/>
                <w:sz w:val="24"/>
              </w:rPr>
              <w:t>粉尘（沉降项目区）</w:t>
            </w:r>
            <w:r>
              <w:rPr>
                <w:rFonts w:ascii="Times New Roman" w:hAnsi="Times New Roman" w:eastAsia="宋体" w:cs="Times New Roman"/>
                <w:color w:val="000000" w:themeColor="text1"/>
                <w:sz w:val="24"/>
              </w:rPr>
              <w:t>会随径流带入周边的水体（主要为</w:t>
            </w:r>
            <w:r>
              <w:rPr>
                <w:rFonts w:hint="eastAsia" w:ascii="Times New Roman" w:hAnsi="Times New Roman" w:eastAsia="宋体" w:cs="Times New Roman"/>
                <w:color w:val="000000" w:themeColor="text1"/>
                <w:sz w:val="24"/>
              </w:rPr>
              <w:t>SS、油类等</w:t>
            </w:r>
            <w:r>
              <w:rPr>
                <w:rFonts w:ascii="Times New Roman" w:hAnsi="Times New Roman" w:eastAsia="宋体" w:cs="Times New Roman"/>
                <w:color w:val="000000" w:themeColor="text1"/>
                <w:sz w:val="24"/>
              </w:rPr>
              <w:t>），如无序排放</w:t>
            </w:r>
            <w:r>
              <w:rPr>
                <w:rFonts w:hint="eastAsia" w:ascii="Times New Roman" w:hAnsi="Times New Roman" w:eastAsia="宋体" w:cs="Times New Roman"/>
                <w:color w:val="000000" w:themeColor="text1"/>
                <w:sz w:val="24"/>
              </w:rPr>
              <w:t>，</w:t>
            </w:r>
            <w:r>
              <w:rPr>
                <w:rFonts w:ascii="Times New Roman" w:hAnsi="Times New Roman" w:eastAsia="宋体" w:cs="Times New Roman"/>
                <w:color w:val="000000" w:themeColor="text1"/>
                <w:sz w:val="24"/>
              </w:rPr>
              <w:t>造成一定的环境污染。</w:t>
            </w:r>
          </w:p>
          <w:p w14:paraId="43D479EA">
            <w:pPr>
              <w:adjustRightInd w:val="0"/>
              <w:snapToGrid w:val="0"/>
              <w:spacing w:line="360" w:lineRule="auto"/>
              <w:ind w:right="-13" w:rightChars="-6"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w:t>
            </w:r>
            <w:r>
              <w:rPr>
                <w:rFonts w:hint="eastAsia" w:ascii="Times New Roman" w:hAnsi="Times New Roman" w:eastAsia="宋体" w:cs="Times New Roman"/>
                <w:color w:val="000000" w:themeColor="text1"/>
                <w:sz w:val="24"/>
              </w:rPr>
              <w:t>厂区设置雨水沟，将</w:t>
            </w:r>
            <w:r>
              <w:rPr>
                <w:rFonts w:ascii="Times New Roman" w:hAnsi="Times New Roman" w:eastAsia="宋体" w:cs="Times New Roman"/>
                <w:color w:val="000000" w:themeColor="text1"/>
                <w:sz w:val="24"/>
              </w:rPr>
              <w:t>雨水汇入到</w:t>
            </w:r>
            <w:r>
              <w:rPr>
                <w:rFonts w:hint="eastAsia" w:ascii="Times New Roman" w:hAnsi="Times New Roman" w:eastAsia="宋体" w:cs="Times New Roman"/>
                <w:color w:val="000000" w:themeColor="text1"/>
                <w:sz w:val="24"/>
              </w:rPr>
              <w:t>雨水收集池</w:t>
            </w:r>
            <w:r>
              <w:rPr>
                <w:rFonts w:ascii="Times New Roman" w:hAnsi="Times New Roman" w:eastAsia="宋体" w:cs="Times New Roman"/>
                <w:color w:val="000000" w:themeColor="text1"/>
                <w:sz w:val="24"/>
              </w:rPr>
              <w:t>进行处理，</w:t>
            </w:r>
            <w:r>
              <w:rPr>
                <w:rFonts w:hint="eastAsia" w:ascii="Times New Roman" w:hAnsi="Times New Roman" w:eastAsia="宋体" w:cs="Times New Roman"/>
                <w:color w:val="000000" w:themeColor="text1"/>
                <w:sz w:val="24"/>
              </w:rPr>
              <w:t>收集后进入本项目</w:t>
            </w:r>
            <w:r>
              <w:rPr>
                <w:rFonts w:hint="eastAsia" w:ascii="Times New Roman" w:hAnsi="Times New Roman" w:eastAsia="宋体" w:cs="Times New Roman"/>
                <w:bCs/>
                <w:color w:val="000000" w:themeColor="text1"/>
                <w:sz w:val="24"/>
              </w:rPr>
              <w:t>雨水沉淀池</w:t>
            </w:r>
            <w:r>
              <w:rPr>
                <w:rFonts w:hint="eastAsia" w:ascii="Times New Roman" w:hAnsi="Times New Roman" w:eastAsia="宋体" w:cs="Times New Roman"/>
                <w:color w:val="000000" w:themeColor="text1"/>
                <w:sz w:val="24"/>
              </w:rPr>
              <w:t>进行处理，回用于生产</w:t>
            </w:r>
            <w:r>
              <w:rPr>
                <w:rFonts w:ascii="Times New Roman" w:hAnsi="Times New Roman" w:eastAsia="宋体" w:cs="Times New Roman"/>
                <w:color w:val="000000" w:themeColor="text1"/>
                <w:sz w:val="24"/>
              </w:rPr>
              <w:t>。</w:t>
            </w:r>
            <w:r>
              <w:rPr>
                <w:rFonts w:ascii="Times New Roman" w:hAnsi="Times New Roman" w:eastAsia="??" w:cs="Times New Roman"/>
                <w:color w:val="000000" w:themeColor="text1"/>
                <w:sz w:val="24"/>
              </w:rPr>
              <w:t xml:space="preserve"> </w:t>
            </w:r>
          </w:p>
          <w:p w14:paraId="7212B332">
            <w:pPr>
              <w:widowControl/>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w:t>
            </w:r>
            <w:r>
              <w:rPr>
                <w:rFonts w:hint="eastAsia" w:ascii="Times New Roman" w:hAnsi="Times New Roman" w:eastAsia="宋体" w:cs="Times New Roman"/>
                <w:color w:val="000000" w:themeColor="text1"/>
                <w:sz w:val="24"/>
              </w:rPr>
              <w:t>芒市</w:t>
            </w:r>
            <w:r>
              <w:rPr>
                <w:rFonts w:ascii="Times New Roman" w:hAnsi="Times New Roman" w:eastAsia="宋体" w:cs="Times New Roman"/>
                <w:color w:val="000000" w:themeColor="text1"/>
                <w:sz w:val="24"/>
              </w:rPr>
              <w:t>的气象资料，年平均降水量1654.6</w:t>
            </w:r>
            <w:r>
              <w:rPr>
                <w:rFonts w:hint="eastAsia" w:ascii="Times New Roman" w:hAnsi="Times New Roman" w:eastAsia="宋体" w:cs="Times New Roman"/>
                <w:color w:val="000000" w:themeColor="text1"/>
                <w:sz w:val="24"/>
              </w:rPr>
              <w:t>mm</w:t>
            </w:r>
            <w:r>
              <w:rPr>
                <w:rFonts w:ascii="Times New Roman" w:hAnsi="Times New Roman" w:eastAsia="宋体" w:cs="Times New Roman"/>
                <w:color w:val="000000" w:themeColor="text1"/>
                <w:sz w:val="24"/>
              </w:rPr>
              <w:t>，年平均降雨日数170天，</w:t>
            </w:r>
            <w:r>
              <w:rPr>
                <w:rFonts w:hint="eastAsia" w:ascii="Times New Roman" w:hAnsi="Times New Roman" w:eastAsia="宋体" w:cs="Times New Roman"/>
                <w:color w:val="000000" w:themeColor="text1"/>
                <w:sz w:val="24"/>
              </w:rPr>
              <w:t>平均每天降雨量为9.73mm。</w:t>
            </w:r>
          </w:p>
          <w:p w14:paraId="42EF0C40">
            <w:pPr>
              <w:widowControl/>
              <w:spacing w:line="360" w:lineRule="auto"/>
              <w:ind w:firstLine="480" w:firstLineChars="200"/>
              <w:jc w:val="left"/>
              <w:rPr>
                <w:rFonts w:ascii="Times New Roman" w:hAnsi="Times New Roman" w:eastAsia="宋体" w:cs="Times New Roman"/>
                <w:color w:val="000000" w:themeColor="text1"/>
                <w:sz w:val="24"/>
              </w:rPr>
            </w:pPr>
            <w:r>
              <w:rPr>
                <w:rFonts w:hint="eastAsia" w:ascii="Times New Roman" w:hAnsi="Times New Roman" w:eastAsia="宋体" w:cs="Times New Roman"/>
                <w:color w:val="000000" w:themeColor="text1"/>
                <w:sz w:val="24"/>
              </w:rPr>
              <w:t>项目区</w:t>
            </w:r>
            <w:r>
              <w:rPr>
                <w:rFonts w:ascii="Times New Roman" w:hAnsi="Times New Roman" w:eastAsia="宋体" w:cs="Times New Roman"/>
                <w:color w:val="000000" w:themeColor="text1"/>
                <w:sz w:val="24"/>
              </w:rPr>
              <w:t>雨水量根据下面计算公式：</w:t>
            </w:r>
          </w:p>
          <w:p w14:paraId="53198A75">
            <w:pPr>
              <w:widowControl/>
              <w:spacing w:line="360" w:lineRule="auto"/>
              <w:ind w:firstLine="480" w:firstLineChars="200"/>
              <w:jc w:val="center"/>
              <w:rPr>
                <w:rFonts w:ascii="Times New Roman" w:hAnsi="Times New Roman" w:eastAsia="??" w:cs="Times New Roman"/>
                <w:color w:val="000000" w:themeColor="text1"/>
                <w:sz w:val="24"/>
              </w:rPr>
            </w:pPr>
            <w:r>
              <w:rPr>
                <w:rFonts w:ascii="Times New Roman" w:hAnsi="Times New Roman" w:eastAsia="??" w:cs="Times New Roman"/>
                <w:color w:val="000000" w:themeColor="text1"/>
                <w:position w:val="-10"/>
                <w:sz w:val="24"/>
              </w:rPr>
              <w:pict>
                <v:shape id="_x0000_i1027" o:spt="75" type="#_x0000_t75" style="height:28.5pt;width:109.5pt;" filled="f" o:preferrelative="t" stroked="f" coordsize="21600,21600">
                  <v:path/>
                  <v:fill on="f" focussize="0,0"/>
                  <v:stroke on="f" joinstyle="miter"/>
                  <v:imagedata r:id="rId9" o:title=""/>
                  <o:lock v:ext="edit" aspectratio="t"/>
                  <w10:wrap type="none"/>
                  <w10:anchorlock/>
                </v:shape>
              </w:pict>
            </w:r>
          </w:p>
          <w:p w14:paraId="1A50AAD0">
            <w:pPr>
              <w:spacing w:line="360" w:lineRule="auto"/>
              <w:ind w:firstLine="480" w:firstLineChars="200"/>
              <w:rPr>
                <w:rFonts w:ascii="Times New Roman" w:hAnsi="Times New Roman" w:eastAsia="宋体" w:cs="Times New Roman"/>
                <w:color w:val="000000" w:themeColor="text1"/>
                <w:sz w:val="24"/>
                <w:szCs w:val="22"/>
              </w:rPr>
            </w:pPr>
            <w:r>
              <w:rPr>
                <w:rFonts w:ascii="Times New Roman" w:hAnsi="Times New Roman" w:eastAsia="宋体" w:cs="Times New Roman"/>
                <w:color w:val="000000" w:themeColor="text1"/>
                <w:sz w:val="24"/>
                <w:szCs w:val="22"/>
              </w:rPr>
              <w:t>式中：Q—雨水</w:t>
            </w:r>
            <w:r>
              <w:rPr>
                <w:rFonts w:hint="eastAsia" w:ascii="Times New Roman" w:hAnsi="Times New Roman" w:eastAsia="宋体" w:cs="Times New Roman"/>
                <w:color w:val="000000" w:themeColor="text1"/>
                <w:sz w:val="24"/>
                <w:szCs w:val="22"/>
              </w:rPr>
              <w:t>量</w:t>
            </w:r>
            <w:r>
              <w:rPr>
                <w:rFonts w:ascii="Times New Roman" w:hAnsi="Times New Roman" w:eastAsia="宋体" w:cs="Times New Roman"/>
                <w:color w:val="000000" w:themeColor="text1"/>
                <w:sz w:val="24"/>
                <w:szCs w:val="22"/>
              </w:rPr>
              <w:t>，</w:t>
            </w:r>
            <w:r>
              <w:rPr>
                <w:rFonts w:hint="eastAsia" w:ascii="Times New Roman" w:hAnsi="Times New Roman" w:eastAsia="宋体" w:cs="Times New Roman"/>
                <w:color w:val="000000" w:themeColor="text1"/>
                <w:sz w:val="24"/>
                <w:szCs w:val="22"/>
              </w:rPr>
              <w:t>m</w:t>
            </w:r>
            <w:r>
              <w:rPr>
                <w:rFonts w:hint="eastAsia" w:ascii="Times New Roman" w:hAnsi="Times New Roman" w:eastAsia="宋体" w:cs="Times New Roman"/>
                <w:color w:val="000000" w:themeColor="text1"/>
                <w:sz w:val="24"/>
                <w:szCs w:val="22"/>
                <w:vertAlign w:val="superscript"/>
              </w:rPr>
              <w:t>3</w:t>
            </w:r>
            <w:r>
              <w:rPr>
                <w:rFonts w:ascii="Times New Roman" w:hAnsi="Times New Roman" w:eastAsia="宋体" w:cs="Times New Roman"/>
                <w:color w:val="000000" w:themeColor="text1"/>
                <w:sz w:val="24"/>
                <w:szCs w:val="22"/>
              </w:rPr>
              <w:t>；</w:t>
            </w:r>
          </w:p>
          <w:p w14:paraId="017C6298">
            <w:pPr>
              <w:spacing w:line="360" w:lineRule="auto"/>
              <w:ind w:firstLine="480" w:firstLineChars="200"/>
              <w:rPr>
                <w:rFonts w:ascii="Times New Roman" w:hAnsi="Times New Roman" w:eastAsia="宋体" w:cs="Times New Roman"/>
                <w:color w:val="000000" w:themeColor="text1"/>
                <w:sz w:val="24"/>
                <w:szCs w:val="22"/>
              </w:rPr>
            </w:pPr>
            <w:r>
              <w:rPr>
                <w:rFonts w:ascii="Times New Roman" w:hAnsi="Times New Roman" w:eastAsia="宋体" w:cs="Times New Roman"/>
                <w:color w:val="000000" w:themeColor="text1"/>
                <w:sz w:val="24"/>
                <w:szCs w:val="22"/>
              </w:rPr>
              <w:t xml:space="preserve">       ψ—径流系数，经验数值为0.</w:t>
            </w:r>
            <w:r>
              <w:rPr>
                <w:rFonts w:hint="eastAsia" w:ascii="Times New Roman" w:hAnsi="Times New Roman" w:eastAsia="宋体" w:cs="Times New Roman"/>
                <w:color w:val="000000" w:themeColor="text1"/>
                <w:sz w:val="24"/>
                <w:szCs w:val="22"/>
              </w:rPr>
              <w:t>9</w:t>
            </w:r>
            <w:r>
              <w:rPr>
                <w:rFonts w:ascii="Times New Roman" w:hAnsi="Times New Roman" w:eastAsia="宋体" w:cs="Times New Roman"/>
                <w:color w:val="000000" w:themeColor="text1"/>
                <w:sz w:val="24"/>
                <w:szCs w:val="22"/>
              </w:rPr>
              <w:t>（按地面硬化后考虑）；</w:t>
            </w:r>
          </w:p>
          <w:p w14:paraId="67211295">
            <w:pPr>
              <w:spacing w:line="360" w:lineRule="auto"/>
              <w:ind w:firstLine="480" w:firstLineChars="200"/>
              <w:rPr>
                <w:rFonts w:ascii="Times New Roman" w:hAnsi="Times New Roman" w:eastAsia="宋体" w:cs="Times New Roman"/>
                <w:color w:val="000000" w:themeColor="text1"/>
                <w:sz w:val="24"/>
                <w:szCs w:val="22"/>
              </w:rPr>
            </w:pPr>
            <w:r>
              <w:rPr>
                <w:rFonts w:ascii="Times New Roman" w:hAnsi="Times New Roman" w:eastAsia="宋体" w:cs="Times New Roman"/>
                <w:color w:val="000000" w:themeColor="text1"/>
                <w:sz w:val="24"/>
                <w:szCs w:val="22"/>
              </w:rPr>
              <w:t xml:space="preserve">       q—</w:t>
            </w:r>
            <w:r>
              <w:rPr>
                <w:rFonts w:hint="eastAsia" w:ascii="Times New Roman" w:hAnsi="Times New Roman" w:eastAsia="宋体" w:cs="Times New Roman"/>
                <w:color w:val="000000" w:themeColor="text1"/>
                <w:sz w:val="24"/>
                <w:szCs w:val="22"/>
              </w:rPr>
              <w:t>日均降雨量</w:t>
            </w:r>
            <w:r>
              <w:rPr>
                <w:rFonts w:ascii="Times New Roman" w:hAnsi="Times New Roman" w:eastAsia="宋体" w:cs="Times New Roman"/>
                <w:color w:val="000000" w:themeColor="text1"/>
                <w:sz w:val="24"/>
                <w:szCs w:val="22"/>
              </w:rPr>
              <w:t>，</w:t>
            </w:r>
            <w:r>
              <w:rPr>
                <w:rFonts w:hint="eastAsia" w:ascii="Times New Roman" w:hAnsi="Times New Roman" w:eastAsia="宋体" w:cs="Times New Roman"/>
                <w:color w:val="000000" w:themeColor="text1"/>
                <w:sz w:val="24"/>
                <w:szCs w:val="22"/>
              </w:rPr>
              <w:t>mm</w:t>
            </w:r>
            <w:r>
              <w:rPr>
                <w:rFonts w:ascii="Times New Roman" w:hAnsi="Times New Roman" w:eastAsia="宋体" w:cs="Times New Roman"/>
                <w:color w:val="000000" w:themeColor="text1"/>
                <w:sz w:val="24"/>
                <w:szCs w:val="22"/>
              </w:rPr>
              <w:t>/</w:t>
            </w:r>
            <w:r>
              <w:rPr>
                <w:rFonts w:hint="eastAsia" w:ascii="Times New Roman" w:hAnsi="Times New Roman" w:eastAsia="宋体" w:cs="Times New Roman"/>
                <w:color w:val="000000" w:themeColor="text1"/>
                <w:sz w:val="24"/>
                <w:szCs w:val="22"/>
              </w:rPr>
              <w:t>d</w:t>
            </w:r>
            <w:r>
              <w:rPr>
                <w:rFonts w:ascii="Times New Roman" w:hAnsi="Times New Roman" w:eastAsia="宋体" w:cs="Times New Roman"/>
                <w:color w:val="000000" w:themeColor="text1"/>
                <w:sz w:val="24"/>
                <w:szCs w:val="22"/>
              </w:rPr>
              <w:t>；</w:t>
            </w:r>
          </w:p>
          <w:p w14:paraId="7BD50FE7">
            <w:pPr>
              <w:spacing w:line="360" w:lineRule="auto"/>
              <w:ind w:firstLine="480" w:firstLineChars="200"/>
              <w:rPr>
                <w:rFonts w:ascii="Times New Roman" w:hAnsi="Times New Roman" w:eastAsia="宋体" w:cs="Times New Roman"/>
                <w:color w:val="000000" w:themeColor="text1"/>
                <w:sz w:val="24"/>
                <w:szCs w:val="22"/>
              </w:rPr>
            </w:pPr>
            <w:r>
              <w:rPr>
                <w:rFonts w:ascii="Times New Roman" w:hAnsi="Times New Roman" w:eastAsia="宋体" w:cs="Times New Roman"/>
                <w:color w:val="000000" w:themeColor="text1"/>
                <w:sz w:val="24"/>
                <w:szCs w:val="22"/>
              </w:rPr>
              <w:t xml:space="preserve">       F—汇水面积，hm</w:t>
            </w:r>
            <w:r>
              <w:rPr>
                <w:rFonts w:ascii="Times New Roman" w:hAnsi="Times New Roman" w:eastAsia="宋体" w:cs="Times New Roman"/>
                <w:color w:val="000000" w:themeColor="text1"/>
                <w:sz w:val="24"/>
                <w:szCs w:val="22"/>
                <w:vertAlign w:val="superscript"/>
              </w:rPr>
              <w:t>2</w:t>
            </w:r>
            <w:r>
              <w:rPr>
                <w:rFonts w:ascii="Times New Roman" w:hAnsi="Times New Roman" w:eastAsia="宋体" w:cs="Times New Roman"/>
                <w:color w:val="000000" w:themeColor="text1"/>
                <w:sz w:val="24"/>
                <w:szCs w:val="22"/>
              </w:rPr>
              <w:t>（</w:t>
            </w:r>
            <w:r>
              <w:rPr>
                <w:rFonts w:hint="eastAsia" w:ascii="Times New Roman" w:hAnsi="Times New Roman" w:eastAsia="宋体" w:cs="Times New Roman"/>
                <w:color w:val="000000" w:themeColor="text1"/>
                <w:sz w:val="24"/>
                <w:szCs w:val="22"/>
              </w:rPr>
              <w:t>2700</w:t>
            </w:r>
            <w:r>
              <w:rPr>
                <w:rFonts w:ascii="Times New Roman" w:hAnsi="Times New Roman" w:eastAsia="宋体" w:cs="Times New Roman"/>
                <w:color w:val="000000" w:themeColor="text1"/>
                <w:sz w:val="24"/>
                <w:szCs w:val="22"/>
              </w:rPr>
              <w:t>m</w:t>
            </w:r>
            <w:r>
              <w:rPr>
                <w:rFonts w:ascii="Times New Roman" w:hAnsi="Times New Roman" w:eastAsia="宋体" w:cs="Times New Roman"/>
                <w:color w:val="000000" w:themeColor="text1"/>
                <w:sz w:val="24"/>
                <w:szCs w:val="22"/>
                <w:vertAlign w:val="superscript"/>
              </w:rPr>
              <w:t>2</w:t>
            </w:r>
            <w:r>
              <w:rPr>
                <w:rFonts w:ascii="Times New Roman" w:hAnsi="Times New Roman" w:eastAsia="宋体" w:cs="Times New Roman"/>
                <w:color w:val="000000" w:themeColor="text1"/>
                <w:sz w:val="24"/>
                <w:szCs w:val="22"/>
              </w:rPr>
              <w:t>）</w:t>
            </w:r>
          </w:p>
          <w:p w14:paraId="075078AD">
            <w:pPr>
              <w:widowControl/>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按照公式，可以计算出场地的雨水产生量</w:t>
            </w:r>
            <w:r>
              <w:rPr>
                <w:rFonts w:hint="eastAsia" w:ascii="Times New Roman" w:hAnsi="Times New Roman" w:eastAsia="宋体" w:cs="Times New Roman"/>
                <w:color w:val="000000" w:themeColor="text1"/>
                <w:sz w:val="24"/>
              </w:rPr>
              <w:t>23.64</w:t>
            </w:r>
            <w:r>
              <w:rPr>
                <w:rFonts w:ascii="Times New Roman" w:hAnsi="Times New Roman" w:eastAsia="??" w:cs="Times New Roman"/>
                <w:color w:val="000000" w:themeColor="text1"/>
                <w:sz w:val="24"/>
              </w:rPr>
              <w:t>m</w:t>
            </w:r>
            <w:r>
              <w:rPr>
                <w:rFonts w:ascii="Times New Roman" w:hAnsi="Times New Roman" w:eastAsia="??" w:cs="Times New Roman"/>
                <w:color w:val="000000" w:themeColor="text1"/>
                <w:sz w:val="24"/>
                <w:vertAlign w:val="superscript"/>
              </w:rPr>
              <w:t>3</w:t>
            </w:r>
            <w:r>
              <w:rPr>
                <w:rFonts w:ascii="Times New Roman" w:hAnsi="Times New Roman" w:eastAsia="??" w:cs="Times New Roman"/>
                <w:color w:val="000000" w:themeColor="text1"/>
                <w:sz w:val="24"/>
              </w:rPr>
              <w:t>/</w:t>
            </w:r>
            <w:r>
              <w:rPr>
                <w:rFonts w:hint="eastAsia" w:ascii="Times New Roman" w:hAnsi="Times New Roman" w:eastAsia="宋体" w:cs="Times New Roman"/>
                <w:color w:val="000000" w:themeColor="text1"/>
                <w:sz w:val="24"/>
              </w:rPr>
              <w:t>d；</w:t>
            </w:r>
          </w:p>
          <w:p w14:paraId="070A27C7">
            <w:pPr>
              <w:widowControl/>
              <w:spacing w:line="360" w:lineRule="auto"/>
              <w:ind w:firstLine="480" w:firstLineChars="200"/>
              <w:jc w:val="left"/>
              <w:rPr>
                <w:rFonts w:ascii="Times New Roman" w:hAnsi="Times New Roman" w:cs="Times New Roman"/>
                <w:color w:val="000000" w:themeColor="text1"/>
                <w:sz w:val="24"/>
              </w:rPr>
            </w:pPr>
            <w:r>
              <w:rPr>
                <w:rFonts w:hint="eastAsia" w:ascii="Times New Roman" w:hAnsi="Times New Roman" w:eastAsia="宋体" w:cs="Times New Roman"/>
                <w:color w:val="000000" w:themeColor="text1"/>
                <w:sz w:val="24"/>
              </w:rPr>
              <w:t>本环评要求收集前1h的雨水进入本项目</w:t>
            </w:r>
            <w:r>
              <w:rPr>
                <w:rFonts w:hint="eastAsia" w:ascii="Times New Roman" w:hAnsi="Times New Roman" w:eastAsia="宋体" w:cs="Times New Roman"/>
                <w:bCs/>
                <w:color w:val="000000" w:themeColor="text1"/>
                <w:sz w:val="24"/>
              </w:rPr>
              <w:t>雨水沉淀池</w:t>
            </w:r>
            <w:r>
              <w:rPr>
                <w:rFonts w:hint="eastAsia" w:ascii="Times New Roman" w:hAnsi="Times New Roman" w:eastAsia="宋体" w:cs="Times New Roman"/>
                <w:color w:val="000000" w:themeColor="text1"/>
                <w:sz w:val="24"/>
              </w:rPr>
              <w:t>进行处理，回用于生产，其余经沉淀后外排，因此本厂1h的雨水量为0.985</w:t>
            </w:r>
            <w:r>
              <w:rPr>
                <w:rFonts w:ascii="Times New Roman" w:hAnsi="Times New Roman" w:eastAsia="??" w:cs="Times New Roman"/>
                <w:color w:val="000000" w:themeColor="text1"/>
                <w:sz w:val="24"/>
              </w:rPr>
              <w:t>m</w:t>
            </w:r>
            <w:r>
              <w:rPr>
                <w:rFonts w:ascii="Times New Roman" w:hAnsi="Times New Roman" w:eastAsia="??" w:cs="Times New Roman"/>
                <w:color w:val="000000" w:themeColor="text1"/>
                <w:sz w:val="24"/>
                <w:vertAlign w:val="superscript"/>
              </w:rPr>
              <w:t>3</w:t>
            </w:r>
            <w:r>
              <w:rPr>
                <w:rFonts w:hint="eastAsia" w:ascii="Times New Roman" w:hAnsi="Times New Roman" w:eastAsia="宋体" w:cs="Times New Roman"/>
                <w:color w:val="000000" w:themeColor="text1"/>
                <w:sz w:val="24"/>
              </w:rPr>
              <w:t>。</w:t>
            </w:r>
          </w:p>
          <w:p w14:paraId="44AC70CF">
            <w:pPr>
              <w:adjustRightInd w:val="0"/>
              <w:spacing w:line="360" w:lineRule="auto"/>
              <w:ind w:firstLine="482" w:firstLineChars="200"/>
              <w:jc w:val="left"/>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2.</w:t>
            </w:r>
            <w:r>
              <w:rPr>
                <w:rFonts w:hint="eastAsia" w:ascii="Times New Roman" w:hAnsi="Times New Roman" w:eastAsia="宋体" w:cs="Times New Roman"/>
                <w:b/>
                <w:snapToGrid w:val="0"/>
                <w:color w:val="000000" w:themeColor="text1"/>
                <w:kern w:val="0"/>
                <w:sz w:val="24"/>
                <w:szCs w:val="20"/>
              </w:rPr>
              <w:t>4</w:t>
            </w:r>
            <w:r>
              <w:rPr>
                <w:rFonts w:ascii="Times New Roman" w:hAnsi="Times New Roman" w:eastAsia="宋体" w:cs="Times New Roman"/>
                <w:b/>
                <w:snapToGrid w:val="0"/>
                <w:color w:val="000000" w:themeColor="text1"/>
                <w:kern w:val="0"/>
                <w:sz w:val="24"/>
                <w:szCs w:val="20"/>
              </w:rPr>
              <w:t>、小结</w:t>
            </w:r>
          </w:p>
          <w:p w14:paraId="7CA974B6">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根据以上计算，本项目用排水情况见表5-2，项目水平衡图见图5-3。</w:t>
            </w:r>
          </w:p>
          <w:p w14:paraId="2F1250A1">
            <w:pPr>
              <w:widowControl/>
              <w:snapToGrid w:val="0"/>
              <w:jc w:val="center"/>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表5-2  项目用排水情况一览表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776"/>
              <w:gridCol w:w="1517"/>
              <w:gridCol w:w="2070"/>
              <w:gridCol w:w="1267"/>
              <w:gridCol w:w="1179"/>
              <w:gridCol w:w="1177"/>
            </w:tblGrid>
            <w:tr w14:paraId="21A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298" w:type="pct"/>
                  <w:vAlign w:val="center"/>
                </w:tcPr>
                <w:p w14:paraId="7B09126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序号</w:t>
                  </w:r>
                </w:p>
              </w:tc>
              <w:tc>
                <w:tcPr>
                  <w:tcW w:w="929" w:type="pct"/>
                  <w:vAlign w:val="center"/>
                </w:tcPr>
                <w:p w14:paraId="68B3E7F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用水对象</w:t>
                  </w:r>
                </w:p>
              </w:tc>
              <w:tc>
                <w:tcPr>
                  <w:tcW w:w="794" w:type="pct"/>
                  <w:vAlign w:val="center"/>
                </w:tcPr>
                <w:p w14:paraId="56933BB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用水情况</w:t>
                  </w:r>
                </w:p>
              </w:tc>
              <w:tc>
                <w:tcPr>
                  <w:tcW w:w="1083" w:type="pct"/>
                  <w:vAlign w:val="center"/>
                </w:tcPr>
                <w:p w14:paraId="28391BF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单位用水指标</w:t>
                  </w:r>
                </w:p>
              </w:tc>
              <w:tc>
                <w:tcPr>
                  <w:tcW w:w="663" w:type="pct"/>
                  <w:vAlign w:val="center"/>
                </w:tcPr>
                <w:p w14:paraId="50D7DD6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新鲜水用量(m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/d)</w:t>
                  </w:r>
                </w:p>
              </w:tc>
              <w:tc>
                <w:tcPr>
                  <w:tcW w:w="617" w:type="pct"/>
                </w:tcPr>
                <w:p w14:paraId="58667F7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回用水量(m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/d)</w:t>
                  </w:r>
                </w:p>
              </w:tc>
              <w:tc>
                <w:tcPr>
                  <w:tcW w:w="616" w:type="pct"/>
                  <w:vAlign w:val="center"/>
                </w:tcPr>
                <w:p w14:paraId="3D46200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废水量</w:t>
                  </w:r>
                </w:p>
                <w:p w14:paraId="4278D72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/d)</w:t>
                  </w:r>
                </w:p>
              </w:tc>
            </w:tr>
            <w:tr w14:paraId="52A5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 w:type="pct"/>
                  <w:vMerge w:val="restart"/>
                  <w:vAlign w:val="center"/>
                </w:tcPr>
                <w:p w14:paraId="631593B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w:t>
                  </w:r>
                </w:p>
              </w:tc>
              <w:tc>
                <w:tcPr>
                  <w:tcW w:w="929" w:type="pct"/>
                  <w:vMerge w:val="restart"/>
                  <w:vAlign w:val="center"/>
                </w:tcPr>
                <w:p w14:paraId="7055A3DE">
                  <w:pPr>
                    <w:jc w:val="center"/>
                    <w:rPr>
                      <w:rFonts w:ascii="Times New Roman" w:hAnsi="Times New Roman" w:eastAsia="宋体" w:cs="Times New Roman"/>
                      <w:color w:val="000000" w:themeColor="text1"/>
                      <w:szCs w:val="22"/>
                    </w:rPr>
                  </w:pPr>
                  <w:r>
                    <w:rPr>
                      <w:rFonts w:ascii="Times New Roman" w:hAnsi="Times New Roman" w:eastAsia="宋体" w:cs="Times New Roman"/>
                      <w:iCs/>
                      <w:color w:val="000000" w:themeColor="text1"/>
                      <w:szCs w:val="22"/>
                    </w:rPr>
                    <w:t>生活用排水</w:t>
                  </w:r>
                </w:p>
              </w:tc>
              <w:tc>
                <w:tcPr>
                  <w:tcW w:w="794" w:type="pct"/>
                  <w:vAlign w:val="center"/>
                </w:tcPr>
                <w:p w14:paraId="57AEF7D8">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住宿、办公</w:t>
                  </w:r>
                </w:p>
              </w:tc>
              <w:tc>
                <w:tcPr>
                  <w:tcW w:w="1083" w:type="pct"/>
                  <w:vMerge w:val="restart"/>
                  <w:vAlign w:val="center"/>
                </w:tcPr>
                <w:p w14:paraId="672BCFCA">
                  <w:pPr>
                    <w:jc w:val="center"/>
                    <w:rPr>
                      <w:rFonts w:ascii="Times New Roman" w:hAnsi="Times New Roman" w:eastAsia="宋体" w:cs="Times New Roman"/>
                      <w:iCs/>
                      <w:color w:val="000000" w:themeColor="text1"/>
                      <w:szCs w:val="21"/>
                    </w:rPr>
                  </w:pPr>
                  <w:r>
                    <w:rPr>
                      <w:rFonts w:ascii="Times New Roman" w:hAnsi="Times New Roman" w:eastAsia="宋体" w:cs="Times New Roman"/>
                      <w:iCs/>
                      <w:color w:val="000000" w:themeColor="text1"/>
                      <w:szCs w:val="21"/>
                    </w:rPr>
                    <w:t>不住宿：</w:t>
                  </w:r>
                  <w:r>
                    <w:rPr>
                      <w:rFonts w:hint="eastAsia" w:ascii="Times New Roman" w:hAnsi="Times New Roman" w:eastAsia="宋体" w:cs="Times New Roman"/>
                      <w:iCs/>
                      <w:color w:val="000000" w:themeColor="text1"/>
                      <w:szCs w:val="21"/>
                    </w:rPr>
                    <w:t>6</w:t>
                  </w:r>
                  <w:r>
                    <w:rPr>
                      <w:rFonts w:ascii="Times New Roman" w:hAnsi="Times New Roman" w:eastAsia="宋体" w:cs="Times New Roman"/>
                      <w:iCs/>
                      <w:color w:val="000000" w:themeColor="text1"/>
                      <w:szCs w:val="21"/>
                    </w:rPr>
                    <w:t>0L/</w:t>
                  </w:r>
                  <w:r>
                    <w:rPr>
                      <w:rFonts w:ascii="Times New Roman" w:hAnsi="Times New Roman" w:eastAsia="宋体" w:cs="Times New Roman"/>
                      <w:color w:val="000000" w:themeColor="text1"/>
                      <w:szCs w:val="22"/>
                    </w:rPr>
                    <w:t>（人·d）</w:t>
                  </w:r>
                </w:p>
                <w:p w14:paraId="46A5978B">
                  <w:pPr>
                    <w:jc w:val="center"/>
                    <w:rPr>
                      <w:rFonts w:ascii="Times New Roman" w:hAnsi="Times New Roman" w:eastAsia="宋体" w:cs="Times New Roman"/>
                      <w:i/>
                      <w:color w:val="000000" w:themeColor="text1"/>
                      <w:szCs w:val="22"/>
                    </w:rPr>
                  </w:pPr>
                  <w:r>
                    <w:rPr>
                      <w:rFonts w:ascii="Times New Roman" w:hAnsi="Times New Roman" w:eastAsia="宋体" w:cs="Times New Roman"/>
                      <w:iCs/>
                      <w:color w:val="000000" w:themeColor="text1"/>
                      <w:szCs w:val="21"/>
                    </w:rPr>
                    <w:t>住宿：120</w:t>
                  </w:r>
                  <w:r>
                    <w:rPr>
                      <w:rFonts w:ascii="Times New Roman" w:hAnsi="Times New Roman" w:eastAsia="宋体" w:cs="Times New Roman"/>
                      <w:color w:val="000000" w:themeColor="text1"/>
                      <w:szCs w:val="22"/>
                    </w:rPr>
                    <w:t>L/（人·d）</w:t>
                  </w:r>
                </w:p>
              </w:tc>
              <w:tc>
                <w:tcPr>
                  <w:tcW w:w="663" w:type="pct"/>
                  <w:vAlign w:val="center"/>
                </w:tcPr>
                <w:p w14:paraId="3DFA3855">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0.36</w:t>
                  </w:r>
                </w:p>
              </w:tc>
              <w:tc>
                <w:tcPr>
                  <w:tcW w:w="617" w:type="pct"/>
                </w:tcPr>
                <w:p w14:paraId="450F447A">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w:t>
                  </w:r>
                </w:p>
              </w:tc>
              <w:tc>
                <w:tcPr>
                  <w:tcW w:w="616" w:type="pct"/>
                  <w:vAlign w:val="center"/>
                </w:tcPr>
                <w:p w14:paraId="628209A0">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0.297</w:t>
                  </w:r>
                </w:p>
              </w:tc>
            </w:tr>
            <w:tr w14:paraId="27F7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 w:type="pct"/>
                  <w:vMerge w:val="continue"/>
                  <w:vAlign w:val="center"/>
                </w:tcPr>
                <w:p w14:paraId="3A4261D7">
                  <w:pPr>
                    <w:jc w:val="center"/>
                    <w:rPr>
                      <w:rFonts w:ascii="Times New Roman" w:hAnsi="Times New Roman" w:eastAsia="宋体" w:cs="Times New Roman"/>
                      <w:color w:val="000000" w:themeColor="text1"/>
                      <w:szCs w:val="22"/>
                    </w:rPr>
                  </w:pPr>
                </w:p>
              </w:tc>
              <w:tc>
                <w:tcPr>
                  <w:tcW w:w="929" w:type="pct"/>
                  <w:vMerge w:val="continue"/>
                  <w:vAlign w:val="center"/>
                </w:tcPr>
                <w:p w14:paraId="0BB2FC8E">
                  <w:pPr>
                    <w:jc w:val="center"/>
                    <w:rPr>
                      <w:rFonts w:ascii="Times New Roman" w:hAnsi="Times New Roman" w:eastAsia="宋体" w:cs="Times New Roman"/>
                      <w:iCs/>
                      <w:color w:val="000000" w:themeColor="text1"/>
                      <w:szCs w:val="22"/>
                    </w:rPr>
                  </w:pPr>
                </w:p>
              </w:tc>
              <w:tc>
                <w:tcPr>
                  <w:tcW w:w="794" w:type="pct"/>
                  <w:vAlign w:val="center"/>
                </w:tcPr>
                <w:p w14:paraId="2D6304A3">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食堂</w:t>
                  </w:r>
                </w:p>
              </w:tc>
              <w:tc>
                <w:tcPr>
                  <w:tcW w:w="1083" w:type="pct"/>
                  <w:vMerge w:val="continue"/>
                  <w:vAlign w:val="center"/>
                </w:tcPr>
                <w:p w14:paraId="25211E52">
                  <w:pPr>
                    <w:jc w:val="center"/>
                    <w:rPr>
                      <w:rFonts w:ascii="Times New Roman" w:hAnsi="Times New Roman" w:eastAsia="宋体" w:cs="Times New Roman"/>
                      <w:iCs/>
                      <w:color w:val="000000" w:themeColor="text1"/>
                      <w:szCs w:val="21"/>
                    </w:rPr>
                  </w:pPr>
                </w:p>
              </w:tc>
              <w:tc>
                <w:tcPr>
                  <w:tcW w:w="663" w:type="pct"/>
                  <w:vAlign w:val="center"/>
                </w:tcPr>
                <w:p w14:paraId="12E43C27">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0.3</w:t>
                  </w:r>
                </w:p>
              </w:tc>
              <w:tc>
                <w:tcPr>
                  <w:tcW w:w="617" w:type="pct"/>
                </w:tcPr>
                <w:p w14:paraId="3A4BE9A1">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w:t>
                  </w:r>
                </w:p>
              </w:tc>
              <w:tc>
                <w:tcPr>
                  <w:tcW w:w="616" w:type="pct"/>
                  <w:vAlign w:val="center"/>
                </w:tcPr>
                <w:p w14:paraId="09F17AC0">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0.24</w:t>
                  </w:r>
                </w:p>
              </w:tc>
            </w:tr>
            <w:tr w14:paraId="04BA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 w:type="pct"/>
                  <w:vMerge w:val="restart"/>
                  <w:vAlign w:val="center"/>
                </w:tcPr>
                <w:p w14:paraId="744CFE8A">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w:t>
                  </w:r>
                </w:p>
              </w:tc>
              <w:tc>
                <w:tcPr>
                  <w:tcW w:w="929" w:type="pct"/>
                  <w:vMerge w:val="restart"/>
                  <w:vAlign w:val="center"/>
                </w:tcPr>
                <w:p w14:paraId="127CE242">
                  <w:pPr>
                    <w:jc w:val="center"/>
                    <w:rPr>
                      <w:rFonts w:ascii="Times New Roman" w:hAnsi="Times New Roman" w:eastAsia="宋体" w:cs="Times New Roman"/>
                      <w:iCs/>
                      <w:color w:val="000000" w:themeColor="text1"/>
                      <w:szCs w:val="22"/>
                    </w:rPr>
                  </w:pPr>
                  <w:r>
                    <w:rPr>
                      <w:rFonts w:ascii="Times New Roman" w:hAnsi="Times New Roman" w:eastAsia="宋体" w:cs="Times New Roman"/>
                      <w:iCs/>
                      <w:color w:val="000000" w:themeColor="text1"/>
                      <w:szCs w:val="22"/>
                    </w:rPr>
                    <w:t>生产用排水</w:t>
                  </w:r>
                </w:p>
              </w:tc>
              <w:tc>
                <w:tcPr>
                  <w:tcW w:w="794" w:type="pct"/>
                  <w:vAlign w:val="center"/>
                </w:tcPr>
                <w:p w14:paraId="2176789E">
                  <w:pPr>
                    <w:jc w:val="center"/>
                    <w:rPr>
                      <w:rFonts w:ascii="Times New Roman" w:hAnsi="Times New Roman" w:eastAsia="宋体" w:cs="Times New Roman"/>
                      <w:color w:val="000000" w:themeColor="text1"/>
                      <w:szCs w:val="21"/>
                    </w:rPr>
                  </w:pPr>
                  <w:r>
                    <w:rPr>
                      <w:rFonts w:ascii="Times New Roman" w:hAnsi="Times New Roman" w:eastAsia="宋体" w:cs="Times New Roman"/>
                      <w:iCs/>
                      <w:color w:val="000000" w:themeColor="text1"/>
                      <w:szCs w:val="22"/>
                    </w:rPr>
                    <w:t>清洗</w:t>
                  </w:r>
                </w:p>
              </w:tc>
              <w:tc>
                <w:tcPr>
                  <w:tcW w:w="1083" w:type="pct"/>
                  <w:vAlign w:val="center"/>
                </w:tcPr>
                <w:p w14:paraId="0FD6D236">
                  <w:pPr>
                    <w:jc w:val="center"/>
                    <w:rPr>
                      <w:rFonts w:ascii="Times New Roman" w:hAnsi="Times New Roman" w:eastAsia="宋体" w:cs="Times New Roman"/>
                      <w:iCs/>
                      <w:color w:val="000000" w:themeColor="text1"/>
                      <w:szCs w:val="21"/>
                    </w:rPr>
                  </w:pPr>
                  <w:r>
                    <w:rPr>
                      <w:rFonts w:ascii="Times New Roman" w:hAnsi="Times New Roman" w:cs="Times New Roman"/>
                      <w:color w:val="000000" w:themeColor="text1"/>
                      <w:kern w:val="0"/>
                      <w:szCs w:val="21"/>
                    </w:rPr>
                    <w:t>0.</w:t>
                  </w:r>
                  <w:r>
                    <w:rPr>
                      <w:rFonts w:hint="eastAsia" w:ascii="Times New Roman" w:hAnsi="Times New Roman" w:cs="Times New Roman"/>
                      <w:color w:val="000000" w:themeColor="text1"/>
                      <w:kern w:val="0"/>
                      <w:szCs w:val="21"/>
                    </w:rPr>
                    <w:t>7</w:t>
                  </w:r>
                  <w:r>
                    <w:rPr>
                      <w:rFonts w:ascii="Times New Roman" w:hAnsi="Times New Roman" w:cs="Times New Roman"/>
                      <w:color w:val="000000" w:themeColor="text1"/>
                      <w:kern w:val="0"/>
                      <w:szCs w:val="21"/>
                    </w:rPr>
                    <w:t>t水/t塑料</w:t>
                  </w:r>
                </w:p>
              </w:tc>
              <w:tc>
                <w:tcPr>
                  <w:tcW w:w="663" w:type="pct"/>
                  <w:vAlign w:val="center"/>
                </w:tcPr>
                <w:p w14:paraId="508317F9">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3</w:t>
                  </w:r>
                </w:p>
              </w:tc>
              <w:tc>
                <w:tcPr>
                  <w:tcW w:w="617" w:type="pct"/>
                </w:tcPr>
                <w:p w14:paraId="13E47999">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67</w:t>
                  </w:r>
                </w:p>
              </w:tc>
              <w:tc>
                <w:tcPr>
                  <w:tcW w:w="616" w:type="pct"/>
                  <w:vAlign w:val="center"/>
                </w:tcPr>
                <w:p w14:paraId="521DA9FC">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49</w:t>
                  </w:r>
                </w:p>
              </w:tc>
            </w:tr>
            <w:tr w14:paraId="56A2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 w:type="pct"/>
                  <w:vMerge w:val="continue"/>
                  <w:vAlign w:val="center"/>
                </w:tcPr>
                <w:p w14:paraId="1F036B2D">
                  <w:pPr>
                    <w:jc w:val="center"/>
                    <w:rPr>
                      <w:rFonts w:ascii="Times New Roman" w:hAnsi="Times New Roman" w:eastAsia="宋体" w:cs="Times New Roman"/>
                      <w:color w:val="000000" w:themeColor="text1"/>
                      <w:szCs w:val="22"/>
                    </w:rPr>
                  </w:pPr>
                </w:p>
              </w:tc>
              <w:tc>
                <w:tcPr>
                  <w:tcW w:w="929" w:type="pct"/>
                  <w:vMerge w:val="continue"/>
                  <w:vAlign w:val="center"/>
                </w:tcPr>
                <w:p w14:paraId="38857152">
                  <w:pPr>
                    <w:jc w:val="center"/>
                    <w:rPr>
                      <w:rFonts w:ascii="Times New Roman" w:hAnsi="Times New Roman" w:eastAsia="宋体" w:cs="Times New Roman"/>
                      <w:iCs/>
                      <w:color w:val="000000" w:themeColor="text1"/>
                      <w:szCs w:val="22"/>
                    </w:rPr>
                  </w:pPr>
                </w:p>
              </w:tc>
              <w:tc>
                <w:tcPr>
                  <w:tcW w:w="794" w:type="pct"/>
                  <w:vAlign w:val="center"/>
                </w:tcPr>
                <w:p w14:paraId="09523B28">
                  <w:pPr>
                    <w:jc w:val="center"/>
                    <w:rPr>
                      <w:rFonts w:ascii="Times New Roman" w:hAnsi="Times New Roman" w:eastAsia="宋体" w:cs="Times New Roman"/>
                      <w:iCs/>
                      <w:color w:val="000000" w:themeColor="text1"/>
                      <w:szCs w:val="22"/>
                    </w:rPr>
                  </w:pPr>
                  <w:r>
                    <w:rPr>
                      <w:rFonts w:ascii="Times New Roman" w:hAnsi="Times New Roman" w:eastAsia="宋体" w:cs="Times New Roman"/>
                      <w:iCs/>
                      <w:color w:val="000000" w:themeColor="text1"/>
                      <w:szCs w:val="22"/>
                    </w:rPr>
                    <w:t>破碎</w:t>
                  </w:r>
                </w:p>
              </w:tc>
              <w:tc>
                <w:tcPr>
                  <w:tcW w:w="1083" w:type="pct"/>
                  <w:vAlign w:val="center"/>
                </w:tcPr>
                <w:p w14:paraId="2F71E746">
                  <w:pPr>
                    <w:jc w:val="center"/>
                    <w:rPr>
                      <w:rFonts w:ascii="Times New Roman" w:hAnsi="Times New Roman" w:eastAsia="宋体" w:cs="Times New Roman"/>
                      <w:iCs/>
                      <w:color w:val="000000" w:themeColor="text1"/>
                      <w:szCs w:val="21"/>
                    </w:rPr>
                  </w:pPr>
                  <w:r>
                    <w:rPr>
                      <w:rFonts w:ascii="Times New Roman" w:hAnsi="Times New Roman" w:cs="Times New Roman"/>
                      <w:color w:val="000000" w:themeColor="text1"/>
                      <w:kern w:val="0"/>
                      <w:szCs w:val="21"/>
                    </w:rPr>
                    <w:t>0.</w:t>
                  </w:r>
                  <w:r>
                    <w:rPr>
                      <w:rFonts w:hint="eastAsia" w:ascii="Times New Roman" w:hAnsi="Times New Roman" w:cs="Times New Roman"/>
                      <w:color w:val="000000" w:themeColor="text1"/>
                      <w:kern w:val="0"/>
                      <w:szCs w:val="21"/>
                    </w:rPr>
                    <w:t>2</w:t>
                  </w:r>
                  <w:r>
                    <w:rPr>
                      <w:rFonts w:ascii="Times New Roman" w:hAnsi="Times New Roman" w:cs="Times New Roman"/>
                      <w:color w:val="000000" w:themeColor="text1"/>
                      <w:kern w:val="0"/>
                      <w:szCs w:val="21"/>
                    </w:rPr>
                    <w:t>t水/t塑料</w:t>
                  </w:r>
                </w:p>
              </w:tc>
              <w:tc>
                <w:tcPr>
                  <w:tcW w:w="663" w:type="pct"/>
                  <w:vAlign w:val="center"/>
                </w:tcPr>
                <w:p w14:paraId="33D13B31">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20</w:t>
                  </w:r>
                </w:p>
              </w:tc>
              <w:tc>
                <w:tcPr>
                  <w:tcW w:w="617" w:type="pct"/>
                </w:tcPr>
                <w:p w14:paraId="294D591D">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w:t>
                  </w:r>
                </w:p>
              </w:tc>
              <w:tc>
                <w:tcPr>
                  <w:tcW w:w="616" w:type="pct"/>
                  <w:vAlign w:val="center"/>
                </w:tcPr>
                <w:p w14:paraId="6AFF48F4">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18</w:t>
                  </w:r>
                </w:p>
              </w:tc>
            </w:tr>
            <w:tr w14:paraId="40F5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98" w:type="pct"/>
                  <w:vAlign w:val="center"/>
                </w:tcPr>
                <w:p w14:paraId="4874AD9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3</w:t>
                  </w:r>
                </w:p>
              </w:tc>
              <w:tc>
                <w:tcPr>
                  <w:tcW w:w="929" w:type="pct"/>
                  <w:vAlign w:val="center"/>
                </w:tcPr>
                <w:p w14:paraId="7E8DD1C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合计</w:t>
                  </w:r>
                </w:p>
              </w:tc>
              <w:tc>
                <w:tcPr>
                  <w:tcW w:w="794" w:type="pct"/>
                  <w:vAlign w:val="center"/>
                </w:tcPr>
                <w:p w14:paraId="51C21A2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w:t>
                  </w:r>
                </w:p>
              </w:tc>
              <w:tc>
                <w:tcPr>
                  <w:tcW w:w="1083" w:type="pct"/>
                  <w:vAlign w:val="center"/>
                </w:tcPr>
                <w:p w14:paraId="10EE4AF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w:t>
                  </w:r>
                </w:p>
              </w:tc>
              <w:tc>
                <w:tcPr>
                  <w:tcW w:w="663" w:type="pct"/>
                  <w:vAlign w:val="center"/>
                </w:tcPr>
                <w:p w14:paraId="297EAB18">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23.66</w:t>
                  </w:r>
                </w:p>
              </w:tc>
              <w:tc>
                <w:tcPr>
                  <w:tcW w:w="617" w:type="pct"/>
                  <w:vAlign w:val="center"/>
                </w:tcPr>
                <w:p w14:paraId="5CDB1BB2">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67</w:t>
                  </w:r>
                </w:p>
              </w:tc>
              <w:tc>
                <w:tcPr>
                  <w:tcW w:w="616" w:type="pct"/>
                  <w:vAlign w:val="center"/>
                </w:tcPr>
                <w:p w14:paraId="3A7485F6">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0.5</w:t>
                  </w:r>
                  <w:r>
                    <w:rPr>
                      <w:rFonts w:ascii="Times New Roman" w:hAnsi="Times New Roman" w:cs="Times New Roman"/>
                      <w:color w:val="000000" w:themeColor="text1"/>
                      <w:szCs w:val="21"/>
                    </w:rPr>
                    <w:t>37</w:t>
                  </w:r>
                </w:p>
              </w:tc>
            </w:tr>
          </w:tbl>
          <w:p w14:paraId="346CE71E">
            <w:pPr>
              <w:adjustRightInd w:val="0"/>
              <w:snapToGrid w:val="0"/>
              <w:jc w:val="center"/>
              <w:rPr>
                <w:rFonts w:ascii="Times New Roman" w:hAnsi="Times New Roman" w:cs="Times New Roman"/>
                <w:b/>
                <w:color w:val="000000" w:themeColor="text1"/>
              </w:rPr>
            </w:pPr>
            <w:bookmarkStart w:id="0" w:name="OLE_LINK1"/>
            <w:r>
              <w:rPr>
                <w:rFonts w:ascii="Times New Roman" w:hAnsi="Times New Roman" w:cs="Times New Roman"/>
                <w:b/>
                <w:color w:val="000000" w:themeColor="text1"/>
              </w:rPr>
              <w:object>
                <v:shape id="_x0000_i1028" o:spt="75" type="#_x0000_t75" style="height:242.25pt;width:448.5pt;" o:ole="t" filled="f" o:preferrelative="t" stroked="f" coordsize="21600,21600">
                  <v:path/>
                  <v:fill on="f" focussize="0,0"/>
                  <v:stroke on="f" joinstyle="miter"/>
                  <v:imagedata r:id="rId11" o:title=""/>
                  <o:lock v:ext="edit" aspectratio="t"/>
                  <w10:wrap type="none"/>
                  <w10:anchorlock/>
                </v:shape>
                <o:OLEObject Type="Embed" ProgID="Visio.Drawing.11" ShapeID="_x0000_i1028" DrawAspect="Content" ObjectID="_1468075727" r:id="rId10">
                  <o:LockedField>false</o:LockedField>
                </o:OLEObject>
              </w:object>
            </w:r>
            <w:bookmarkEnd w:id="0"/>
          </w:p>
          <w:p w14:paraId="601D44CF">
            <w:pPr>
              <w:adjustRightInd w:val="0"/>
              <w:snapToGrid w:val="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图5-3  本项目水量平衡图  单位：m</w:t>
            </w:r>
            <w:r>
              <w:rPr>
                <w:rFonts w:ascii="Times New Roman" w:hAnsi="Times New Roman" w:cs="Times New Roman"/>
                <w:b/>
                <w:color w:val="000000" w:themeColor="text1"/>
                <w:sz w:val="24"/>
                <w:vertAlign w:val="superscript"/>
              </w:rPr>
              <w:t>3</w:t>
            </w:r>
            <w:r>
              <w:rPr>
                <w:rFonts w:ascii="Times New Roman" w:hAnsi="Times New Roman" w:cs="Times New Roman"/>
                <w:b/>
                <w:color w:val="000000" w:themeColor="text1"/>
                <w:sz w:val="24"/>
              </w:rPr>
              <w:t>/d</w:t>
            </w:r>
          </w:p>
          <w:p w14:paraId="430120FA">
            <w:pPr>
              <w:adjustRightInd w:val="0"/>
              <w:snapToGrid w:val="0"/>
              <w:jc w:val="center"/>
              <w:rPr>
                <w:rFonts w:ascii="Times New Roman" w:hAnsi="Times New Roman" w:cs="Times New Roman"/>
                <w:b/>
                <w:color w:val="000000" w:themeColor="text1"/>
                <w:sz w:val="24"/>
              </w:rPr>
            </w:pPr>
          </w:p>
          <w:p w14:paraId="261D46BB">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2.4、项目用排水核算小结</w:t>
            </w:r>
          </w:p>
          <w:p w14:paraId="6AC170FB">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生活废水：</w:t>
            </w:r>
            <w:r>
              <w:rPr>
                <w:rFonts w:ascii="Times New Roman" w:hAnsi="Times New Roman" w:eastAsia="宋体" w:cs="Times New Roman"/>
                <w:snapToGrid w:val="0"/>
                <w:color w:val="000000" w:themeColor="text1"/>
                <w:kern w:val="0"/>
                <w:sz w:val="24"/>
                <w:szCs w:val="20"/>
              </w:rPr>
              <w:t>根据上述核算，本项目产生生活废水量为0.</w:t>
            </w:r>
            <w:r>
              <w:rPr>
                <w:rFonts w:hint="eastAsia" w:ascii="Times New Roman" w:hAnsi="Times New Roman" w:eastAsia="宋体" w:cs="Times New Roman"/>
                <w:snapToGrid w:val="0"/>
                <w:color w:val="000000" w:themeColor="text1"/>
                <w:kern w:val="0"/>
                <w:sz w:val="24"/>
                <w:szCs w:val="20"/>
              </w:rPr>
              <w:t>537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/d，0.0</w:t>
            </w:r>
            <w:r>
              <w:rPr>
                <w:rFonts w:hint="eastAsia" w:ascii="Times New Roman" w:hAnsi="Times New Roman" w:eastAsia="宋体" w:cs="Times New Roman"/>
                <w:snapToGrid w:val="0"/>
                <w:color w:val="000000" w:themeColor="text1"/>
                <w:kern w:val="0"/>
                <w:sz w:val="24"/>
                <w:szCs w:val="20"/>
              </w:rPr>
              <w:t>16</w:t>
            </w:r>
            <w:r>
              <w:rPr>
                <w:rFonts w:ascii="Times New Roman" w:hAnsi="Times New Roman" w:eastAsia="宋体" w:cs="Times New Roman"/>
                <w:snapToGrid w:val="0"/>
                <w:color w:val="000000" w:themeColor="text1"/>
                <w:kern w:val="0"/>
                <w:sz w:val="24"/>
                <w:szCs w:val="20"/>
              </w:rPr>
              <w:t>万m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/a</w:t>
            </w:r>
            <w:r>
              <w:rPr>
                <w:rFonts w:ascii="Times New Roman" w:hAnsi="Times New Roman" w:eastAsia="宋体" w:cs="Times New Roman"/>
                <w:bCs/>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生活污水经化粪池、隔油池处理后，定期委托周边村民清掏，用于农作物施肥。</w:t>
            </w:r>
          </w:p>
          <w:p w14:paraId="1458EA51">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生产废水：</w:t>
            </w:r>
            <w:r>
              <w:rPr>
                <w:rFonts w:ascii="Times New Roman" w:hAnsi="Times New Roman" w:eastAsia="宋体" w:cs="Times New Roman"/>
                <w:snapToGrid w:val="0"/>
                <w:color w:val="000000" w:themeColor="text1"/>
                <w:kern w:val="0"/>
                <w:sz w:val="24"/>
                <w:szCs w:val="20"/>
              </w:rPr>
              <w:t>根据上述核算，本项目产生生产废水量为</w:t>
            </w:r>
            <w:r>
              <w:rPr>
                <w:rFonts w:hint="eastAsia" w:ascii="Times New Roman" w:hAnsi="Times New Roman" w:eastAsia="宋体" w:cs="Times New Roman"/>
                <w:snapToGrid w:val="0"/>
                <w:color w:val="000000" w:themeColor="text1"/>
                <w:kern w:val="0"/>
                <w:sz w:val="24"/>
                <w:szCs w:val="20"/>
              </w:rPr>
              <w:t>67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r>
              <w:rPr>
                <w:rFonts w:hint="eastAsia" w:ascii="Times New Roman" w:hAnsi="Times New Roman" w:eastAsia="宋体" w:cs="Times New Roman"/>
                <w:snapToGrid w:val="0"/>
                <w:color w:val="000000" w:themeColor="text1"/>
                <w:kern w:val="0"/>
                <w:sz w:val="24"/>
                <w:szCs w:val="20"/>
              </w:rPr>
              <w:t>2.01</w:t>
            </w:r>
            <w:r>
              <w:rPr>
                <w:rFonts w:ascii="Times New Roman" w:hAnsi="Times New Roman" w:eastAsia="宋体" w:cs="Times New Roman"/>
                <w:snapToGrid w:val="0"/>
                <w:color w:val="000000" w:themeColor="text1"/>
                <w:kern w:val="0"/>
                <w:sz w:val="24"/>
                <w:szCs w:val="20"/>
              </w:rPr>
              <w:t>万m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/a</w:t>
            </w:r>
            <w:r>
              <w:rPr>
                <w:rFonts w:ascii="Times New Roman" w:hAnsi="Times New Roman" w:eastAsia="宋体" w:cs="Times New Roman"/>
                <w:bCs/>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经自建</w:t>
            </w:r>
            <w:r>
              <w:rPr>
                <w:rFonts w:hint="eastAsia" w:ascii="Times New Roman" w:hAnsi="Times New Roman" w:eastAsia="宋体" w:cs="Times New Roman"/>
                <w:snapToGrid w:val="0"/>
                <w:color w:val="000000" w:themeColor="text1"/>
                <w:kern w:val="0"/>
                <w:sz w:val="24"/>
                <w:szCs w:val="20"/>
              </w:rPr>
              <w:t>隔油池+沉淀池</w:t>
            </w:r>
            <w:r>
              <w:rPr>
                <w:rFonts w:ascii="Times New Roman" w:hAnsi="Times New Roman" w:eastAsia="宋体" w:cs="Times New Roman"/>
                <w:snapToGrid w:val="0"/>
                <w:color w:val="000000" w:themeColor="text1"/>
                <w:kern w:val="0"/>
                <w:sz w:val="24"/>
                <w:szCs w:val="20"/>
              </w:rPr>
              <w:t>处理后，回用于生产。</w:t>
            </w:r>
          </w:p>
          <w:p w14:paraId="4DB20CEF">
            <w:pPr>
              <w:adjustRightInd w:val="0"/>
              <w:spacing w:line="360" w:lineRule="auto"/>
              <w:ind w:firstLine="480" w:firstLineChars="200"/>
              <w:rPr>
                <w:rFonts w:ascii="Times New Roman" w:hAnsi="Times New Roman" w:eastAsia="宋体" w:cs="Times New Roman"/>
                <w:b/>
                <w:snapToGrid w:val="0"/>
                <w:color w:val="000000" w:themeColor="text1"/>
                <w:kern w:val="0"/>
                <w:sz w:val="24"/>
                <w:szCs w:val="20"/>
              </w:rPr>
            </w:pPr>
            <w:r>
              <w:rPr>
                <w:rFonts w:ascii="Times New Roman" w:hAnsi="Times New Roman" w:cs="Times New Roman"/>
                <w:color w:val="000000" w:themeColor="text1"/>
                <w:sz w:val="24"/>
                <w:lang w:val="zh-CN"/>
              </w:rPr>
              <w:t>类比《河源宏彩塑料制品有限公司年加工</w:t>
            </w:r>
            <w:r>
              <w:rPr>
                <w:rFonts w:ascii="Times New Roman" w:hAnsi="Times New Roman" w:cs="Times New Roman"/>
                <w:color w:val="000000" w:themeColor="text1"/>
                <w:sz w:val="24"/>
              </w:rPr>
              <w:t>7.8</w:t>
            </w:r>
            <w:r>
              <w:rPr>
                <w:rFonts w:ascii="Times New Roman" w:hAnsi="Times New Roman" w:cs="Times New Roman"/>
                <w:color w:val="000000" w:themeColor="text1"/>
                <w:sz w:val="24"/>
                <w:lang w:val="zh-CN"/>
              </w:rPr>
              <w:t>万吨废塑料项目》中污水中污染物的浓度为</w:t>
            </w:r>
            <w:r>
              <w:rPr>
                <w:rFonts w:ascii="Times New Roman" w:hAnsi="Times New Roman" w:cs="Times New Roman"/>
                <w:color w:val="000000" w:themeColor="text1"/>
                <w:sz w:val="24"/>
              </w:rPr>
              <w:t>PH＞7，COD：1200mg/L、BOD</w:t>
            </w:r>
            <w:r>
              <w:rPr>
                <w:rFonts w:ascii="Times New Roman" w:hAnsi="Times New Roman" w:cs="Times New Roman"/>
                <w:color w:val="000000" w:themeColor="text1"/>
                <w:sz w:val="24"/>
                <w:vertAlign w:val="subscript"/>
              </w:rPr>
              <w:t>5</w:t>
            </w:r>
            <w:r>
              <w:rPr>
                <w:rFonts w:ascii="Times New Roman" w:hAnsi="Times New Roman" w:cs="Times New Roman"/>
                <w:color w:val="000000" w:themeColor="text1"/>
                <w:sz w:val="24"/>
              </w:rPr>
              <w:t>：850mg/L、氨氮：25mg/L、</w:t>
            </w:r>
            <w:r>
              <w:rPr>
                <w:rFonts w:ascii="Times New Roman" w:hAnsi="Times New Roman" w:eastAsia="宋体" w:cs="Times New Roman"/>
                <w:color w:val="000000" w:themeColor="text1"/>
                <w:kern w:val="0"/>
                <w:sz w:val="24"/>
              </w:rPr>
              <w:t>总磷15</w:t>
            </w:r>
            <w:r>
              <w:rPr>
                <w:rFonts w:ascii="Times New Roman" w:hAnsi="Times New Roman" w:cs="Times New Roman"/>
                <w:color w:val="000000" w:themeColor="text1"/>
                <w:sz w:val="24"/>
              </w:rPr>
              <w:t xml:space="preserve"> mg/L</w:t>
            </w:r>
            <w:r>
              <w:rPr>
                <w:rFonts w:ascii="Times New Roman" w:hAnsi="Times New Roman" w:eastAsia="宋体" w:cs="Times New Roman"/>
                <w:color w:val="000000" w:themeColor="text1"/>
                <w:kern w:val="0"/>
                <w:sz w:val="24"/>
              </w:rPr>
              <w:t>、</w:t>
            </w:r>
            <w:r>
              <w:rPr>
                <w:rFonts w:ascii="Times New Roman" w:hAnsi="Times New Roman" w:cs="Times New Roman"/>
                <w:color w:val="000000" w:themeColor="text1"/>
                <w:sz w:val="24"/>
              </w:rPr>
              <w:t>SS：800mg/L，</w:t>
            </w:r>
          </w:p>
          <w:p w14:paraId="4CD7C0E1">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项目废水污染物源强详见下表5-</w:t>
            </w:r>
            <w:bookmarkStart w:id="1" w:name="_Toc393379141"/>
            <w:bookmarkStart w:id="2" w:name="_Toc393378754"/>
            <w:r>
              <w:rPr>
                <w:rFonts w:ascii="Times New Roman" w:hAnsi="Times New Roman" w:eastAsia="宋体" w:cs="Times New Roman"/>
                <w:snapToGrid w:val="0"/>
                <w:color w:val="000000" w:themeColor="text1"/>
                <w:kern w:val="0"/>
                <w:sz w:val="24"/>
                <w:szCs w:val="20"/>
              </w:rPr>
              <w:t>3。</w:t>
            </w:r>
          </w:p>
          <w:p w14:paraId="53D09B8F">
            <w:pPr>
              <w:adjustRightInd w:val="0"/>
              <w:snapToGrid w:val="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表5-3  项目废水产生源强</w:t>
            </w:r>
            <w:bookmarkEnd w:id="1"/>
            <w:bookmarkEnd w:id="2"/>
            <w:r>
              <w:rPr>
                <w:rFonts w:ascii="Times New Roman" w:hAnsi="Times New Roman" w:eastAsia="宋体" w:cs="Times New Roman"/>
                <w:b/>
                <w:color w:val="000000" w:themeColor="text1"/>
                <w:sz w:val="24"/>
              </w:rPr>
              <w:t xml:space="preserve">  单位：t/a</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1735"/>
              <w:gridCol w:w="1428"/>
              <w:gridCol w:w="1112"/>
              <w:gridCol w:w="1112"/>
              <w:gridCol w:w="1112"/>
              <w:gridCol w:w="1112"/>
              <w:gridCol w:w="1108"/>
            </w:tblGrid>
            <w:tr w14:paraId="4B0E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346" w:type="pct"/>
                  <w:gridSpan w:val="2"/>
                  <w:shd w:val="clear" w:color="auto" w:fill="auto"/>
                  <w:vAlign w:val="center"/>
                </w:tcPr>
                <w:p w14:paraId="69EC251C">
                  <w:pPr>
                    <w:widowControl/>
                    <w:ind w:right="550"/>
                    <w:jc w:val="right"/>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pict>
                      <v:shape id="直接箭头连接符 3" o:spid="_x0000_s1026" o:spt="32" type="#_x0000_t32" style="position:absolute;left:0pt;margin-left:-5.45pt;margin-top:1.5pt;height:24.5pt;width:114.25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">
                        <v:path arrowok="t"/>
                        <v:fill on="f" focussize="0,0"/>
                        <v:stroke/>
                        <v:imagedata o:title=""/>
                        <o:lock v:ext="edit"/>
                      </v:shape>
                    </w:pict>
                  </w:r>
                  <w:r>
                    <w:rPr>
                      <w:rFonts w:ascii="Times New Roman" w:hAnsi="Times New Roman" w:cs="Times New Roman"/>
                      <w:color w:val="000000" w:themeColor="text1"/>
                      <w:kern w:val="0"/>
                      <w:szCs w:val="21"/>
                    </w:rPr>
                    <w:t>项目</w:t>
                  </w:r>
                </w:p>
                <w:p w14:paraId="71F2271D">
                  <w:pPr>
                    <w:widowControl/>
                    <w:jc w:val="left"/>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产排情况</w:t>
                  </w:r>
                </w:p>
              </w:tc>
              <w:tc>
                <w:tcPr>
                  <w:tcW w:w="747" w:type="pct"/>
                  <w:shd w:val="clear" w:color="auto" w:fill="auto"/>
                  <w:vAlign w:val="center"/>
                </w:tcPr>
                <w:p w14:paraId="3B3E5F4F">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废水量</w:t>
                  </w:r>
                </w:p>
                <w:p w14:paraId="2629A8D3">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（万m</w:t>
                  </w:r>
                  <w:r>
                    <w:rPr>
                      <w:rFonts w:ascii="Times New Roman" w:hAnsi="Times New Roman" w:cs="Times New Roman"/>
                      <w:color w:val="000000" w:themeColor="text1"/>
                      <w:kern w:val="0"/>
                      <w:szCs w:val="21"/>
                      <w:vertAlign w:val="superscript"/>
                    </w:rPr>
                    <w:t>3</w:t>
                  </w:r>
                  <w:r>
                    <w:rPr>
                      <w:rFonts w:ascii="Times New Roman" w:hAnsi="Times New Roman" w:cs="Times New Roman"/>
                      <w:color w:val="000000" w:themeColor="text1"/>
                      <w:kern w:val="0"/>
                      <w:szCs w:val="21"/>
                    </w:rPr>
                    <w:t>/a）</w:t>
                  </w:r>
                </w:p>
              </w:tc>
              <w:tc>
                <w:tcPr>
                  <w:tcW w:w="582" w:type="pct"/>
                  <w:shd w:val="clear" w:color="auto" w:fill="auto"/>
                  <w:vAlign w:val="center"/>
                </w:tcPr>
                <w:p w14:paraId="29739B0F">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CODcr</w:t>
                  </w:r>
                </w:p>
              </w:tc>
              <w:tc>
                <w:tcPr>
                  <w:tcW w:w="582" w:type="pct"/>
                  <w:shd w:val="clear" w:color="auto" w:fill="auto"/>
                  <w:vAlign w:val="center"/>
                </w:tcPr>
                <w:p w14:paraId="2B72AAA9">
                  <w:pPr>
                    <w:widowControl/>
                    <w:jc w:val="center"/>
                    <w:rPr>
                      <w:rFonts w:ascii="Times New Roman" w:hAnsi="Times New Roman" w:cs="Times New Roman"/>
                      <w:color w:val="000000" w:themeColor="text1"/>
                      <w:kern w:val="0"/>
                      <w:szCs w:val="21"/>
                      <w:vertAlign w:val="subscript"/>
                    </w:rPr>
                  </w:pPr>
                  <w:r>
                    <w:rPr>
                      <w:rFonts w:ascii="Times New Roman" w:hAnsi="Times New Roman" w:cs="Times New Roman"/>
                      <w:color w:val="000000" w:themeColor="text1"/>
                      <w:kern w:val="0"/>
                      <w:szCs w:val="21"/>
                    </w:rPr>
                    <w:t>BOD</w:t>
                  </w:r>
                  <w:r>
                    <w:rPr>
                      <w:rFonts w:ascii="Times New Roman" w:hAnsi="Times New Roman" w:cs="Times New Roman"/>
                      <w:color w:val="000000" w:themeColor="text1"/>
                      <w:kern w:val="0"/>
                      <w:szCs w:val="21"/>
                      <w:vertAlign w:val="subscript"/>
                    </w:rPr>
                    <w:t>5</w:t>
                  </w:r>
                </w:p>
              </w:tc>
              <w:tc>
                <w:tcPr>
                  <w:tcW w:w="582" w:type="pct"/>
                  <w:shd w:val="clear" w:color="auto" w:fill="auto"/>
                  <w:vAlign w:val="center"/>
                </w:tcPr>
                <w:p w14:paraId="002BD822">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SS</w:t>
                  </w:r>
                </w:p>
              </w:tc>
              <w:tc>
                <w:tcPr>
                  <w:tcW w:w="582" w:type="pct"/>
                  <w:shd w:val="clear" w:color="auto" w:fill="auto"/>
                  <w:vAlign w:val="center"/>
                </w:tcPr>
                <w:p w14:paraId="12FF86C5">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NH</w:t>
                  </w:r>
                  <w:r>
                    <w:rPr>
                      <w:rFonts w:ascii="Times New Roman" w:hAnsi="Times New Roman" w:cs="Times New Roman"/>
                      <w:color w:val="000000" w:themeColor="text1"/>
                      <w:kern w:val="0"/>
                      <w:szCs w:val="21"/>
                      <w:vertAlign w:val="subscript"/>
                    </w:rPr>
                    <w:t>3</w:t>
                  </w:r>
                  <w:r>
                    <w:rPr>
                      <w:rFonts w:ascii="Times New Roman" w:hAnsi="Times New Roman" w:cs="Times New Roman"/>
                      <w:color w:val="000000" w:themeColor="text1"/>
                      <w:kern w:val="0"/>
                      <w:szCs w:val="21"/>
                    </w:rPr>
                    <w:t>-N</w:t>
                  </w:r>
                </w:p>
              </w:tc>
              <w:tc>
                <w:tcPr>
                  <w:tcW w:w="580" w:type="pct"/>
                  <w:vAlign w:val="center"/>
                </w:tcPr>
                <w:p w14:paraId="46C88567">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总磷</w:t>
                  </w:r>
                </w:p>
              </w:tc>
            </w:tr>
            <w:tr w14:paraId="173EB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restart"/>
                  <w:shd w:val="clear" w:color="auto" w:fill="auto"/>
                  <w:noWrap/>
                  <w:vAlign w:val="center"/>
                </w:tcPr>
                <w:p w14:paraId="37393DB8">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生活</w:t>
                  </w:r>
                </w:p>
                <w:p w14:paraId="1AB69EF6">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废水</w:t>
                  </w:r>
                </w:p>
              </w:tc>
              <w:tc>
                <w:tcPr>
                  <w:tcW w:w="907" w:type="pct"/>
                  <w:shd w:val="clear" w:color="auto" w:fill="auto"/>
                  <w:vAlign w:val="center"/>
                </w:tcPr>
                <w:p w14:paraId="4DD37103">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产生浓度（mg/L）</w:t>
                  </w:r>
                </w:p>
              </w:tc>
              <w:tc>
                <w:tcPr>
                  <w:tcW w:w="747" w:type="pct"/>
                  <w:vMerge w:val="restart"/>
                  <w:shd w:val="clear" w:color="auto" w:fill="auto"/>
                  <w:noWrap/>
                  <w:vAlign w:val="center"/>
                </w:tcPr>
                <w:p w14:paraId="16DFAA02">
                  <w:pPr>
                    <w:pStyle w:val="146"/>
                    <w:rPr>
                      <w:color w:val="000000" w:themeColor="text1"/>
                    </w:rPr>
                  </w:pPr>
                  <w:r>
                    <w:rPr>
                      <w:rFonts w:hint="eastAsia"/>
                      <w:color w:val="000000" w:themeColor="text1"/>
                    </w:rPr>
                    <w:t>0.016</w:t>
                  </w:r>
                </w:p>
              </w:tc>
              <w:tc>
                <w:tcPr>
                  <w:tcW w:w="582" w:type="pct"/>
                  <w:shd w:val="clear" w:color="auto" w:fill="auto"/>
                  <w:vAlign w:val="center"/>
                </w:tcPr>
                <w:p w14:paraId="425CC198">
                  <w:pPr>
                    <w:pStyle w:val="146"/>
                    <w:rPr>
                      <w:color w:val="000000" w:themeColor="text1"/>
                    </w:rPr>
                  </w:pPr>
                  <w:r>
                    <w:rPr>
                      <w:color w:val="000000" w:themeColor="text1"/>
                    </w:rPr>
                    <w:t>350</w:t>
                  </w:r>
                </w:p>
              </w:tc>
              <w:tc>
                <w:tcPr>
                  <w:tcW w:w="582" w:type="pct"/>
                  <w:shd w:val="clear" w:color="auto" w:fill="auto"/>
                  <w:vAlign w:val="center"/>
                </w:tcPr>
                <w:p w14:paraId="634B34B7">
                  <w:pPr>
                    <w:pStyle w:val="146"/>
                    <w:rPr>
                      <w:color w:val="000000" w:themeColor="text1"/>
                    </w:rPr>
                  </w:pPr>
                  <w:r>
                    <w:rPr>
                      <w:color w:val="000000" w:themeColor="text1"/>
                    </w:rPr>
                    <w:t>200</w:t>
                  </w:r>
                </w:p>
              </w:tc>
              <w:tc>
                <w:tcPr>
                  <w:tcW w:w="582" w:type="pct"/>
                  <w:shd w:val="clear" w:color="auto" w:fill="auto"/>
                  <w:vAlign w:val="center"/>
                </w:tcPr>
                <w:p w14:paraId="041DB68A">
                  <w:pPr>
                    <w:pStyle w:val="146"/>
                    <w:rPr>
                      <w:color w:val="000000" w:themeColor="text1"/>
                    </w:rPr>
                  </w:pPr>
                  <w:r>
                    <w:rPr>
                      <w:color w:val="000000" w:themeColor="text1"/>
                    </w:rPr>
                    <w:t>220</w:t>
                  </w:r>
                </w:p>
              </w:tc>
              <w:tc>
                <w:tcPr>
                  <w:tcW w:w="582" w:type="pct"/>
                  <w:shd w:val="clear" w:color="auto" w:fill="auto"/>
                  <w:vAlign w:val="center"/>
                </w:tcPr>
                <w:p w14:paraId="07BBDFC9">
                  <w:pPr>
                    <w:pStyle w:val="146"/>
                    <w:rPr>
                      <w:color w:val="000000" w:themeColor="text1"/>
                    </w:rPr>
                  </w:pPr>
                  <w:r>
                    <w:rPr>
                      <w:color w:val="000000" w:themeColor="text1"/>
                    </w:rPr>
                    <w:t>40</w:t>
                  </w:r>
                </w:p>
              </w:tc>
              <w:tc>
                <w:tcPr>
                  <w:tcW w:w="580" w:type="pct"/>
                  <w:vAlign w:val="center"/>
                </w:tcPr>
                <w:p w14:paraId="51F1D26E">
                  <w:pPr>
                    <w:pStyle w:val="146"/>
                    <w:rPr>
                      <w:color w:val="000000" w:themeColor="text1"/>
                    </w:rPr>
                  </w:pPr>
                  <w:r>
                    <w:rPr>
                      <w:color w:val="000000" w:themeColor="text1"/>
                    </w:rPr>
                    <w:t>10</w:t>
                  </w:r>
                </w:p>
              </w:tc>
            </w:tr>
            <w:tr w14:paraId="2A57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continue"/>
                  <w:vAlign w:val="center"/>
                </w:tcPr>
                <w:p w14:paraId="0B758F15">
                  <w:pPr>
                    <w:widowControl/>
                    <w:jc w:val="center"/>
                    <w:rPr>
                      <w:rFonts w:ascii="Times New Roman" w:hAnsi="Times New Roman" w:cs="Times New Roman"/>
                      <w:color w:val="000000" w:themeColor="text1"/>
                      <w:kern w:val="0"/>
                      <w:szCs w:val="21"/>
                    </w:rPr>
                  </w:pPr>
                </w:p>
              </w:tc>
              <w:tc>
                <w:tcPr>
                  <w:tcW w:w="907" w:type="pct"/>
                  <w:shd w:val="clear" w:color="auto" w:fill="auto"/>
                  <w:vAlign w:val="center"/>
                </w:tcPr>
                <w:p w14:paraId="22315C6B">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产生量（t/a）</w:t>
                  </w:r>
                </w:p>
              </w:tc>
              <w:tc>
                <w:tcPr>
                  <w:tcW w:w="747" w:type="pct"/>
                  <w:vMerge w:val="continue"/>
                  <w:shd w:val="clear" w:color="auto" w:fill="auto"/>
                  <w:vAlign w:val="center"/>
                </w:tcPr>
                <w:p w14:paraId="77CF8659">
                  <w:pPr>
                    <w:pStyle w:val="146"/>
                    <w:rPr>
                      <w:color w:val="000000" w:themeColor="text1"/>
                    </w:rPr>
                  </w:pPr>
                </w:p>
              </w:tc>
              <w:tc>
                <w:tcPr>
                  <w:tcW w:w="582" w:type="pct"/>
                  <w:shd w:val="clear" w:color="auto" w:fill="auto"/>
                  <w:vAlign w:val="center"/>
                </w:tcPr>
                <w:p w14:paraId="7B2662B4">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0.056</w:t>
                  </w:r>
                </w:p>
              </w:tc>
              <w:tc>
                <w:tcPr>
                  <w:tcW w:w="582" w:type="pct"/>
                  <w:shd w:val="clear" w:color="auto" w:fill="auto"/>
                  <w:vAlign w:val="center"/>
                </w:tcPr>
                <w:p w14:paraId="37DFDC79">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0.032</w:t>
                  </w:r>
                </w:p>
              </w:tc>
              <w:tc>
                <w:tcPr>
                  <w:tcW w:w="582" w:type="pct"/>
                  <w:shd w:val="clear" w:color="auto" w:fill="auto"/>
                  <w:vAlign w:val="center"/>
                </w:tcPr>
                <w:p w14:paraId="51AB2498">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0.0352</w:t>
                  </w:r>
                </w:p>
              </w:tc>
              <w:tc>
                <w:tcPr>
                  <w:tcW w:w="582" w:type="pct"/>
                  <w:shd w:val="clear" w:color="auto" w:fill="auto"/>
                  <w:vAlign w:val="center"/>
                </w:tcPr>
                <w:p w14:paraId="43C65345">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0.0064</w:t>
                  </w:r>
                </w:p>
              </w:tc>
              <w:tc>
                <w:tcPr>
                  <w:tcW w:w="580" w:type="pct"/>
                  <w:vAlign w:val="center"/>
                </w:tcPr>
                <w:p w14:paraId="3917F04D">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0.0016</w:t>
                  </w:r>
                </w:p>
              </w:tc>
            </w:tr>
            <w:tr w14:paraId="7895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restart"/>
                  <w:shd w:val="clear" w:color="auto" w:fill="auto"/>
                  <w:noWrap/>
                  <w:vAlign w:val="center"/>
                </w:tcPr>
                <w:p w14:paraId="77D2A675">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生产</w:t>
                  </w:r>
                </w:p>
                <w:p w14:paraId="1569E24C">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废水</w:t>
                  </w:r>
                </w:p>
              </w:tc>
              <w:tc>
                <w:tcPr>
                  <w:tcW w:w="907" w:type="pct"/>
                  <w:shd w:val="clear" w:color="auto" w:fill="auto"/>
                  <w:vAlign w:val="center"/>
                </w:tcPr>
                <w:p w14:paraId="683917DD">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产生浓度（mg/L）</w:t>
                  </w:r>
                </w:p>
              </w:tc>
              <w:tc>
                <w:tcPr>
                  <w:tcW w:w="747" w:type="pct"/>
                  <w:vMerge w:val="restart"/>
                  <w:shd w:val="clear" w:color="auto" w:fill="auto"/>
                  <w:noWrap/>
                  <w:vAlign w:val="center"/>
                </w:tcPr>
                <w:p w14:paraId="3347D02E">
                  <w:pPr>
                    <w:pStyle w:val="146"/>
                    <w:rPr>
                      <w:color w:val="000000" w:themeColor="text1"/>
                    </w:rPr>
                  </w:pPr>
                  <w:r>
                    <w:rPr>
                      <w:rFonts w:hint="eastAsia"/>
                      <w:color w:val="000000" w:themeColor="text1"/>
                    </w:rPr>
                    <w:t>2.01</w:t>
                  </w:r>
                </w:p>
              </w:tc>
              <w:tc>
                <w:tcPr>
                  <w:tcW w:w="582" w:type="pct"/>
                  <w:shd w:val="clear" w:color="auto" w:fill="auto"/>
                  <w:vAlign w:val="center"/>
                </w:tcPr>
                <w:p w14:paraId="24F89966">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1200</w:t>
                  </w:r>
                </w:p>
              </w:tc>
              <w:tc>
                <w:tcPr>
                  <w:tcW w:w="582" w:type="pct"/>
                  <w:shd w:val="clear" w:color="auto" w:fill="auto"/>
                  <w:vAlign w:val="center"/>
                </w:tcPr>
                <w:p w14:paraId="5B080186">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850</w:t>
                  </w:r>
                </w:p>
              </w:tc>
              <w:tc>
                <w:tcPr>
                  <w:tcW w:w="582" w:type="pct"/>
                  <w:shd w:val="clear" w:color="auto" w:fill="auto"/>
                  <w:vAlign w:val="center"/>
                </w:tcPr>
                <w:p w14:paraId="644121B3">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800</w:t>
                  </w:r>
                </w:p>
              </w:tc>
              <w:tc>
                <w:tcPr>
                  <w:tcW w:w="582" w:type="pct"/>
                  <w:shd w:val="clear" w:color="auto" w:fill="auto"/>
                  <w:vAlign w:val="center"/>
                </w:tcPr>
                <w:p w14:paraId="5E8D567D">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25</w:t>
                  </w:r>
                </w:p>
              </w:tc>
              <w:tc>
                <w:tcPr>
                  <w:tcW w:w="580" w:type="pct"/>
                  <w:vAlign w:val="center"/>
                </w:tcPr>
                <w:p w14:paraId="6DA6B8A4">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15</w:t>
                  </w:r>
                </w:p>
              </w:tc>
            </w:tr>
            <w:tr w14:paraId="223C3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continue"/>
                  <w:vAlign w:val="center"/>
                </w:tcPr>
                <w:p w14:paraId="32BA2E15">
                  <w:pPr>
                    <w:widowControl/>
                    <w:jc w:val="center"/>
                    <w:rPr>
                      <w:rFonts w:ascii="Times New Roman" w:hAnsi="Times New Roman" w:cs="Times New Roman"/>
                      <w:color w:val="000000" w:themeColor="text1"/>
                      <w:kern w:val="0"/>
                      <w:szCs w:val="21"/>
                    </w:rPr>
                  </w:pPr>
                </w:p>
              </w:tc>
              <w:tc>
                <w:tcPr>
                  <w:tcW w:w="907" w:type="pct"/>
                  <w:shd w:val="clear" w:color="auto" w:fill="auto"/>
                  <w:vAlign w:val="center"/>
                </w:tcPr>
                <w:p w14:paraId="22E6CCDA">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产生量（t/a）</w:t>
                  </w:r>
                </w:p>
              </w:tc>
              <w:tc>
                <w:tcPr>
                  <w:tcW w:w="747" w:type="pct"/>
                  <w:vMerge w:val="continue"/>
                  <w:shd w:val="clear" w:color="auto" w:fill="auto"/>
                  <w:vAlign w:val="center"/>
                </w:tcPr>
                <w:p w14:paraId="0D1332E7">
                  <w:pPr>
                    <w:pStyle w:val="146"/>
                    <w:rPr>
                      <w:color w:val="000000" w:themeColor="text1"/>
                    </w:rPr>
                  </w:pPr>
                </w:p>
              </w:tc>
              <w:tc>
                <w:tcPr>
                  <w:tcW w:w="582" w:type="pct"/>
                  <w:shd w:val="clear" w:color="auto" w:fill="auto"/>
                  <w:vAlign w:val="center"/>
                </w:tcPr>
                <w:p w14:paraId="6093AE6E">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24.12</w:t>
                  </w:r>
                </w:p>
              </w:tc>
              <w:tc>
                <w:tcPr>
                  <w:tcW w:w="582" w:type="pct"/>
                  <w:shd w:val="clear" w:color="auto" w:fill="auto"/>
                  <w:vAlign w:val="center"/>
                </w:tcPr>
                <w:p w14:paraId="4918BABA">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17.085</w:t>
                  </w:r>
                </w:p>
              </w:tc>
              <w:tc>
                <w:tcPr>
                  <w:tcW w:w="582" w:type="pct"/>
                  <w:shd w:val="clear" w:color="auto" w:fill="auto"/>
                  <w:vAlign w:val="center"/>
                </w:tcPr>
                <w:p w14:paraId="4564079C">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16.08</w:t>
                  </w:r>
                </w:p>
              </w:tc>
              <w:tc>
                <w:tcPr>
                  <w:tcW w:w="582" w:type="pct"/>
                  <w:shd w:val="clear" w:color="auto" w:fill="auto"/>
                  <w:vAlign w:val="center"/>
                </w:tcPr>
                <w:p w14:paraId="57F83851">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0.5025</w:t>
                  </w:r>
                </w:p>
              </w:tc>
              <w:tc>
                <w:tcPr>
                  <w:tcW w:w="580" w:type="pct"/>
                  <w:vAlign w:val="center"/>
                </w:tcPr>
                <w:p w14:paraId="30EF8DB7">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0.3015</w:t>
                  </w:r>
                </w:p>
              </w:tc>
            </w:tr>
            <w:tr w14:paraId="6116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restart"/>
                  <w:vAlign w:val="center"/>
                </w:tcPr>
                <w:p w14:paraId="4A8B6C52">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合计</w:t>
                  </w:r>
                </w:p>
              </w:tc>
              <w:tc>
                <w:tcPr>
                  <w:tcW w:w="907" w:type="pct"/>
                  <w:shd w:val="clear" w:color="auto" w:fill="auto"/>
                  <w:vAlign w:val="center"/>
                </w:tcPr>
                <w:p w14:paraId="2E5A09F5">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产生浓度（mg/L）</w:t>
                  </w:r>
                </w:p>
              </w:tc>
              <w:tc>
                <w:tcPr>
                  <w:tcW w:w="747" w:type="pct"/>
                  <w:vMerge w:val="restart"/>
                  <w:shd w:val="clear" w:color="auto" w:fill="auto"/>
                  <w:vAlign w:val="center"/>
                </w:tcPr>
                <w:p w14:paraId="7A9F2755">
                  <w:pPr>
                    <w:jc w:val="center"/>
                    <w:rPr>
                      <w:rFonts w:ascii="Times New Roman" w:hAnsi="Times New Roman" w:cs="Times New Roman"/>
                      <w:color w:val="000000" w:themeColor="text1"/>
                    </w:rPr>
                  </w:pPr>
                  <w:r>
                    <w:rPr>
                      <w:rFonts w:hint="eastAsia" w:ascii="Times New Roman" w:hAnsi="Times New Roman" w:eastAsia="宋体" w:cs="Times New Roman"/>
                      <w:color w:val="000000" w:themeColor="text1"/>
                      <w:szCs w:val="21"/>
                    </w:rPr>
                    <w:t>2.026</w:t>
                  </w:r>
                </w:p>
              </w:tc>
              <w:tc>
                <w:tcPr>
                  <w:tcW w:w="582" w:type="pct"/>
                  <w:shd w:val="clear" w:color="auto" w:fill="auto"/>
                  <w:vAlign w:val="center"/>
                </w:tcPr>
                <w:p w14:paraId="20CFA89F">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 xml:space="preserve">1193.29 </w:t>
                  </w:r>
                </w:p>
              </w:tc>
              <w:tc>
                <w:tcPr>
                  <w:tcW w:w="582" w:type="pct"/>
                  <w:shd w:val="clear" w:color="auto" w:fill="auto"/>
                  <w:vAlign w:val="center"/>
                </w:tcPr>
                <w:p w14:paraId="1188C501">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 xml:space="preserve">844.87 </w:t>
                  </w:r>
                </w:p>
              </w:tc>
              <w:tc>
                <w:tcPr>
                  <w:tcW w:w="582" w:type="pct"/>
                  <w:shd w:val="clear" w:color="auto" w:fill="auto"/>
                  <w:vAlign w:val="center"/>
                </w:tcPr>
                <w:p w14:paraId="0E62BC84">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 xml:space="preserve">795.42 </w:t>
                  </w:r>
                </w:p>
              </w:tc>
              <w:tc>
                <w:tcPr>
                  <w:tcW w:w="582" w:type="pct"/>
                  <w:shd w:val="clear" w:color="auto" w:fill="auto"/>
                  <w:vAlign w:val="center"/>
                </w:tcPr>
                <w:p w14:paraId="241B1C19">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 xml:space="preserve">25.12 </w:t>
                  </w:r>
                </w:p>
              </w:tc>
              <w:tc>
                <w:tcPr>
                  <w:tcW w:w="580" w:type="pct"/>
                  <w:vAlign w:val="center"/>
                </w:tcPr>
                <w:p w14:paraId="0D279E50">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 xml:space="preserve">14.96 </w:t>
                  </w:r>
                </w:p>
              </w:tc>
            </w:tr>
            <w:tr w14:paraId="44A6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continue"/>
                  <w:vAlign w:val="center"/>
                </w:tcPr>
                <w:p w14:paraId="13E1263A">
                  <w:pPr>
                    <w:widowControl/>
                    <w:jc w:val="center"/>
                    <w:rPr>
                      <w:rFonts w:ascii="Times New Roman" w:hAnsi="Times New Roman" w:cs="Times New Roman"/>
                      <w:color w:val="000000" w:themeColor="text1"/>
                      <w:kern w:val="0"/>
                      <w:szCs w:val="21"/>
                    </w:rPr>
                  </w:pPr>
                </w:p>
              </w:tc>
              <w:tc>
                <w:tcPr>
                  <w:tcW w:w="907" w:type="pct"/>
                  <w:shd w:val="clear" w:color="auto" w:fill="auto"/>
                  <w:vAlign w:val="center"/>
                </w:tcPr>
                <w:p w14:paraId="37E068D2">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产生量（t/a）</w:t>
                  </w:r>
                </w:p>
              </w:tc>
              <w:tc>
                <w:tcPr>
                  <w:tcW w:w="747" w:type="pct"/>
                  <w:vMerge w:val="continue"/>
                  <w:shd w:val="clear" w:color="auto" w:fill="auto"/>
                  <w:vAlign w:val="center"/>
                </w:tcPr>
                <w:p w14:paraId="17389766">
                  <w:pPr>
                    <w:pStyle w:val="146"/>
                    <w:rPr>
                      <w:color w:val="000000" w:themeColor="text1"/>
                    </w:rPr>
                  </w:pPr>
                </w:p>
              </w:tc>
              <w:tc>
                <w:tcPr>
                  <w:tcW w:w="582" w:type="pct"/>
                  <w:shd w:val="clear" w:color="auto" w:fill="auto"/>
                  <w:vAlign w:val="center"/>
                </w:tcPr>
                <w:p w14:paraId="4A2E9B19">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24.176</w:t>
                  </w:r>
                </w:p>
              </w:tc>
              <w:tc>
                <w:tcPr>
                  <w:tcW w:w="582" w:type="pct"/>
                  <w:shd w:val="clear" w:color="auto" w:fill="auto"/>
                  <w:vAlign w:val="center"/>
                </w:tcPr>
                <w:p w14:paraId="26077E9D">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17.117</w:t>
                  </w:r>
                </w:p>
              </w:tc>
              <w:tc>
                <w:tcPr>
                  <w:tcW w:w="582" w:type="pct"/>
                  <w:shd w:val="clear" w:color="auto" w:fill="auto"/>
                  <w:vAlign w:val="center"/>
                </w:tcPr>
                <w:p w14:paraId="763C65BE">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16.1152</w:t>
                  </w:r>
                </w:p>
              </w:tc>
              <w:tc>
                <w:tcPr>
                  <w:tcW w:w="582" w:type="pct"/>
                  <w:shd w:val="clear" w:color="auto" w:fill="auto"/>
                  <w:vAlign w:val="center"/>
                </w:tcPr>
                <w:p w14:paraId="1BCA4805">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0.5089</w:t>
                  </w:r>
                </w:p>
              </w:tc>
              <w:tc>
                <w:tcPr>
                  <w:tcW w:w="580" w:type="pct"/>
                  <w:vAlign w:val="center"/>
                </w:tcPr>
                <w:p w14:paraId="2B545E2F">
                  <w:pPr>
                    <w:jc w:val="center"/>
                    <w:rPr>
                      <w:rFonts w:ascii="Times New Roman" w:hAnsi="Times New Roman" w:eastAsia="宋体" w:cs="Times New Roman"/>
                      <w:color w:val="000000" w:themeColor="text1"/>
                      <w:szCs w:val="21"/>
                    </w:rPr>
                  </w:pPr>
                  <w:r>
                    <w:rPr>
                      <w:rFonts w:ascii="Times New Roman" w:hAnsi="Times New Roman" w:cs="Times New Roman"/>
                      <w:color w:val="000000" w:themeColor="text1"/>
                      <w:szCs w:val="21"/>
                    </w:rPr>
                    <w:t>0.3031</w:t>
                  </w:r>
                </w:p>
              </w:tc>
            </w:tr>
            <w:tr w14:paraId="1718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38" w:type="pct"/>
                  <w:vMerge w:val="continue"/>
                  <w:vAlign w:val="center"/>
                </w:tcPr>
                <w:p w14:paraId="237C964B">
                  <w:pPr>
                    <w:widowControl/>
                    <w:jc w:val="center"/>
                    <w:rPr>
                      <w:rFonts w:ascii="Times New Roman" w:hAnsi="Times New Roman" w:cs="Times New Roman"/>
                      <w:color w:val="000000" w:themeColor="text1"/>
                      <w:kern w:val="0"/>
                      <w:szCs w:val="21"/>
                    </w:rPr>
                  </w:pPr>
                </w:p>
              </w:tc>
              <w:tc>
                <w:tcPr>
                  <w:tcW w:w="907" w:type="pct"/>
                  <w:shd w:val="clear" w:color="auto" w:fill="auto"/>
                  <w:vAlign w:val="center"/>
                </w:tcPr>
                <w:p w14:paraId="3A6CA5FE">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排放量（t/a）</w:t>
                  </w:r>
                </w:p>
              </w:tc>
              <w:tc>
                <w:tcPr>
                  <w:tcW w:w="747" w:type="pct"/>
                  <w:shd w:val="clear" w:color="auto" w:fill="auto"/>
                  <w:vAlign w:val="center"/>
                </w:tcPr>
                <w:p w14:paraId="4AA092C6">
                  <w:pPr>
                    <w:widowControl/>
                    <w:jc w:val="center"/>
                    <w:rPr>
                      <w:rFonts w:ascii="Times New Roman" w:hAnsi="Times New Roman" w:cs="Times New Roman"/>
                      <w:color w:val="000000" w:themeColor="text1"/>
                      <w:kern w:val="0"/>
                      <w:szCs w:val="21"/>
                    </w:rPr>
                  </w:pPr>
                  <w:r>
                    <w:rPr>
                      <w:rFonts w:ascii="Times New Roman" w:hAnsi="Times New Roman" w:cs="Times New Roman"/>
                      <w:color w:val="000000" w:themeColor="text1"/>
                      <w:kern w:val="0"/>
                      <w:szCs w:val="21"/>
                    </w:rPr>
                    <w:t>0</w:t>
                  </w:r>
                </w:p>
              </w:tc>
              <w:tc>
                <w:tcPr>
                  <w:tcW w:w="582" w:type="pct"/>
                  <w:shd w:val="clear" w:color="auto" w:fill="auto"/>
                  <w:vAlign w:val="center"/>
                </w:tcPr>
                <w:p w14:paraId="0ADB6870">
                  <w:pPr>
                    <w:pStyle w:val="146"/>
                    <w:rPr>
                      <w:color w:val="000000" w:themeColor="text1"/>
                    </w:rPr>
                  </w:pPr>
                  <w:r>
                    <w:rPr>
                      <w:color w:val="000000" w:themeColor="text1"/>
                    </w:rPr>
                    <w:t>0</w:t>
                  </w:r>
                </w:p>
              </w:tc>
              <w:tc>
                <w:tcPr>
                  <w:tcW w:w="582" w:type="pct"/>
                  <w:shd w:val="clear" w:color="auto" w:fill="auto"/>
                  <w:vAlign w:val="center"/>
                </w:tcPr>
                <w:p w14:paraId="0C6C2973">
                  <w:pPr>
                    <w:pStyle w:val="146"/>
                    <w:rPr>
                      <w:color w:val="000000" w:themeColor="text1"/>
                    </w:rPr>
                  </w:pPr>
                  <w:r>
                    <w:rPr>
                      <w:color w:val="000000" w:themeColor="text1"/>
                    </w:rPr>
                    <w:t>0</w:t>
                  </w:r>
                </w:p>
              </w:tc>
              <w:tc>
                <w:tcPr>
                  <w:tcW w:w="582" w:type="pct"/>
                  <w:shd w:val="clear" w:color="auto" w:fill="auto"/>
                  <w:vAlign w:val="center"/>
                </w:tcPr>
                <w:p w14:paraId="7CE9BB58">
                  <w:pPr>
                    <w:pStyle w:val="146"/>
                    <w:rPr>
                      <w:color w:val="000000" w:themeColor="text1"/>
                    </w:rPr>
                  </w:pPr>
                  <w:r>
                    <w:rPr>
                      <w:color w:val="000000" w:themeColor="text1"/>
                    </w:rPr>
                    <w:t>0</w:t>
                  </w:r>
                </w:p>
              </w:tc>
              <w:tc>
                <w:tcPr>
                  <w:tcW w:w="582" w:type="pct"/>
                  <w:shd w:val="clear" w:color="auto" w:fill="auto"/>
                  <w:vAlign w:val="center"/>
                </w:tcPr>
                <w:p w14:paraId="1AE52438">
                  <w:pPr>
                    <w:pStyle w:val="146"/>
                    <w:rPr>
                      <w:color w:val="000000" w:themeColor="text1"/>
                    </w:rPr>
                  </w:pPr>
                  <w:r>
                    <w:rPr>
                      <w:color w:val="000000" w:themeColor="text1"/>
                    </w:rPr>
                    <w:t>0</w:t>
                  </w:r>
                </w:p>
              </w:tc>
              <w:tc>
                <w:tcPr>
                  <w:tcW w:w="580" w:type="pct"/>
                  <w:vAlign w:val="center"/>
                </w:tcPr>
                <w:p w14:paraId="3E443622">
                  <w:pPr>
                    <w:pStyle w:val="146"/>
                    <w:rPr>
                      <w:color w:val="000000" w:themeColor="text1"/>
                    </w:rPr>
                  </w:pPr>
                  <w:r>
                    <w:rPr>
                      <w:color w:val="000000" w:themeColor="text1"/>
                    </w:rPr>
                    <w:t>0</w:t>
                  </w:r>
                </w:p>
              </w:tc>
            </w:tr>
          </w:tbl>
          <w:p w14:paraId="67174345">
            <w:pPr>
              <w:adjustRightInd w:val="0"/>
              <w:snapToGrid w:val="0"/>
              <w:jc w:val="center"/>
              <w:rPr>
                <w:rFonts w:ascii="Times New Roman" w:hAnsi="Times New Roman" w:eastAsia="宋体" w:cs="Times New Roman"/>
                <w:b/>
                <w:color w:val="000000" w:themeColor="text1"/>
                <w:sz w:val="24"/>
              </w:rPr>
            </w:pPr>
          </w:p>
          <w:p w14:paraId="6BE10CFF">
            <w:pPr>
              <w:spacing w:line="360" w:lineRule="auto"/>
              <w:ind w:firstLine="480"/>
              <w:rPr>
                <w:rFonts w:ascii="Times New Roman" w:hAnsi="Times New Roman" w:cs="Times New Roman"/>
                <w:b/>
                <w:color w:val="000000" w:themeColor="text1"/>
                <w:sz w:val="24"/>
              </w:rPr>
            </w:pPr>
            <w:r>
              <w:rPr>
                <w:rFonts w:ascii="Times New Roman" w:hAnsi="Times New Roman" w:cs="Times New Roman"/>
                <w:b/>
                <w:color w:val="000000" w:themeColor="text1"/>
                <w:sz w:val="24"/>
              </w:rPr>
              <w:t>3、噪声</w:t>
            </w:r>
          </w:p>
          <w:p w14:paraId="759CD158">
            <w:pPr>
              <w:spacing w:line="360" w:lineRule="auto"/>
              <w:ind w:firstLine="480" w:firstLineChars="200"/>
              <w:rPr>
                <w:rFonts w:ascii="Times New Roman" w:hAnsi="Times New Roman" w:cs="Times New Roman"/>
                <w:bCs/>
                <w:color w:val="000000" w:themeColor="text1"/>
                <w:sz w:val="24"/>
              </w:rPr>
            </w:pPr>
            <w:r>
              <w:rPr>
                <w:rFonts w:ascii="Times New Roman" w:hAnsi="Times New Roman" w:cs="Times New Roman"/>
                <w:color w:val="000000" w:themeColor="text1"/>
                <w:sz w:val="24"/>
              </w:rPr>
              <w:t>本项目营运期噪声主要来自于清洗机、破碎机、甩干机等机械设备，</w:t>
            </w:r>
            <w:r>
              <w:rPr>
                <w:rFonts w:ascii="Times New Roman" w:hAnsi="Times New Roman" w:cs="Times New Roman"/>
                <w:bCs/>
                <w:color w:val="000000" w:themeColor="text1"/>
                <w:sz w:val="24"/>
              </w:rPr>
              <w:t>噪声源强在70-92dB（A）之间。</w:t>
            </w:r>
          </w:p>
          <w:p w14:paraId="61F372D2">
            <w:pPr>
              <w:adjustRightInd w:val="0"/>
              <w:snapToGrid w:val="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表5-4   项目运营期主要设备噪声源强值</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4596"/>
              <w:gridCol w:w="2978"/>
            </w:tblGrid>
            <w:tr w14:paraId="7A98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7" w:type="pct"/>
                  <w:vAlign w:val="center"/>
                </w:tcPr>
                <w:p w14:paraId="259895CA">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序号</w:t>
                  </w:r>
                </w:p>
              </w:tc>
              <w:tc>
                <w:tcPr>
                  <w:tcW w:w="2405" w:type="pct"/>
                  <w:vAlign w:val="center"/>
                </w:tcPr>
                <w:p w14:paraId="56A9B2EF">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噪声源</w:t>
                  </w:r>
                </w:p>
              </w:tc>
              <w:tc>
                <w:tcPr>
                  <w:tcW w:w="1558" w:type="pct"/>
                  <w:vAlign w:val="center"/>
                </w:tcPr>
                <w:p w14:paraId="7C3D8E26">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声级dB(A)</w:t>
                  </w:r>
                </w:p>
              </w:tc>
            </w:tr>
            <w:tr w14:paraId="45B1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7" w:type="pct"/>
                  <w:vAlign w:val="center"/>
                </w:tcPr>
                <w:p w14:paraId="5882DB57">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w:t>
                  </w:r>
                </w:p>
              </w:tc>
              <w:tc>
                <w:tcPr>
                  <w:tcW w:w="2405" w:type="pct"/>
                  <w:vAlign w:val="center"/>
                </w:tcPr>
                <w:p w14:paraId="37C84355">
                  <w:pPr>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清洗机N1</w:t>
                  </w:r>
                </w:p>
              </w:tc>
              <w:tc>
                <w:tcPr>
                  <w:tcW w:w="1558" w:type="pct"/>
                  <w:vAlign w:val="center"/>
                </w:tcPr>
                <w:p w14:paraId="5E52E58F">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70-85</w:t>
                  </w:r>
                </w:p>
              </w:tc>
            </w:tr>
            <w:tr w14:paraId="2F02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7" w:type="pct"/>
                  <w:vAlign w:val="center"/>
                </w:tcPr>
                <w:p w14:paraId="54BDE765">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2405" w:type="pct"/>
                  <w:vAlign w:val="center"/>
                </w:tcPr>
                <w:p w14:paraId="175D6E87">
                  <w:pPr>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破碎机N2</w:t>
                  </w:r>
                </w:p>
              </w:tc>
              <w:tc>
                <w:tcPr>
                  <w:tcW w:w="1558" w:type="pct"/>
                  <w:vAlign w:val="center"/>
                </w:tcPr>
                <w:p w14:paraId="6B7DA5E6">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85~92</w:t>
                  </w:r>
                </w:p>
              </w:tc>
            </w:tr>
            <w:tr w14:paraId="24BE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1037" w:type="pct"/>
                  <w:vAlign w:val="center"/>
                </w:tcPr>
                <w:p w14:paraId="0110A722">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3</w:t>
                  </w:r>
                </w:p>
              </w:tc>
              <w:tc>
                <w:tcPr>
                  <w:tcW w:w="2405" w:type="pct"/>
                  <w:vAlign w:val="center"/>
                </w:tcPr>
                <w:p w14:paraId="47D2E4C2">
                  <w:pPr>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甩干机N3</w:t>
                  </w:r>
                </w:p>
              </w:tc>
              <w:tc>
                <w:tcPr>
                  <w:tcW w:w="1558" w:type="pct"/>
                  <w:vAlign w:val="center"/>
                </w:tcPr>
                <w:p w14:paraId="0A4200FA">
                  <w:pPr>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80-85</w:t>
                  </w:r>
                </w:p>
              </w:tc>
            </w:tr>
          </w:tbl>
          <w:p w14:paraId="4712F0E0">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p>
          <w:p w14:paraId="4A269290">
            <w:pPr>
              <w:spacing w:line="360" w:lineRule="auto"/>
              <w:ind w:firstLine="482" w:firstLineChars="200"/>
              <w:rPr>
                <w:rFonts w:ascii="Times New Roman" w:hAnsi="Times New Roman" w:cs="Times New Roman"/>
                <w:b/>
                <w:color w:val="000000" w:themeColor="text1"/>
                <w:kern w:val="0"/>
                <w:sz w:val="24"/>
              </w:rPr>
            </w:pPr>
            <w:r>
              <w:rPr>
                <w:rFonts w:ascii="Times New Roman" w:hAnsi="Times New Roman" w:cs="Times New Roman"/>
                <w:b/>
                <w:color w:val="000000" w:themeColor="text1"/>
                <w:kern w:val="0"/>
                <w:sz w:val="24"/>
              </w:rPr>
              <w:t>4、固废</w:t>
            </w:r>
          </w:p>
          <w:p w14:paraId="178E679E">
            <w:pPr>
              <w:spacing w:line="360" w:lineRule="auto"/>
              <w:ind w:firstLine="480" w:firstLineChars="20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项目运营期固体废物主要包括生产过程中产生的手选杂物、员工日常生活产生的生活垃圾、</w:t>
            </w:r>
            <w:r>
              <w:rPr>
                <w:rFonts w:hint="eastAsia" w:ascii="Times New Roman" w:hAnsi="Times New Roman" w:cs="Times New Roman"/>
                <w:color w:val="000000" w:themeColor="text1"/>
                <w:kern w:val="0"/>
                <w:sz w:val="24"/>
              </w:rPr>
              <w:t>沉淀池</w:t>
            </w:r>
            <w:r>
              <w:rPr>
                <w:rFonts w:ascii="Times New Roman" w:hAnsi="Times New Roman" w:cs="Times New Roman"/>
                <w:color w:val="000000" w:themeColor="text1"/>
                <w:kern w:val="0"/>
                <w:sz w:val="24"/>
              </w:rPr>
              <w:t>污泥。</w:t>
            </w:r>
          </w:p>
          <w:p w14:paraId="54058B95">
            <w:pPr>
              <w:spacing w:line="360" w:lineRule="auto"/>
              <w:ind w:firstLine="482" w:firstLineChars="200"/>
              <w:rPr>
                <w:rFonts w:ascii="Times New Roman" w:hAnsi="Times New Roman" w:cs="Times New Roman"/>
                <w:b/>
                <w:color w:val="000000" w:themeColor="text1"/>
                <w:kern w:val="0"/>
                <w:sz w:val="24"/>
              </w:rPr>
            </w:pPr>
            <w:r>
              <w:rPr>
                <w:rFonts w:ascii="Times New Roman" w:hAnsi="Times New Roman" w:cs="Times New Roman"/>
                <w:b/>
                <w:color w:val="000000" w:themeColor="text1"/>
                <w:kern w:val="0"/>
                <w:sz w:val="24"/>
              </w:rPr>
              <w:t>（1）一般工业固废</w:t>
            </w:r>
          </w:p>
          <w:p w14:paraId="5D1CADD4">
            <w:pPr>
              <w:spacing w:line="360" w:lineRule="auto"/>
              <w:ind w:firstLine="482" w:firstLineChars="200"/>
              <w:jc w:val="left"/>
              <w:rPr>
                <w:rFonts w:ascii="Times New Roman" w:hAnsi="Times New Roman" w:cs="Times New Roman"/>
                <w:b/>
                <w:color w:val="000000" w:themeColor="text1"/>
                <w:kern w:val="0"/>
                <w:sz w:val="24"/>
              </w:rPr>
            </w:pPr>
            <w:r>
              <w:rPr>
                <w:rFonts w:hint="eastAsia" w:ascii="宋体" w:hAnsi="宋体" w:eastAsia="宋体" w:cs="宋体"/>
                <w:b/>
                <w:color w:val="000000" w:themeColor="text1"/>
                <w:kern w:val="0"/>
                <w:sz w:val="24"/>
              </w:rPr>
              <w:t>①</w:t>
            </w:r>
            <w:r>
              <w:rPr>
                <w:rFonts w:ascii="Times New Roman" w:hAnsi="Times New Roman" w:cs="Times New Roman"/>
                <w:b/>
                <w:color w:val="000000" w:themeColor="text1"/>
                <w:kern w:val="0"/>
                <w:sz w:val="24"/>
              </w:rPr>
              <w:t>拆包、人工分选杂物</w:t>
            </w:r>
          </w:p>
          <w:p w14:paraId="2736E18B">
            <w:pPr>
              <w:spacing w:line="360" w:lineRule="auto"/>
              <w:ind w:firstLine="480" w:firstLineChars="20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本项目经拆包、人工分选出的杂物约</w:t>
            </w:r>
            <w:r>
              <w:rPr>
                <w:rFonts w:hint="eastAsia" w:ascii="Times New Roman" w:hAnsi="Times New Roman" w:cs="Times New Roman"/>
                <w:color w:val="000000" w:themeColor="text1"/>
                <w:kern w:val="0"/>
                <w:sz w:val="24"/>
              </w:rPr>
              <w:t>15</w:t>
            </w:r>
            <w:r>
              <w:rPr>
                <w:rFonts w:ascii="Times New Roman" w:hAnsi="Times New Roman" w:cs="Times New Roman"/>
                <w:color w:val="000000" w:themeColor="text1"/>
                <w:kern w:val="0"/>
                <w:sz w:val="24"/>
              </w:rPr>
              <w:t>t，杂物主要为金属、大块砂渣等，属于一般工业固体废物，</w:t>
            </w:r>
            <w:r>
              <w:rPr>
                <w:rFonts w:hint="eastAsia" w:ascii="Times New Roman" w:hAnsi="Times New Roman" w:cs="Times New Roman"/>
                <w:color w:val="000000" w:themeColor="text1"/>
                <w:kern w:val="0"/>
                <w:sz w:val="24"/>
              </w:rPr>
              <w:t>分类收集后，一部分外卖，其余运至芒市生活垃圾填埋场</w:t>
            </w:r>
            <w:r>
              <w:rPr>
                <w:rFonts w:ascii="Times New Roman" w:hAnsi="Times New Roman" w:cs="Times New Roman"/>
                <w:color w:val="000000" w:themeColor="text1"/>
                <w:kern w:val="0"/>
                <w:sz w:val="24"/>
              </w:rPr>
              <w:t>，禁止随意丢弃。</w:t>
            </w:r>
          </w:p>
          <w:p w14:paraId="5EFD4864">
            <w:pPr>
              <w:spacing w:line="360" w:lineRule="auto"/>
              <w:ind w:firstLine="482" w:firstLineChars="200"/>
              <w:rPr>
                <w:rFonts w:ascii="Times New Roman" w:hAnsi="Times New Roman" w:cs="Times New Roman"/>
                <w:b/>
                <w:color w:val="000000" w:themeColor="text1"/>
                <w:kern w:val="0"/>
                <w:sz w:val="24"/>
              </w:rPr>
            </w:pPr>
            <w:r>
              <w:rPr>
                <w:rFonts w:hint="eastAsia" w:ascii="宋体" w:hAnsi="宋体" w:eastAsia="宋体" w:cs="宋体"/>
                <w:b/>
                <w:color w:val="000000" w:themeColor="text1"/>
                <w:kern w:val="0"/>
                <w:sz w:val="24"/>
              </w:rPr>
              <w:t>②</w:t>
            </w:r>
            <w:r>
              <w:rPr>
                <w:rFonts w:ascii="Times New Roman" w:hAnsi="Times New Roman" w:cs="Times New Roman"/>
                <w:b/>
                <w:color w:val="000000" w:themeColor="text1"/>
                <w:kern w:val="0"/>
                <w:sz w:val="24"/>
              </w:rPr>
              <w:t>剥离废标签纸</w:t>
            </w:r>
          </w:p>
          <w:p w14:paraId="18456210">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kern w:val="0"/>
                <w:sz w:val="24"/>
              </w:rPr>
              <w:t>项目生产过程会产生约</w:t>
            </w:r>
            <w:r>
              <w:rPr>
                <w:rFonts w:hint="eastAsia" w:ascii="Times New Roman" w:hAnsi="Times New Roman" w:cs="Times New Roman"/>
                <w:color w:val="000000" w:themeColor="text1"/>
                <w:kern w:val="0"/>
                <w:sz w:val="24"/>
              </w:rPr>
              <w:t>5</w:t>
            </w:r>
            <w:r>
              <w:rPr>
                <w:rFonts w:ascii="Times New Roman" w:hAnsi="Times New Roman" w:cs="Times New Roman"/>
                <w:color w:val="000000" w:themeColor="text1"/>
                <w:kern w:val="0"/>
                <w:sz w:val="24"/>
              </w:rPr>
              <w:t>t/a的剥离废标签纸，</w:t>
            </w:r>
            <w:r>
              <w:rPr>
                <w:rFonts w:ascii="Times New Roman" w:hAnsi="Times New Roman" w:cs="Times New Roman"/>
                <w:color w:val="000000" w:themeColor="text1"/>
                <w:sz w:val="24"/>
              </w:rPr>
              <w:t>这部分废标签纸</w:t>
            </w:r>
            <w:r>
              <w:rPr>
                <w:rFonts w:hint="eastAsia" w:ascii="Times New Roman" w:hAnsi="Times New Roman" w:cs="Times New Roman"/>
                <w:color w:val="000000" w:themeColor="text1"/>
                <w:sz w:val="24"/>
              </w:rPr>
              <w:t>外卖处理</w:t>
            </w:r>
            <w:r>
              <w:rPr>
                <w:rFonts w:ascii="Times New Roman" w:hAnsi="Times New Roman" w:cs="Times New Roman"/>
                <w:color w:val="000000" w:themeColor="text1"/>
                <w:sz w:val="24"/>
              </w:rPr>
              <w:t>。</w:t>
            </w:r>
          </w:p>
          <w:p w14:paraId="501F18A2">
            <w:pPr>
              <w:spacing w:line="360" w:lineRule="auto"/>
              <w:ind w:firstLine="482" w:firstLineChars="200"/>
              <w:rPr>
                <w:rFonts w:ascii="Times New Roman" w:hAnsi="Times New Roman" w:cs="Times New Roman"/>
                <w:b/>
                <w:color w:val="000000" w:themeColor="text1"/>
                <w:kern w:val="0"/>
                <w:sz w:val="24"/>
              </w:rPr>
            </w:pPr>
            <w:r>
              <w:rPr>
                <w:rFonts w:hint="eastAsia" w:ascii="宋体" w:hAnsi="宋体" w:eastAsia="宋体" w:cs="宋体"/>
                <w:b/>
                <w:color w:val="000000" w:themeColor="text1"/>
                <w:kern w:val="0"/>
                <w:sz w:val="24"/>
              </w:rPr>
              <w:t>③</w:t>
            </w:r>
            <w:r>
              <w:rPr>
                <w:rFonts w:hint="eastAsia" w:ascii="Times New Roman" w:hAnsi="Times New Roman" w:cs="Times New Roman"/>
                <w:b/>
                <w:color w:val="000000" w:themeColor="text1"/>
                <w:kern w:val="0"/>
                <w:sz w:val="24"/>
              </w:rPr>
              <w:t>沉淀池</w:t>
            </w:r>
            <w:r>
              <w:rPr>
                <w:rFonts w:ascii="Times New Roman" w:hAnsi="Times New Roman" w:cs="Times New Roman"/>
                <w:b/>
                <w:color w:val="000000" w:themeColor="text1"/>
                <w:kern w:val="0"/>
                <w:sz w:val="24"/>
              </w:rPr>
              <w:t>污泥</w:t>
            </w:r>
            <w:r>
              <w:rPr>
                <w:rFonts w:hint="eastAsia" w:ascii="Times New Roman" w:hAnsi="Times New Roman" w:cs="Times New Roman"/>
                <w:b/>
                <w:color w:val="000000" w:themeColor="text1"/>
                <w:kern w:val="0"/>
                <w:sz w:val="24"/>
              </w:rPr>
              <w:t>、隔油池废油</w:t>
            </w:r>
          </w:p>
          <w:p w14:paraId="5E331FC4">
            <w:pPr>
              <w:spacing w:line="360" w:lineRule="auto"/>
              <w:ind w:firstLine="482" w:firstLineChars="200"/>
              <w:rPr>
                <w:rFonts w:ascii="Times New Roman" w:hAnsi="Times New Roman" w:cs="Times New Roman"/>
                <w:color w:val="000000" w:themeColor="text1"/>
                <w:sz w:val="24"/>
              </w:rPr>
            </w:pPr>
            <w:r>
              <w:rPr>
                <w:rFonts w:hint="eastAsia" w:ascii="Times New Roman" w:hAnsi="Times New Roman" w:cs="Times New Roman"/>
                <w:b/>
                <w:color w:val="000000" w:themeColor="text1"/>
                <w:kern w:val="0"/>
                <w:sz w:val="24"/>
              </w:rPr>
              <w:t>沉淀池</w:t>
            </w:r>
            <w:r>
              <w:rPr>
                <w:rFonts w:ascii="Times New Roman" w:hAnsi="Times New Roman" w:cs="Times New Roman"/>
                <w:b/>
                <w:color w:val="000000" w:themeColor="text1"/>
                <w:kern w:val="0"/>
                <w:sz w:val="24"/>
              </w:rPr>
              <w:t>污泥</w:t>
            </w:r>
            <w:r>
              <w:rPr>
                <w:rFonts w:hint="eastAsia" w:ascii="Times New Roman" w:hAnsi="Times New Roman" w:cs="Times New Roman"/>
                <w:b/>
                <w:color w:val="000000" w:themeColor="text1"/>
                <w:kern w:val="0"/>
                <w:sz w:val="24"/>
              </w:rPr>
              <w:t>：</w:t>
            </w:r>
            <w:r>
              <w:rPr>
                <w:rFonts w:ascii="Times New Roman" w:hAnsi="Times New Roman" w:cs="Times New Roman"/>
                <w:color w:val="000000" w:themeColor="text1"/>
                <w:sz w:val="24"/>
              </w:rPr>
              <w:t>本项目生产废水进入</w:t>
            </w:r>
            <w:r>
              <w:rPr>
                <w:rFonts w:hint="eastAsia" w:ascii="Times New Roman" w:hAnsi="Times New Roman" w:cs="Times New Roman"/>
                <w:color w:val="000000" w:themeColor="text1"/>
                <w:sz w:val="24"/>
              </w:rPr>
              <w:t>隔油池+沉淀池</w:t>
            </w:r>
            <w:r>
              <w:rPr>
                <w:rFonts w:ascii="Times New Roman" w:hAnsi="Times New Roman" w:cs="Times New Roman"/>
                <w:color w:val="000000" w:themeColor="text1"/>
                <w:sz w:val="24"/>
              </w:rPr>
              <w:t>处理，需处理的水量为</w:t>
            </w:r>
            <w:r>
              <w:rPr>
                <w:rFonts w:hint="eastAsia" w:ascii="Times New Roman" w:hAnsi="Times New Roman" w:cs="Times New Roman"/>
                <w:color w:val="000000" w:themeColor="text1"/>
                <w:sz w:val="24"/>
              </w:rPr>
              <w:t>2026</w:t>
            </w:r>
            <w:r>
              <w:rPr>
                <w:rFonts w:ascii="Times New Roman" w:hAnsi="Times New Roman" w:cs="Times New Roman"/>
                <w:color w:val="000000" w:themeColor="text1"/>
                <w:sz w:val="24"/>
                <w:lang w:val="zh-CN"/>
              </w:rPr>
              <w:t>t/a，</w:t>
            </w:r>
            <w:r>
              <w:rPr>
                <w:rFonts w:hint="eastAsia" w:ascii="Times New Roman" w:hAnsi="Times New Roman" w:cs="Times New Roman"/>
                <w:color w:val="000000" w:themeColor="text1"/>
                <w:sz w:val="24"/>
                <w:lang w:val="zh-CN"/>
              </w:rPr>
              <w:t>根据表5-3</w:t>
            </w:r>
            <w:r>
              <w:rPr>
                <w:rFonts w:ascii="Times New Roman" w:hAnsi="Times New Roman" w:cs="Times New Roman"/>
                <w:color w:val="000000" w:themeColor="text1"/>
                <w:sz w:val="24"/>
              </w:rPr>
              <w:t>，</w:t>
            </w:r>
            <w:r>
              <w:rPr>
                <w:rFonts w:hint="eastAsia" w:ascii="Times New Roman" w:hAnsi="Times New Roman" w:cs="Times New Roman"/>
                <w:color w:val="000000" w:themeColor="text1"/>
                <w:sz w:val="24"/>
              </w:rPr>
              <w:t>SS产量为16.1152t/a，</w:t>
            </w:r>
            <w:r>
              <w:rPr>
                <w:rFonts w:ascii="Times New Roman" w:hAnsi="Times New Roman" w:cs="Times New Roman"/>
                <w:color w:val="000000" w:themeColor="text1"/>
                <w:sz w:val="24"/>
              </w:rPr>
              <w:t>去除率为97%，则污泥产生量为</w:t>
            </w:r>
            <w:r>
              <w:rPr>
                <w:rFonts w:hint="eastAsia" w:ascii="Times New Roman" w:hAnsi="Times New Roman" w:cs="Times New Roman"/>
                <w:color w:val="000000" w:themeColor="text1"/>
                <w:sz w:val="24"/>
              </w:rPr>
              <w:t>15.62</w:t>
            </w:r>
            <w:r>
              <w:rPr>
                <w:rFonts w:ascii="Times New Roman" w:hAnsi="Times New Roman" w:cs="Times New Roman"/>
                <w:color w:val="000000" w:themeColor="text1"/>
                <w:sz w:val="24"/>
              </w:rPr>
              <w:t>t/a</w:t>
            </w:r>
            <w:r>
              <w:rPr>
                <w:rFonts w:hint="eastAsia" w:ascii="Times New Roman" w:hAnsi="Times New Roman" w:cs="Times New Roman"/>
                <w:color w:val="000000" w:themeColor="text1"/>
                <w:sz w:val="24"/>
              </w:rPr>
              <w:t>，</w:t>
            </w:r>
            <w:r>
              <w:rPr>
                <w:rFonts w:ascii="Times New Roman" w:hAnsi="Times New Roman" w:cs="Times New Roman"/>
                <w:color w:val="000000" w:themeColor="text1"/>
                <w:sz w:val="24"/>
              </w:rPr>
              <w:t>该部分污泥经</w:t>
            </w:r>
            <w:r>
              <w:rPr>
                <w:rFonts w:hint="eastAsia" w:ascii="Times New Roman" w:hAnsi="Times New Roman" w:cs="Times New Roman"/>
                <w:color w:val="000000" w:themeColor="text1"/>
                <w:sz w:val="24"/>
              </w:rPr>
              <w:t>收集后，</w:t>
            </w:r>
            <w:r>
              <w:rPr>
                <w:rFonts w:ascii="Times New Roman" w:hAnsi="Times New Roman" w:cs="Times New Roman"/>
                <w:color w:val="000000" w:themeColor="text1"/>
                <w:sz w:val="24"/>
              </w:rPr>
              <w:t>外运至垃圾填埋场处理。</w:t>
            </w:r>
          </w:p>
          <w:p w14:paraId="09214CB8">
            <w:pPr>
              <w:spacing w:line="360" w:lineRule="auto"/>
              <w:ind w:firstLine="482" w:firstLineChars="200"/>
              <w:rPr>
                <w:rFonts w:ascii="Times New Roman" w:hAnsi="Times New Roman" w:cs="Times New Roman"/>
                <w:color w:val="000000" w:themeColor="text1"/>
                <w:kern w:val="0"/>
                <w:sz w:val="24"/>
              </w:rPr>
            </w:pPr>
            <w:r>
              <w:rPr>
                <w:rFonts w:hint="eastAsia" w:ascii="Times New Roman" w:hAnsi="Times New Roman" w:cs="Times New Roman"/>
                <w:b/>
                <w:color w:val="000000" w:themeColor="text1"/>
                <w:kern w:val="0"/>
                <w:sz w:val="24"/>
              </w:rPr>
              <w:t>隔油池废油：</w:t>
            </w:r>
            <w:r>
              <w:rPr>
                <w:rFonts w:hint="eastAsia" w:ascii="Times New Roman" w:hAnsi="Times New Roman" w:cs="Times New Roman"/>
                <w:color w:val="000000" w:themeColor="text1"/>
                <w:kern w:val="0"/>
                <w:sz w:val="24"/>
              </w:rPr>
              <w:t>本项目主要清洗对象为矿泉水瓶，少量油壶等，</w:t>
            </w:r>
            <w:r>
              <w:rPr>
                <w:rFonts w:ascii="Times New Roman" w:hAnsi="Times New Roman" w:cs="Times New Roman"/>
                <w:color w:val="000000" w:themeColor="text1"/>
                <w:kern w:val="0"/>
                <w:sz w:val="24"/>
              </w:rPr>
              <w:t>类比《河源宏彩塑料制品有限公司年加工7.8万吨废塑料项目》</w:t>
            </w:r>
            <w:r>
              <w:rPr>
                <w:rFonts w:hint="eastAsia" w:ascii="Times New Roman" w:hAnsi="Times New Roman" w:cs="Times New Roman"/>
                <w:color w:val="000000" w:themeColor="text1"/>
                <w:kern w:val="0"/>
                <w:sz w:val="24"/>
              </w:rPr>
              <w:t>，废油产生量为0.05t/a，主要成分为植物油，</w:t>
            </w:r>
            <w:r>
              <w:rPr>
                <w:rFonts w:hint="eastAsia" w:ascii="Times New Roman" w:hAnsi="Times New Roman" w:cs="Times New Roman"/>
                <w:color w:val="000000" w:themeColor="text1"/>
                <w:sz w:val="24"/>
              </w:rPr>
              <w:t>交由有资质的单位进行处置。</w:t>
            </w:r>
          </w:p>
          <w:p w14:paraId="1B9AADBA">
            <w:pPr>
              <w:spacing w:line="360" w:lineRule="auto"/>
              <w:ind w:firstLine="482" w:firstLineChars="200"/>
              <w:rPr>
                <w:rFonts w:ascii="Times New Roman" w:hAnsi="Times New Roman" w:cs="Times New Roman"/>
                <w:b/>
                <w:color w:val="000000" w:themeColor="text1"/>
                <w:sz w:val="24"/>
              </w:rPr>
            </w:pPr>
            <w:r>
              <w:rPr>
                <w:rFonts w:ascii="Times New Roman" w:hAnsi="Times New Roman" w:cs="Times New Roman"/>
                <w:b/>
                <w:color w:val="000000" w:themeColor="text1"/>
                <w:sz w:val="24"/>
              </w:rPr>
              <w:t>（2）</w:t>
            </w:r>
            <w:r>
              <w:rPr>
                <w:rFonts w:ascii="Times New Roman" w:hAnsi="Times New Roman" w:cs="Times New Roman"/>
                <w:b/>
                <w:color w:val="000000" w:themeColor="text1"/>
                <w:kern w:val="0"/>
                <w:sz w:val="24"/>
              </w:rPr>
              <w:t>生活垃圾</w:t>
            </w:r>
          </w:p>
          <w:p w14:paraId="5D3B174D">
            <w:pPr>
              <w:spacing w:line="360" w:lineRule="auto"/>
              <w:ind w:firstLine="480" w:firstLineChars="200"/>
              <w:rPr>
                <w:rFonts w:ascii="Times New Roman" w:hAnsi="Times New Roman" w:cs="Times New Roman"/>
                <w:color w:val="000000" w:themeColor="text1"/>
                <w:kern w:val="0"/>
                <w:sz w:val="24"/>
              </w:rPr>
            </w:pPr>
            <w:r>
              <w:rPr>
                <w:rFonts w:ascii="Times New Roman" w:hAnsi="Times New Roman" w:cs="Times New Roman"/>
                <w:color w:val="000000" w:themeColor="text1"/>
                <w:sz w:val="24"/>
              </w:rPr>
              <w:t>项目有员工</w:t>
            </w:r>
            <w:r>
              <w:rPr>
                <w:rFonts w:hint="eastAsia" w:ascii="Times New Roman" w:hAnsi="Times New Roman" w:cs="Times New Roman"/>
                <w:color w:val="000000" w:themeColor="text1"/>
                <w:sz w:val="24"/>
              </w:rPr>
              <w:t>10</w:t>
            </w:r>
            <w:r>
              <w:rPr>
                <w:rFonts w:ascii="Times New Roman" w:hAnsi="Times New Roman" w:cs="Times New Roman"/>
                <w:color w:val="000000" w:themeColor="text1"/>
                <w:sz w:val="24"/>
              </w:rPr>
              <w:t>人，生活垃圾产生量按0.5kg/（d·人）考虑，则生活垃圾产生量为</w:t>
            </w:r>
            <w:r>
              <w:rPr>
                <w:rFonts w:hint="eastAsia" w:ascii="Times New Roman" w:hAnsi="Times New Roman" w:cs="Times New Roman"/>
                <w:color w:val="000000" w:themeColor="text1"/>
                <w:sz w:val="24"/>
              </w:rPr>
              <w:t>5</w:t>
            </w:r>
            <w:r>
              <w:rPr>
                <w:rFonts w:ascii="Times New Roman" w:hAnsi="Times New Roman" w:cs="Times New Roman"/>
                <w:color w:val="000000" w:themeColor="text1"/>
                <w:sz w:val="24"/>
              </w:rPr>
              <w:t>kg/d，</w:t>
            </w:r>
            <w:r>
              <w:rPr>
                <w:rFonts w:hint="eastAsia" w:ascii="Times New Roman" w:hAnsi="Times New Roman" w:cs="Times New Roman"/>
                <w:color w:val="000000" w:themeColor="text1"/>
                <w:sz w:val="24"/>
              </w:rPr>
              <w:t>1.5</w:t>
            </w:r>
            <w:r>
              <w:rPr>
                <w:rFonts w:ascii="Times New Roman" w:hAnsi="Times New Roman" w:cs="Times New Roman"/>
                <w:color w:val="000000" w:themeColor="text1"/>
                <w:sz w:val="24"/>
              </w:rPr>
              <w:t>t/a，设置有若干生活垃圾收集桶，清运至当连村垃圾收集点，集中处置。</w:t>
            </w:r>
          </w:p>
        </w:tc>
      </w:tr>
    </w:tbl>
    <w:p w14:paraId="74699E6E">
      <w:pPr>
        <w:keepNext/>
        <w:keepLines/>
        <w:pageBreakBefore/>
        <w:jc w:val="left"/>
        <w:outlineLvl w:val="0"/>
        <w:rPr>
          <w:rFonts w:ascii="Times New Roman" w:hAnsi="Times New Roman" w:eastAsia="宋体" w:cs="Times New Roman"/>
          <w:b/>
          <w:bCs/>
          <w:color w:val="000000" w:themeColor="text1"/>
          <w:kern w:val="44"/>
          <w:sz w:val="30"/>
          <w:szCs w:val="44"/>
        </w:rPr>
      </w:pPr>
      <w:r>
        <w:rPr>
          <w:rFonts w:ascii="Times New Roman" w:hAnsi="Times New Roman" w:eastAsia="宋体" w:cs="Times New Roman"/>
          <w:b/>
          <w:bCs/>
          <w:color w:val="000000" w:themeColor="text1"/>
          <w:kern w:val="44"/>
          <w:sz w:val="30"/>
          <w:szCs w:val="44"/>
        </w:rPr>
        <w:t>表六、项目主要污染物产生及预计排放情况</w:t>
      </w:r>
    </w:p>
    <w:tbl>
      <w:tblPr>
        <w:tblStyle w:val="39"/>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85"/>
        <w:gridCol w:w="699"/>
        <w:gridCol w:w="535"/>
        <w:gridCol w:w="851"/>
        <w:gridCol w:w="1591"/>
        <w:gridCol w:w="1244"/>
        <w:gridCol w:w="1307"/>
        <w:gridCol w:w="1418"/>
        <w:gridCol w:w="31"/>
        <w:gridCol w:w="1245"/>
      </w:tblGrid>
      <w:tr w14:paraId="2E5E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85" w:type="dxa"/>
            <w:tcBorders>
              <w:tl2br w:val="single" w:color="auto" w:sz="4" w:space="0"/>
            </w:tcBorders>
            <w:vAlign w:val="center"/>
          </w:tcPr>
          <w:p w14:paraId="47E4097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内容</w:t>
            </w:r>
          </w:p>
          <w:p w14:paraId="310B473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类型</w:t>
            </w:r>
          </w:p>
        </w:tc>
        <w:tc>
          <w:tcPr>
            <w:tcW w:w="2085" w:type="dxa"/>
            <w:gridSpan w:val="3"/>
            <w:vAlign w:val="center"/>
          </w:tcPr>
          <w:p w14:paraId="3D6D674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排放源</w:t>
            </w:r>
          </w:p>
        </w:tc>
        <w:tc>
          <w:tcPr>
            <w:tcW w:w="1591" w:type="dxa"/>
            <w:vAlign w:val="center"/>
          </w:tcPr>
          <w:p w14:paraId="3ADB9CA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污染物</w:t>
            </w:r>
          </w:p>
        </w:tc>
        <w:tc>
          <w:tcPr>
            <w:tcW w:w="1244" w:type="dxa"/>
            <w:vAlign w:val="center"/>
          </w:tcPr>
          <w:p w14:paraId="3787BCE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处理前浓度</w:t>
            </w:r>
            <w:r>
              <w:rPr>
                <w:rFonts w:ascii="Times New Roman" w:hAnsi="Times New Roman" w:eastAsia="宋体" w:cs="Times New Roman"/>
                <w:color w:val="000000" w:themeColor="text1"/>
                <w:szCs w:val="21"/>
              </w:rPr>
              <w:t>mg/m</w:t>
            </w:r>
            <w:r>
              <w:rPr>
                <w:rFonts w:ascii="Times New Roman" w:hAnsi="Times New Roman" w:eastAsia="宋体" w:cs="Times New Roman"/>
                <w:color w:val="000000" w:themeColor="text1"/>
                <w:szCs w:val="21"/>
                <w:vertAlign w:val="superscript"/>
              </w:rPr>
              <w:t>3</w:t>
            </w:r>
          </w:p>
        </w:tc>
        <w:tc>
          <w:tcPr>
            <w:tcW w:w="1307" w:type="dxa"/>
            <w:vAlign w:val="center"/>
          </w:tcPr>
          <w:p w14:paraId="20AFE04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产生量</w:t>
            </w:r>
            <w:r>
              <w:rPr>
                <w:rFonts w:ascii="Times New Roman" w:hAnsi="Times New Roman" w:eastAsia="宋体" w:cs="Times New Roman"/>
                <w:color w:val="000000" w:themeColor="text1"/>
                <w:szCs w:val="21"/>
              </w:rPr>
              <w:t>t/a</w:t>
            </w:r>
          </w:p>
        </w:tc>
        <w:tc>
          <w:tcPr>
            <w:tcW w:w="1449" w:type="dxa"/>
            <w:gridSpan w:val="2"/>
            <w:vAlign w:val="center"/>
          </w:tcPr>
          <w:p w14:paraId="06BFE5B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处理后浓度</w:t>
            </w:r>
            <w:r>
              <w:rPr>
                <w:rFonts w:ascii="Times New Roman" w:hAnsi="Times New Roman" w:eastAsia="宋体" w:cs="Times New Roman"/>
                <w:color w:val="000000" w:themeColor="text1"/>
                <w:szCs w:val="21"/>
              </w:rPr>
              <w:t>mg/m</w:t>
            </w:r>
            <w:r>
              <w:rPr>
                <w:rFonts w:ascii="Times New Roman" w:hAnsi="Times New Roman" w:eastAsia="宋体" w:cs="Times New Roman"/>
                <w:color w:val="000000" w:themeColor="text1"/>
                <w:szCs w:val="21"/>
                <w:vertAlign w:val="superscript"/>
              </w:rPr>
              <w:t>3</w:t>
            </w:r>
          </w:p>
        </w:tc>
        <w:tc>
          <w:tcPr>
            <w:tcW w:w="1245" w:type="dxa"/>
            <w:vAlign w:val="center"/>
          </w:tcPr>
          <w:p w14:paraId="6E39BB6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排放量</w:t>
            </w:r>
            <w:r>
              <w:rPr>
                <w:rFonts w:ascii="Times New Roman" w:hAnsi="Times New Roman" w:eastAsia="宋体" w:cs="Times New Roman"/>
                <w:color w:val="000000" w:themeColor="text1"/>
                <w:szCs w:val="21"/>
              </w:rPr>
              <w:t>t/a</w:t>
            </w:r>
          </w:p>
        </w:tc>
      </w:tr>
      <w:tr w14:paraId="0C81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2FB97DD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大气</w:t>
            </w:r>
          </w:p>
          <w:p w14:paraId="13ED0C5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污染物</w:t>
            </w:r>
          </w:p>
        </w:tc>
        <w:tc>
          <w:tcPr>
            <w:tcW w:w="699" w:type="dxa"/>
            <w:shd w:val="clear" w:color="auto" w:fill="auto"/>
            <w:vAlign w:val="center"/>
          </w:tcPr>
          <w:p w14:paraId="4141A35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1386" w:type="dxa"/>
            <w:gridSpan w:val="2"/>
            <w:vAlign w:val="center"/>
          </w:tcPr>
          <w:p w14:paraId="6C8B7E6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扬尘</w:t>
            </w:r>
          </w:p>
        </w:tc>
        <w:tc>
          <w:tcPr>
            <w:tcW w:w="1591" w:type="dxa"/>
            <w:vAlign w:val="center"/>
          </w:tcPr>
          <w:p w14:paraId="0D139F0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扬尘</w:t>
            </w:r>
          </w:p>
        </w:tc>
        <w:tc>
          <w:tcPr>
            <w:tcW w:w="2551" w:type="dxa"/>
            <w:gridSpan w:val="2"/>
            <w:vAlign w:val="center"/>
          </w:tcPr>
          <w:p w14:paraId="2563ADCC">
            <w:pPr>
              <w:jc w:val="center"/>
              <w:rPr>
                <w:rFonts w:ascii="Times New Roman" w:hAnsi="Times New Roman" w:eastAsia="宋体" w:cs="Times New Roman"/>
                <w:color w:val="000000" w:themeColor="text1"/>
                <w:szCs w:val="22"/>
                <w:vertAlign w:val="subscript"/>
                <w:lang w:val="fr-FR"/>
              </w:rPr>
            </w:pPr>
            <w:r>
              <w:rPr>
                <w:rFonts w:ascii="Times New Roman" w:hAnsi="Times New Roman" w:eastAsia="宋体" w:cs="Times New Roman"/>
                <w:color w:val="000000" w:themeColor="text1"/>
                <w:szCs w:val="22"/>
              </w:rPr>
              <w:t>少量</w:t>
            </w:r>
          </w:p>
        </w:tc>
        <w:tc>
          <w:tcPr>
            <w:tcW w:w="2694" w:type="dxa"/>
            <w:gridSpan w:val="3"/>
            <w:vAlign w:val="center"/>
          </w:tcPr>
          <w:p w14:paraId="050B740C">
            <w:pPr>
              <w:jc w:val="center"/>
              <w:rPr>
                <w:rFonts w:ascii="Times New Roman" w:hAnsi="Times New Roman" w:eastAsia="宋体" w:cs="Times New Roman"/>
                <w:color w:val="000000" w:themeColor="text1"/>
                <w:szCs w:val="22"/>
                <w:vertAlign w:val="subscript"/>
                <w:lang w:val="fr-FR"/>
              </w:rPr>
            </w:pPr>
            <w:r>
              <w:rPr>
                <w:rFonts w:ascii="Times New Roman" w:hAnsi="Times New Roman" w:eastAsia="宋体" w:cs="Times New Roman"/>
                <w:color w:val="000000" w:themeColor="text1"/>
                <w:szCs w:val="22"/>
              </w:rPr>
              <w:t>少量</w:t>
            </w:r>
          </w:p>
        </w:tc>
      </w:tr>
      <w:tr w14:paraId="4D89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4741F37">
            <w:pPr>
              <w:jc w:val="center"/>
              <w:rPr>
                <w:rFonts w:ascii="Times New Roman" w:hAnsi="Times New Roman" w:eastAsia="宋体" w:cs="Times New Roman"/>
                <w:color w:val="000000" w:themeColor="text1"/>
                <w:szCs w:val="22"/>
              </w:rPr>
            </w:pPr>
          </w:p>
        </w:tc>
        <w:tc>
          <w:tcPr>
            <w:tcW w:w="699" w:type="dxa"/>
            <w:shd w:val="clear" w:color="auto" w:fill="auto"/>
            <w:vAlign w:val="center"/>
          </w:tcPr>
          <w:p w14:paraId="378CED4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535" w:type="dxa"/>
            <w:vAlign w:val="center"/>
          </w:tcPr>
          <w:p w14:paraId="216B2E1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有组织</w:t>
            </w:r>
          </w:p>
        </w:tc>
        <w:tc>
          <w:tcPr>
            <w:tcW w:w="851" w:type="dxa"/>
            <w:vAlign w:val="center"/>
          </w:tcPr>
          <w:p w14:paraId="75CE57A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食堂</w:t>
            </w:r>
          </w:p>
        </w:tc>
        <w:tc>
          <w:tcPr>
            <w:tcW w:w="1591" w:type="dxa"/>
            <w:vAlign w:val="center"/>
          </w:tcPr>
          <w:p w14:paraId="3C413AA3">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油烟</w:t>
            </w:r>
          </w:p>
        </w:tc>
        <w:tc>
          <w:tcPr>
            <w:tcW w:w="1244" w:type="dxa"/>
            <w:vAlign w:val="center"/>
          </w:tcPr>
          <w:p w14:paraId="0822A12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w:t>
            </w:r>
          </w:p>
        </w:tc>
        <w:tc>
          <w:tcPr>
            <w:tcW w:w="1307" w:type="dxa"/>
            <w:vAlign w:val="center"/>
          </w:tcPr>
          <w:p w14:paraId="3D8CC4FF">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0.7</w:t>
            </w:r>
          </w:p>
        </w:tc>
        <w:tc>
          <w:tcPr>
            <w:tcW w:w="1418" w:type="dxa"/>
            <w:vAlign w:val="center"/>
          </w:tcPr>
          <w:p w14:paraId="08E1529E">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1"/>
              </w:rPr>
              <w:t>/</w:t>
            </w:r>
          </w:p>
        </w:tc>
        <w:tc>
          <w:tcPr>
            <w:tcW w:w="1276" w:type="dxa"/>
            <w:gridSpan w:val="2"/>
            <w:vAlign w:val="center"/>
          </w:tcPr>
          <w:p w14:paraId="47B0C81E">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2"/>
              </w:rPr>
              <w:t>0.7</w:t>
            </w:r>
          </w:p>
        </w:tc>
      </w:tr>
      <w:tr w14:paraId="357E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4538DCA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水</w:t>
            </w:r>
          </w:p>
          <w:p w14:paraId="6BEE953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w:t>
            </w:r>
          </w:p>
          <w:p w14:paraId="1CA9821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染</w:t>
            </w:r>
          </w:p>
          <w:p w14:paraId="2ACF1A4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物</w:t>
            </w:r>
          </w:p>
        </w:tc>
        <w:tc>
          <w:tcPr>
            <w:tcW w:w="699" w:type="dxa"/>
            <w:vMerge w:val="restart"/>
            <w:shd w:val="clear" w:color="auto" w:fill="auto"/>
            <w:vAlign w:val="center"/>
          </w:tcPr>
          <w:p w14:paraId="173AC02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w:t>
            </w:r>
          </w:p>
          <w:p w14:paraId="63806BC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工</w:t>
            </w:r>
          </w:p>
          <w:p w14:paraId="2184C03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期</w:t>
            </w:r>
          </w:p>
        </w:tc>
        <w:tc>
          <w:tcPr>
            <w:tcW w:w="1386" w:type="dxa"/>
            <w:gridSpan w:val="2"/>
            <w:shd w:val="clear" w:color="auto" w:fill="auto"/>
            <w:vAlign w:val="center"/>
          </w:tcPr>
          <w:p w14:paraId="5250E1E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施工废水</w:t>
            </w:r>
          </w:p>
        </w:tc>
        <w:tc>
          <w:tcPr>
            <w:tcW w:w="1591" w:type="dxa"/>
            <w:shd w:val="clear" w:color="auto" w:fill="auto"/>
            <w:vAlign w:val="center"/>
          </w:tcPr>
          <w:p w14:paraId="75A0B74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SS</w:t>
            </w:r>
          </w:p>
        </w:tc>
        <w:tc>
          <w:tcPr>
            <w:tcW w:w="2551" w:type="dxa"/>
            <w:gridSpan w:val="2"/>
            <w:shd w:val="clear" w:color="auto" w:fill="auto"/>
            <w:vAlign w:val="center"/>
          </w:tcPr>
          <w:p w14:paraId="6B5CB0C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少量</w:t>
            </w:r>
          </w:p>
        </w:tc>
        <w:tc>
          <w:tcPr>
            <w:tcW w:w="2694" w:type="dxa"/>
            <w:gridSpan w:val="3"/>
            <w:vAlign w:val="center"/>
          </w:tcPr>
          <w:p w14:paraId="57F19EB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全部回用于施工，不外排</w:t>
            </w:r>
          </w:p>
        </w:tc>
      </w:tr>
      <w:tr w14:paraId="46BB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4F063CC1">
            <w:pPr>
              <w:jc w:val="center"/>
              <w:rPr>
                <w:rFonts w:ascii="Times New Roman" w:hAnsi="Times New Roman" w:eastAsia="宋体" w:cs="Times New Roman"/>
                <w:color w:val="000000" w:themeColor="text1"/>
                <w:szCs w:val="22"/>
              </w:rPr>
            </w:pPr>
          </w:p>
        </w:tc>
        <w:tc>
          <w:tcPr>
            <w:tcW w:w="699" w:type="dxa"/>
            <w:vMerge w:val="continue"/>
            <w:shd w:val="clear" w:color="auto" w:fill="auto"/>
            <w:vAlign w:val="center"/>
          </w:tcPr>
          <w:p w14:paraId="0D52D734">
            <w:pPr>
              <w:jc w:val="center"/>
              <w:rPr>
                <w:rFonts w:ascii="Times New Roman" w:hAnsi="Times New Roman" w:eastAsia="宋体" w:cs="Times New Roman"/>
                <w:color w:val="000000" w:themeColor="text1"/>
                <w:szCs w:val="22"/>
              </w:rPr>
            </w:pPr>
          </w:p>
        </w:tc>
        <w:tc>
          <w:tcPr>
            <w:tcW w:w="1386" w:type="dxa"/>
            <w:gridSpan w:val="2"/>
            <w:shd w:val="clear" w:color="auto" w:fill="auto"/>
            <w:vAlign w:val="center"/>
          </w:tcPr>
          <w:p w14:paraId="6DB49A2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生活废水</w:t>
            </w:r>
          </w:p>
        </w:tc>
        <w:tc>
          <w:tcPr>
            <w:tcW w:w="1591" w:type="dxa"/>
            <w:shd w:val="clear" w:color="auto" w:fill="auto"/>
            <w:vAlign w:val="center"/>
          </w:tcPr>
          <w:p w14:paraId="447C65E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COD、BOD、氨氮等</w:t>
            </w:r>
          </w:p>
        </w:tc>
        <w:tc>
          <w:tcPr>
            <w:tcW w:w="2551" w:type="dxa"/>
            <w:gridSpan w:val="2"/>
            <w:shd w:val="clear" w:color="auto" w:fill="auto"/>
            <w:vAlign w:val="center"/>
          </w:tcPr>
          <w:p w14:paraId="64323EB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少量</w:t>
            </w:r>
          </w:p>
        </w:tc>
        <w:tc>
          <w:tcPr>
            <w:tcW w:w="2694" w:type="dxa"/>
            <w:gridSpan w:val="3"/>
            <w:vAlign w:val="center"/>
          </w:tcPr>
          <w:p w14:paraId="210E87F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收集于化粪池 ，不外排</w:t>
            </w:r>
          </w:p>
        </w:tc>
      </w:tr>
      <w:tr w14:paraId="7149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D9737D4">
            <w:pPr>
              <w:jc w:val="center"/>
              <w:rPr>
                <w:rFonts w:ascii="Times New Roman" w:hAnsi="Times New Roman" w:eastAsia="宋体" w:cs="Times New Roman"/>
                <w:color w:val="000000" w:themeColor="text1"/>
                <w:szCs w:val="22"/>
              </w:rPr>
            </w:pPr>
          </w:p>
        </w:tc>
        <w:tc>
          <w:tcPr>
            <w:tcW w:w="699" w:type="dxa"/>
            <w:vMerge w:val="restart"/>
            <w:shd w:val="clear" w:color="auto" w:fill="auto"/>
            <w:vAlign w:val="center"/>
          </w:tcPr>
          <w:p w14:paraId="3BF6962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w:t>
            </w:r>
          </w:p>
          <w:p w14:paraId="393D042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营</w:t>
            </w:r>
          </w:p>
          <w:p w14:paraId="1D73140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期</w:t>
            </w:r>
          </w:p>
        </w:tc>
        <w:tc>
          <w:tcPr>
            <w:tcW w:w="1386" w:type="dxa"/>
            <w:gridSpan w:val="2"/>
            <w:vMerge w:val="restart"/>
            <w:tcBorders>
              <w:bottom w:val="single" w:color="auto" w:sz="4" w:space="0"/>
            </w:tcBorders>
            <w:shd w:val="clear" w:color="auto" w:fill="auto"/>
            <w:vAlign w:val="center"/>
          </w:tcPr>
          <w:p w14:paraId="712633E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生活、生产废水</w:t>
            </w:r>
          </w:p>
        </w:tc>
        <w:tc>
          <w:tcPr>
            <w:tcW w:w="1591" w:type="dxa"/>
            <w:tcBorders>
              <w:bottom w:val="single" w:color="auto" w:sz="4" w:space="0"/>
            </w:tcBorders>
            <w:shd w:val="clear" w:color="auto" w:fill="auto"/>
            <w:vAlign w:val="center"/>
          </w:tcPr>
          <w:p w14:paraId="1059DB5B">
            <w:pPr>
              <w:jc w:val="center"/>
              <w:rPr>
                <w:rFonts w:ascii="Times New Roman" w:hAnsi="Times New Roman" w:eastAsia="宋体" w:cs="Times New Roman"/>
                <w:color w:val="000000" w:themeColor="text1"/>
                <w:szCs w:val="22"/>
              </w:rPr>
            </w:pPr>
            <w:r>
              <w:rPr>
                <w:rFonts w:ascii="Times New Roman" w:hAnsi="Times New Roman" w:eastAsia="宋体" w:cs="Times New Roman"/>
                <w:bCs/>
                <w:color w:val="000000" w:themeColor="text1"/>
                <w:szCs w:val="22"/>
              </w:rPr>
              <w:t>废水量</w:t>
            </w:r>
          </w:p>
        </w:tc>
        <w:tc>
          <w:tcPr>
            <w:tcW w:w="2551" w:type="dxa"/>
            <w:gridSpan w:val="2"/>
            <w:tcBorders>
              <w:bottom w:val="single" w:color="auto" w:sz="4" w:space="0"/>
            </w:tcBorders>
            <w:shd w:val="clear" w:color="auto" w:fill="auto"/>
            <w:vAlign w:val="center"/>
          </w:tcPr>
          <w:p w14:paraId="3A0F9435">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2.026</w:t>
            </w:r>
            <w:r>
              <w:rPr>
                <w:rFonts w:ascii="Times New Roman" w:hAnsi="Times New Roman" w:eastAsia="宋体" w:cs="Times New Roman"/>
                <w:color w:val="000000" w:themeColor="text1"/>
                <w:szCs w:val="22"/>
              </w:rPr>
              <w:t>万m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/a</w:t>
            </w:r>
          </w:p>
        </w:tc>
        <w:tc>
          <w:tcPr>
            <w:tcW w:w="2694" w:type="dxa"/>
            <w:gridSpan w:val="3"/>
            <w:vMerge w:val="restart"/>
            <w:vAlign w:val="center"/>
          </w:tcPr>
          <w:p w14:paraId="7C563455">
            <w:pPr>
              <w:jc w:val="center"/>
              <w:rPr>
                <w:rFonts w:ascii="Times New Roman" w:hAnsi="Times New Roman" w:eastAsia="宋体" w:cs="Times New Roman"/>
                <w:color w:val="000000" w:themeColor="text1"/>
                <w:szCs w:val="22"/>
              </w:rPr>
            </w:pPr>
            <w:r>
              <w:rPr>
                <w:rFonts w:ascii="Times New Roman" w:hAnsi="Times New Roman" w:eastAsia="宋体" w:cs="Times New Roman"/>
                <w:b/>
                <w:color w:val="000000" w:themeColor="text1"/>
                <w:szCs w:val="22"/>
              </w:rPr>
              <w:t>生活废水：</w:t>
            </w:r>
            <w:r>
              <w:rPr>
                <w:rFonts w:ascii="Times New Roman" w:hAnsi="Times New Roman" w:eastAsia="宋体" w:cs="Times New Roman"/>
                <w:color w:val="000000" w:themeColor="text1"/>
                <w:szCs w:val="22"/>
              </w:rPr>
              <w:t>经隔油池、化粪池处理，定期委托周边村民清运，用于农作物施肥。</w:t>
            </w:r>
            <w:r>
              <w:rPr>
                <w:rFonts w:ascii="Times New Roman" w:hAnsi="Times New Roman" w:eastAsia="宋体" w:cs="Times New Roman"/>
                <w:b/>
                <w:color w:val="000000" w:themeColor="text1"/>
                <w:szCs w:val="22"/>
              </w:rPr>
              <w:t>生产废水：</w:t>
            </w:r>
            <w:r>
              <w:rPr>
                <w:rFonts w:ascii="Times New Roman" w:hAnsi="Times New Roman" w:eastAsia="宋体" w:cs="Times New Roman"/>
                <w:color w:val="000000" w:themeColor="text1"/>
                <w:szCs w:val="22"/>
              </w:rPr>
              <w:t>经自建</w:t>
            </w:r>
            <w:r>
              <w:rPr>
                <w:rFonts w:hint="eastAsia" w:ascii="Times New Roman" w:hAnsi="Times New Roman" w:eastAsia="宋体" w:cs="Times New Roman"/>
                <w:color w:val="000000" w:themeColor="text1"/>
                <w:szCs w:val="22"/>
              </w:rPr>
              <w:t>隔油池+沉淀池</w:t>
            </w:r>
            <w:r>
              <w:rPr>
                <w:rFonts w:ascii="Times New Roman" w:hAnsi="Times New Roman" w:eastAsia="宋体" w:cs="Times New Roman"/>
                <w:color w:val="000000" w:themeColor="text1"/>
                <w:szCs w:val="22"/>
              </w:rPr>
              <w:t>处理后，回用于生产。</w:t>
            </w:r>
          </w:p>
        </w:tc>
      </w:tr>
      <w:tr w14:paraId="51966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415EB1EE">
            <w:pPr>
              <w:jc w:val="center"/>
              <w:rPr>
                <w:rFonts w:ascii="Times New Roman" w:hAnsi="Times New Roman" w:eastAsia="宋体" w:cs="Times New Roman"/>
                <w:color w:val="000000" w:themeColor="text1"/>
                <w:szCs w:val="22"/>
              </w:rPr>
            </w:pPr>
          </w:p>
        </w:tc>
        <w:tc>
          <w:tcPr>
            <w:tcW w:w="699" w:type="dxa"/>
            <w:vMerge w:val="continue"/>
            <w:shd w:val="clear" w:color="auto" w:fill="auto"/>
            <w:vAlign w:val="center"/>
          </w:tcPr>
          <w:p w14:paraId="7E54901C">
            <w:pPr>
              <w:jc w:val="center"/>
              <w:rPr>
                <w:rFonts w:ascii="Times New Roman" w:hAnsi="Times New Roman" w:eastAsia="宋体" w:cs="Times New Roman"/>
                <w:color w:val="000000" w:themeColor="text1"/>
                <w:szCs w:val="22"/>
              </w:rPr>
            </w:pPr>
          </w:p>
        </w:tc>
        <w:tc>
          <w:tcPr>
            <w:tcW w:w="1386" w:type="dxa"/>
            <w:gridSpan w:val="2"/>
            <w:vMerge w:val="continue"/>
            <w:tcBorders>
              <w:bottom w:val="single" w:color="auto" w:sz="4" w:space="0"/>
            </w:tcBorders>
            <w:shd w:val="clear" w:color="auto" w:fill="auto"/>
            <w:vAlign w:val="center"/>
          </w:tcPr>
          <w:p w14:paraId="6DAB3249">
            <w:pPr>
              <w:jc w:val="center"/>
              <w:rPr>
                <w:rFonts w:ascii="Times New Roman" w:hAnsi="Times New Roman" w:eastAsia="宋体" w:cs="Times New Roman"/>
                <w:color w:val="000000" w:themeColor="text1"/>
                <w:szCs w:val="22"/>
              </w:rPr>
            </w:pPr>
          </w:p>
        </w:tc>
        <w:tc>
          <w:tcPr>
            <w:tcW w:w="1591" w:type="dxa"/>
            <w:tcBorders>
              <w:bottom w:val="single" w:color="auto" w:sz="4" w:space="0"/>
            </w:tcBorders>
            <w:shd w:val="clear" w:color="auto" w:fill="auto"/>
            <w:vAlign w:val="center"/>
          </w:tcPr>
          <w:p w14:paraId="157CA53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COD</w:t>
            </w:r>
          </w:p>
        </w:tc>
        <w:tc>
          <w:tcPr>
            <w:tcW w:w="1244" w:type="dxa"/>
            <w:tcBorders>
              <w:bottom w:val="single" w:color="auto" w:sz="4" w:space="0"/>
            </w:tcBorders>
            <w:shd w:val="clear" w:color="auto" w:fill="auto"/>
            <w:vAlign w:val="center"/>
          </w:tcPr>
          <w:p w14:paraId="4B603529">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1193.29</w:t>
            </w:r>
            <w:r>
              <w:rPr>
                <w:rFonts w:ascii="Times New Roman" w:hAnsi="Times New Roman" w:cs="Times New Roman"/>
                <w:color w:val="000000" w:themeColor="text1"/>
                <w:szCs w:val="21"/>
              </w:rPr>
              <w:t>mg/L</w:t>
            </w:r>
          </w:p>
        </w:tc>
        <w:tc>
          <w:tcPr>
            <w:tcW w:w="1307" w:type="dxa"/>
            <w:tcBorders>
              <w:bottom w:val="single" w:color="auto" w:sz="4" w:space="0"/>
            </w:tcBorders>
            <w:shd w:val="clear" w:color="auto" w:fill="auto"/>
            <w:vAlign w:val="center"/>
          </w:tcPr>
          <w:p w14:paraId="2EC2981A">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24.176</w:t>
            </w:r>
          </w:p>
        </w:tc>
        <w:tc>
          <w:tcPr>
            <w:tcW w:w="2694" w:type="dxa"/>
            <w:gridSpan w:val="3"/>
            <w:vMerge w:val="continue"/>
            <w:vAlign w:val="center"/>
          </w:tcPr>
          <w:p w14:paraId="68159C95">
            <w:pPr>
              <w:jc w:val="center"/>
              <w:rPr>
                <w:rFonts w:ascii="Times New Roman" w:hAnsi="Times New Roman" w:eastAsia="宋体" w:cs="Times New Roman"/>
                <w:color w:val="000000" w:themeColor="text1"/>
                <w:szCs w:val="22"/>
              </w:rPr>
            </w:pPr>
          </w:p>
        </w:tc>
      </w:tr>
      <w:tr w14:paraId="70D5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6F5C495">
            <w:pPr>
              <w:jc w:val="center"/>
              <w:rPr>
                <w:rFonts w:ascii="Times New Roman" w:hAnsi="Times New Roman" w:eastAsia="宋体" w:cs="Times New Roman"/>
                <w:color w:val="000000" w:themeColor="text1"/>
                <w:szCs w:val="22"/>
              </w:rPr>
            </w:pPr>
          </w:p>
        </w:tc>
        <w:tc>
          <w:tcPr>
            <w:tcW w:w="699" w:type="dxa"/>
            <w:vMerge w:val="continue"/>
            <w:shd w:val="clear" w:color="auto" w:fill="auto"/>
            <w:vAlign w:val="center"/>
          </w:tcPr>
          <w:p w14:paraId="0B744C15">
            <w:pPr>
              <w:jc w:val="center"/>
              <w:rPr>
                <w:rFonts w:ascii="Times New Roman" w:hAnsi="Times New Roman" w:eastAsia="宋体" w:cs="Times New Roman"/>
                <w:color w:val="000000" w:themeColor="text1"/>
                <w:szCs w:val="22"/>
              </w:rPr>
            </w:pPr>
          </w:p>
        </w:tc>
        <w:tc>
          <w:tcPr>
            <w:tcW w:w="1386" w:type="dxa"/>
            <w:gridSpan w:val="2"/>
            <w:vMerge w:val="continue"/>
            <w:tcBorders>
              <w:bottom w:val="single" w:color="auto" w:sz="4" w:space="0"/>
            </w:tcBorders>
            <w:shd w:val="clear" w:color="auto" w:fill="auto"/>
            <w:vAlign w:val="center"/>
          </w:tcPr>
          <w:p w14:paraId="79F9B4CA">
            <w:pPr>
              <w:jc w:val="center"/>
              <w:rPr>
                <w:rFonts w:ascii="Times New Roman" w:hAnsi="Times New Roman" w:eastAsia="宋体" w:cs="Times New Roman"/>
                <w:color w:val="000000" w:themeColor="text1"/>
                <w:szCs w:val="22"/>
              </w:rPr>
            </w:pPr>
          </w:p>
        </w:tc>
        <w:tc>
          <w:tcPr>
            <w:tcW w:w="1591" w:type="dxa"/>
            <w:tcBorders>
              <w:bottom w:val="single" w:color="auto" w:sz="4" w:space="0"/>
            </w:tcBorders>
            <w:shd w:val="clear" w:color="auto" w:fill="auto"/>
            <w:vAlign w:val="center"/>
          </w:tcPr>
          <w:p w14:paraId="66C55284">
            <w:pPr>
              <w:jc w:val="center"/>
              <w:rPr>
                <w:rFonts w:ascii="Times New Roman" w:hAnsi="Times New Roman" w:eastAsia="宋体" w:cs="Times New Roman"/>
                <w:color w:val="000000" w:themeColor="text1"/>
                <w:szCs w:val="22"/>
                <w:vertAlign w:val="subscript"/>
              </w:rPr>
            </w:pPr>
            <w:r>
              <w:rPr>
                <w:rFonts w:ascii="Times New Roman" w:hAnsi="Times New Roman" w:eastAsia="宋体" w:cs="Times New Roman"/>
                <w:color w:val="000000" w:themeColor="text1"/>
                <w:szCs w:val="22"/>
              </w:rPr>
              <w:t>BOD</w:t>
            </w:r>
            <w:r>
              <w:rPr>
                <w:rFonts w:ascii="Times New Roman" w:hAnsi="Times New Roman" w:eastAsia="宋体" w:cs="Times New Roman"/>
                <w:color w:val="000000" w:themeColor="text1"/>
                <w:szCs w:val="22"/>
                <w:vertAlign w:val="subscript"/>
              </w:rPr>
              <w:t>5</w:t>
            </w:r>
          </w:p>
        </w:tc>
        <w:tc>
          <w:tcPr>
            <w:tcW w:w="1244" w:type="dxa"/>
            <w:tcBorders>
              <w:bottom w:val="single" w:color="auto" w:sz="4" w:space="0"/>
            </w:tcBorders>
            <w:shd w:val="clear" w:color="auto" w:fill="auto"/>
            <w:vAlign w:val="center"/>
          </w:tcPr>
          <w:p w14:paraId="0D67DB0B">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844.87</w:t>
            </w:r>
            <w:r>
              <w:rPr>
                <w:rFonts w:ascii="Times New Roman" w:hAnsi="Times New Roman" w:cs="Times New Roman"/>
                <w:color w:val="000000" w:themeColor="text1"/>
                <w:szCs w:val="21"/>
              </w:rPr>
              <w:t>mg/L</w:t>
            </w:r>
          </w:p>
        </w:tc>
        <w:tc>
          <w:tcPr>
            <w:tcW w:w="1307" w:type="dxa"/>
            <w:tcBorders>
              <w:bottom w:val="single" w:color="auto" w:sz="4" w:space="0"/>
            </w:tcBorders>
            <w:shd w:val="clear" w:color="auto" w:fill="auto"/>
            <w:vAlign w:val="center"/>
          </w:tcPr>
          <w:p w14:paraId="31DD6E93">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17.117</w:t>
            </w:r>
          </w:p>
        </w:tc>
        <w:tc>
          <w:tcPr>
            <w:tcW w:w="2694" w:type="dxa"/>
            <w:gridSpan w:val="3"/>
            <w:vMerge w:val="continue"/>
            <w:vAlign w:val="center"/>
          </w:tcPr>
          <w:p w14:paraId="5CEF107F">
            <w:pPr>
              <w:jc w:val="center"/>
              <w:rPr>
                <w:rFonts w:ascii="Times New Roman" w:hAnsi="Times New Roman" w:eastAsia="宋体" w:cs="Times New Roman"/>
                <w:color w:val="000000" w:themeColor="text1"/>
                <w:szCs w:val="22"/>
              </w:rPr>
            </w:pPr>
          </w:p>
        </w:tc>
      </w:tr>
      <w:tr w14:paraId="4295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14D662FE">
            <w:pPr>
              <w:jc w:val="center"/>
              <w:rPr>
                <w:rFonts w:ascii="Times New Roman" w:hAnsi="Times New Roman" w:eastAsia="宋体" w:cs="Times New Roman"/>
                <w:color w:val="000000" w:themeColor="text1"/>
                <w:szCs w:val="22"/>
              </w:rPr>
            </w:pPr>
          </w:p>
        </w:tc>
        <w:tc>
          <w:tcPr>
            <w:tcW w:w="699" w:type="dxa"/>
            <w:vMerge w:val="continue"/>
            <w:shd w:val="clear" w:color="auto" w:fill="auto"/>
            <w:vAlign w:val="center"/>
          </w:tcPr>
          <w:p w14:paraId="10BFABC0">
            <w:pPr>
              <w:jc w:val="center"/>
              <w:rPr>
                <w:rFonts w:ascii="Times New Roman" w:hAnsi="Times New Roman" w:eastAsia="宋体" w:cs="Times New Roman"/>
                <w:color w:val="000000" w:themeColor="text1"/>
                <w:szCs w:val="22"/>
              </w:rPr>
            </w:pPr>
          </w:p>
        </w:tc>
        <w:tc>
          <w:tcPr>
            <w:tcW w:w="1386" w:type="dxa"/>
            <w:gridSpan w:val="2"/>
            <w:vMerge w:val="continue"/>
            <w:shd w:val="clear" w:color="auto" w:fill="auto"/>
            <w:vAlign w:val="center"/>
          </w:tcPr>
          <w:p w14:paraId="188D1490">
            <w:pPr>
              <w:jc w:val="center"/>
              <w:rPr>
                <w:rFonts w:ascii="Times New Roman" w:hAnsi="Times New Roman" w:eastAsia="宋体" w:cs="Times New Roman"/>
                <w:color w:val="000000" w:themeColor="text1"/>
                <w:szCs w:val="22"/>
              </w:rPr>
            </w:pPr>
          </w:p>
        </w:tc>
        <w:tc>
          <w:tcPr>
            <w:tcW w:w="1591" w:type="dxa"/>
            <w:tcBorders>
              <w:bottom w:val="single" w:color="auto" w:sz="4" w:space="0"/>
            </w:tcBorders>
            <w:shd w:val="clear" w:color="auto" w:fill="auto"/>
            <w:vAlign w:val="center"/>
          </w:tcPr>
          <w:p w14:paraId="0A9B25A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SS</w:t>
            </w:r>
          </w:p>
        </w:tc>
        <w:tc>
          <w:tcPr>
            <w:tcW w:w="1244" w:type="dxa"/>
            <w:tcBorders>
              <w:bottom w:val="single" w:color="auto" w:sz="4" w:space="0"/>
            </w:tcBorders>
            <w:shd w:val="clear" w:color="auto" w:fill="auto"/>
            <w:vAlign w:val="center"/>
          </w:tcPr>
          <w:p w14:paraId="5529944F">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795.42</w:t>
            </w:r>
            <w:r>
              <w:rPr>
                <w:rFonts w:ascii="Times New Roman" w:hAnsi="Times New Roman" w:cs="Times New Roman"/>
                <w:color w:val="000000" w:themeColor="text1"/>
                <w:szCs w:val="21"/>
              </w:rPr>
              <w:t>mg/L</w:t>
            </w:r>
          </w:p>
        </w:tc>
        <w:tc>
          <w:tcPr>
            <w:tcW w:w="1307" w:type="dxa"/>
            <w:tcBorders>
              <w:bottom w:val="single" w:color="auto" w:sz="4" w:space="0"/>
            </w:tcBorders>
            <w:shd w:val="clear" w:color="auto" w:fill="auto"/>
            <w:vAlign w:val="center"/>
          </w:tcPr>
          <w:p w14:paraId="61DEE857">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16.1152</w:t>
            </w:r>
          </w:p>
        </w:tc>
        <w:tc>
          <w:tcPr>
            <w:tcW w:w="2694" w:type="dxa"/>
            <w:gridSpan w:val="3"/>
            <w:vMerge w:val="continue"/>
            <w:vAlign w:val="center"/>
          </w:tcPr>
          <w:p w14:paraId="57890FD7">
            <w:pPr>
              <w:jc w:val="center"/>
              <w:rPr>
                <w:rFonts w:ascii="Times New Roman" w:hAnsi="Times New Roman" w:eastAsia="宋体" w:cs="Times New Roman"/>
                <w:color w:val="000000" w:themeColor="text1"/>
                <w:szCs w:val="22"/>
              </w:rPr>
            </w:pPr>
          </w:p>
        </w:tc>
      </w:tr>
      <w:tr w14:paraId="3026A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E1C89CC">
            <w:pPr>
              <w:jc w:val="center"/>
              <w:rPr>
                <w:rFonts w:ascii="Times New Roman" w:hAnsi="Times New Roman" w:eastAsia="宋体" w:cs="Times New Roman"/>
                <w:color w:val="000000" w:themeColor="text1"/>
                <w:szCs w:val="22"/>
              </w:rPr>
            </w:pPr>
          </w:p>
        </w:tc>
        <w:tc>
          <w:tcPr>
            <w:tcW w:w="699" w:type="dxa"/>
            <w:vMerge w:val="continue"/>
            <w:shd w:val="clear" w:color="auto" w:fill="auto"/>
            <w:vAlign w:val="center"/>
          </w:tcPr>
          <w:p w14:paraId="73C324B6">
            <w:pPr>
              <w:jc w:val="center"/>
              <w:rPr>
                <w:rFonts w:ascii="Times New Roman" w:hAnsi="Times New Roman" w:eastAsia="宋体" w:cs="Times New Roman"/>
                <w:color w:val="000000" w:themeColor="text1"/>
                <w:szCs w:val="22"/>
              </w:rPr>
            </w:pPr>
          </w:p>
        </w:tc>
        <w:tc>
          <w:tcPr>
            <w:tcW w:w="1386" w:type="dxa"/>
            <w:gridSpan w:val="2"/>
            <w:vMerge w:val="continue"/>
            <w:shd w:val="clear" w:color="auto" w:fill="auto"/>
            <w:vAlign w:val="center"/>
          </w:tcPr>
          <w:p w14:paraId="086EDE53">
            <w:pPr>
              <w:jc w:val="center"/>
              <w:rPr>
                <w:rFonts w:ascii="Times New Roman" w:hAnsi="Times New Roman" w:eastAsia="宋体" w:cs="Times New Roman"/>
                <w:color w:val="000000" w:themeColor="text1"/>
                <w:szCs w:val="22"/>
              </w:rPr>
            </w:pPr>
          </w:p>
        </w:tc>
        <w:tc>
          <w:tcPr>
            <w:tcW w:w="1591" w:type="dxa"/>
            <w:shd w:val="clear" w:color="auto" w:fill="auto"/>
            <w:vAlign w:val="center"/>
          </w:tcPr>
          <w:p w14:paraId="25426B9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氨氮</w:t>
            </w:r>
          </w:p>
        </w:tc>
        <w:tc>
          <w:tcPr>
            <w:tcW w:w="1244" w:type="dxa"/>
            <w:shd w:val="clear" w:color="auto" w:fill="auto"/>
            <w:vAlign w:val="center"/>
          </w:tcPr>
          <w:p w14:paraId="0094619B">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25.12</w:t>
            </w:r>
            <w:r>
              <w:rPr>
                <w:rFonts w:ascii="Times New Roman" w:hAnsi="Times New Roman" w:cs="Times New Roman"/>
                <w:color w:val="000000" w:themeColor="text1"/>
                <w:szCs w:val="21"/>
              </w:rPr>
              <w:t>mg/L</w:t>
            </w:r>
          </w:p>
        </w:tc>
        <w:tc>
          <w:tcPr>
            <w:tcW w:w="1307" w:type="dxa"/>
            <w:shd w:val="clear" w:color="auto" w:fill="auto"/>
            <w:vAlign w:val="center"/>
          </w:tcPr>
          <w:p w14:paraId="0BF858AC">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0.5089</w:t>
            </w:r>
          </w:p>
        </w:tc>
        <w:tc>
          <w:tcPr>
            <w:tcW w:w="2694" w:type="dxa"/>
            <w:gridSpan w:val="3"/>
            <w:vMerge w:val="continue"/>
            <w:vAlign w:val="center"/>
          </w:tcPr>
          <w:p w14:paraId="57C711F5">
            <w:pPr>
              <w:jc w:val="center"/>
              <w:rPr>
                <w:rFonts w:ascii="Times New Roman" w:hAnsi="Times New Roman" w:eastAsia="宋体" w:cs="Times New Roman"/>
                <w:color w:val="000000" w:themeColor="text1"/>
                <w:szCs w:val="22"/>
              </w:rPr>
            </w:pPr>
          </w:p>
        </w:tc>
      </w:tr>
      <w:tr w14:paraId="2B36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78EDFDD6">
            <w:pPr>
              <w:jc w:val="center"/>
              <w:rPr>
                <w:rFonts w:ascii="Times New Roman" w:hAnsi="Times New Roman" w:eastAsia="宋体" w:cs="Times New Roman"/>
                <w:color w:val="000000" w:themeColor="text1"/>
                <w:szCs w:val="22"/>
              </w:rPr>
            </w:pPr>
          </w:p>
        </w:tc>
        <w:tc>
          <w:tcPr>
            <w:tcW w:w="699" w:type="dxa"/>
            <w:vMerge w:val="continue"/>
            <w:shd w:val="clear" w:color="auto" w:fill="auto"/>
            <w:vAlign w:val="center"/>
          </w:tcPr>
          <w:p w14:paraId="760E93C3">
            <w:pPr>
              <w:jc w:val="center"/>
              <w:rPr>
                <w:rFonts w:ascii="Times New Roman" w:hAnsi="Times New Roman" w:eastAsia="宋体" w:cs="Times New Roman"/>
                <w:color w:val="000000" w:themeColor="text1"/>
                <w:szCs w:val="22"/>
              </w:rPr>
            </w:pPr>
          </w:p>
        </w:tc>
        <w:tc>
          <w:tcPr>
            <w:tcW w:w="1386" w:type="dxa"/>
            <w:gridSpan w:val="2"/>
            <w:vMerge w:val="continue"/>
            <w:shd w:val="clear" w:color="auto" w:fill="auto"/>
            <w:vAlign w:val="center"/>
          </w:tcPr>
          <w:p w14:paraId="7BAF0D77">
            <w:pPr>
              <w:jc w:val="center"/>
              <w:rPr>
                <w:rFonts w:ascii="Times New Roman" w:hAnsi="Times New Roman" w:eastAsia="宋体" w:cs="Times New Roman"/>
                <w:color w:val="000000" w:themeColor="text1"/>
                <w:szCs w:val="22"/>
              </w:rPr>
            </w:pPr>
          </w:p>
        </w:tc>
        <w:tc>
          <w:tcPr>
            <w:tcW w:w="1591" w:type="dxa"/>
            <w:tcBorders>
              <w:bottom w:val="single" w:color="auto" w:sz="4" w:space="0"/>
            </w:tcBorders>
            <w:shd w:val="clear" w:color="auto" w:fill="auto"/>
            <w:vAlign w:val="center"/>
          </w:tcPr>
          <w:p w14:paraId="1ABF25E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kern w:val="0"/>
                <w:szCs w:val="21"/>
              </w:rPr>
              <w:t>总磷</w:t>
            </w:r>
          </w:p>
        </w:tc>
        <w:tc>
          <w:tcPr>
            <w:tcW w:w="1244" w:type="dxa"/>
            <w:tcBorders>
              <w:bottom w:val="single" w:color="auto" w:sz="4" w:space="0"/>
            </w:tcBorders>
            <w:shd w:val="clear" w:color="auto" w:fill="auto"/>
            <w:vAlign w:val="center"/>
          </w:tcPr>
          <w:p w14:paraId="4A0AE695">
            <w:pPr>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szCs w:val="21"/>
              </w:rPr>
              <w:t>14.96</w:t>
            </w:r>
            <w:r>
              <w:rPr>
                <w:rFonts w:ascii="Times New Roman" w:hAnsi="Times New Roman" w:cs="Times New Roman"/>
                <w:color w:val="000000" w:themeColor="text1"/>
                <w:szCs w:val="21"/>
              </w:rPr>
              <w:t>mg/L</w:t>
            </w:r>
          </w:p>
        </w:tc>
        <w:tc>
          <w:tcPr>
            <w:tcW w:w="1307" w:type="dxa"/>
            <w:tcBorders>
              <w:bottom w:val="single" w:color="auto" w:sz="4" w:space="0"/>
            </w:tcBorders>
            <w:shd w:val="clear" w:color="auto" w:fill="auto"/>
            <w:vAlign w:val="center"/>
          </w:tcPr>
          <w:p w14:paraId="448E87CF">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0.3031</w:t>
            </w:r>
          </w:p>
        </w:tc>
        <w:tc>
          <w:tcPr>
            <w:tcW w:w="2694" w:type="dxa"/>
            <w:gridSpan w:val="3"/>
            <w:vMerge w:val="continue"/>
            <w:vAlign w:val="center"/>
          </w:tcPr>
          <w:p w14:paraId="4BEDFFAA">
            <w:pPr>
              <w:jc w:val="center"/>
              <w:rPr>
                <w:rFonts w:ascii="Times New Roman" w:hAnsi="Times New Roman" w:eastAsia="宋体" w:cs="Times New Roman"/>
                <w:color w:val="000000" w:themeColor="text1"/>
                <w:szCs w:val="22"/>
              </w:rPr>
            </w:pPr>
          </w:p>
        </w:tc>
      </w:tr>
      <w:tr w14:paraId="6C1D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0983D1E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噪声</w:t>
            </w:r>
          </w:p>
        </w:tc>
        <w:tc>
          <w:tcPr>
            <w:tcW w:w="699" w:type="dxa"/>
            <w:vAlign w:val="center"/>
          </w:tcPr>
          <w:p w14:paraId="2188426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1386" w:type="dxa"/>
            <w:gridSpan w:val="2"/>
            <w:vAlign w:val="center"/>
          </w:tcPr>
          <w:p w14:paraId="5BA952B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施工机械</w:t>
            </w:r>
          </w:p>
        </w:tc>
        <w:tc>
          <w:tcPr>
            <w:tcW w:w="1591" w:type="dxa"/>
            <w:tcBorders>
              <w:bottom w:val="single" w:color="auto" w:sz="4" w:space="0"/>
            </w:tcBorders>
            <w:vAlign w:val="center"/>
          </w:tcPr>
          <w:p w14:paraId="1D5DF29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噪声</w:t>
            </w:r>
          </w:p>
        </w:tc>
        <w:tc>
          <w:tcPr>
            <w:tcW w:w="2551" w:type="dxa"/>
            <w:gridSpan w:val="2"/>
            <w:tcBorders>
              <w:bottom w:val="single" w:color="auto" w:sz="4" w:space="0"/>
            </w:tcBorders>
            <w:vAlign w:val="center"/>
          </w:tcPr>
          <w:p w14:paraId="7528521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60～85</w:t>
            </w:r>
            <w:r>
              <w:rPr>
                <w:rFonts w:ascii="Times New Roman" w:hAnsi="Times New Roman" w:eastAsia="宋体" w:cs="Times New Roman"/>
                <w:bCs/>
                <w:color w:val="000000" w:themeColor="text1"/>
                <w:szCs w:val="22"/>
              </w:rPr>
              <w:t>dB(A)</w:t>
            </w:r>
          </w:p>
        </w:tc>
        <w:tc>
          <w:tcPr>
            <w:tcW w:w="2694" w:type="dxa"/>
            <w:gridSpan w:val="3"/>
            <w:vMerge w:val="restart"/>
            <w:vAlign w:val="center"/>
          </w:tcPr>
          <w:p w14:paraId="41FBF0A9">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降噪、减震等</w:t>
            </w:r>
          </w:p>
        </w:tc>
      </w:tr>
      <w:tr w14:paraId="22DC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00DE21F1">
            <w:pPr>
              <w:jc w:val="center"/>
              <w:rPr>
                <w:rFonts w:ascii="Times New Roman" w:hAnsi="Times New Roman" w:eastAsia="宋体" w:cs="Times New Roman"/>
                <w:color w:val="000000" w:themeColor="text1"/>
                <w:szCs w:val="22"/>
              </w:rPr>
            </w:pPr>
          </w:p>
        </w:tc>
        <w:tc>
          <w:tcPr>
            <w:tcW w:w="699" w:type="dxa"/>
            <w:vAlign w:val="center"/>
          </w:tcPr>
          <w:p w14:paraId="20C3818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1386" w:type="dxa"/>
            <w:gridSpan w:val="2"/>
            <w:vAlign w:val="center"/>
          </w:tcPr>
          <w:p w14:paraId="62A4037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设备运行</w:t>
            </w:r>
          </w:p>
        </w:tc>
        <w:tc>
          <w:tcPr>
            <w:tcW w:w="1591" w:type="dxa"/>
            <w:tcBorders>
              <w:bottom w:val="single" w:color="auto" w:sz="4" w:space="0"/>
            </w:tcBorders>
            <w:vAlign w:val="center"/>
          </w:tcPr>
          <w:p w14:paraId="6808793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噪声</w:t>
            </w:r>
          </w:p>
        </w:tc>
        <w:tc>
          <w:tcPr>
            <w:tcW w:w="2551" w:type="dxa"/>
            <w:gridSpan w:val="2"/>
            <w:tcBorders>
              <w:bottom w:val="single" w:color="auto" w:sz="4" w:space="0"/>
            </w:tcBorders>
            <w:vAlign w:val="center"/>
          </w:tcPr>
          <w:p w14:paraId="324EF0F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70～92dB(A)</w:t>
            </w:r>
          </w:p>
        </w:tc>
        <w:tc>
          <w:tcPr>
            <w:tcW w:w="2694" w:type="dxa"/>
            <w:gridSpan w:val="3"/>
            <w:vMerge w:val="continue"/>
            <w:vAlign w:val="center"/>
          </w:tcPr>
          <w:p w14:paraId="1477719C">
            <w:pPr>
              <w:jc w:val="center"/>
              <w:rPr>
                <w:rFonts w:ascii="Times New Roman" w:hAnsi="Times New Roman" w:eastAsia="宋体" w:cs="Times New Roman"/>
                <w:color w:val="000000" w:themeColor="text1"/>
                <w:szCs w:val="22"/>
              </w:rPr>
            </w:pPr>
          </w:p>
        </w:tc>
      </w:tr>
      <w:tr w14:paraId="7E9A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restart"/>
            <w:vAlign w:val="center"/>
          </w:tcPr>
          <w:p w14:paraId="0029728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固</w:t>
            </w:r>
          </w:p>
          <w:p w14:paraId="4685043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体</w:t>
            </w:r>
          </w:p>
          <w:p w14:paraId="5300AC0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废</w:t>
            </w:r>
          </w:p>
          <w:p w14:paraId="0175D59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物</w:t>
            </w:r>
          </w:p>
        </w:tc>
        <w:tc>
          <w:tcPr>
            <w:tcW w:w="699" w:type="dxa"/>
            <w:vMerge w:val="restart"/>
            <w:vAlign w:val="center"/>
          </w:tcPr>
          <w:p w14:paraId="35BD524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w:t>
            </w:r>
          </w:p>
          <w:p w14:paraId="21881F9A">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工</w:t>
            </w:r>
          </w:p>
          <w:p w14:paraId="5110817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期</w:t>
            </w:r>
          </w:p>
        </w:tc>
        <w:tc>
          <w:tcPr>
            <w:tcW w:w="1386" w:type="dxa"/>
            <w:gridSpan w:val="2"/>
            <w:vMerge w:val="restart"/>
            <w:vAlign w:val="center"/>
          </w:tcPr>
          <w:p w14:paraId="3BBCE698">
            <w:pPr>
              <w:jc w:val="center"/>
              <w:rPr>
                <w:rFonts w:ascii="Times New Roman" w:hAnsi="Times New Roman" w:eastAsia="宋体" w:cs="Times New Roman"/>
                <w:bCs/>
                <w:color w:val="000000" w:themeColor="text1"/>
                <w:szCs w:val="22"/>
              </w:rPr>
            </w:pPr>
            <w:r>
              <w:rPr>
                <w:rFonts w:ascii="Times New Roman" w:hAnsi="Times New Roman" w:eastAsia="宋体" w:cs="Times New Roman"/>
                <w:bCs/>
                <w:color w:val="000000" w:themeColor="text1"/>
                <w:szCs w:val="22"/>
              </w:rPr>
              <w:t>施工人员</w:t>
            </w:r>
          </w:p>
        </w:tc>
        <w:tc>
          <w:tcPr>
            <w:tcW w:w="1591" w:type="dxa"/>
            <w:tcBorders>
              <w:bottom w:val="single" w:color="auto" w:sz="4" w:space="0"/>
            </w:tcBorders>
            <w:vAlign w:val="center"/>
          </w:tcPr>
          <w:p w14:paraId="46C76E69">
            <w:pPr>
              <w:jc w:val="center"/>
              <w:rPr>
                <w:rFonts w:ascii="Times New Roman" w:hAnsi="Times New Roman" w:eastAsia="宋体" w:cs="Times New Roman"/>
                <w:bCs/>
                <w:color w:val="000000" w:themeColor="text1"/>
                <w:szCs w:val="22"/>
              </w:rPr>
            </w:pPr>
            <w:r>
              <w:rPr>
                <w:rFonts w:ascii="Times New Roman" w:hAnsi="Times New Roman" w:eastAsia="宋体" w:cs="Times New Roman"/>
                <w:bCs/>
                <w:color w:val="000000" w:themeColor="text1"/>
                <w:szCs w:val="22"/>
              </w:rPr>
              <w:t>建筑垃圾</w:t>
            </w:r>
            <w:r>
              <w:rPr>
                <w:rFonts w:hint="eastAsia" w:ascii="Times New Roman" w:hAnsi="Times New Roman" w:eastAsia="宋体" w:cs="Times New Roman"/>
                <w:bCs/>
                <w:color w:val="000000" w:themeColor="text1"/>
                <w:szCs w:val="22"/>
              </w:rPr>
              <w:t>和土方</w:t>
            </w:r>
          </w:p>
        </w:tc>
        <w:tc>
          <w:tcPr>
            <w:tcW w:w="2551" w:type="dxa"/>
            <w:gridSpan w:val="2"/>
            <w:tcBorders>
              <w:bottom w:val="single" w:color="auto" w:sz="4" w:space="0"/>
            </w:tcBorders>
            <w:vAlign w:val="center"/>
          </w:tcPr>
          <w:p w14:paraId="1571998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24t</w:t>
            </w:r>
          </w:p>
        </w:tc>
        <w:tc>
          <w:tcPr>
            <w:tcW w:w="2694" w:type="dxa"/>
            <w:gridSpan w:val="3"/>
            <w:vAlign w:val="center"/>
          </w:tcPr>
          <w:p w14:paraId="716135F7">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土方就地回填，其余少部分</w:t>
            </w:r>
            <w:r>
              <w:rPr>
                <w:rFonts w:ascii="Times New Roman" w:hAnsi="Times New Roman" w:eastAsia="宋体" w:cs="Times New Roman"/>
                <w:color w:val="000000" w:themeColor="text1"/>
                <w:szCs w:val="22"/>
              </w:rPr>
              <w:t>建筑垃圾通过分类集中堆存，其中可再生利用部分回收利用，不能利用的由施工单位及时清运到住建部门制定堆放点</w:t>
            </w:r>
          </w:p>
        </w:tc>
      </w:tr>
      <w:tr w14:paraId="1B5B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4BD24C7D">
            <w:pPr>
              <w:jc w:val="center"/>
              <w:rPr>
                <w:rFonts w:ascii="Times New Roman" w:hAnsi="Times New Roman" w:eastAsia="宋体" w:cs="Times New Roman"/>
                <w:color w:val="000000" w:themeColor="text1"/>
                <w:szCs w:val="22"/>
              </w:rPr>
            </w:pPr>
          </w:p>
        </w:tc>
        <w:tc>
          <w:tcPr>
            <w:tcW w:w="699" w:type="dxa"/>
            <w:vMerge w:val="continue"/>
            <w:vAlign w:val="center"/>
          </w:tcPr>
          <w:p w14:paraId="5A53C0EB">
            <w:pPr>
              <w:jc w:val="center"/>
              <w:rPr>
                <w:rFonts w:ascii="Times New Roman" w:hAnsi="Times New Roman" w:eastAsia="宋体" w:cs="Times New Roman"/>
                <w:color w:val="000000" w:themeColor="text1"/>
                <w:szCs w:val="22"/>
              </w:rPr>
            </w:pPr>
          </w:p>
        </w:tc>
        <w:tc>
          <w:tcPr>
            <w:tcW w:w="1386" w:type="dxa"/>
            <w:gridSpan w:val="2"/>
            <w:vMerge w:val="continue"/>
            <w:vAlign w:val="center"/>
          </w:tcPr>
          <w:p w14:paraId="006F0DA9">
            <w:pPr>
              <w:jc w:val="center"/>
              <w:rPr>
                <w:rFonts w:ascii="Times New Roman" w:hAnsi="Times New Roman" w:eastAsia="宋体" w:cs="Times New Roman"/>
                <w:bCs/>
                <w:color w:val="000000" w:themeColor="text1"/>
                <w:szCs w:val="22"/>
              </w:rPr>
            </w:pPr>
          </w:p>
        </w:tc>
        <w:tc>
          <w:tcPr>
            <w:tcW w:w="1591" w:type="dxa"/>
            <w:tcBorders>
              <w:bottom w:val="single" w:color="auto" w:sz="4" w:space="0"/>
            </w:tcBorders>
            <w:vAlign w:val="center"/>
          </w:tcPr>
          <w:p w14:paraId="0732C7CF">
            <w:pPr>
              <w:jc w:val="center"/>
              <w:rPr>
                <w:rFonts w:ascii="Times New Roman" w:hAnsi="Times New Roman" w:eastAsia="宋体" w:cs="Times New Roman"/>
                <w:bCs/>
                <w:color w:val="000000" w:themeColor="text1"/>
                <w:szCs w:val="22"/>
              </w:rPr>
            </w:pPr>
            <w:r>
              <w:rPr>
                <w:rFonts w:ascii="Times New Roman" w:hAnsi="Times New Roman" w:eastAsia="宋体" w:cs="Times New Roman"/>
                <w:bCs/>
                <w:color w:val="000000" w:themeColor="text1"/>
                <w:szCs w:val="22"/>
              </w:rPr>
              <w:t>生活垃圾</w:t>
            </w:r>
          </w:p>
        </w:tc>
        <w:tc>
          <w:tcPr>
            <w:tcW w:w="2551" w:type="dxa"/>
            <w:gridSpan w:val="2"/>
            <w:tcBorders>
              <w:bottom w:val="single" w:color="auto" w:sz="4" w:space="0"/>
            </w:tcBorders>
            <w:vAlign w:val="center"/>
          </w:tcPr>
          <w:p w14:paraId="26B5F82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0.078t</w:t>
            </w:r>
          </w:p>
        </w:tc>
        <w:tc>
          <w:tcPr>
            <w:tcW w:w="2694" w:type="dxa"/>
            <w:gridSpan w:val="3"/>
            <w:vAlign w:val="center"/>
          </w:tcPr>
          <w:p w14:paraId="3F3144C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运至项目区</w:t>
            </w:r>
            <w:r>
              <w:rPr>
                <w:rFonts w:ascii="Times New Roman" w:hAnsi="Times New Roman" w:eastAsia="宋体" w:cs="Times New Roman"/>
                <w:bCs/>
                <w:color w:val="000000" w:themeColor="text1"/>
                <w:szCs w:val="22"/>
              </w:rPr>
              <w:t>当连村</w:t>
            </w:r>
            <w:r>
              <w:rPr>
                <w:rFonts w:ascii="Times New Roman" w:hAnsi="Times New Roman" w:eastAsia="宋体" w:cs="Times New Roman"/>
                <w:color w:val="000000" w:themeColor="text1"/>
                <w:szCs w:val="22"/>
              </w:rPr>
              <w:t>垃圾收集点处置</w:t>
            </w:r>
          </w:p>
        </w:tc>
      </w:tr>
      <w:tr w14:paraId="7645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3A731EC1">
            <w:pPr>
              <w:jc w:val="center"/>
              <w:rPr>
                <w:rFonts w:ascii="Times New Roman" w:hAnsi="Times New Roman" w:eastAsia="宋体" w:cs="Times New Roman"/>
                <w:color w:val="000000" w:themeColor="text1"/>
                <w:szCs w:val="22"/>
              </w:rPr>
            </w:pPr>
          </w:p>
        </w:tc>
        <w:tc>
          <w:tcPr>
            <w:tcW w:w="699" w:type="dxa"/>
            <w:vMerge w:val="restart"/>
            <w:vAlign w:val="center"/>
          </w:tcPr>
          <w:p w14:paraId="1C5DDFE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w:t>
            </w:r>
          </w:p>
          <w:p w14:paraId="4B79C3C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营</w:t>
            </w:r>
          </w:p>
          <w:p w14:paraId="623F51F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期</w:t>
            </w:r>
          </w:p>
        </w:tc>
        <w:tc>
          <w:tcPr>
            <w:tcW w:w="1386" w:type="dxa"/>
            <w:gridSpan w:val="2"/>
            <w:vAlign w:val="center"/>
          </w:tcPr>
          <w:p w14:paraId="3936D93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拆包、人工分选</w:t>
            </w:r>
          </w:p>
        </w:tc>
        <w:tc>
          <w:tcPr>
            <w:tcW w:w="1591" w:type="dxa"/>
            <w:vAlign w:val="center"/>
          </w:tcPr>
          <w:p w14:paraId="5FFB576C">
            <w:pPr>
              <w:ind w:left="50" w:right="50"/>
              <w:jc w:val="center"/>
              <w:rPr>
                <w:rFonts w:ascii="Times New Roman" w:hAnsi="Times New Roman" w:eastAsia="宋体" w:cs="Times New Roman"/>
                <w:color w:val="000000" w:themeColor="text1"/>
                <w:szCs w:val="21"/>
                <w:lang w:val="fr-FR"/>
              </w:rPr>
            </w:pPr>
            <w:r>
              <w:rPr>
                <w:rFonts w:ascii="Times New Roman" w:hAnsi="Times New Roman" w:eastAsia="宋体" w:cs="Times New Roman"/>
                <w:color w:val="000000" w:themeColor="text1"/>
                <w:szCs w:val="22"/>
              </w:rPr>
              <w:t>杂物</w:t>
            </w:r>
            <w:r>
              <w:rPr>
                <w:rFonts w:ascii="Times New Roman" w:hAnsi="Times New Roman" w:eastAsia="宋体" w:cs="Times New Roman"/>
                <w:color w:val="000000" w:themeColor="text1"/>
              </w:rPr>
              <w:t>S1</w:t>
            </w:r>
          </w:p>
        </w:tc>
        <w:tc>
          <w:tcPr>
            <w:tcW w:w="2551" w:type="dxa"/>
            <w:gridSpan w:val="2"/>
            <w:vAlign w:val="center"/>
          </w:tcPr>
          <w:p w14:paraId="26770F28">
            <w:pPr>
              <w:ind w:left="50" w:right="50"/>
              <w:jc w:val="center"/>
              <w:rPr>
                <w:rFonts w:ascii="Times New Roman" w:hAnsi="Times New Roman" w:eastAsia="宋体" w:cs="Times New Roman"/>
                <w:color w:val="000000" w:themeColor="text1"/>
                <w:szCs w:val="21"/>
                <w:lang w:val="fr-FR"/>
              </w:rPr>
            </w:pPr>
            <w:r>
              <w:rPr>
                <w:rFonts w:hint="eastAsia" w:ascii="Times New Roman" w:hAnsi="Times New Roman" w:eastAsia="宋体" w:cs="Times New Roman"/>
                <w:color w:val="000000" w:themeColor="text1"/>
                <w:szCs w:val="21"/>
                <w:lang w:val="fr-FR"/>
              </w:rPr>
              <w:t>15</w:t>
            </w:r>
          </w:p>
        </w:tc>
        <w:tc>
          <w:tcPr>
            <w:tcW w:w="2694" w:type="dxa"/>
            <w:gridSpan w:val="3"/>
            <w:vAlign w:val="center"/>
          </w:tcPr>
          <w:p w14:paraId="7879A5BB">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分类收集后，一部分外卖，其余运至芒市生活垃圾填埋场</w:t>
            </w:r>
          </w:p>
        </w:tc>
      </w:tr>
      <w:tr w14:paraId="5543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6D7FAC84">
            <w:pPr>
              <w:jc w:val="center"/>
              <w:rPr>
                <w:rFonts w:ascii="Times New Roman" w:hAnsi="Times New Roman" w:eastAsia="宋体" w:cs="Times New Roman"/>
                <w:color w:val="000000" w:themeColor="text1"/>
                <w:szCs w:val="22"/>
              </w:rPr>
            </w:pPr>
          </w:p>
        </w:tc>
        <w:tc>
          <w:tcPr>
            <w:tcW w:w="699" w:type="dxa"/>
            <w:vMerge w:val="continue"/>
            <w:vAlign w:val="center"/>
          </w:tcPr>
          <w:p w14:paraId="6279CABA">
            <w:pPr>
              <w:jc w:val="center"/>
              <w:rPr>
                <w:rFonts w:ascii="Times New Roman" w:hAnsi="Times New Roman" w:eastAsia="宋体" w:cs="Times New Roman"/>
                <w:color w:val="000000" w:themeColor="text1"/>
                <w:szCs w:val="22"/>
              </w:rPr>
            </w:pPr>
          </w:p>
        </w:tc>
        <w:tc>
          <w:tcPr>
            <w:tcW w:w="1386" w:type="dxa"/>
            <w:gridSpan w:val="2"/>
            <w:vMerge w:val="restart"/>
            <w:vAlign w:val="center"/>
          </w:tcPr>
          <w:p w14:paraId="289A03C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污水处理设施</w:t>
            </w:r>
          </w:p>
        </w:tc>
        <w:tc>
          <w:tcPr>
            <w:tcW w:w="1591" w:type="dxa"/>
            <w:vAlign w:val="center"/>
          </w:tcPr>
          <w:p w14:paraId="17B1E72E">
            <w:pPr>
              <w:ind w:left="50" w:right="50"/>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沉淀池</w:t>
            </w:r>
            <w:r>
              <w:rPr>
                <w:rFonts w:ascii="Times New Roman" w:hAnsi="Times New Roman" w:eastAsia="宋体" w:cs="Times New Roman"/>
                <w:color w:val="000000" w:themeColor="text1"/>
                <w:szCs w:val="22"/>
              </w:rPr>
              <w:t>污泥</w:t>
            </w:r>
          </w:p>
        </w:tc>
        <w:tc>
          <w:tcPr>
            <w:tcW w:w="2551" w:type="dxa"/>
            <w:gridSpan w:val="2"/>
            <w:vAlign w:val="center"/>
          </w:tcPr>
          <w:p w14:paraId="22138B73">
            <w:pPr>
              <w:ind w:left="50" w:right="50"/>
              <w:jc w:val="center"/>
              <w:rPr>
                <w:rFonts w:ascii="Times New Roman" w:hAnsi="Times New Roman" w:eastAsia="宋体" w:cs="Times New Roman"/>
                <w:color w:val="000000" w:themeColor="text1"/>
                <w:szCs w:val="21"/>
                <w:lang w:val="fr-FR"/>
              </w:rPr>
            </w:pPr>
            <w:r>
              <w:rPr>
                <w:rFonts w:hint="eastAsia" w:ascii="Times New Roman" w:hAnsi="Times New Roman" w:cs="Times New Roman"/>
                <w:color w:val="000000" w:themeColor="text1"/>
                <w:szCs w:val="21"/>
              </w:rPr>
              <w:t>15.62</w:t>
            </w:r>
          </w:p>
        </w:tc>
        <w:tc>
          <w:tcPr>
            <w:tcW w:w="2694" w:type="dxa"/>
            <w:gridSpan w:val="3"/>
            <w:vAlign w:val="center"/>
          </w:tcPr>
          <w:p w14:paraId="3936872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外运至垃圾填埋场处理</w:t>
            </w:r>
          </w:p>
        </w:tc>
      </w:tr>
      <w:tr w14:paraId="2069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 w:hRule="atLeast"/>
          <w:jc w:val="center"/>
        </w:trPr>
        <w:tc>
          <w:tcPr>
            <w:tcW w:w="785" w:type="dxa"/>
            <w:vMerge w:val="continue"/>
            <w:vAlign w:val="center"/>
          </w:tcPr>
          <w:p w14:paraId="75BB3A7F">
            <w:pPr>
              <w:jc w:val="center"/>
              <w:rPr>
                <w:rFonts w:ascii="Times New Roman" w:hAnsi="Times New Roman" w:eastAsia="宋体" w:cs="Times New Roman"/>
                <w:color w:val="000000" w:themeColor="text1"/>
                <w:szCs w:val="22"/>
              </w:rPr>
            </w:pPr>
          </w:p>
        </w:tc>
        <w:tc>
          <w:tcPr>
            <w:tcW w:w="699" w:type="dxa"/>
            <w:vMerge w:val="continue"/>
            <w:vAlign w:val="center"/>
          </w:tcPr>
          <w:p w14:paraId="46A4944A">
            <w:pPr>
              <w:jc w:val="center"/>
              <w:rPr>
                <w:rFonts w:ascii="Times New Roman" w:hAnsi="Times New Roman" w:eastAsia="宋体" w:cs="Times New Roman"/>
                <w:color w:val="000000" w:themeColor="text1"/>
                <w:szCs w:val="22"/>
              </w:rPr>
            </w:pPr>
          </w:p>
        </w:tc>
        <w:tc>
          <w:tcPr>
            <w:tcW w:w="1386" w:type="dxa"/>
            <w:gridSpan w:val="2"/>
            <w:vMerge w:val="continue"/>
            <w:vAlign w:val="center"/>
          </w:tcPr>
          <w:p w14:paraId="46E07143">
            <w:pPr>
              <w:jc w:val="center"/>
              <w:rPr>
                <w:rFonts w:ascii="Times New Roman" w:hAnsi="Times New Roman" w:eastAsia="宋体" w:cs="Times New Roman"/>
                <w:color w:val="000000" w:themeColor="text1"/>
                <w:szCs w:val="22"/>
              </w:rPr>
            </w:pPr>
          </w:p>
        </w:tc>
        <w:tc>
          <w:tcPr>
            <w:tcW w:w="1591" w:type="dxa"/>
            <w:vAlign w:val="center"/>
          </w:tcPr>
          <w:p w14:paraId="18031A5F">
            <w:pPr>
              <w:ind w:left="50" w:right="50"/>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隔油池废油</w:t>
            </w:r>
          </w:p>
        </w:tc>
        <w:tc>
          <w:tcPr>
            <w:tcW w:w="2551" w:type="dxa"/>
            <w:gridSpan w:val="2"/>
            <w:vAlign w:val="center"/>
          </w:tcPr>
          <w:p w14:paraId="60627A7E">
            <w:pPr>
              <w:ind w:left="50" w:right="50"/>
              <w:jc w:val="center"/>
              <w:rPr>
                <w:rFonts w:ascii="Times New Roman" w:hAnsi="Times New Roman" w:cs="Times New Roman"/>
                <w:color w:val="000000" w:themeColor="text1"/>
                <w:szCs w:val="21"/>
              </w:rPr>
            </w:pPr>
            <w:r>
              <w:rPr>
                <w:rFonts w:hint="eastAsia" w:ascii="Times New Roman" w:hAnsi="Times New Roman" w:cs="Times New Roman"/>
                <w:color w:val="000000" w:themeColor="text1"/>
                <w:szCs w:val="21"/>
              </w:rPr>
              <w:t>0.05</w:t>
            </w:r>
          </w:p>
        </w:tc>
        <w:tc>
          <w:tcPr>
            <w:tcW w:w="2694" w:type="dxa"/>
            <w:gridSpan w:val="3"/>
            <w:vAlign w:val="center"/>
          </w:tcPr>
          <w:p w14:paraId="4E9463E1">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交由有资质的单位进行处置</w:t>
            </w:r>
          </w:p>
        </w:tc>
      </w:tr>
      <w:tr w14:paraId="1210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49123D5C">
            <w:pPr>
              <w:jc w:val="center"/>
              <w:rPr>
                <w:rFonts w:ascii="Times New Roman" w:hAnsi="Times New Roman" w:eastAsia="宋体" w:cs="Times New Roman"/>
                <w:color w:val="000000" w:themeColor="text1"/>
                <w:szCs w:val="22"/>
              </w:rPr>
            </w:pPr>
          </w:p>
        </w:tc>
        <w:tc>
          <w:tcPr>
            <w:tcW w:w="699" w:type="dxa"/>
            <w:vMerge w:val="continue"/>
            <w:vAlign w:val="center"/>
          </w:tcPr>
          <w:p w14:paraId="0015DA54">
            <w:pPr>
              <w:jc w:val="center"/>
              <w:rPr>
                <w:rFonts w:ascii="Times New Roman" w:hAnsi="Times New Roman" w:eastAsia="宋体" w:cs="Times New Roman"/>
                <w:color w:val="000000" w:themeColor="text1"/>
                <w:szCs w:val="22"/>
              </w:rPr>
            </w:pPr>
          </w:p>
        </w:tc>
        <w:tc>
          <w:tcPr>
            <w:tcW w:w="1386" w:type="dxa"/>
            <w:gridSpan w:val="2"/>
            <w:vAlign w:val="center"/>
          </w:tcPr>
          <w:p w14:paraId="2853C56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剥离</w:t>
            </w:r>
          </w:p>
        </w:tc>
        <w:tc>
          <w:tcPr>
            <w:tcW w:w="1591" w:type="dxa"/>
            <w:vAlign w:val="center"/>
          </w:tcPr>
          <w:p w14:paraId="0DF3ADAD">
            <w:pPr>
              <w:ind w:left="50" w:right="50"/>
              <w:jc w:val="center"/>
              <w:rPr>
                <w:rFonts w:ascii="Times New Roman" w:hAnsi="Times New Roman" w:eastAsia="宋体" w:cs="Times New Roman"/>
                <w:color w:val="000000" w:themeColor="text1"/>
                <w:szCs w:val="21"/>
                <w:lang w:val="fr-FR"/>
              </w:rPr>
            </w:pPr>
            <w:r>
              <w:rPr>
                <w:rFonts w:ascii="Times New Roman" w:hAnsi="Times New Roman" w:eastAsia="宋体" w:cs="Times New Roman"/>
                <w:color w:val="000000" w:themeColor="text1"/>
                <w:szCs w:val="22"/>
              </w:rPr>
              <w:t>废标签纸</w:t>
            </w:r>
            <w:r>
              <w:rPr>
                <w:rFonts w:ascii="Times New Roman" w:hAnsi="Times New Roman" w:eastAsia="宋体" w:cs="Times New Roman"/>
                <w:color w:val="000000" w:themeColor="text1"/>
              </w:rPr>
              <w:t>S2</w:t>
            </w:r>
          </w:p>
        </w:tc>
        <w:tc>
          <w:tcPr>
            <w:tcW w:w="2551" w:type="dxa"/>
            <w:gridSpan w:val="2"/>
            <w:vAlign w:val="center"/>
          </w:tcPr>
          <w:p w14:paraId="6615507D">
            <w:pPr>
              <w:ind w:left="50" w:right="50"/>
              <w:jc w:val="center"/>
              <w:rPr>
                <w:rFonts w:ascii="Times New Roman" w:hAnsi="Times New Roman" w:eastAsia="宋体" w:cs="Times New Roman"/>
                <w:color w:val="000000" w:themeColor="text1"/>
                <w:szCs w:val="21"/>
                <w:lang w:val="fr-FR"/>
              </w:rPr>
            </w:pPr>
            <w:r>
              <w:rPr>
                <w:rFonts w:hint="eastAsia" w:ascii="Times New Roman" w:hAnsi="Times New Roman" w:eastAsia="宋体" w:cs="Times New Roman"/>
                <w:color w:val="000000" w:themeColor="text1"/>
                <w:szCs w:val="21"/>
                <w:lang w:val="fr-FR"/>
              </w:rPr>
              <w:t>5</w:t>
            </w:r>
          </w:p>
        </w:tc>
        <w:tc>
          <w:tcPr>
            <w:tcW w:w="2694" w:type="dxa"/>
            <w:gridSpan w:val="3"/>
            <w:shd w:val="clear" w:color="auto" w:fill="auto"/>
            <w:vAlign w:val="center"/>
          </w:tcPr>
          <w:p w14:paraId="7C366C99">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2"/>
              </w:rPr>
              <w:t>外卖</w:t>
            </w:r>
          </w:p>
        </w:tc>
      </w:tr>
      <w:tr w14:paraId="529D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785" w:type="dxa"/>
            <w:vMerge w:val="continue"/>
            <w:vAlign w:val="center"/>
          </w:tcPr>
          <w:p w14:paraId="231896AE">
            <w:pPr>
              <w:jc w:val="center"/>
              <w:rPr>
                <w:rFonts w:ascii="Times New Roman" w:hAnsi="Times New Roman" w:eastAsia="宋体" w:cs="Times New Roman"/>
                <w:color w:val="000000" w:themeColor="text1"/>
                <w:szCs w:val="22"/>
              </w:rPr>
            </w:pPr>
          </w:p>
        </w:tc>
        <w:tc>
          <w:tcPr>
            <w:tcW w:w="699" w:type="dxa"/>
            <w:vMerge w:val="continue"/>
            <w:vAlign w:val="center"/>
          </w:tcPr>
          <w:p w14:paraId="70569119">
            <w:pPr>
              <w:jc w:val="center"/>
              <w:rPr>
                <w:rFonts w:ascii="Times New Roman" w:hAnsi="Times New Roman" w:eastAsia="宋体" w:cs="Times New Roman"/>
                <w:color w:val="000000" w:themeColor="text1"/>
                <w:szCs w:val="22"/>
              </w:rPr>
            </w:pPr>
          </w:p>
        </w:tc>
        <w:tc>
          <w:tcPr>
            <w:tcW w:w="1386" w:type="dxa"/>
            <w:gridSpan w:val="2"/>
            <w:vAlign w:val="center"/>
          </w:tcPr>
          <w:p w14:paraId="41A3F2E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员工生活</w:t>
            </w:r>
          </w:p>
        </w:tc>
        <w:tc>
          <w:tcPr>
            <w:tcW w:w="1591" w:type="dxa"/>
            <w:vAlign w:val="center"/>
          </w:tcPr>
          <w:p w14:paraId="5113C22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生活垃圾</w:t>
            </w:r>
          </w:p>
        </w:tc>
        <w:tc>
          <w:tcPr>
            <w:tcW w:w="2551" w:type="dxa"/>
            <w:gridSpan w:val="2"/>
            <w:vAlign w:val="center"/>
          </w:tcPr>
          <w:p w14:paraId="6D72B2A3">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1.5</w:t>
            </w:r>
          </w:p>
        </w:tc>
        <w:tc>
          <w:tcPr>
            <w:tcW w:w="2694" w:type="dxa"/>
            <w:gridSpan w:val="3"/>
            <w:shd w:val="clear" w:color="auto" w:fill="auto"/>
            <w:vAlign w:val="center"/>
          </w:tcPr>
          <w:p w14:paraId="0E6C6D4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运至项目区</w:t>
            </w:r>
            <w:r>
              <w:rPr>
                <w:rFonts w:ascii="Times New Roman" w:hAnsi="Times New Roman" w:eastAsia="宋体" w:cs="Times New Roman"/>
                <w:bCs/>
                <w:color w:val="000000" w:themeColor="text1"/>
                <w:szCs w:val="22"/>
              </w:rPr>
              <w:t>当连村</w:t>
            </w:r>
            <w:r>
              <w:rPr>
                <w:rFonts w:ascii="Times New Roman" w:hAnsi="Times New Roman" w:eastAsia="宋体" w:cs="Times New Roman"/>
                <w:color w:val="000000" w:themeColor="text1"/>
                <w:szCs w:val="22"/>
              </w:rPr>
              <w:t>垃圾收集点处置</w:t>
            </w:r>
          </w:p>
        </w:tc>
      </w:tr>
      <w:tr w14:paraId="31AA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9706" w:type="dxa"/>
            <w:gridSpan w:val="10"/>
            <w:vAlign w:val="center"/>
          </w:tcPr>
          <w:p w14:paraId="0F40D8F6">
            <w:pPr>
              <w:ind w:firstLine="422" w:firstLineChars="150"/>
              <w:jc w:val="left"/>
              <w:rPr>
                <w:rFonts w:ascii="Times New Roman" w:hAnsi="Times New Roman" w:eastAsia="宋体" w:cs="Times New Roman"/>
                <w:b/>
                <w:bCs/>
                <w:color w:val="000000" w:themeColor="text1"/>
                <w:sz w:val="28"/>
                <w:szCs w:val="22"/>
              </w:rPr>
            </w:pPr>
            <w:r>
              <w:rPr>
                <w:rFonts w:ascii="Times New Roman" w:hAnsi="Times New Roman" w:eastAsia="宋体" w:cs="Times New Roman"/>
                <w:b/>
                <w:bCs/>
                <w:color w:val="000000" w:themeColor="text1"/>
                <w:sz w:val="28"/>
                <w:szCs w:val="22"/>
              </w:rPr>
              <w:t>主要生态影响</w:t>
            </w:r>
          </w:p>
          <w:p w14:paraId="6FA96145">
            <w:pPr>
              <w:spacing w:line="360" w:lineRule="auto"/>
              <w:ind w:left="50" w:right="50"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rPr>
              <w:t>经现场查勘，</w:t>
            </w:r>
            <w:r>
              <w:rPr>
                <w:rFonts w:ascii="Times New Roman" w:hAnsi="Times New Roman" w:cs="Times New Roman"/>
                <w:color w:val="000000" w:themeColor="text1"/>
                <w:sz w:val="24"/>
              </w:rPr>
              <w:t>租用</w:t>
            </w:r>
            <w:r>
              <w:rPr>
                <w:rFonts w:ascii="Times New Roman" w:hAnsi="Times New Roman" w:cs="Times New Roman"/>
                <w:bCs/>
                <w:color w:val="000000" w:themeColor="text1"/>
                <w:sz w:val="24"/>
              </w:rPr>
              <w:t>拱弄场村小组村民曹发强土地和已建厂房</w:t>
            </w:r>
            <w:r>
              <w:rPr>
                <w:rFonts w:ascii="Times New Roman" w:hAnsi="Times New Roman" w:eastAsia="宋体" w:cs="Times New Roman"/>
                <w:bCs/>
                <w:color w:val="000000" w:themeColor="text1"/>
                <w:sz w:val="24"/>
              </w:rPr>
              <w:t>，</w:t>
            </w:r>
            <w:r>
              <w:rPr>
                <w:rFonts w:ascii="Times New Roman" w:hAnsi="Times New Roman" w:eastAsia="宋体" w:cs="Times New Roman"/>
                <w:color w:val="000000" w:themeColor="text1"/>
                <w:sz w:val="24"/>
              </w:rPr>
              <w:t>建设“</w:t>
            </w:r>
            <w:r>
              <w:rPr>
                <w:rFonts w:ascii="Times New Roman" w:hAnsi="Times New Roman" w:cs="Times New Roman"/>
                <w:bCs/>
                <w:color w:val="000000" w:themeColor="text1"/>
                <w:sz w:val="24"/>
              </w:rPr>
              <w:t>芒市勐戛镇天天废品回收店芒市废塑料瓶破碎项目</w:t>
            </w:r>
            <w:r>
              <w:rPr>
                <w:rFonts w:ascii="Times New Roman" w:hAnsi="Times New Roman" w:eastAsia="宋体" w:cs="Times New Roman"/>
                <w:color w:val="000000" w:themeColor="text1"/>
                <w:sz w:val="24"/>
              </w:rPr>
              <w:t>”；本项目直接对租用房屋进行改造、装修、安装设备即可，</w:t>
            </w:r>
            <w:r>
              <w:rPr>
                <w:rFonts w:ascii="Times New Roman" w:hAnsi="Times New Roman" w:eastAsia="宋体" w:cs="Times New Roman"/>
                <w:color w:val="000000" w:themeColor="text1"/>
                <w:kern w:val="0"/>
                <w:sz w:val="24"/>
              </w:rPr>
              <w:t>对周边生态环境影响较小。区域动物以小型爬行类昆虫为主，主要为蚂蚁等爬行类昆虫。整个区域主要为人工种植的植被和农作物，其次多为一些次生的植被，不存在原始生态系统，生物多样性一般，生态环境自身调控能力一般。本项目对周围生态环境影响很小。</w:t>
            </w:r>
          </w:p>
        </w:tc>
      </w:tr>
    </w:tbl>
    <w:p w14:paraId="662EFBE1">
      <w:pPr>
        <w:keepNext/>
        <w:keepLines/>
        <w:pageBreakBefore/>
        <w:jc w:val="left"/>
        <w:outlineLvl w:val="0"/>
        <w:rPr>
          <w:rFonts w:ascii="Times New Roman" w:hAnsi="Times New Roman" w:eastAsia="宋体" w:cs="Times New Roman"/>
          <w:b/>
          <w:bCs/>
          <w:color w:val="000000" w:themeColor="text1"/>
          <w:kern w:val="44"/>
          <w:sz w:val="30"/>
          <w:szCs w:val="44"/>
        </w:rPr>
      </w:pPr>
      <w:r>
        <w:rPr>
          <w:rFonts w:ascii="Times New Roman" w:hAnsi="Times New Roman" w:eastAsia="宋体" w:cs="Times New Roman"/>
          <w:b/>
          <w:bCs/>
          <w:color w:val="000000" w:themeColor="text1"/>
          <w:kern w:val="44"/>
          <w:sz w:val="30"/>
          <w:szCs w:val="44"/>
        </w:rPr>
        <w:t>表七、环境影响分析</w:t>
      </w:r>
    </w:p>
    <w:tbl>
      <w:tblPr>
        <w:tblStyle w:val="39"/>
        <w:tblW w:w="573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532C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tcPr>
          <w:p w14:paraId="3F8A176D">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一、产业政策符合性分析</w:t>
            </w:r>
          </w:p>
          <w:p w14:paraId="2E654760">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属于国务院批准的《产业结构调整指导目录(2011年本)》(2013年修正本)中的第一类鼓励类“二十六、环境保护与资源节约综合利用”中“42、再生资源回收利用产业化”类，同时本项目产品、工艺未列入《淘汰落后生产能力、工艺和产品目录》中，生产设备未列入《部分工业行业淘汰落后生产工艺装备和产品指导目录(2010年本)》中，不属于指导目录中的淘汰落后设备，生产设备符合工艺要求，同时符合国家及地方的相关产业政策。</w:t>
            </w:r>
          </w:p>
          <w:p w14:paraId="37A11DF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因此，本项目符合国家产业政策。</w:t>
            </w:r>
          </w:p>
          <w:p w14:paraId="6AC1697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二、相关规划符合性分析</w:t>
            </w:r>
          </w:p>
          <w:p w14:paraId="075DA2FC">
            <w:pPr>
              <w:adjustRightInd w:val="0"/>
              <w:spacing w:line="360" w:lineRule="auto"/>
              <w:ind w:firstLine="480" w:firstLineChars="200"/>
              <w:rPr>
                <w:bCs/>
                <w:color w:val="000000" w:themeColor="text1"/>
                <w:sz w:val="24"/>
              </w:rPr>
            </w:pPr>
            <w:r>
              <w:rPr>
                <w:rFonts w:ascii="Times New Roman" w:hAnsi="Times New Roman" w:eastAsia="宋体" w:cs="Times New Roman"/>
                <w:snapToGrid w:val="0"/>
                <w:color w:val="000000" w:themeColor="text1"/>
                <w:kern w:val="0"/>
                <w:sz w:val="24"/>
                <w:szCs w:val="20"/>
              </w:rPr>
              <w:t>本项目选址于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w:t>
            </w:r>
            <w:r>
              <w:rPr>
                <w:rFonts w:hint="eastAsia" w:ascii="Times New Roman" w:hAnsi="Times New Roman" w:eastAsia="宋体" w:cs="Times New Roman"/>
                <w:snapToGrid w:val="0"/>
                <w:color w:val="000000" w:themeColor="text1"/>
                <w:kern w:val="0"/>
                <w:sz w:val="24"/>
                <w:szCs w:val="20"/>
              </w:rPr>
              <w:t>根据</w:t>
            </w:r>
            <w:r>
              <w:rPr>
                <w:rFonts w:ascii="Times New Roman" w:hAnsi="Times New Roman" w:cs="Times New Roman"/>
                <w:bCs/>
                <w:color w:val="000000" w:themeColor="text1"/>
                <w:sz w:val="24"/>
              </w:rPr>
              <w:t>芒市勐戛镇勐旺村民委员会</w:t>
            </w:r>
            <w:r>
              <w:rPr>
                <w:rFonts w:hint="eastAsia" w:ascii="Times New Roman" w:hAnsi="Times New Roman" w:cs="Times New Roman"/>
                <w:bCs/>
                <w:color w:val="000000" w:themeColor="text1"/>
                <w:sz w:val="24"/>
              </w:rPr>
              <w:t>出具的土地证明，本项目选址不属于农业用地和林业用地，为</w:t>
            </w:r>
            <w:r>
              <w:rPr>
                <w:bCs/>
                <w:color w:val="000000" w:themeColor="text1"/>
                <w:sz w:val="24"/>
              </w:rPr>
              <w:t>拱弄场村小组村民曹发强</w:t>
            </w:r>
            <w:r>
              <w:rPr>
                <w:rFonts w:hint="eastAsia"/>
                <w:bCs/>
                <w:color w:val="000000" w:themeColor="text1"/>
                <w:sz w:val="24"/>
              </w:rPr>
              <w:t>的建设用地</w:t>
            </w:r>
            <w:r>
              <w:rPr>
                <w:bCs/>
                <w:color w:val="000000" w:themeColor="text1"/>
                <w:sz w:val="24"/>
              </w:rPr>
              <w:t>和</w:t>
            </w:r>
            <w:r>
              <w:rPr>
                <w:rFonts w:hint="eastAsia"/>
                <w:bCs/>
                <w:color w:val="000000" w:themeColor="text1"/>
                <w:sz w:val="24"/>
              </w:rPr>
              <w:t>自建</w:t>
            </w:r>
            <w:r>
              <w:rPr>
                <w:bCs/>
                <w:color w:val="000000" w:themeColor="text1"/>
                <w:sz w:val="24"/>
              </w:rPr>
              <w:t>厂房</w:t>
            </w:r>
            <w:r>
              <w:rPr>
                <w:rFonts w:hint="eastAsia"/>
                <w:bCs/>
                <w:color w:val="000000" w:themeColor="text1"/>
                <w:sz w:val="24"/>
              </w:rPr>
              <w:t>；</w:t>
            </w:r>
          </w:p>
          <w:p w14:paraId="03B85C0A">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rPr>
            </w:pPr>
            <w:r>
              <w:rPr>
                <w:rFonts w:hint="eastAsia"/>
                <w:bCs/>
                <w:color w:val="000000" w:themeColor="text1"/>
                <w:sz w:val="24"/>
              </w:rPr>
              <w:t>同时</w:t>
            </w:r>
            <w:r>
              <w:rPr>
                <w:rFonts w:ascii="Times New Roman" w:hAnsi="Times New Roman" w:eastAsia="宋体" w:cs="Times New Roman"/>
                <w:snapToGrid w:val="0"/>
                <w:color w:val="000000" w:themeColor="text1"/>
                <w:kern w:val="0"/>
                <w:sz w:val="24"/>
                <w:szCs w:val="20"/>
              </w:rPr>
              <w:t>选址不属于《德宏州域城镇体系规划（2011—2030）》用地范围，</w:t>
            </w:r>
            <w:r>
              <w:rPr>
                <w:rFonts w:ascii="Times New Roman" w:hAnsi="Times New Roman" w:eastAsia="宋体" w:cs="Times New Roman"/>
                <w:bCs/>
                <w:snapToGrid w:val="0"/>
                <w:color w:val="000000" w:themeColor="text1"/>
                <w:kern w:val="0"/>
                <w:sz w:val="24"/>
                <w:szCs w:val="20"/>
              </w:rPr>
              <w:t>建设项目与《德宏州域城镇体系规划（2011—2030）》的总体规划定位分析不冲突；</w:t>
            </w:r>
            <w:r>
              <w:rPr>
                <w:rFonts w:hint="eastAsia" w:ascii="Times New Roman" w:hAnsi="Times New Roman" w:eastAsia="宋体" w:cs="Times New Roman"/>
                <w:bCs/>
                <w:snapToGrid w:val="0"/>
                <w:color w:val="000000" w:themeColor="text1"/>
                <w:kern w:val="0"/>
                <w:sz w:val="24"/>
                <w:szCs w:val="20"/>
              </w:rPr>
              <w:t xml:space="preserve"> </w:t>
            </w:r>
          </w:p>
          <w:p w14:paraId="3D90F8A2">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rPr>
            </w:pPr>
            <w:r>
              <w:rPr>
                <w:rFonts w:ascii="Times New Roman" w:hAnsi="Times New Roman" w:eastAsia="宋体" w:cs="Times New Roman"/>
                <w:bCs/>
                <w:snapToGrid w:val="0"/>
                <w:color w:val="000000" w:themeColor="text1"/>
                <w:kern w:val="0"/>
                <w:sz w:val="24"/>
                <w:szCs w:val="20"/>
              </w:rPr>
              <w:t>综上，建设项目符合相关规划要求。</w:t>
            </w:r>
          </w:p>
          <w:p w14:paraId="6507D2EE">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三、项目选址合理性分析及外环境相容性分析</w:t>
            </w:r>
          </w:p>
          <w:p w14:paraId="34D7BD2A">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p>
          <w:p w14:paraId="254DD3AB">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10036ADA">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综上所述，本项目的建设选址合理。</w:t>
            </w:r>
          </w:p>
          <w:p w14:paraId="3FFCCEE8">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 xml:space="preserve">四、项目平面布置合理性分析 </w:t>
            </w:r>
          </w:p>
          <w:p w14:paraId="3FCB3145">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从项目平面布置图可以看出，厂区呈多边形，西侧为办公区；生产区位于项目区西侧，生产区设置有原料仓库，原料露天堆场位于生产区南侧，利于原料的进出运输。</w:t>
            </w:r>
          </w:p>
          <w:p w14:paraId="57299DA4">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项目布置功能区块清晰，符合生产流程，方便管理，环评要求在设备安装时，设备底座安装减振基础，以减轻车间噪声对厂界的影响。</w:t>
            </w:r>
          </w:p>
          <w:p w14:paraId="491DE96F">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因此，项目平面布置较合理。</w:t>
            </w:r>
          </w:p>
          <w:p w14:paraId="5B0E1858">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五、施工期环境影响分析</w:t>
            </w:r>
          </w:p>
          <w:p w14:paraId="7199AF0A">
            <w:pPr>
              <w:spacing w:before="62" w:beforeLines="20" w:after="46" w:afterLines="15" w:line="360" w:lineRule="auto"/>
              <w:ind w:firstLine="482"/>
              <w:rPr>
                <w:rFonts w:ascii="Times New Roman" w:hAnsi="Times New Roman" w:eastAsia="宋体" w:cs="Times New Roman"/>
                <w:b/>
                <w:color w:val="000000" w:themeColor="text1"/>
                <w:sz w:val="24"/>
              </w:rPr>
            </w:pPr>
            <w:r>
              <w:rPr>
                <w:rFonts w:ascii="Times New Roman" w:hAnsi="Times New Roman" w:eastAsia="宋体" w:cs="Times New Roman"/>
                <w:b/>
                <w:bCs/>
                <w:color w:val="000000" w:themeColor="text1"/>
                <w:sz w:val="24"/>
              </w:rPr>
              <w:t>1、</w:t>
            </w:r>
            <w:r>
              <w:rPr>
                <w:rFonts w:ascii="Times New Roman" w:hAnsi="Times New Roman" w:eastAsia="宋体" w:cs="Times New Roman"/>
                <w:b/>
                <w:color w:val="000000" w:themeColor="text1"/>
                <w:sz w:val="24"/>
              </w:rPr>
              <w:t>大气污染物对环境的影响分析</w:t>
            </w:r>
          </w:p>
          <w:p w14:paraId="51E05623">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期对区域大气环境的影响主要是地面扬尘污染，污染因子为总悬浮颗粒物，扬尘以无组织排放的形式，借助风力在施工现场引起空气环境TSP指标升高。在建筑材料的运输和拌合作业中仍会产生少量的扬尘，以无组织形式排放。</w:t>
            </w:r>
          </w:p>
          <w:p w14:paraId="22501AC6">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为了减少施工粉尘对周边环境的影响，本环评要求建设方在施工时采取有效措施，使环境空气的影响有所减轻：</w:t>
            </w:r>
          </w:p>
          <w:p w14:paraId="1D893450">
            <w:pPr>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施工场地内的沙、石材料堆场尽量选在生产区（生产区现已设置顶棚），避免原材料露天堆放，减少扬尘产生量。</w:t>
            </w:r>
          </w:p>
          <w:p w14:paraId="41FCBF6B">
            <w:pPr>
              <w:adjustRightInd w:val="0"/>
              <w:snapToGrid w:val="0"/>
              <w:spacing w:line="360" w:lineRule="auto"/>
              <w:ind w:firstLine="480" w:firstLineChars="200"/>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kern w:val="0"/>
                <w:sz w:val="24"/>
              </w:rPr>
              <w:t>本项目施工过程全部在已建房屋内</w:t>
            </w:r>
            <w:r>
              <w:rPr>
                <w:rFonts w:ascii="Times New Roman" w:hAnsi="Times New Roman" w:eastAsia="宋体" w:cs="Times New Roman"/>
                <w:color w:val="000000" w:themeColor="text1"/>
                <w:sz w:val="24"/>
              </w:rPr>
              <w:t>进行，基本不涉及土建工程，经现场调查，厂房和道路为硬化路面，认真落实以上防治措施后，项目施工期扬尘</w:t>
            </w:r>
            <w:r>
              <w:rPr>
                <w:rFonts w:ascii="Times New Roman" w:hAnsi="Times New Roman" w:eastAsia="宋体" w:cs="Times New Roman"/>
                <w:color w:val="000000" w:themeColor="text1"/>
                <w:kern w:val="0"/>
                <w:sz w:val="24"/>
              </w:rPr>
              <w:t>对周边的环境影响很小。</w:t>
            </w:r>
          </w:p>
          <w:p w14:paraId="7ED85894">
            <w:pPr>
              <w:spacing w:before="62" w:beforeLines="20" w:after="46" w:afterLines="15" w:line="360" w:lineRule="auto"/>
              <w:ind w:firstLine="482"/>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2、水污染物对环境的影响分析</w:t>
            </w:r>
          </w:p>
          <w:p w14:paraId="7E74AACC">
            <w:pPr>
              <w:tabs>
                <w:tab w:val="left" w:pos="2858"/>
              </w:tabs>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（1）施工废水对环境的影响分析</w:t>
            </w:r>
          </w:p>
          <w:p w14:paraId="1EA4503A">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施工期为2个星期，施工过程房屋改造，用水量较少，在与水泥砂浆拌合使用过程中消耗；项目区对已建的房屋厂房内部进行简单装修及改造，并不涉及基坑开挖等建设内容，因此施工废水量较小，施工废水在与水泥砂浆等建材的拌合使用的过程中消耗，无外排施工废水，对区域水环境基本无影响。</w:t>
            </w:r>
          </w:p>
          <w:p w14:paraId="1812DAC4">
            <w:pPr>
              <w:tabs>
                <w:tab w:val="left" w:pos="2858"/>
              </w:tabs>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（2）生活废水对环境的影响分析</w:t>
            </w:r>
          </w:p>
          <w:p w14:paraId="3AE0BB7C">
            <w:pPr>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项目施工人员为10人，均不在项目区内食宿，施工人员使用厂区厕所，定期委托周边村民清运，对周边环境不产生影响。</w:t>
            </w:r>
          </w:p>
          <w:p w14:paraId="261A5C77">
            <w:pPr>
              <w:spacing w:before="62" w:beforeLines="20" w:after="46" w:afterLines="15" w:line="360" w:lineRule="auto"/>
              <w:ind w:firstLine="482"/>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3、噪声对环境的影响分析</w:t>
            </w:r>
          </w:p>
          <w:p w14:paraId="1EAEA239">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本项目施工期2个星期，噪声来源为项目区内房屋改造和设备安装等过程。施工噪声的特点是突发性和间歇性，持续时间短；项目区500m范围内无声环境敏感点。</w:t>
            </w:r>
          </w:p>
          <w:p w14:paraId="5D86573D">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（1）预测分析</w:t>
            </w:r>
          </w:p>
          <w:p w14:paraId="6605AE60">
            <w:pPr>
              <w:spacing w:line="360" w:lineRule="auto"/>
              <w:ind w:left="105" w:leftChars="50" w:right="105" w:rightChars="50"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为了反映项目施工期噪声对周围环境的影响，利用距离传播衰减模式预测运营期噪声距离厂界处的噪声值，根据 HJ/T2.4－2009《环境影响评价技术导则》（声环境），无指向性点声源几何发散衰减按下列公式计算：</w:t>
            </w:r>
          </w:p>
          <w:p w14:paraId="3DE7CE57">
            <w:pPr>
              <w:autoSpaceDE w:val="0"/>
              <w:autoSpaceDN w:val="0"/>
              <w:spacing w:line="360" w:lineRule="auto"/>
              <w:ind w:left="50" w:right="50" w:firstLine="1320" w:firstLineChars="550"/>
              <w:textAlignment w:val="baseline"/>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L</w:t>
            </w:r>
            <w:r>
              <w:rPr>
                <w:rFonts w:ascii="Times New Roman" w:hAnsi="Times New Roman" w:eastAsia="宋体" w:cs="Times New Roman"/>
                <w:color w:val="000000" w:themeColor="text1"/>
                <w:sz w:val="24"/>
                <w:vertAlign w:val="subscript"/>
              </w:rPr>
              <w:t xml:space="preserve"> A(r)</w:t>
            </w:r>
            <w:r>
              <w:rPr>
                <w:rFonts w:ascii="Times New Roman" w:hAnsi="Times New Roman" w:eastAsia="宋体" w:cs="Times New Roman"/>
                <w:color w:val="000000" w:themeColor="text1"/>
                <w:sz w:val="24"/>
              </w:rPr>
              <w:t>= L</w:t>
            </w:r>
            <w:r>
              <w:rPr>
                <w:rFonts w:ascii="Times New Roman" w:hAnsi="Times New Roman" w:eastAsia="宋体" w:cs="Times New Roman"/>
                <w:color w:val="000000" w:themeColor="text1"/>
                <w:sz w:val="24"/>
                <w:vertAlign w:val="subscript"/>
              </w:rPr>
              <w:t xml:space="preserve"> A(r0)－</w:t>
            </w:r>
            <w:r>
              <w:rPr>
                <w:rFonts w:ascii="Times New Roman" w:hAnsi="Times New Roman" w:eastAsia="宋体" w:cs="Times New Roman"/>
                <w:color w:val="000000" w:themeColor="text1"/>
                <w:sz w:val="24"/>
              </w:rPr>
              <w:t>20lg(r/r</w:t>
            </w:r>
            <w:r>
              <w:rPr>
                <w:rFonts w:ascii="Times New Roman" w:hAnsi="Times New Roman" w:eastAsia="宋体" w:cs="Times New Roman"/>
                <w:color w:val="000000" w:themeColor="text1"/>
                <w:sz w:val="24"/>
                <w:vertAlign w:val="subscript"/>
              </w:rPr>
              <w:t>0</w:t>
            </w:r>
            <w:r>
              <w:rPr>
                <w:rFonts w:ascii="Times New Roman" w:hAnsi="Times New Roman" w:eastAsia="宋体" w:cs="Times New Roman"/>
                <w:color w:val="000000" w:themeColor="text1"/>
                <w:sz w:val="24"/>
              </w:rPr>
              <w:t>)-</w:t>
            </w:r>
            <w:r>
              <w:rPr>
                <w:rFonts w:ascii="Cambria Math" w:hAnsi="Cambria Math" w:eastAsia="宋体" w:cs="Cambria Math"/>
                <w:color w:val="000000" w:themeColor="text1"/>
                <w:sz w:val="24"/>
              </w:rPr>
              <w:t>△</w:t>
            </w:r>
            <w:r>
              <w:rPr>
                <w:rFonts w:ascii="Times New Roman" w:hAnsi="Times New Roman" w:eastAsia="宋体" w:cs="Times New Roman"/>
                <w:color w:val="000000" w:themeColor="text1"/>
                <w:sz w:val="24"/>
              </w:rPr>
              <w:t>L</w:t>
            </w:r>
          </w:p>
          <w:p w14:paraId="42F0367E">
            <w:pPr>
              <w:autoSpaceDE w:val="0"/>
              <w:autoSpaceDN w:val="0"/>
              <w:spacing w:line="360" w:lineRule="auto"/>
              <w:ind w:left="50" w:right="50" w:firstLine="1320" w:firstLineChars="550"/>
              <w:textAlignment w:val="baseline"/>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式中：L</w:t>
            </w:r>
            <w:r>
              <w:rPr>
                <w:rFonts w:ascii="Times New Roman" w:hAnsi="Times New Roman" w:eastAsia="宋体" w:cs="Times New Roman"/>
                <w:color w:val="000000" w:themeColor="text1"/>
                <w:sz w:val="24"/>
                <w:vertAlign w:val="subscript"/>
              </w:rPr>
              <w:t>A（r）</w:t>
            </w:r>
            <w:r>
              <w:rPr>
                <w:rFonts w:ascii="Times New Roman" w:hAnsi="Times New Roman" w:eastAsia="宋体" w:cs="Times New Roman"/>
                <w:color w:val="000000" w:themeColor="text1"/>
                <w:sz w:val="24"/>
              </w:rPr>
              <w:t>——距离声源r处的A声级，dB(A)；</w:t>
            </w:r>
          </w:p>
          <w:p w14:paraId="2F92B520">
            <w:pPr>
              <w:autoSpaceDE w:val="0"/>
              <w:autoSpaceDN w:val="0"/>
              <w:spacing w:line="360" w:lineRule="auto"/>
              <w:ind w:left="50" w:right="50" w:firstLine="1320" w:firstLineChars="550"/>
              <w:textAlignment w:val="baseline"/>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 xml:space="preserve">     L</w:t>
            </w:r>
            <w:r>
              <w:rPr>
                <w:rFonts w:ascii="Times New Roman" w:hAnsi="Times New Roman" w:eastAsia="宋体" w:cs="Times New Roman"/>
                <w:color w:val="000000" w:themeColor="text1"/>
                <w:sz w:val="24"/>
                <w:vertAlign w:val="subscript"/>
              </w:rPr>
              <w:t>A（ro）</w:t>
            </w:r>
            <w:r>
              <w:rPr>
                <w:rFonts w:ascii="Times New Roman" w:hAnsi="Times New Roman" w:eastAsia="宋体" w:cs="Times New Roman"/>
                <w:color w:val="000000" w:themeColor="text1"/>
                <w:sz w:val="24"/>
              </w:rPr>
              <w:t>——距声源r</w:t>
            </w:r>
            <w:r>
              <w:rPr>
                <w:rFonts w:ascii="Times New Roman" w:hAnsi="Times New Roman" w:eastAsia="宋体" w:cs="Times New Roman"/>
                <w:color w:val="000000" w:themeColor="text1"/>
                <w:sz w:val="24"/>
                <w:vertAlign w:val="subscript"/>
              </w:rPr>
              <w:t>o</w:t>
            </w:r>
            <w:r>
              <w:rPr>
                <w:rFonts w:ascii="Times New Roman" w:hAnsi="Times New Roman" w:eastAsia="宋体" w:cs="Times New Roman"/>
                <w:color w:val="000000" w:themeColor="text1"/>
                <w:sz w:val="24"/>
              </w:rPr>
              <w:t>处的A声级，dB(A)；</w:t>
            </w:r>
          </w:p>
          <w:p w14:paraId="028BF6DC">
            <w:pPr>
              <w:autoSpaceDE w:val="0"/>
              <w:autoSpaceDN w:val="0"/>
              <w:spacing w:line="360" w:lineRule="auto"/>
              <w:ind w:left="50" w:right="50" w:firstLine="1320" w:firstLineChars="550"/>
              <w:textAlignment w:val="baseline"/>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 xml:space="preserve">     r</w:t>
            </w:r>
            <w:r>
              <w:rPr>
                <w:rFonts w:ascii="Times New Roman" w:hAnsi="Times New Roman" w:eastAsia="宋体" w:cs="Times New Roman"/>
                <w:color w:val="000000" w:themeColor="text1"/>
                <w:sz w:val="24"/>
                <w:vertAlign w:val="subscript"/>
              </w:rPr>
              <w:t>o</w:t>
            </w:r>
            <w:r>
              <w:rPr>
                <w:rFonts w:ascii="Times New Roman" w:hAnsi="Times New Roman" w:eastAsia="宋体" w:cs="Times New Roman"/>
                <w:color w:val="000000" w:themeColor="text1"/>
                <w:sz w:val="24"/>
              </w:rPr>
              <w:t>、r——距声源的距离，m；</w:t>
            </w:r>
          </w:p>
          <w:p w14:paraId="248F00B9">
            <w:pPr>
              <w:widowControl/>
              <w:spacing w:line="360" w:lineRule="auto"/>
              <w:ind w:left="50" w:right="50" w:firstLine="1166" w:firstLineChars="486"/>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 xml:space="preserve">     </w:t>
            </w:r>
            <w:r>
              <w:rPr>
                <w:rFonts w:ascii="Cambria Math" w:hAnsi="Cambria Math" w:eastAsia="宋体" w:cs="Cambria Math"/>
                <w:color w:val="000000" w:themeColor="text1"/>
                <w:sz w:val="24"/>
              </w:rPr>
              <w:t>△</w:t>
            </w:r>
            <w:r>
              <w:rPr>
                <w:rFonts w:ascii="Times New Roman" w:hAnsi="Times New Roman" w:eastAsia="宋体" w:cs="Times New Roman"/>
                <w:color w:val="000000" w:themeColor="text1"/>
                <w:sz w:val="24"/>
              </w:rPr>
              <w:t>L——其它衰减因子，dB(A) （本次评价取值为20）。</w:t>
            </w:r>
          </w:p>
          <w:p w14:paraId="6A80D647">
            <w:pPr>
              <w:spacing w:before="156" w:beforeLines="50"/>
              <w:ind w:left="50" w:right="50" w:firstLine="48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根据噪声叠加公式：</w:t>
            </w:r>
          </w:p>
          <w:p w14:paraId="376EB8C5">
            <w:pPr>
              <w:autoSpaceDE w:val="0"/>
              <w:autoSpaceDN w:val="0"/>
              <w:spacing w:line="360" w:lineRule="auto"/>
              <w:ind w:left="50" w:right="50" w:firstLine="480"/>
              <w:jc w:val="center"/>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kern w:val="0"/>
                <w:sz w:val="24"/>
              </w:rPr>
              <w:t>Leq＝10lg∑（10</w:t>
            </w:r>
            <w:r>
              <w:rPr>
                <w:rFonts w:ascii="Times New Roman" w:hAnsi="Times New Roman" w:eastAsia="宋体" w:cs="Times New Roman"/>
                <w:color w:val="000000" w:themeColor="text1"/>
                <w:kern w:val="0"/>
                <w:sz w:val="24"/>
                <w:vertAlign w:val="superscript"/>
              </w:rPr>
              <w:t>0.1L1</w:t>
            </w:r>
            <w:r>
              <w:rPr>
                <w:rFonts w:ascii="Times New Roman" w:hAnsi="Times New Roman" w:eastAsia="宋体" w:cs="Times New Roman"/>
                <w:color w:val="000000" w:themeColor="text1"/>
                <w:kern w:val="0"/>
                <w:sz w:val="24"/>
              </w:rPr>
              <w:t>+10</w:t>
            </w:r>
            <w:r>
              <w:rPr>
                <w:rFonts w:ascii="Times New Roman" w:hAnsi="Times New Roman" w:eastAsia="宋体" w:cs="Times New Roman"/>
                <w:color w:val="000000" w:themeColor="text1"/>
                <w:kern w:val="0"/>
                <w:sz w:val="24"/>
                <w:vertAlign w:val="superscript"/>
              </w:rPr>
              <w:t>0.1L2</w:t>
            </w:r>
            <w:r>
              <w:rPr>
                <w:rFonts w:ascii="Times New Roman" w:hAnsi="Times New Roman" w:eastAsia="宋体" w:cs="Times New Roman"/>
                <w:color w:val="000000" w:themeColor="text1"/>
                <w:kern w:val="0"/>
                <w:sz w:val="24"/>
              </w:rPr>
              <w:t>+…10</w:t>
            </w:r>
            <w:r>
              <w:rPr>
                <w:rFonts w:ascii="Times New Roman" w:hAnsi="Times New Roman" w:eastAsia="宋体" w:cs="Times New Roman"/>
                <w:color w:val="000000" w:themeColor="text1"/>
                <w:kern w:val="0"/>
                <w:sz w:val="24"/>
                <w:vertAlign w:val="superscript"/>
              </w:rPr>
              <w:t>0.1Lｉ</w:t>
            </w:r>
            <w:r>
              <w:rPr>
                <w:rFonts w:ascii="Times New Roman" w:hAnsi="Times New Roman" w:eastAsia="宋体" w:cs="Times New Roman"/>
                <w:color w:val="000000" w:themeColor="text1"/>
                <w:kern w:val="0"/>
                <w:sz w:val="24"/>
              </w:rPr>
              <w:t>）</w:t>
            </w:r>
          </w:p>
          <w:p w14:paraId="143BF339">
            <w:pPr>
              <w:autoSpaceDE w:val="0"/>
              <w:autoSpaceDN w:val="0"/>
              <w:spacing w:line="360" w:lineRule="auto"/>
              <w:ind w:left="50" w:right="50" w:firstLine="480"/>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kern w:val="0"/>
                <w:sz w:val="24"/>
              </w:rPr>
              <w:t>式中：Li——其中单个噪声源的声级数，dB（A）</w:t>
            </w:r>
          </w:p>
          <w:p w14:paraId="2EEE0E0C">
            <w:pPr>
              <w:autoSpaceDE w:val="0"/>
              <w:autoSpaceDN w:val="0"/>
              <w:spacing w:line="360" w:lineRule="auto"/>
              <w:ind w:left="50" w:right="50" w:firstLine="1200" w:firstLineChars="500"/>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kern w:val="0"/>
                <w:sz w:val="24"/>
              </w:rPr>
              <w:t>Leq——噪声源叠加后的值</w:t>
            </w:r>
          </w:p>
          <w:p w14:paraId="0DE63446">
            <w:pPr>
              <w:ind w:left="105" w:leftChars="50" w:right="105" w:rightChars="50"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根据上述公式计算后的主要噪声源经距离衰减后噪声值见下表。</w:t>
            </w:r>
          </w:p>
          <w:p w14:paraId="23C511ED">
            <w:pPr>
              <w:adjustRightInd w:val="0"/>
              <w:snapToGrid w:val="0"/>
              <w:spacing w:before="156" w:beforeLines="5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表7-1  距声源不同距离出的噪声值  单位：dB（A）</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6"/>
              <w:gridCol w:w="1498"/>
              <w:gridCol w:w="1045"/>
              <w:gridCol w:w="1042"/>
              <w:gridCol w:w="1045"/>
              <w:gridCol w:w="994"/>
              <w:gridCol w:w="973"/>
              <w:gridCol w:w="1023"/>
            </w:tblGrid>
            <w:tr w14:paraId="07D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013" w:type="pct"/>
                  <w:vAlign w:val="center"/>
                </w:tcPr>
                <w:p w14:paraId="649E2288">
                  <w:pPr>
                    <w:jc w:val="center"/>
                    <w:rPr>
                      <w:rFonts w:ascii="Times New Roman" w:hAnsi="Times New Roman" w:eastAsia="宋体" w:cs="Times New Roman"/>
                      <w:b/>
                      <w:bCs/>
                      <w:color w:val="000000" w:themeColor="text1"/>
                      <w:szCs w:val="21"/>
                    </w:rPr>
                  </w:pPr>
                  <w:r>
                    <w:rPr>
                      <w:rFonts w:ascii="Times New Roman" w:hAnsi="Times New Roman" w:eastAsia="宋体" w:cs="Times New Roman"/>
                      <w:b/>
                      <w:bCs/>
                      <w:color w:val="000000" w:themeColor="text1"/>
                      <w:szCs w:val="21"/>
                    </w:rPr>
                    <w:t>设备名称</w:t>
                  </w:r>
                </w:p>
              </w:tc>
              <w:tc>
                <w:tcPr>
                  <w:tcW w:w="784" w:type="pct"/>
                  <w:vAlign w:val="center"/>
                </w:tcPr>
                <w:p w14:paraId="54516E0A">
                  <w:pPr>
                    <w:jc w:val="center"/>
                    <w:rPr>
                      <w:rFonts w:ascii="Times New Roman" w:hAnsi="Times New Roman" w:eastAsia="宋体" w:cs="Times New Roman"/>
                      <w:b/>
                      <w:bCs/>
                      <w:color w:val="000000" w:themeColor="text1"/>
                      <w:szCs w:val="21"/>
                    </w:rPr>
                  </w:pPr>
                  <w:r>
                    <w:rPr>
                      <w:rFonts w:ascii="Times New Roman" w:hAnsi="Times New Roman" w:eastAsia="宋体" w:cs="Times New Roman"/>
                      <w:bCs/>
                      <w:color w:val="000000" w:themeColor="text1"/>
                      <w:szCs w:val="21"/>
                    </w:rPr>
                    <w:t>1m</w:t>
                  </w:r>
                </w:p>
              </w:tc>
              <w:tc>
                <w:tcPr>
                  <w:tcW w:w="547" w:type="pct"/>
                  <w:vAlign w:val="center"/>
                </w:tcPr>
                <w:p w14:paraId="44D13AB0">
                  <w:pPr>
                    <w:jc w:val="center"/>
                    <w:rPr>
                      <w:rFonts w:ascii="Times New Roman" w:hAnsi="Times New Roman" w:eastAsia="宋体" w:cs="Times New Roman"/>
                      <w:b/>
                      <w:bCs/>
                      <w:color w:val="000000" w:themeColor="text1"/>
                      <w:szCs w:val="21"/>
                    </w:rPr>
                  </w:pPr>
                  <w:r>
                    <w:rPr>
                      <w:rFonts w:ascii="Times New Roman" w:hAnsi="Times New Roman" w:eastAsia="宋体" w:cs="Times New Roman"/>
                      <w:bCs/>
                      <w:color w:val="000000" w:themeColor="text1"/>
                      <w:szCs w:val="21"/>
                    </w:rPr>
                    <w:t>10m</w:t>
                  </w:r>
                </w:p>
              </w:tc>
              <w:tc>
                <w:tcPr>
                  <w:tcW w:w="545" w:type="pct"/>
                  <w:vAlign w:val="center"/>
                </w:tcPr>
                <w:p w14:paraId="753DE92B">
                  <w:pPr>
                    <w:jc w:val="center"/>
                    <w:rPr>
                      <w:rFonts w:ascii="Times New Roman" w:hAnsi="Times New Roman" w:eastAsia="宋体" w:cs="Times New Roman"/>
                      <w:b/>
                      <w:bCs/>
                      <w:color w:val="000000" w:themeColor="text1"/>
                      <w:szCs w:val="21"/>
                    </w:rPr>
                  </w:pPr>
                  <w:r>
                    <w:rPr>
                      <w:rFonts w:ascii="Times New Roman" w:hAnsi="Times New Roman" w:eastAsia="宋体" w:cs="Times New Roman"/>
                      <w:bCs/>
                      <w:color w:val="000000" w:themeColor="text1"/>
                      <w:szCs w:val="21"/>
                    </w:rPr>
                    <w:t>20m</w:t>
                  </w:r>
                </w:p>
              </w:tc>
              <w:tc>
                <w:tcPr>
                  <w:tcW w:w="547" w:type="pct"/>
                  <w:vAlign w:val="center"/>
                </w:tcPr>
                <w:p w14:paraId="0D4456E9">
                  <w:pPr>
                    <w:jc w:val="center"/>
                    <w:rPr>
                      <w:rFonts w:ascii="Times New Roman" w:hAnsi="Times New Roman" w:eastAsia="宋体" w:cs="Times New Roman"/>
                      <w:b/>
                      <w:bCs/>
                      <w:color w:val="000000" w:themeColor="text1"/>
                      <w:szCs w:val="21"/>
                    </w:rPr>
                  </w:pPr>
                  <w:r>
                    <w:rPr>
                      <w:rFonts w:ascii="Times New Roman" w:hAnsi="Times New Roman" w:eastAsia="宋体" w:cs="Times New Roman"/>
                      <w:bCs/>
                      <w:color w:val="000000" w:themeColor="text1"/>
                      <w:szCs w:val="21"/>
                    </w:rPr>
                    <w:t>30m</w:t>
                  </w:r>
                </w:p>
              </w:tc>
              <w:tc>
                <w:tcPr>
                  <w:tcW w:w="520" w:type="pct"/>
                  <w:vAlign w:val="center"/>
                </w:tcPr>
                <w:p w14:paraId="78A917C9">
                  <w:pPr>
                    <w:jc w:val="center"/>
                    <w:rPr>
                      <w:rFonts w:ascii="Times New Roman" w:hAnsi="Times New Roman" w:eastAsia="宋体" w:cs="Times New Roman"/>
                      <w:b/>
                      <w:bCs/>
                      <w:color w:val="000000" w:themeColor="text1"/>
                      <w:szCs w:val="21"/>
                    </w:rPr>
                  </w:pPr>
                  <w:r>
                    <w:rPr>
                      <w:rFonts w:ascii="Times New Roman" w:hAnsi="Times New Roman" w:eastAsia="宋体" w:cs="Times New Roman"/>
                      <w:bCs/>
                      <w:color w:val="000000" w:themeColor="text1"/>
                      <w:szCs w:val="21"/>
                    </w:rPr>
                    <w:t>50m</w:t>
                  </w:r>
                </w:p>
              </w:tc>
              <w:tc>
                <w:tcPr>
                  <w:tcW w:w="509" w:type="pct"/>
                  <w:vAlign w:val="center"/>
                </w:tcPr>
                <w:p w14:paraId="28EFD7CE">
                  <w:pPr>
                    <w:jc w:val="center"/>
                    <w:rPr>
                      <w:rFonts w:ascii="Times New Roman" w:hAnsi="Times New Roman" w:eastAsia="宋体" w:cs="Times New Roman"/>
                      <w:b/>
                      <w:bCs/>
                      <w:color w:val="000000" w:themeColor="text1"/>
                      <w:szCs w:val="21"/>
                    </w:rPr>
                  </w:pPr>
                  <w:r>
                    <w:rPr>
                      <w:rFonts w:ascii="Times New Roman" w:hAnsi="Times New Roman" w:eastAsia="宋体" w:cs="Times New Roman"/>
                      <w:bCs/>
                      <w:color w:val="000000" w:themeColor="text1"/>
                      <w:szCs w:val="21"/>
                    </w:rPr>
                    <w:t>100m</w:t>
                  </w:r>
                </w:p>
              </w:tc>
              <w:tc>
                <w:tcPr>
                  <w:tcW w:w="535" w:type="pct"/>
                  <w:vAlign w:val="center"/>
                </w:tcPr>
                <w:p w14:paraId="53D9C612">
                  <w:pPr>
                    <w:jc w:val="center"/>
                    <w:rPr>
                      <w:rFonts w:ascii="Times New Roman" w:hAnsi="Times New Roman" w:eastAsia="宋体" w:cs="Times New Roman"/>
                      <w:bCs/>
                      <w:color w:val="000000" w:themeColor="text1"/>
                      <w:szCs w:val="21"/>
                    </w:rPr>
                  </w:pPr>
                  <w:r>
                    <w:rPr>
                      <w:rFonts w:ascii="Times New Roman" w:hAnsi="Times New Roman" w:eastAsia="宋体" w:cs="Times New Roman"/>
                      <w:bCs/>
                      <w:color w:val="000000" w:themeColor="text1"/>
                      <w:szCs w:val="21"/>
                    </w:rPr>
                    <w:t>200m</w:t>
                  </w:r>
                </w:p>
              </w:tc>
            </w:tr>
            <w:tr w14:paraId="5DD8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527B107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振捣器</w:t>
                  </w:r>
                </w:p>
              </w:tc>
              <w:tc>
                <w:tcPr>
                  <w:tcW w:w="784" w:type="pct"/>
                  <w:vAlign w:val="center"/>
                </w:tcPr>
                <w:p w14:paraId="130A36E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90</w:t>
                  </w:r>
                </w:p>
              </w:tc>
              <w:tc>
                <w:tcPr>
                  <w:tcW w:w="547" w:type="pct"/>
                  <w:vAlign w:val="center"/>
                </w:tcPr>
                <w:p w14:paraId="4BED571E">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70</w:t>
                  </w:r>
                </w:p>
              </w:tc>
              <w:tc>
                <w:tcPr>
                  <w:tcW w:w="545" w:type="pct"/>
                  <w:vAlign w:val="center"/>
                </w:tcPr>
                <w:p w14:paraId="0BB5B715">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63.97</w:t>
                  </w:r>
                </w:p>
              </w:tc>
              <w:tc>
                <w:tcPr>
                  <w:tcW w:w="547" w:type="pct"/>
                  <w:vAlign w:val="center"/>
                </w:tcPr>
                <w:p w14:paraId="21305C17">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60.45</w:t>
                  </w:r>
                </w:p>
              </w:tc>
              <w:tc>
                <w:tcPr>
                  <w:tcW w:w="520" w:type="pct"/>
                  <w:vAlign w:val="center"/>
                </w:tcPr>
                <w:p w14:paraId="5F6ED92E">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56.02</w:t>
                  </w:r>
                </w:p>
              </w:tc>
              <w:tc>
                <w:tcPr>
                  <w:tcW w:w="509" w:type="pct"/>
                  <w:vAlign w:val="center"/>
                </w:tcPr>
                <w:p w14:paraId="0EB1C62F">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50</w:t>
                  </w:r>
                </w:p>
              </w:tc>
              <w:tc>
                <w:tcPr>
                  <w:tcW w:w="535" w:type="pct"/>
                  <w:vAlign w:val="center"/>
                </w:tcPr>
                <w:p w14:paraId="6C12B45B">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43.97</w:t>
                  </w:r>
                </w:p>
              </w:tc>
            </w:tr>
            <w:tr w14:paraId="66E5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4FB77303">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装载机</w:t>
                  </w:r>
                </w:p>
              </w:tc>
              <w:tc>
                <w:tcPr>
                  <w:tcW w:w="784" w:type="pct"/>
                  <w:vAlign w:val="center"/>
                </w:tcPr>
                <w:p w14:paraId="21BC398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92</w:t>
                  </w:r>
                </w:p>
              </w:tc>
              <w:tc>
                <w:tcPr>
                  <w:tcW w:w="547" w:type="pct"/>
                  <w:vAlign w:val="center"/>
                </w:tcPr>
                <w:p w14:paraId="5E0A7674">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72</w:t>
                  </w:r>
                </w:p>
              </w:tc>
              <w:tc>
                <w:tcPr>
                  <w:tcW w:w="545" w:type="pct"/>
                  <w:vAlign w:val="center"/>
                </w:tcPr>
                <w:p w14:paraId="6652B210">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65.97</w:t>
                  </w:r>
                </w:p>
              </w:tc>
              <w:tc>
                <w:tcPr>
                  <w:tcW w:w="547" w:type="pct"/>
                  <w:vAlign w:val="center"/>
                </w:tcPr>
                <w:p w14:paraId="69FFA4C7">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62.45</w:t>
                  </w:r>
                </w:p>
              </w:tc>
              <w:tc>
                <w:tcPr>
                  <w:tcW w:w="520" w:type="pct"/>
                  <w:vAlign w:val="center"/>
                </w:tcPr>
                <w:p w14:paraId="27002B5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58.60</w:t>
                  </w:r>
                </w:p>
              </w:tc>
              <w:tc>
                <w:tcPr>
                  <w:tcW w:w="509" w:type="pct"/>
                  <w:vAlign w:val="center"/>
                </w:tcPr>
                <w:p w14:paraId="241488E4">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52</w:t>
                  </w:r>
                </w:p>
              </w:tc>
              <w:tc>
                <w:tcPr>
                  <w:tcW w:w="535" w:type="pct"/>
                  <w:vAlign w:val="center"/>
                </w:tcPr>
                <w:p w14:paraId="444E679D">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45.97</w:t>
                  </w:r>
                </w:p>
              </w:tc>
            </w:tr>
            <w:tr w14:paraId="216D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0C13A41A">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切割机</w:t>
                  </w:r>
                </w:p>
              </w:tc>
              <w:tc>
                <w:tcPr>
                  <w:tcW w:w="784" w:type="pct"/>
                  <w:vAlign w:val="center"/>
                </w:tcPr>
                <w:p w14:paraId="3E8345D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90</w:t>
                  </w:r>
                </w:p>
              </w:tc>
              <w:tc>
                <w:tcPr>
                  <w:tcW w:w="547" w:type="pct"/>
                  <w:vAlign w:val="center"/>
                </w:tcPr>
                <w:p w14:paraId="1293E05C">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70</w:t>
                  </w:r>
                </w:p>
              </w:tc>
              <w:tc>
                <w:tcPr>
                  <w:tcW w:w="545" w:type="pct"/>
                  <w:vAlign w:val="center"/>
                </w:tcPr>
                <w:p w14:paraId="204E2113">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63.97</w:t>
                  </w:r>
                </w:p>
              </w:tc>
              <w:tc>
                <w:tcPr>
                  <w:tcW w:w="547" w:type="pct"/>
                  <w:vAlign w:val="center"/>
                </w:tcPr>
                <w:p w14:paraId="747ECD9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60.45</w:t>
                  </w:r>
                </w:p>
              </w:tc>
              <w:tc>
                <w:tcPr>
                  <w:tcW w:w="520" w:type="pct"/>
                  <w:vAlign w:val="center"/>
                </w:tcPr>
                <w:p w14:paraId="64C2ABD2">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56.02</w:t>
                  </w:r>
                </w:p>
              </w:tc>
              <w:tc>
                <w:tcPr>
                  <w:tcW w:w="509" w:type="pct"/>
                  <w:vAlign w:val="center"/>
                </w:tcPr>
                <w:p w14:paraId="285DEB61">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50</w:t>
                  </w:r>
                </w:p>
              </w:tc>
              <w:tc>
                <w:tcPr>
                  <w:tcW w:w="535" w:type="pct"/>
                  <w:vAlign w:val="center"/>
                </w:tcPr>
                <w:p w14:paraId="2292CB44">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43.97</w:t>
                  </w:r>
                </w:p>
              </w:tc>
            </w:tr>
            <w:tr w14:paraId="7876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2E4293B0">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电焊机</w:t>
                  </w:r>
                </w:p>
              </w:tc>
              <w:tc>
                <w:tcPr>
                  <w:tcW w:w="784" w:type="pct"/>
                  <w:vAlign w:val="center"/>
                </w:tcPr>
                <w:p w14:paraId="0726846B">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85</w:t>
                  </w:r>
                </w:p>
              </w:tc>
              <w:tc>
                <w:tcPr>
                  <w:tcW w:w="547" w:type="pct"/>
                  <w:vAlign w:val="center"/>
                </w:tcPr>
                <w:p w14:paraId="6797E7B1">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65</w:t>
                  </w:r>
                </w:p>
              </w:tc>
              <w:tc>
                <w:tcPr>
                  <w:tcW w:w="545" w:type="pct"/>
                  <w:vAlign w:val="center"/>
                </w:tcPr>
                <w:p w14:paraId="3976B90B">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58.97</w:t>
                  </w:r>
                </w:p>
              </w:tc>
              <w:tc>
                <w:tcPr>
                  <w:tcW w:w="547" w:type="pct"/>
                  <w:vAlign w:val="center"/>
                </w:tcPr>
                <w:p w14:paraId="2AB2A2D5">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55.45</w:t>
                  </w:r>
                </w:p>
              </w:tc>
              <w:tc>
                <w:tcPr>
                  <w:tcW w:w="520" w:type="pct"/>
                  <w:vAlign w:val="center"/>
                </w:tcPr>
                <w:p w14:paraId="6C5B462A">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51.02</w:t>
                  </w:r>
                </w:p>
              </w:tc>
              <w:tc>
                <w:tcPr>
                  <w:tcW w:w="509" w:type="pct"/>
                  <w:vAlign w:val="center"/>
                </w:tcPr>
                <w:p w14:paraId="09F8BBCE">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45</w:t>
                  </w:r>
                </w:p>
              </w:tc>
              <w:tc>
                <w:tcPr>
                  <w:tcW w:w="535" w:type="pct"/>
                  <w:vAlign w:val="center"/>
                </w:tcPr>
                <w:p w14:paraId="34706D06">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38.97</w:t>
                  </w:r>
                </w:p>
              </w:tc>
            </w:tr>
            <w:tr w14:paraId="2B56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2BDCDEFC">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电钻</w:t>
                  </w:r>
                </w:p>
              </w:tc>
              <w:tc>
                <w:tcPr>
                  <w:tcW w:w="784" w:type="pct"/>
                  <w:vAlign w:val="center"/>
                </w:tcPr>
                <w:p w14:paraId="038478F6">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85</w:t>
                  </w:r>
                </w:p>
              </w:tc>
              <w:tc>
                <w:tcPr>
                  <w:tcW w:w="547" w:type="pct"/>
                  <w:vAlign w:val="center"/>
                </w:tcPr>
                <w:p w14:paraId="0E59CDAA">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65</w:t>
                  </w:r>
                </w:p>
              </w:tc>
              <w:tc>
                <w:tcPr>
                  <w:tcW w:w="545" w:type="pct"/>
                  <w:vAlign w:val="center"/>
                </w:tcPr>
                <w:p w14:paraId="5ACB9614">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58.97</w:t>
                  </w:r>
                </w:p>
              </w:tc>
              <w:tc>
                <w:tcPr>
                  <w:tcW w:w="547" w:type="pct"/>
                  <w:vAlign w:val="center"/>
                </w:tcPr>
                <w:p w14:paraId="760628DC">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55.45</w:t>
                  </w:r>
                </w:p>
              </w:tc>
              <w:tc>
                <w:tcPr>
                  <w:tcW w:w="520" w:type="pct"/>
                  <w:vAlign w:val="center"/>
                </w:tcPr>
                <w:p w14:paraId="42ED9F95">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51.02</w:t>
                  </w:r>
                </w:p>
              </w:tc>
              <w:tc>
                <w:tcPr>
                  <w:tcW w:w="509" w:type="pct"/>
                  <w:vAlign w:val="center"/>
                </w:tcPr>
                <w:p w14:paraId="05EB0F88">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45</w:t>
                  </w:r>
                </w:p>
              </w:tc>
              <w:tc>
                <w:tcPr>
                  <w:tcW w:w="535" w:type="pct"/>
                  <w:vAlign w:val="center"/>
                </w:tcPr>
                <w:p w14:paraId="15B00BD2">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38.97</w:t>
                  </w:r>
                </w:p>
              </w:tc>
            </w:tr>
            <w:tr w14:paraId="14BC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13" w:type="pct"/>
                  <w:vAlign w:val="center"/>
                </w:tcPr>
                <w:p w14:paraId="02104C64">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多声源叠加值</w:t>
                  </w:r>
                </w:p>
              </w:tc>
              <w:tc>
                <w:tcPr>
                  <w:tcW w:w="784" w:type="pct"/>
                  <w:vAlign w:val="center"/>
                </w:tcPr>
                <w:p w14:paraId="62E62FC6">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96.24</w:t>
                  </w:r>
                </w:p>
              </w:tc>
              <w:tc>
                <w:tcPr>
                  <w:tcW w:w="547" w:type="pct"/>
                  <w:vAlign w:val="center"/>
                </w:tcPr>
                <w:p w14:paraId="6605875E">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76.24</w:t>
                  </w:r>
                </w:p>
              </w:tc>
              <w:tc>
                <w:tcPr>
                  <w:tcW w:w="545" w:type="pct"/>
                  <w:vAlign w:val="center"/>
                </w:tcPr>
                <w:p w14:paraId="4C3B1F6A">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70.21</w:t>
                  </w:r>
                </w:p>
              </w:tc>
              <w:tc>
                <w:tcPr>
                  <w:tcW w:w="547" w:type="pct"/>
                  <w:vAlign w:val="center"/>
                </w:tcPr>
                <w:p w14:paraId="46124657">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66.69</w:t>
                  </w:r>
                </w:p>
              </w:tc>
              <w:tc>
                <w:tcPr>
                  <w:tcW w:w="520" w:type="pct"/>
                  <w:vAlign w:val="center"/>
                </w:tcPr>
                <w:p w14:paraId="7BFB1144">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62.49</w:t>
                  </w:r>
                </w:p>
              </w:tc>
              <w:tc>
                <w:tcPr>
                  <w:tcW w:w="509" w:type="pct"/>
                  <w:vAlign w:val="center"/>
                </w:tcPr>
                <w:p w14:paraId="10075B93">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56.24</w:t>
                  </w:r>
                </w:p>
              </w:tc>
              <w:tc>
                <w:tcPr>
                  <w:tcW w:w="535" w:type="pct"/>
                  <w:vAlign w:val="center"/>
                </w:tcPr>
                <w:p w14:paraId="3920C545">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50.21</w:t>
                  </w:r>
                </w:p>
              </w:tc>
            </w:tr>
          </w:tbl>
          <w:p w14:paraId="2CE47917">
            <w:pPr>
              <w:keepNext/>
              <w:keepLines/>
              <w:ind w:left="105" w:leftChars="50" w:right="105" w:rightChars="50"/>
              <w:jc w:val="left"/>
              <w:outlineLvl w:val="0"/>
              <w:rPr>
                <w:rFonts w:ascii="Times New Roman" w:hAnsi="Times New Roman" w:eastAsia="宋体" w:cs="Times New Roman"/>
                <w:b/>
                <w:bCs/>
                <w:color w:val="000000" w:themeColor="text1"/>
                <w:kern w:val="44"/>
                <w:sz w:val="24"/>
              </w:rPr>
            </w:pPr>
          </w:p>
          <w:p w14:paraId="4F7EA479">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（2）预测结果</w:t>
            </w:r>
          </w:p>
          <w:p w14:paraId="21D14C18">
            <w:pPr>
              <w:adjustRightInd w:val="0"/>
              <w:snapToGrid w:val="0"/>
              <w:spacing w:line="360" w:lineRule="auto"/>
              <w:ind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保护目标达标分析：</w:t>
            </w:r>
            <w:r>
              <w:rPr>
                <w:rFonts w:ascii="Times New Roman" w:hAnsi="Times New Roman" w:eastAsia="宋体" w:cs="Times New Roman"/>
                <w:color w:val="000000" w:themeColor="text1"/>
                <w:sz w:val="24"/>
              </w:rPr>
              <w:t xml:space="preserve">根据上述分析，100m外能满足GB3096-2008《声环境质量标准》2类区标准，项目区500m范围内无声环境敏感点。 </w:t>
            </w:r>
          </w:p>
          <w:p w14:paraId="1B4C5FDA">
            <w:pPr>
              <w:adjustRightInd w:val="0"/>
              <w:snapToGrid w:val="0"/>
              <w:spacing w:line="360" w:lineRule="auto"/>
              <w:ind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厂界达标分析：</w:t>
            </w:r>
            <w:r>
              <w:rPr>
                <w:rFonts w:ascii="Times New Roman" w:hAnsi="Times New Roman" w:eastAsia="宋体" w:cs="Times New Roman"/>
                <w:color w:val="000000" w:themeColor="text1"/>
                <w:sz w:val="24"/>
              </w:rPr>
              <w:t>10m外才能满足GB12523-2011《建筑施工场界环境噪声排放标准》标准。</w:t>
            </w:r>
          </w:p>
          <w:p w14:paraId="26219002">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（3）措施</w:t>
            </w:r>
          </w:p>
          <w:p w14:paraId="3DBC1FBE">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为进一步减小噪声对周围环境的影响及尽量满足厂界达标，</w:t>
            </w:r>
            <w:r>
              <w:rPr>
                <w:rFonts w:ascii="Times New Roman" w:hAnsi="Times New Roman" w:eastAsia="宋体" w:cs="Times New Roman"/>
                <w:color w:val="000000" w:themeColor="text1"/>
                <w:sz w:val="24"/>
                <w:szCs w:val="20"/>
              </w:rPr>
              <w:t>环评提出措施如下：</w:t>
            </w:r>
          </w:p>
          <w:p w14:paraId="44D87562">
            <w:pPr>
              <w:spacing w:line="360" w:lineRule="auto"/>
              <w:ind w:firstLine="480" w:firstLineChars="200"/>
              <w:rPr>
                <w:rFonts w:ascii="Times New Roman" w:hAnsi="Times New Roman" w:eastAsia="宋体" w:cs="Times New Roman"/>
                <w:color w:val="000000" w:themeColor="text1"/>
                <w:sz w:val="24"/>
                <w:szCs w:val="20"/>
              </w:rPr>
            </w:pPr>
            <w:r>
              <w:rPr>
                <w:rFonts w:hint="eastAsia" w:ascii="宋体" w:hAnsi="宋体" w:eastAsia="宋体" w:cs="宋体"/>
                <w:color w:val="000000" w:themeColor="text1"/>
                <w:sz w:val="24"/>
                <w:szCs w:val="20"/>
              </w:rPr>
              <w:t>①</w:t>
            </w:r>
            <w:r>
              <w:rPr>
                <w:rFonts w:ascii="Times New Roman" w:hAnsi="Times New Roman" w:eastAsia="宋体" w:cs="Times New Roman"/>
                <w:color w:val="000000" w:themeColor="text1"/>
                <w:sz w:val="24"/>
                <w:szCs w:val="20"/>
              </w:rPr>
              <w:t xml:space="preserve"> 从声源上控制：建议建设方采用低噪声机械设备，同时在施工过程中施工单位应设专人对设备进行定期保养和维护，并负责对现场工作人员进行培训，严格按操作规范使用各类机械。</w:t>
            </w:r>
          </w:p>
          <w:p w14:paraId="1C145971">
            <w:pPr>
              <w:spacing w:line="360" w:lineRule="auto"/>
              <w:ind w:firstLine="480" w:firstLineChars="200"/>
              <w:rPr>
                <w:rFonts w:ascii="Times New Roman" w:hAnsi="Times New Roman" w:eastAsia="宋体" w:cs="Times New Roman"/>
                <w:color w:val="000000" w:themeColor="text1"/>
                <w:sz w:val="24"/>
                <w:szCs w:val="20"/>
              </w:rPr>
            </w:pPr>
            <w:r>
              <w:rPr>
                <w:rFonts w:hint="eastAsia" w:ascii="宋体" w:hAnsi="宋体" w:eastAsia="宋体" w:cs="宋体"/>
                <w:color w:val="000000" w:themeColor="text1"/>
                <w:sz w:val="24"/>
                <w:szCs w:val="20"/>
              </w:rPr>
              <w:t>②</w:t>
            </w:r>
            <w:r>
              <w:rPr>
                <w:rFonts w:ascii="Times New Roman" w:hAnsi="Times New Roman" w:eastAsia="宋体" w:cs="Times New Roman"/>
                <w:color w:val="000000" w:themeColor="text1"/>
                <w:sz w:val="24"/>
                <w:szCs w:val="20"/>
              </w:rPr>
              <w:t>施工场地的施工车辆出入施工现场时应低速、禁止鸣笛。</w:t>
            </w:r>
          </w:p>
          <w:p w14:paraId="4E10AC59">
            <w:pPr>
              <w:spacing w:line="360" w:lineRule="auto"/>
              <w:ind w:firstLine="480" w:firstLineChars="200"/>
              <w:rPr>
                <w:rFonts w:ascii="Times New Roman" w:hAnsi="Times New Roman" w:eastAsia="宋体" w:cs="Times New Roman"/>
                <w:color w:val="000000" w:themeColor="text1"/>
                <w:sz w:val="24"/>
                <w:szCs w:val="20"/>
              </w:rPr>
            </w:pPr>
            <w:r>
              <w:rPr>
                <w:rFonts w:ascii="Times New Roman" w:hAnsi="Times New Roman" w:eastAsia="宋体" w:cs="Times New Roman"/>
                <w:color w:val="000000" w:themeColor="text1"/>
                <w:sz w:val="24"/>
                <w:szCs w:val="20"/>
              </w:rPr>
              <w:t>施工期结束后，相应的噪声污染即随之消失，不会对周围环境产生长期不良影响。</w:t>
            </w:r>
          </w:p>
          <w:p w14:paraId="0D48EAD2">
            <w:pPr>
              <w:spacing w:before="62" w:beforeLines="20" w:after="46" w:afterLines="15"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4、固体废物对环境的影响分析</w:t>
            </w:r>
          </w:p>
          <w:p w14:paraId="7DCA729B">
            <w:pPr>
              <w:autoSpaceDE w:val="0"/>
              <w:autoSpaceDN w:val="0"/>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（1）建筑垃圾对环境的影响分析</w:t>
            </w:r>
          </w:p>
          <w:p w14:paraId="082CA179">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项目施工期约为2个星期，根据过程分析，本项目施工时产生的</w:t>
            </w:r>
            <w:r>
              <w:rPr>
                <w:rFonts w:hint="eastAsia" w:ascii="Times New Roman" w:hAnsi="Times New Roman" w:eastAsia="宋体" w:cs="Times New Roman"/>
                <w:color w:val="000000" w:themeColor="text1"/>
                <w:sz w:val="24"/>
              </w:rPr>
              <w:t>土方和</w:t>
            </w:r>
            <w:r>
              <w:rPr>
                <w:rFonts w:ascii="Times New Roman" w:hAnsi="Times New Roman" w:eastAsia="宋体" w:cs="Times New Roman"/>
                <w:color w:val="000000" w:themeColor="text1"/>
                <w:sz w:val="24"/>
              </w:rPr>
              <w:t>建筑垃圾量为</w:t>
            </w:r>
            <w:r>
              <w:rPr>
                <w:rFonts w:hint="eastAsia" w:ascii="Times New Roman" w:hAnsi="Times New Roman" w:eastAsia="宋体" w:cs="Times New Roman"/>
                <w:color w:val="000000" w:themeColor="text1"/>
                <w:sz w:val="24"/>
              </w:rPr>
              <w:t>24</w:t>
            </w:r>
            <w:r>
              <w:rPr>
                <w:rFonts w:ascii="Times New Roman" w:hAnsi="Times New Roman" w:eastAsia="宋体" w:cs="Times New Roman"/>
                <w:color w:val="000000" w:themeColor="text1"/>
                <w:sz w:val="24"/>
              </w:rPr>
              <w:t>t，</w:t>
            </w:r>
            <w:r>
              <w:rPr>
                <w:rFonts w:hint="eastAsia" w:ascii="Times New Roman" w:hAnsi="Times New Roman" w:eastAsia="宋体" w:cs="Times New Roman"/>
                <w:color w:val="000000" w:themeColor="text1"/>
                <w:sz w:val="24"/>
              </w:rPr>
              <w:t>其中土方就地回填，其余少部分</w:t>
            </w:r>
            <w:r>
              <w:rPr>
                <w:rFonts w:ascii="Times New Roman" w:hAnsi="Times New Roman" w:eastAsia="宋体" w:cs="Times New Roman"/>
                <w:color w:val="000000" w:themeColor="text1"/>
                <w:sz w:val="24"/>
              </w:rPr>
              <w:t>建筑垃圾通过分类集中堆存，其中可再生利用部分回收利用，不能利用的由施工单位及时清运到住建部门制定堆放点，禁止与生活垃圾混合处置，禁止随意丢弃。在严格采取上述处置措施后，对环境的影响较小。</w:t>
            </w:r>
          </w:p>
          <w:p w14:paraId="641D852D">
            <w:pPr>
              <w:autoSpaceDE w:val="0"/>
              <w:autoSpaceDN w:val="0"/>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（2）生活垃圾对环境的影响分析</w:t>
            </w:r>
          </w:p>
          <w:p w14:paraId="7FE857B6">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施工人员不在项目区食宿，产生的生活垃圾很少。项目区每天的最大施工人员约为10人，施工期产生的生活垃圾量为0.078t。施工期生活垃圾收集由施工单位运至</w:t>
            </w:r>
            <w:r>
              <w:rPr>
                <w:rFonts w:ascii="Times New Roman" w:hAnsi="Times New Roman" w:eastAsia="宋体" w:cs="Times New Roman"/>
                <w:bCs/>
                <w:color w:val="000000" w:themeColor="text1"/>
                <w:sz w:val="24"/>
              </w:rPr>
              <w:t>当连村</w:t>
            </w:r>
            <w:r>
              <w:rPr>
                <w:rFonts w:ascii="Times New Roman" w:hAnsi="Times New Roman" w:eastAsia="宋体" w:cs="Times New Roman"/>
                <w:color w:val="000000" w:themeColor="text1"/>
                <w:sz w:val="24"/>
              </w:rPr>
              <w:t>垃圾收集点处置，对环境影响较小。</w:t>
            </w:r>
          </w:p>
          <w:p w14:paraId="068710C2">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五、运营期对环境的影响分析</w:t>
            </w:r>
          </w:p>
          <w:p w14:paraId="5FEE005D">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1、环境空气影响</w:t>
            </w:r>
          </w:p>
          <w:p w14:paraId="23A9AFFB">
            <w:pPr>
              <w:keepNext/>
              <w:keepLines/>
              <w:spacing w:line="360" w:lineRule="auto"/>
              <w:ind w:firstLine="480"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color w:val="000000" w:themeColor="text1"/>
                <w:sz w:val="24"/>
              </w:rPr>
              <w:t>本项目</w:t>
            </w:r>
            <w:r>
              <w:rPr>
                <w:rFonts w:ascii="Times New Roman" w:hAnsi="Times New Roman" w:cs="Times New Roman"/>
                <w:color w:val="000000" w:themeColor="text1"/>
                <w:sz w:val="24"/>
              </w:rPr>
              <w:t>由于采用湿式破碎，因此基本无粉尘产生，</w:t>
            </w:r>
            <w:r>
              <w:rPr>
                <w:rFonts w:ascii="Times New Roman" w:hAnsi="Times New Roman" w:eastAsia="宋体" w:cs="Times New Roman"/>
                <w:color w:val="000000" w:themeColor="text1"/>
                <w:sz w:val="24"/>
              </w:rPr>
              <w:t>废气主要为食堂油烟。</w:t>
            </w:r>
          </w:p>
          <w:p w14:paraId="12F8581C">
            <w:pPr>
              <w:autoSpaceDE w:val="0"/>
              <w:autoSpaceDN w:val="0"/>
              <w:adjustRightIn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（1）食堂油烟环境影响分析</w:t>
            </w:r>
          </w:p>
          <w:p w14:paraId="40079A69">
            <w:pPr>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项目区有食堂，每天提供三餐，规模属于小型，根据表五核算，本项目食堂产生油烟量约为0.0</w:t>
            </w:r>
            <w:r>
              <w:rPr>
                <w:rFonts w:hint="eastAsia" w:ascii="Times New Roman" w:hAnsi="Times New Roman" w:eastAsia="宋体" w:cs="Times New Roman"/>
                <w:color w:val="000000" w:themeColor="text1"/>
                <w:sz w:val="24"/>
              </w:rPr>
              <w:t>7</w:t>
            </w:r>
            <w:r>
              <w:rPr>
                <w:rFonts w:ascii="Times New Roman" w:hAnsi="Times New Roman" w:eastAsia="宋体" w:cs="Times New Roman"/>
                <w:color w:val="000000" w:themeColor="text1"/>
                <w:sz w:val="24"/>
              </w:rPr>
              <w:t>kg/d，0.</w:t>
            </w:r>
            <w:r>
              <w:rPr>
                <w:rFonts w:hint="eastAsia" w:ascii="Times New Roman" w:hAnsi="Times New Roman" w:eastAsia="宋体" w:cs="Times New Roman"/>
                <w:color w:val="000000" w:themeColor="text1"/>
                <w:sz w:val="24"/>
              </w:rPr>
              <w:t>14</w:t>
            </w:r>
            <w:r>
              <w:rPr>
                <w:rFonts w:ascii="Times New Roman" w:hAnsi="Times New Roman" w:eastAsia="宋体" w:cs="Times New Roman"/>
                <w:color w:val="000000" w:themeColor="text1"/>
                <w:sz w:val="24"/>
              </w:rPr>
              <w:t>t/a，高峰时段以6小时计，油烟产生量约为0.00</w:t>
            </w:r>
            <w:r>
              <w:rPr>
                <w:rFonts w:hint="eastAsia" w:ascii="Times New Roman" w:hAnsi="Times New Roman" w:eastAsia="宋体" w:cs="Times New Roman"/>
                <w:color w:val="000000" w:themeColor="text1"/>
                <w:sz w:val="24"/>
              </w:rPr>
              <w:t>1</w:t>
            </w:r>
            <w:r>
              <w:rPr>
                <w:rFonts w:ascii="Times New Roman" w:hAnsi="Times New Roman" w:eastAsia="宋体" w:cs="Times New Roman"/>
                <w:color w:val="000000" w:themeColor="text1"/>
                <w:sz w:val="24"/>
              </w:rPr>
              <w:t>kg/h</w:t>
            </w:r>
            <w:r>
              <w:rPr>
                <w:rFonts w:hint="eastAsia" w:ascii="Times New Roman" w:hAnsi="Times New Roman" w:eastAsia="宋体" w:cs="Times New Roman"/>
                <w:color w:val="000000" w:themeColor="text1"/>
                <w:sz w:val="24"/>
              </w:rPr>
              <w:t>，产生量较少，最近居民区为北侧1260m的当连村，</w:t>
            </w:r>
            <w:r>
              <w:rPr>
                <w:rFonts w:ascii="Times New Roman" w:hAnsi="Times New Roman" w:eastAsia="宋体" w:cs="Times New Roman"/>
                <w:color w:val="000000" w:themeColor="text1"/>
                <w:sz w:val="24"/>
              </w:rPr>
              <w:t>对周围环境影响较小。</w:t>
            </w:r>
          </w:p>
          <w:p w14:paraId="12D1C5B4">
            <w:pPr>
              <w:adjustRightInd w:val="0"/>
              <w:snapToGrid w:val="0"/>
              <w:spacing w:line="360" w:lineRule="auto"/>
              <w:ind w:firstLine="361" w:firstLineChars="150"/>
              <w:rPr>
                <w:rFonts w:ascii="Times New Roman" w:hAnsi="Times New Roman" w:eastAsia="宋体" w:cs="Times New Roman"/>
                <w:b/>
                <w:color w:val="000000" w:themeColor="text1"/>
                <w:sz w:val="24"/>
                <w:szCs w:val="20"/>
              </w:rPr>
            </w:pPr>
            <w:r>
              <w:rPr>
                <w:rFonts w:ascii="Times New Roman" w:hAnsi="Times New Roman" w:eastAsia="宋体" w:cs="Times New Roman"/>
                <w:b/>
                <w:color w:val="000000" w:themeColor="text1"/>
                <w:sz w:val="24"/>
                <w:szCs w:val="20"/>
              </w:rPr>
              <w:t>（2）</w:t>
            </w:r>
            <w:r>
              <w:rPr>
                <w:rFonts w:hint="eastAsia" w:ascii="Times New Roman" w:hAnsi="Times New Roman" w:eastAsia="宋体" w:cs="Times New Roman"/>
                <w:b/>
                <w:color w:val="000000" w:themeColor="text1"/>
                <w:sz w:val="24"/>
                <w:szCs w:val="20"/>
              </w:rPr>
              <w:t>生活垃圾</w:t>
            </w:r>
            <w:r>
              <w:rPr>
                <w:rFonts w:ascii="Times New Roman" w:hAnsi="Times New Roman" w:eastAsia="宋体" w:cs="Times New Roman"/>
                <w:b/>
                <w:color w:val="000000" w:themeColor="text1"/>
                <w:sz w:val="24"/>
                <w:szCs w:val="20"/>
              </w:rPr>
              <w:t>异味</w:t>
            </w:r>
          </w:p>
          <w:p w14:paraId="386989CD">
            <w:pPr>
              <w:adjustRightInd w:val="0"/>
              <w:snapToGrid w:val="0"/>
              <w:spacing w:line="360" w:lineRule="auto"/>
              <w:ind w:firstLine="480" w:firstLineChars="200"/>
              <w:rPr>
                <w:rFonts w:ascii="Times New Roman" w:hAnsi="Times New Roman" w:eastAsia="宋体" w:cs="Times New Roman"/>
                <w:color w:val="000000" w:themeColor="text1"/>
                <w:sz w:val="24"/>
                <w:szCs w:val="20"/>
              </w:rPr>
            </w:pPr>
            <w:r>
              <w:rPr>
                <w:rFonts w:ascii="Times New Roman" w:hAnsi="Times New Roman" w:eastAsia="宋体" w:cs="Times New Roman"/>
                <w:color w:val="000000" w:themeColor="text1"/>
                <w:sz w:val="24"/>
                <w:szCs w:val="20"/>
              </w:rPr>
              <w:t>项目生活垃圾采用活动室垃圾桶收集，会产生一定异味</w:t>
            </w:r>
            <w:r>
              <w:rPr>
                <w:rFonts w:hint="eastAsia" w:ascii="Times New Roman" w:hAnsi="Times New Roman" w:eastAsia="宋体" w:cs="Times New Roman"/>
                <w:color w:val="000000" w:themeColor="text1"/>
                <w:sz w:val="24"/>
                <w:szCs w:val="20"/>
              </w:rPr>
              <w:t>，</w:t>
            </w:r>
            <w:r>
              <w:rPr>
                <w:rFonts w:ascii="Times New Roman" w:hAnsi="Times New Roman" w:cs="Times New Roman"/>
                <w:color w:val="000000" w:themeColor="text1"/>
                <w:sz w:val="24"/>
              </w:rPr>
              <w:t>通过</w:t>
            </w:r>
            <w:r>
              <w:rPr>
                <w:rFonts w:hint="eastAsia" w:ascii="Times New Roman" w:hAnsi="Times New Roman" w:cs="Times New Roman"/>
                <w:color w:val="000000" w:themeColor="text1"/>
                <w:sz w:val="24"/>
              </w:rPr>
              <w:t>垃圾日产日清</w:t>
            </w:r>
            <w:r>
              <w:rPr>
                <w:rFonts w:ascii="Times New Roman" w:hAnsi="Times New Roman" w:cs="Times New Roman"/>
                <w:color w:val="000000" w:themeColor="text1"/>
                <w:sz w:val="24"/>
              </w:rPr>
              <w:t>，来减少臭气的逸散，</w:t>
            </w:r>
            <w:r>
              <w:rPr>
                <w:rFonts w:ascii="Times New Roman" w:hAnsi="Times New Roman" w:eastAsia="宋体" w:cs="Times New Roman"/>
                <w:color w:val="000000" w:themeColor="text1"/>
                <w:sz w:val="24"/>
                <w:szCs w:val="20"/>
              </w:rPr>
              <w:t>厂区有大量绿化，且500m范围内无居民区，其异味对环境影响较小。</w:t>
            </w:r>
          </w:p>
          <w:p w14:paraId="35600263">
            <w:pPr>
              <w:adjustRightInd w:val="0"/>
              <w:snapToGrid w:val="0"/>
              <w:spacing w:line="360" w:lineRule="auto"/>
              <w:ind w:firstLine="482" w:firstLineChars="200"/>
              <w:jc w:val="left"/>
              <w:rPr>
                <w:rFonts w:ascii="Times New Roman" w:hAnsi="Times New Roman" w:eastAsia="宋体" w:cs="Times New Roman"/>
                <w:b/>
                <w:color w:val="000000" w:themeColor="text1"/>
                <w:sz w:val="24"/>
                <w:szCs w:val="20"/>
              </w:rPr>
            </w:pPr>
            <w:r>
              <w:rPr>
                <w:rFonts w:ascii="Times New Roman" w:hAnsi="Times New Roman" w:eastAsia="宋体" w:cs="Times New Roman"/>
                <w:b/>
                <w:color w:val="000000" w:themeColor="text1"/>
                <w:sz w:val="24"/>
                <w:szCs w:val="20"/>
              </w:rPr>
              <w:t>（3）汽车尾气</w:t>
            </w:r>
          </w:p>
          <w:p w14:paraId="113A21A4">
            <w:pPr>
              <w:adjustRightInd w:val="0"/>
              <w:snapToGrid w:val="0"/>
              <w:spacing w:line="360" w:lineRule="auto"/>
              <w:ind w:firstLine="480" w:firstLineChars="200"/>
              <w:jc w:val="left"/>
              <w:rPr>
                <w:rFonts w:ascii="Times New Roman" w:hAnsi="Times New Roman" w:eastAsia="宋体" w:cs="Times New Roman"/>
                <w:b/>
                <w:color w:val="000000" w:themeColor="text1"/>
                <w:sz w:val="24"/>
                <w:szCs w:val="20"/>
              </w:rPr>
            </w:pPr>
            <w:r>
              <w:rPr>
                <w:rFonts w:ascii="Times New Roman" w:hAnsi="Times New Roman" w:eastAsia="宋体" w:cs="Times New Roman"/>
                <w:color w:val="000000" w:themeColor="text1"/>
                <w:sz w:val="24"/>
                <w:szCs w:val="20"/>
              </w:rPr>
              <w:t>汽车排放的废气主要集中于地面停车位，在汽车的启动和停放过程中产生，废气中主要污染物为CO、HC、NO</w:t>
            </w:r>
            <w:r>
              <w:rPr>
                <w:rFonts w:ascii="Times New Roman" w:hAnsi="Times New Roman" w:eastAsia="宋体" w:cs="Times New Roman"/>
                <w:color w:val="000000" w:themeColor="text1"/>
                <w:sz w:val="24"/>
                <w:szCs w:val="20"/>
                <w:vertAlign w:val="subscript"/>
              </w:rPr>
              <w:t>x</w:t>
            </w:r>
            <w:r>
              <w:rPr>
                <w:rFonts w:ascii="Times New Roman" w:hAnsi="Times New Roman" w:eastAsia="宋体" w:cs="Times New Roman"/>
                <w:color w:val="000000" w:themeColor="text1"/>
                <w:sz w:val="24"/>
                <w:szCs w:val="20"/>
              </w:rPr>
              <w:t>等，区域扩散条件好，同时</w:t>
            </w:r>
            <w:r>
              <w:rPr>
                <w:rFonts w:ascii="Times New Roman" w:hAnsi="Times New Roman" w:eastAsia="宋体" w:cs="Times New Roman"/>
                <w:color w:val="000000" w:themeColor="text1"/>
                <w:kern w:val="0"/>
                <w:sz w:val="24"/>
                <w:szCs w:val="20"/>
              </w:rPr>
              <w:t>加强绿化，可有效缓解汽车废气对周围环境的影响。</w:t>
            </w:r>
          </w:p>
          <w:p w14:paraId="040CC69C">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2、废水对环境的影响分析</w:t>
            </w:r>
          </w:p>
          <w:p w14:paraId="1A4A9D7A">
            <w:pPr>
              <w:widowControl/>
              <w:spacing w:line="360" w:lineRule="auto"/>
              <w:ind w:firstLine="482" w:firstLineChars="200"/>
              <w:jc w:val="left"/>
              <w:rPr>
                <w:rFonts w:ascii="Times New Roman" w:hAnsi="Times New Roman" w:eastAsia="宋体" w:cs="Times New Roman"/>
                <w:b/>
                <w:color w:val="000000" w:themeColor="text1"/>
                <w:kern w:val="0"/>
                <w:sz w:val="24"/>
              </w:rPr>
            </w:pPr>
            <w:r>
              <w:rPr>
                <w:rFonts w:ascii="Times New Roman" w:hAnsi="Times New Roman" w:eastAsia="宋体" w:cs="Times New Roman"/>
                <w:b/>
                <w:color w:val="000000" w:themeColor="text1"/>
                <w:kern w:val="0"/>
                <w:sz w:val="24"/>
              </w:rPr>
              <w:t>（1）废水产排情况及处置措施</w:t>
            </w:r>
          </w:p>
          <w:p w14:paraId="0114923F">
            <w:pPr>
              <w:widowControl/>
              <w:spacing w:line="360" w:lineRule="auto"/>
              <w:ind w:firstLine="480" w:firstLineChars="200"/>
              <w:jc w:val="left"/>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kern w:val="0"/>
                <w:sz w:val="24"/>
              </w:rPr>
              <w:t>项目采用雨污分流的排水方式，雨水通过雨水收集系统收集后排入道路沟渠。</w:t>
            </w:r>
          </w:p>
          <w:p w14:paraId="0A716AC0">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生活废水：</w:t>
            </w:r>
            <w:r>
              <w:rPr>
                <w:rFonts w:ascii="Times New Roman" w:hAnsi="Times New Roman" w:eastAsia="宋体" w:cs="Times New Roman"/>
                <w:snapToGrid w:val="0"/>
                <w:color w:val="000000" w:themeColor="text1"/>
                <w:kern w:val="0"/>
                <w:sz w:val="24"/>
                <w:szCs w:val="20"/>
              </w:rPr>
              <w:t>本项目产生生活废水量为0.</w:t>
            </w:r>
            <w:r>
              <w:rPr>
                <w:rFonts w:hint="eastAsia" w:ascii="Times New Roman" w:hAnsi="Times New Roman" w:eastAsia="宋体" w:cs="Times New Roman"/>
                <w:snapToGrid w:val="0"/>
                <w:color w:val="000000" w:themeColor="text1"/>
                <w:kern w:val="0"/>
                <w:sz w:val="24"/>
                <w:szCs w:val="20"/>
              </w:rPr>
              <w:t>537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/d，0.0</w:t>
            </w:r>
            <w:r>
              <w:rPr>
                <w:rFonts w:hint="eastAsia" w:ascii="Times New Roman" w:hAnsi="Times New Roman" w:eastAsia="宋体" w:cs="Times New Roman"/>
                <w:snapToGrid w:val="0"/>
                <w:color w:val="000000" w:themeColor="text1"/>
                <w:kern w:val="0"/>
                <w:sz w:val="24"/>
                <w:szCs w:val="20"/>
              </w:rPr>
              <w:t>16</w:t>
            </w:r>
            <w:r>
              <w:rPr>
                <w:rFonts w:ascii="Times New Roman" w:hAnsi="Times New Roman" w:eastAsia="宋体" w:cs="Times New Roman"/>
                <w:snapToGrid w:val="0"/>
                <w:color w:val="000000" w:themeColor="text1"/>
                <w:kern w:val="0"/>
                <w:sz w:val="24"/>
                <w:szCs w:val="20"/>
              </w:rPr>
              <w:t>万m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/a</w:t>
            </w:r>
            <w:r>
              <w:rPr>
                <w:rFonts w:ascii="Times New Roman" w:hAnsi="Times New Roman" w:eastAsia="宋体" w:cs="Times New Roman"/>
                <w:bCs/>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生活污水经化粪池、隔油池处理后，定期委托周边村民清掏，用于农作物施肥。</w:t>
            </w:r>
          </w:p>
          <w:p w14:paraId="16BA4317">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生产废水：</w:t>
            </w:r>
            <w:r>
              <w:rPr>
                <w:rFonts w:ascii="Times New Roman" w:hAnsi="Times New Roman" w:eastAsia="宋体" w:cs="Times New Roman"/>
                <w:snapToGrid w:val="0"/>
                <w:color w:val="000000" w:themeColor="text1"/>
                <w:kern w:val="0"/>
                <w:sz w:val="24"/>
                <w:szCs w:val="20"/>
              </w:rPr>
              <w:t>本项目产生生产废水量为</w:t>
            </w:r>
            <w:r>
              <w:rPr>
                <w:rFonts w:hint="eastAsia" w:ascii="Times New Roman" w:hAnsi="Times New Roman" w:eastAsia="宋体" w:cs="Times New Roman"/>
                <w:snapToGrid w:val="0"/>
                <w:color w:val="000000" w:themeColor="text1"/>
                <w:kern w:val="0"/>
                <w:sz w:val="24"/>
                <w:szCs w:val="20"/>
              </w:rPr>
              <w:t>67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r>
              <w:rPr>
                <w:rFonts w:hint="eastAsia" w:ascii="Times New Roman" w:hAnsi="Times New Roman" w:eastAsia="宋体" w:cs="Times New Roman"/>
                <w:snapToGrid w:val="0"/>
                <w:color w:val="000000" w:themeColor="text1"/>
                <w:kern w:val="0"/>
                <w:sz w:val="24"/>
                <w:szCs w:val="20"/>
              </w:rPr>
              <w:t>2.01</w:t>
            </w:r>
            <w:r>
              <w:rPr>
                <w:rFonts w:ascii="Times New Roman" w:hAnsi="Times New Roman" w:eastAsia="宋体" w:cs="Times New Roman"/>
                <w:snapToGrid w:val="0"/>
                <w:color w:val="000000" w:themeColor="text1"/>
                <w:kern w:val="0"/>
                <w:sz w:val="24"/>
                <w:szCs w:val="20"/>
              </w:rPr>
              <w:t>万m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/a</w:t>
            </w:r>
            <w:r>
              <w:rPr>
                <w:rFonts w:ascii="Times New Roman" w:hAnsi="Times New Roman" w:eastAsia="宋体" w:cs="Times New Roman"/>
                <w:bCs/>
                <w:snapToGrid w:val="0"/>
                <w:color w:val="000000" w:themeColor="text1"/>
                <w:kern w:val="0"/>
                <w:sz w:val="24"/>
                <w:szCs w:val="20"/>
              </w:rPr>
              <w:t>，</w:t>
            </w:r>
            <w:r>
              <w:rPr>
                <w:rFonts w:ascii="Times New Roman" w:hAnsi="Times New Roman" w:eastAsia="宋体" w:cs="Times New Roman"/>
                <w:snapToGrid w:val="0"/>
                <w:color w:val="000000" w:themeColor="text1"/>
                <w:kern w:val="0"/>
                <w:sz w:val="24"/>
                <w:szCs w:val="20"/>
              </w:rPr>
              <w:t>经自建</w:t>
            </w:r>
            <w:r>
              <w:rPr>
                <w:rFonts w:hint="eastAsia" w:ascii="Times New Roman" w:hAnsi="Times New Roman" w:eastAsia="宋体" w:cs="Times New Roman"/>
                <w:snapToGrid w:val="0"/>
                <w:color w:val="000000" w:themeColor="text1"/>
                <w:kern w:val="0"/>
                <w:sz w:val="24"/>
                <w:szCs w:val="20"/>
              </w:rPr>
              <w:t>隔油池+沉淀池</w:t>
            </w:r>
            <w:r>
              <w:rPr>
                <w:rFonts w:ascii="Times New Roman" w:hAnsi="Times New Roman" w:eastAsia="宋体" w:cs="Times New Roman"/>
                <w:snapToGrid w:val="0"/>
                <w:color w:val="000000" w:themeColor="text1"/>
                <w:kern w:val="0"/>
                <w:sz w:val="24"/>
                <w:szCs w:val="20"/>
              </w:rPr>
              <w:t>处理后，回用于生产。</w:t>
            </w:r>
          </w:p>
          <w:p w14:paraId="4267AA3A">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（2）生活废水处理设施合理性分析及处置可行性分析</w:t>
            </w:r>
          </w:p>
          <w:p w14:paraId="5B2F985B">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①</w:t>
            </w:r>
            <w:r>
              <w:rPr>
                <w:rFonts w:ascii="Times New Roman" w:hAnsi="Times New Roman" w:eastAsia="宋体" w:cs="Times New Roman"/>
                <w:b/>
                <w:color w:val="000000" w:themeColor="text1"/>
                <w:sz w:val="24"/>
              </w:rPr>
              <w:t>隔油池设置合理性分析</w:t>
            </w:r>
          </w:p>
          <w:p w14:paraId="6231CED4">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根据上述废水处置措施，食堂废水量为0.</w:t>
            </w:r>
            <w:r>
              <w:rPr>
                <w:rFonts w:hint="eastAsia" w:ascii="Times New Roman" w:hAnsi="Times New Roman" w:eastAsia="宋体" w:cs="Times New Roman"/>
                <w:color w:val="000000" w:themeColor="text1"/>
                <w:sz w:val="24"/>
              </w:rPr>
              <w:t>24</w:t>
            </w:r>
            <w:r>
              <w:rPr>
                <w:rFonts w:ascii="Times New Roman" w:hAnsi="Times New Roman" w:eastAsia="宋体" w:cs="Times New Roman"/>
                <w:color w:val="000000" w:themeColor="text1"/>
                <w:sz w:val="24"/>
              </w:rPr>
              <w:t>m</w:t>
            </w:r>
            <w:r>
              <w:rPr>
                <w:rFonts w:ascii="Times New Roman" w:hAnsi="Times New Roman" w:eastAsia="宋体" w:cs="Times New Roman"/>
                <w:color w:val="000000" w:themeColor="text1"/>
                <w:sz w:val="24"/>
                <w:vertAlign w:val="superscript"/>
              </w:rPr>
              <w:t>3</w:t>
            </w:r>
            <w:r>
              <w:rPr>
                <w:rFonts w:ascii="Times New Roman" w:hAnsi="Times New Roman" w:eastAsia="宋体" w:cs="Times New Roman"/>
                <w:color w:val="000000" w:themeColor="text1"/>
                <w:sz w:val="24"/>
              </w:rPr>
              <w:t>/d；</w:t>
            </w:r>
          </w:p>
          <w:p w14:paraId="1961F3DC">
            <w:pPr>
              <w:widowControl/>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根据中华人民共和国国家环境保护标准HJ554-2010《饮食业环境保护技术规范》，隔油池设计符合下列规定：</w:t>
            </w:r>
          </w:p>
          <w:p w14:paraId="1811CB6F">
            <w:pPr>
              <w:widowControl/>
              <w:spacing w:line="360" w:lineRule="auto"/>
              <w:ind w:firstLine="480" w:firstLineChars="200"/>
              <w:jc w:val="left"/>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①</w:t>
            </w:r>
            <w:r>
              <w:rPr>
                <w:rFonts w:ascii="Times New Roman" w:hAnsi="Times New Roman" w:eastAsia="宋体" w:cs="Times New Roman"/>
                <w:color w:val="000000" w:themeColor="text1"/>
                <w:sz w:val="24"/>
              </w:rPr>
              <w:t>含油污水的水力停留时间不宜小于0.5h；</w:t>
            </w:r>
          </w:p>
          <w:p w14:paraId="0D275383">
            <w:pPr>
              <w:widowControl/>
              <w:spacing w:line="360" w:lineRule="auto"/>
              <w:ind w:firstLine="480" w:firstLineChars="200"/>
              <w:jc w:val="left"/>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②</w:t>
            </w:r>
            <w:r>
              <w:rPr>
                <w:rFonts w:ascii="Times New Roman" w:hAnsi="Times New Roman" w:eastAsia="宋体" w:cs="Times New Roman"/>
                <w:color w:val="000000" w:themeColor="text1"/>
                <w:sz w:val="24"/>
              </w:rPr>
              <w:t>池内水流流速不宜大于0.005m/s；</w:t>
            </w:r>
          </w:p>
          <w:p w14:paraId="70F0F991">
            <w:pPr>
              <w:widowControl/>
              <w:spacing w:line="360" w:lineRule="auto"/>
              <w:ind w:firstLine="480" w:firstLineChars="200"/>
              <w:jc w:val="left"/>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③</w:t>
            </w:r>
            <w:r>
              <w:rPr>
                <w:rFonts w:ascii="Times New Roman" w:hAnsi="Times New Roman" w:eastAsia="宋体" w:cs="Times New Roman"/>
                <w:color w:val="000000" w:themeColor="text1"/>
                <w:sz w:val="24"/>
              </w:rPr>
              <w:t>池内分格宜取两档三格；</w:t>
            </w:r>
          </w:p>
          <w:p w14:paraId="75980E22">
            <w:pPr>
              <w:widowControl/>
              <w:spacing w:line="360" w:lineRule="auto"/>
              <w:ind w:firstLine="480" w:firstLineChars="200"/>
              <w:jc w:val="left"/>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④</w:t>
            </w:r>
            <w:r>
              <w:rPr>
                <w:rFonts w:ascii="Times New Roman" w:hAnsi="Times New Roman" w:eastAsia="宋体" w:cs="Times New Roman"/>
                <w:color w:val="000000" w:themeColor="text1"/>
                <w:sz w:val="24"/>
              </w:rPr>
              <w:t>人工除油的隔油池内存油部分的容积不得小于该池有效容积的25％，隔油池出水管管底至池底的深度，不得小于0.6m。</w:t>
            </w:r>
          </w:p>
          <w:p w14:paraId="03818BEC">
            <w:pPr>
              <w:widowControl/>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本项目食堂废水按每日产生时间2小时计，含油污水在池内的停留时间均为30min，则食堂应设置不小于0.</w:t>
            </w:r>
            <w:r>
              <w:rPr>
                <w:rFonts w:hint="eastAsia" w:ascii="Times New Roman" w:hAnsi="Times New Roman" w:eastAsia="宋体" w:cs="Times New Roman"/>
                <w:color w:val="000000" w:themeColor="text1"/>
                <w:sz w:val="24"/>
              </w:rPr>
              <w:t>2</w:t>
            </w:r>
            <w:r>
              <w:rPr>
                <w:rFonts w:ascii="Times New Roman" w:hAnsi="Times New Roman" w:eastAsia="宋体" w:cs="Times New Roman"/>
                <w:color w:val="000000" w:themeColor="text1"/>
                <w:sz w:val="24"/>
              </w:rPr>
              <w:t>m</w:t>
            </w:r>
            <w:r>
              <w:rPr>
                <w:rFonts w:ascii="Times New Roman" w:hAnsi="Times New Roman" w:eastAsia="宋体" w:cs="Times New Roman"/>
                <w:color w:val="000000" w:themeColor="text1"/>
                <w:sz w:val="24"/>
                <w:vertAlign w:val="superscript"/>
              </w:rPr>
              <w:t>3</w:t>
            </w:r>
            <w:r>
              <w:rPr>
                <w:rFonts w:ascii="Times New Roman" w:hAnsi="Times New Roman" w:eastAsia="宋体" w:cs="Times New Roman"/>
                <w:color w:val="000000" w:themeColor="text1"/>
                <w:sz w:val="24"/>
              </w:rPr>
              <w:t>的隔油池。</w:t>
            </w:r>
          </w:p>
          <w:p w14:paraId="19480DDD">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②</w:t>
            </w:r>
            <w:r>
              <w:rPr>
                <w:rFonts w:ascii="Times New Roman" w:hAnsi="Times New Roman" w:eastAsia="宋体" w:cs="Times New Roman"/>
                <w:b/>
                <w:color w:val="000000" w:themeColor="text1"/>
                <w:sz w:val="24"/>
              </w:rPr>
              <w:t>化粪池容积合理性分析</w:t>
            </w:r>
          </w:p>
          <w:p w14:paraId="1828F062">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本项目生活废水量为</w:t>
            </w:r>
            <w:r>
              <w:rPr>
                <w:rFonts w:hint="eastAsia" w:ascii="Times New Roman" w:hAnsi="Times New Roman" w:eastAsia="宋体" w:cs="Times New Roman"/>
                <w:snapToGrid w:val="0"/>
                <w:color w:val="000000" w:themeColor="text1"/>
                <w:kern w:val="0"/>
                <w:sz w:val="24"/>
                <w:szCs w:val="20"/>
              </w:rPr>
              <w:t>0.537</w:t>
            </w:r>
            <w:r>
              <w:rPr>
                <w:rFonts w:ascii="Times New Roman" w:hAnsi="Times New Roman" w:eastAsia="宋体" w:cs="Times New Roman"/>
                <w:color w:val="000000" w:themeColor="text1"/>
                <w:sz w:val="24"/>
              </w:rPr>
              <w:t>m</w:t>
            </w:r>
            <w:r>
              <w:rPr>
                <w:rFonts w:ascii="Times New Roman" w:hAnsi="Times New Roman" w:eastAsia="宋体" w:cs="Times New Roman"/>
                <w:color w:val="000000" w:themeColor="text1"/>
                <w:sz w:val="24"/>
                <w:vertAlign w:val="superscript"/>
              </w:rPr>
              <w:t>3</w:t>
            </w:r>
            <w:r>
              <w:rPr>
                <w:rFonts w:ascii="Times New Roman" w:hAnsi="Times New Roman" w:eastAsia="宋体" w:cs="Times New Roman"/>
                <w:color w:val="000000" w:themeColor="text1"/>
                <w:sz w:val="24"/>
              </w:rPr>
              <w:t>/d，满足1个月废水储存量，应设置不小于</w:t>
            </w:r>
            <w:r>
              <w:rPr>
                <w:rFonts w:hint="eastAsia" w:ascii="Times New Roman" w:hAnsi="Times New Roman" w:eastAsia="宋体" w:cs="Times New Roman"/>
                <w:color w:val="000000" w:themeColor="text1"/>
                <w:sz w:val="24"/>
              </w:rPr>
              <w:t>15</w:t>
            </w:r>
            <w:r>
              <w:rPr>
                <w:rFonts w:ascii="Times New Roman" w:hAnsi="Times New Roman" w:eastAsia="宋体" w:cs="Times New Roman"/>
                <w:color w:val="000000" w:themeColor="text1"/>
                <w:sz w:val="24"/>
              </w:rPr>
              <w:t>m</w:t>
            </w:r>
            <w:r>
              <w:rPr>
                <w:rFonts w:ascii="Times New Roman" w:hAnsi="Times New Roman" w:eastAsia="宋体" w:cs="Times New Roman"/>
                <w:color w:val="000000" w:themeColor="text1"/>
                <w:sz w:val="24"/>
                <w:vertAlign w:val="superscript"/>
              </w:rPr>
              <w:t>3</w:t>
            </w:r>
            <w:r>
              <w:rPr>
                <w:rFonts w:ascii="Times New Roman" w:hAnsi="Times New Roman" w:eastAsia="宋体" w:cs="Times New Roman"/>
                <w:color w:val="000000" w:themeColor="text1"/>
                <w:sz w:val="24"/>
              </w:rPr>
              <w:t>的化粪池。定期委托周边村民清运，用于农作物施肥，是可行的。</w:t>
            </w:r>
          </w:p>
          <w:p w14:paraId="1C75FB7C">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（3）生产废水处理设施合理性分析及处置可行性分析</w:t>
            </w:r>
          </w:p>
          <w:p w14:paraId="633C305B">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①</w:t>
            </w:r>
            <w:r>
              <w:rPr>
                <w:rFonts w:ascii="Times New Roman" w:hAnsi="Times New Roman" w:eastAsia="宋体" w:cs="Times New Roman"/>
                <w:b/>
                <w:color w:val="000000" w:themeColor="text1"/>
                <w:sz w:val="24"/>
              </w:rPr>
              <w:t>生产废水治理措施及不外排可行性</w:t>
            </w:r>
          </w:p>
          <w:p w14:paraId="06F33C04">
            <w:pPr>
              <w:adjustRightInd w:val="0"/>
              <w:snapToGrid w:val="0"/>
              <w:spacing w:line="360" w:lineRule="auto"/>
              <w:ind w:firstLine="482" w:firstLineChars="200"/>
              <w:rPr>
                <w:rFonts w:ascii="Times New Roman" w:hAnsi="Times New Roman" w:cs="Times New Roman"/>
                <w:color w:val="000000" w:themeColor="text1"/>
                <w:kern w:val="0"/>
                <w:sz w:val="24"/>
              </w:rPr>
            </w:pPr>
            <w:r>
              <w:rPr>
                <w:rFonts w:ascii="Times New Roman" w:hAnsi="Times New Roman" w:eastAsia="宋体" w:cs="Times New Roman"/>
                <w:b/>
                <w:color w:val="000000" w:themeColor="text1"/>
                <w:sz w:val="24"/>
              </w:rPr>
              <w:t>生产废水治理措施</w:t>
            </w:r>
            <w:r>
              <w:rPr>
                <w:rFonts w:hint="eastAsia" w:ascii="Times New Roman" w:hAnsi="Times New Roman" w:eastAsia="宋体" w:cs="Times New Roman"/>
                <w:b/>
                <w:color w:val="000000" w:themeColor="text1"/>
                <w:sz w:val="24"/>
              </w:rPr>
              <w:t>可行性分析：</w:t>
            </w:r>
            <w:r>
              <w:rPr>
                <w:rFonts w:ascii="Times New Roman" w:hAnsi="Times New Roman" w:eastAsia="宋体" w:cs="Times New Roman"/>
                <w:color w:val="000000" w:themeColor="text1"/>
                <w:sz w:val="24"/>
              </w:rPr>
              <w:t>本项目生产废水通过自建的</w:t>
            </w:r>
            <w:r>
              <w:rPr>
                <w:rFonts w:hint="eastAsia" w:ascii="Times New Roman" w:hAnsi="Times New Roman" w:eastAsia="宋体" w:cs="Times New Roman"/>
                <w:color w:val="000000" w:themeColor="text1"/>
                <w:sz w:val="24"/>
              </w:rPr>
              <w:t>隔油池+沉淀池</w:t>
            </w:r>
            <w:r>
              <w:rPr>
                <w:rFonts w:ascii="Times New Roman" w:hAnsi="Times New Roman" w:eastAsia="宋体" w:cs="Times New Roman"/>
                <w:color w:val="000000" w:themeColor="text1"/>
                <w:sz w:val="24"/>
              </w:rPr>
              <w:t>处理后，回用于生产</w:t>
            </w:r>
            <w:r>
              <w:rPr>
                <w:rFonts w:hint="eastAsia" w:ascii="Times New Roman" w:hAnsi="Times New Roman" w:eastAsia="宋体" w:cs="Times New Roman"/>
                <w:color w:val="000000" w:themeColor="text1"/>
                <w:sz w:val="24"/>
              </w:rPr>
              <w:t>，本项目</w:t>
            </w:r>
            <w:r>
              <w:rPr>
                <w:rFonts w:hint="eastAsia" w:ascii="Times New Roman" w:hAnsi="Times New Roman" w:cs="Times New Roman"/>
                <w:color w:val="000000" w:themeColor="text1"/>
                <w:kern w:val="0"/>
                <w:sz w:val="24"/>
              </w:rPr>
              <w:t>主要清洗对象为矿泉水瓶，少量油壶等，本项目只进行简单的清洗、破碎，主要污染物为SS等；</w:t>
            </w:r>
          </w:p>
          <w:p w14:paraId="0DE26E34">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hint="eastAsia" w:ascii="Times New Roman" w:hAnsi="Times New Roman" w:cs="Times New Roman"/>
                <w:color w:val="000000" w:themeColor="text1"/>
                <w:kern w:val="0"/>
                <w:sz w:val="24"/>
              </w:rPr>
              <w:t>同时本项目对水质要求不高，经隔油+沉淀处理后，回用于生产是可行的。</w:t>
            </w:r>
          </w:p>
          <w:p w14:paraId="4E188253">
            <w:pPr>
              <w:adjustRightInd w:val="0"/>
              <w:snapToGrid w:val="0"/>
              <w:spacing w:line="360" w:lineRule="auto"/>
              <w:ind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不外排可行性</w:t>
            </w:r>
            <w:r>
              <w:rPr>
                <w:rFonts w:hint="eastAsia" w:ascii="Times New Roman" w:hAnsi="Times New Roman" w:eastAsia="宋体" w:cs="Times New Roman"/>
                <w:b/>
                <w:color w:val="000000" w:themeColor="text1"/>
                <w:sz w:val="24"/>
              </w:rPr>
              <w:t>分析：</w:t>
            </w:r>
            <w:r>
              <w:rPr>
                <w:rFonts w:ascii="Times New Roman" w:hAnsi="Times New Roman" w:eastAsia="宋体" w:cs="Times New Roman"/>
                <w:snapToGrid w:val="0"/>
                <w:color w:val="000000" w:themeColor="text1"/>
                <w:kern w:val="0"/>
                <w:sz w:val="24"/>
                <w:szCs w:val="20"/>
              </w:rPr>
              <w:t>本项目废水产生量为</w:t>
            </w:r>
            <w:r>
              <w:rPr>
                <w:rFonts w:hint="eastAsia" w:ascii="Times New Roman" w:hAnsi="Times New Roman" w:eastAsia="宋体" w:cs="Times New Roman"/>
                <w:snapToGrid w:val="0"/>
                <w:color w:val="000000" w:themeColor="text1"/>
                <w:kern w:val="0"/>
                <w:sz w:val="24"/>
                <w:szCs w:val="20"/>
              </w:rPr>
              <w:t>67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r>
              <w:rPr>
                <w:rFonts w:ascii="Times New Roman" w:hAnsi="Times New Roman" w:eastAsia="宋体" w:cs="Times New Roman"/>
                <w:color w:val="000000" w:themeColor="text1"/>
                <w:sz w:val="24"/>
              </w:rPr>
              <w:t>本项目生产过程中清洗、破碎用水量为</w:t>
            </w:r>
            <w:r>
              <w:rPr>
                <w:rFonts w:hint="eastAsia" w:ascii="Times New Roman" w:hAnsi="Times New Roman" w:eastAsia="宋体" w:cs="Times New Roman"/>
                <w:color w:val="000000" w:themeColor="text1"/>
                <w:sz w:val="24"/>
              </w:rPr>
              <w:t>90</w:t>
            </w:r>
            <w:r>
              <w:rPr>
                <w:rFonts w:ascii="Times New Roman" w:hAnsi="Times New Roman" w:eastAsia="宋体" w:cs="Times New Roman"/>
                <w:snapToGrid w:val="0"/>
                <w:color w:val="000000" w:themeColor="text1"/>
                <w:kern w:val="0"/>
                <w:sz w:val="24"/>
                <w:szCs w:val="20"/>
              </w:rPr>
              <w:t xml:space="preserve"> 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/d，因此，经处理达标后，能全部回用至生产过程中，不外排。</w:t>
            </w:r>
          </w:p>
          <w:p w14:paraId="7CA71B72">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②隔油池、</w:t>
            </w:r>
            <w:r>
              <w:rPr>
                <w:rFonts w:hint="eastAsia" w:ascii="Times New Roman" w:hAnsi="Times New Roman" w:eastAsia="宋体" w:cs="Times New Roman"/>
                <w:b/>
                <w:color w:val="000000" w:themeColor="text1"/>
                <w:sz w:val="24"/>
              </w:rPr>
              <w:t>沉淀池</w:t>
            </w:r>
            <w:r>
              <w:rPr>
                <w:rFonts w:ascii="Times New Roman" w:hAnsi="Times New Roman" w:eastAsia="宋体" w:cs="Times New Roman"/>
                <w:b/>
                <w:color w:val="000000" w:themeColor="text1"/>
                <w:sz w:val="24"/>
              </w:rPr>
              <w:t>规模</w:t>
            </w:r>
          </w:p>
          <w:p w14:paraId="0996D39F">
            <w:pPr>
              <w:adjustRightInd w:val="0"/>
              <w:snapToGrid w:val="0"/>
              <w:spacing w:line="360" w:lineRule="auto"/>
              <w:ind w:firstLine="482" w:firstLineChars="200"/>
              <w:rPr>
                <w:rFonts w:ascii="Times New Roman" w:hAnsi="Times New Roman" w:eastAsia="宋体" w:cs="Times New Roman"/>
                <w:b/>
                <w:color w:val="000000" w:themeColor="text1"/>
                <w:sz w:val="24"/>
              </w:rPr>
            </w:pPr>
            <w:r>
              <w:rPr>
                <w:rFonts w:hint="eastAsia" w:ascii="Times New Roman" w:hAnsi="Times New Roman" w:eastAsia="宋体" w:cs="Times New Roman"/>
                <w:b/>
                <w:color w:val="000000" w:themeColor="text1"/>
                <w:sz w:val="24"/>
              </w:rPr>
              <w:t>A、隔油池处理规模</w:t>
            </w:r>
          </w:p>
          <w:p w14:paraId="4654ACEE">
            <w:pPr>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drawing>
                <wp:inline distT="0" distB="0" distL="0" distR="0">
                  <wp:extent cx="4318635" cy="2604770"/>
                  <wp:effectExtent l="0" t="0" r="5715" b="5080"/>
                  <wp:docPr id="2" name="图片 2" descr="QQ截图20131028143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截图201310281433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18635" cy="2604770"/>
                          </a:xfrm>
                          <a:prstGeom prst="rect">
                            <a:avLst/>
                          </a:prstGeom>
                          <a:noFill/>
                          <a:ln w="9525">
                            <a:noFill/>
                            <a:miter lim="800000"/>
                            <a:headEnd/>
                            <a:tailEnd/>
                          </a:ln>
                        </pic:spPr>
                      </pic:pic>
                    </a:graphicData>
                  </a:graphic>
                </wp:inline>
              </w:drawing>
            </w:r>
          </w:p>
          <w:p w14:paraId="125E2117">
            <w:pPr>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表7-1  项目隔油池示意图</w:t>
            </w:r>
          </w:p>
          <w:p w14:paraId="3A660E23">
            <w:pPr>
              <w:spacing w:line="360" w:lineRule="auto"/>
              <w:ind w:left="50" w:right="50" w:firstLine="482" w:firstLineChars="200"/>
              <w:rPr>
                <w:rFonts w:ascii="Times New Roman" w:hAnsi="Times New Roman" w:eastAsia="宋体" w:cs="Times New Roman"/>
                <w:color w:val="000000" w:themeColor="text1"/>
                <w:sz w:val="24"/>
              </w:rPr>
            </w:pPr>
            <w:r>
              <w:rPr>
                <w:rFonts w:ascii="Times New Roman" w:hAnsi="Times New Roman" w:eastAsia="宋体" w:cs="Times New Roman"/>
                <w:b/>
                <w:color w:val="000000" w:themeColor="text1"/>
                <w:sz w:val="24"/>
              </w:rPr>
              <w:t>隔油池原理：</w:t>
            </w:r>
            <w:r>
              <w:rPr>
                <w:rFonts w:ascii="Times New Roman" w:hAnsi="Times New Roman" w:eastAsia="宋体" w:cs="Times New Roman"/>
                <w:color w:val="000000" w:themeColor="text1"/>
                <w:sz w:val="24"/>
              </w:rPr>
              <w:t>水流沿进水区进入斜管沉淀墙，水中的颗粒悬浮物下沉到斜管下壁后滑落到进水区下部的集泥区，水中的油上浮进入集油区，后一级斜管沉淀墙主要是除油，水流沿斜管向下流的同时，水中的油会上浮，聚集到中间的集油区，最后经过沉淀除油的水进入项目区的隔油池。</w:t>
            </w:r>
          </w:p>
          <w:p w14:paraId="069B34B3">
            <w:pPr>
              <w:widowControl/>
              <w:spacing w:line="360" w:lineRule="auto"/>
              <w:ind w:firstLine="482" w:firstLineChars="200"/>
              <w:jc w:val="left"/>
              <w:rPr>
                <w:rFonts w:ascii="Times New Roman" w:hAnsi="Times New Roman" w:eastAsia="宋体" w:cs="Times New Roman"/>
                <w:color w:val="000000" w:themeColor="text1"/>
                <w:sz w:val="24"/>
              </w:rPr>
            </w:pPr>
            <w:r>
              <w:rPr>
                <w:rFonts w:hint="eastAsia" w:ascii="Times New Roman" w:hAnsi="Times New Roman" w:eastAsia="宋体" w:cs="Times New Roman"/>
                <w:b/>
                <w:color w:val="000000" w:themeColor="text1"/>
                <w:sz w:val="24"/>
              </w:rPr>
              <w:t>处理规模：</w:t>
            </w:r>
            <w:r>
              <w:rPr>
                <w:rFonts w:ascii="Times New Roman" w:hAnsi="Times New Roman" w:eastAsia="宋体" w:cs="Times New Roman"/>
                <w:color w:val="000000" w:themeColor="text1"/>
                <w:sz w:val="24"/>
              </w:rPr>
              <w:t>停留时间不宜小于0.5h</w:t>
            </w:r>
            <w:r>
              <w:rPr>
                <w:rFonts w:hint="eastAsia" w:ascii="Times New Roman" w:hAnsi="Times New Roman" w:eastAsia="宋体" w:cs="Times New Roman"/>
                <w:color w:val="000000" w:themeColor="text1"/>
                <w:sz w:val="24"/>
              </w:rPr>
              <w:t>，</w:t>
            </w:r>
            <w:r>
              <w:rPr>
                <w:rFonts w:ascii="Times New Roman" w:hAnsi="Times New Roman" w:eastAsia="宋体" w:cs="Times New Roman"/>
                <w:color w:val="000000" w:themeColor="text1"/>
                <w:sz w:val="24"/>
              </w:rPr>
              <w:t>本项目废水按每日产生时间</w:t>
            </w:r>
            <w:r>
              <w:rPr>
                <w:rFonts w:hint="eastAsia" w:ascii="Times New Roman" w:hAnsi="Times New Roman" w:eastAsia="宋体" w:cs="Times New Roman"/>
                <w:color w:val="000000" w:themeColor="text1"/>
                <w:sz w:val="24"/>
              </w:rPr>
              <w:t>16</w:t>
            </w:r>
            <w:r>
              <w:rPr>
                <w:rFonts w:ascii="Times New Roman" w:hAnsi="Times New Roman" w:eastAsia="宋体" w:cs="Times New Roman"/>
                <w:color w:val="000000" w:themeColor="text1"/>
                <w:sz w:val="24"/>
              </w:rPr>
              <w:t>小时计，</w:t>
            </w:r>
            <w:r>
              <w:rPr>
                <w:rFonts w:hint="eastAsia" w:ascii="Times New Roman" w:hAnsi="Times New Roman" w:eastAsia="宋体" w:cs="Times New Roman"/>
                <w:color w:val="000000" w:themeColor="text1"/>
                <w:sz w:val="24"/>
              </w:rPr>
              <w:t>则每小时废水量为4.18</w:t>
            </w:r>
            <w:r>
              <w:rPr>
                <w:rFonts w:ascii="Times New Roman" w:hAnsi="Times New Roman" w:eastAsia="宋体" w:cs="Times New Roman"/>
                <w:color w:val="000000" w:themeColor="text1"/>
                <w:sz w:val="24"/>
              </w:rPr>
              <w:t xml:space="preserve"> m</w:t>
            </w:r>
            <w:r>
              <w:rPr>
                <w:rFonts w:ascii="Times New Roman" w:hAnsi="Times New Roman" w:eastAsia="宋体" w:cs="Times New Roman"/>
                <w:color w:val="000000" w:themeColor="text1"/>
                <w:sz w:val="24"/>
                <w:vertAlign w:val="superscript"/>
              </w:rPr>
              <w:t>3</w:t>
            </w:r>
            <w:r>
              <w:rPr>
                <w:rFonts w:hint="eastAsia" w:ascii="Times New Roman" w:hAnsi="Times New Roman" w:eastAsia="宋体" w:cs="Times New Roman"/>
                <w:color w:val="000000" w:themeColor="text1"/>
                <w:sz w:val="24"/>
              </w:rPr>
              <w:t>/h，</w:t>
            </w:r>
            <w:r>
              <w:rPr>
                <w:rFonts w:ascii="Times New Roman" w:hAnsi="Times New Roman" w:eastAsia="宋体" w:cs="Times New Roman"/>
                <w:color w:val="000000" w:themeColor="text1"/>
                <w:sz w:val="24"/>
              </w:rPr>
              <w:t>污水在池内的停留时间均为30min，则应设置不小于</w:t>
            </w:r>
            <w:r>
              <w:rPr>
                <w:rFonts w:hint="eastAsia" w:ascii="Times New Roman" w:hAnsi="Times New Roman" w:eastAsia="宋体" w:cs="Times New Roman"/>
                <w:color w:val="000000" w:themeColor="text1"/>
                <w:sz w:val="24"/>
              </w:rPr>
              <w:t>2</w:t>
            </w:r>
            <w:r>
              <w:rPr>
                <w:rFonts w:ascii="Times New Roman" w:hAnsi="Times New Roman" w:eastAsia="宋体" w:cs="Times New Roman"/>
                <w:color w:val="000000" w:themeColor="text1"/>
                <w:sz w:val="24"/>
              </w:rPr>
              <w:t>m</w:t>
            </w:r>
            <w:r>
              <w:rPr>
                <w:rFonts w:ascii="Times New Roman" w:hAnsi="Times New Roman" w:eastAsia="宋体" w:cs="Times New Roman"/>
                <w:color w:val="000000" w:themeColor="text1"/>
                <w:sz w:val="24"/>
                <w:vertAlign w:val="superscript"/>
              </w:rPr>
              <w:t>3</w:t>
            </w:r>
            <w:r>
              <w:rPr>
                <w:rFonts w:ascii="Times New Roman" w:hAnsi="Times New Roman" w:eastAsia="宋体" w:cs="Times New Roman"/>
                <w:color w:val="000000" w:themeColor="text1"/>
                <w:sz w:val="24"/>
              </w:rPr>
              <w:t>的隔油池</w:t>
            </w:r>
            <w:r>
              <w:rPr>
                <w:rFonts w:hint="eastAsia" w:ascii="Times New Roman" w:hAnsi="Times New Roman" w:eastAsia="宋体" w:cs="Times New Roman"/>
                <w:color w:val="000000" w:themeColor="text1"/>
                <w:sz w:val="24"/>
              </w:rPr>
              <w:t>；</w:t>
            </w:r>
          </w:p>
          <w:p w14:paraId="3598F2DB">
            <w:pPr>
              <w:adjustRightInd w:val="0"/>
              <w:snapToGrid w:val="0"/>
              <w:spacing w:line="360" w:lineRule="auto"/>
              <w:ind w:firstLine="482" w:firstLineChars="200"/>
              <w:rPr>
                <w:rFonts w:ascii="Times New Roman" w:hAnsi="Times New Roman" w:eastAsia="宋体" w:cs="Times New Roman"/>
                <w:color w:val="000000" w:themeColor="text1"/>
                <w:sz w:val="24"/>
              </w:rPr>
            </w:pPr>
            <w:r>
              <w:rPr>
                <w:rFonts w:hint="eastAsia" w:ascii="Times New Roman" w:hAnsi="Times New Roman" w:eastAsia="宋体" w:cs="Times New Roman"/>
                <w:b/>
                <w:color w:val="000000" w:themeColor="text1"/>
                <w:sz w:val="24"/>
              </w:rPr>
              <w:t>B、三级沉淀池</w:t>
            </w:r>
            <w:r>
              <w:rPr>
                <w:rFonts w:ascii="Times New Roman" w:hAnsi="Times New Roman" w:eastAsia="宋体" w:cs="Times New Roman"/>
                <w:b/>
                <w:color w:val="000000" w:themeColor="text1"/>
                <w:sz w:val="24"/>
              </w:rPr>
              <w:t>规模：</w:t>
            </w:r>
            <w:r>
              <w:rPr>
                <w:rFonts w:ascii="Times New Roman" w:hAnsi="Times New Roman" w:eastAsia="宋体" w:cs="Times New Roman"/>
                <w:snapToGrid w:val="0"/>
                <w:color w:val="000000" w:themeColor="text1"/>
                <w:kern w:val="0"/>
                <w:sz w:val="24"/>
                <w:szCs w:val="20"/>
              </w:rPr>
              <w:t>本项目产生生产废水量为</w:t>
            </w:r>
            <w:r>
              <w:rPr>
                <w:rFonts w:hint="eastAsia" w:ascii="Times New Roman" w:hAnsi="Times New Roman" w:eastAsia="宋体" w:cs="Times New Roman"/>
                <w:snapToGrid w:val="0"/>
                <w:color w:val="000000" w:themeColor="text1"/>
                <w:kern w:val="0"/>
                <w:sz w:val="24"/>
                <w:szCs w:val="20"/>
              </w:rPr>
              <w:t>67</w:t>
            </w:r>
            <w:r>
              <w:rPr>
                <w:rFonts w:ascii="Times New Roman" w:hAnsi="Times New Roman" w:eastAsia="宋体" w:cs="Times New Roman"/>
                <w:snapToGrid w:val="0"/>
                <w:color w:val="000000" w:themeColor="text1"/>
                <w:kern w:val="0"/>
                <w:sz w:val="24"/>
                <w:szCs w:val="20"/>
              </w:rPr>
              <w:t>m</w:t>
            </w:r>
            <w:r>
              <w:rPr>
                <w:rFonts w:ascii="Times New Roman" w:hAnsi="Times New Roman" w:eastAsia="宋体" w:cs="Times New Roman"/>
                <w:snapToGrid w:val="0"/>
                <w:color w:val="000000" w:themeColor="text1"/>
                <w:kern w:val="0"/>
                <w:sz w:val="24"/>
                <w:szCs w:val="20"/>
                <w:vertAlign w:val="superscript"/>
              </w:rPr>
              <w:t>3</w:t>
            </w:r>
            <w:r>
              <w:rPr>
                <w:rFonts w:ascii="Times New Roman" w:hAnsi="Times New Roman" w:eastAsia="宋体" w:cs="Times New Roman"/>
                <w:snapToGrid w:val="0"/>
                <w:color w:val="000000" w:themeColor="text1"/>
                <w:kern w:val="0"/>
                <w:sz w:val="24"/>
                <w:szCs w:val="20"/>
              </w:rPr>
              <w:t>/d，</w:t>
            </w:r>
            <w:r>
              <w:rPr>
                <w:rFonts w:hint="eastAsia" w:ascii="Times New Roman" w:hAnsi="Times New Roman" w:eastAsia="宋体" w:cs="Times New Roman"/>
                <w:snapToGrid w:val="0"/>
                <w:color w:val="000000" w:themeColor="text1"/>
                <w:kern w:val="0"/>
                <w:sz w:val="24"/>
                <w:szCs w:val="20"/>
              </w:rPr>
              <w:t>废水主要污染物为SS，</w:t>
            </w:r>
            <w:r>
              <w:rPr>
                <w:rFonts w:ascii="Times New Roman" w:hAnsi="Times New Roman" w:eastAsia="宋体" w:cs="Times New Roman"/>
                <w:color w:val="000000" w:themeColor="text1"/>
                <w:sz w:val="24"/>
              </w:rPr>
              <w:t>停留时间不宜小于</w:t>
            </w:r>
            <w:r>
              <w:rPr>
                <w:rFonts w:hint="eastAsia" w:ascii="Times New Roman" w:hAnsi="Times New Roman" w:eastAsia="宋体" w:cs="Times New Roman"/>
                <w:color w:val="000000" w:themeColor="text1"/>
                <w:sz w:val="24"/>
              </w:rPr>
              <w:t>2</w:t>
            </w:r>
            <w:r>
              <w:rPr>
                <w:rFonts w:ascii="Times New Roman" w:hAnsi="Times New Roman" w:eastAsia="宋体" w:cs="Times New Roman"/>
                <w:color w:val="000000" w:themeColor="text1"/>
                <w:sz w:val="24"/>
              </w:rPr>
              <w:t>h</w:t>
            </w:r>
            <w:r>
              <w:rPr>
                <w:rFonts w:hint="eastAsia" w:ascii="Times New Roman" w:hAnsi="Times New Roman" w:eastAsia="宋体" w:cs="Times New Roman"/>
                <w:color w:val="000000" w:themeColor="text1"/>
                <w:sz w:val="24"/>
              </w:rPr>
              <w:t>，因此，沉淀池规模为8m</w:t>
            </w:r>
            <w:r>
              <w:rPr>
                <w:rFonts w:ascii="Times New Roman" w:hAnsi="Times New Roman" w:eastAsia="宋体" w:cs="Times New Roman"/>
                <w:color w:val="000000" w:themeColor="text1"/>
                <w:sz w:val="24"/>
                <w:vertAlign w:val="superscript"/>
              </w:rPr>
              <w:t>3</w:t>
            </w:r>
            <w:r>
              <w:rPr>
                <w:rFonts w:hint="eastAsia" w:ascii="Times New Roman" w:hAnsi="Times New Roman" w:eastAsia="宋体" w:cs="Times New Roman"/>
                <w:color w:val="000000" w:themeColor="text1"/>
                <w:sz w:val="24"/>
              </w:rPr>
              <w:t>。</w:t>
            </w:r>
          </w:p>
          <w:p w14:paraId="46B52FEE">
            <w:pPr>
              <w:pStyle w:val="205"/>
              <w:ind w:left="0" w:firstLine="482" w:firstLineChars="200"/>
              <w:rPr>
                <w:rFonts w:ascii="Times New Roman" w:hAnsi="Times New Roman" w:cs="Times New Roman"/>
                <w:b/>
                <w:color w:val="000000" w:themeColor="text1"/>
              </w:rPr>
            </w:pPr>
            <w:r>
              <w:rPr>
                <w:rFonts w:hint="eastAsia" w:ascii="Times New Roman" w:hAnsi="Times New Roman" w:cs="Times New Roman"/>
                <w:b/>
                <w:color w:val="000000" w:themeColor="text1"/>
              </w:rPr>
              <w:t>（4）雨水环境影响分析</w:t>
            </w:r>
          </w:p>
          <w:p w14:paraId="47E7F603">
            <w:pPr>
              <w:adjustRightInd w:val="0"/>
              <w:snapToGrid w:val="0"/>
              <w:spacing w:line="360" w:lineRule="auto"/>
              <w:ind w:right="-13" w:rightChars="-6"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本项目厂区地面全部硬化处理，待</w:t>
            </w:r>
            <w:r>
              <w:rPr>
                <w:rFonts w:hint="eastAsia" w:ascii="Times New Roman" w:hAnsi="Times New Roman" w:eastAsia="宋体" w:cs="Times New Roman"/>
                <w:color w:val="000000" w:themeColor="text1"/>
                <w:sz w:val="24"/>
              </w:rPr>
              <w:t>生产及原料储存</w:t>
            </w:r>
            <w:r>
              <w:rPr>
                <w:rFonts w:ascii="Times New Roman" w:hAnsi="Times New Roman" w:eastAsia="宋体" w:cs="Times New Roman"/>
                <w:color w:val="000000" w:themeColor="text1"/>
                <w:sz w:val="24"/>
              </w:rPr>
              <w:t>过程中，当下雨形成地表径流，污染物</w:t>
            </w:r>
            <w:r>
              <w:rPr>
                <w:rFonts w:hint="eastAsia" w:ascii="Times New Roman" w:hAnsi="Times New Roman" w:eastAsia="宋体" w:cs="Times New Roman"/>
                <w:color w:val="000000" w:themeColor="text1"/>
                <w:sz w:val="24"/>
              </w:rPr>
              <w:t>粉尘（沉降项目区）</w:t>
            </w:r>
            <w:r>
              <w:rPr>
                <w:rFonts w:ascii="Times New Roman" w:hAnsi="Times New Roman" w:eastAsia="宋体" w:cs="Times New Roman"/>
                <w:color w:val="000000" w:themeColor="text1"/>
                <w:sz w:val="24"/>
              </w:rPr>
              <w:t>会随径流带入周边的水体（主要为</w:t>
            </w:r>
            <w:r>
              <w:rPr>
                <w:rFonts w:hint="eastAsia" w:ascii="Times New Roman" w:hAnsi="Times New Roman" w:eastAsia="宋体" w:cs="Times New Roman"/>
                <w:color w:val="000000" w:themeColor="text1"/>
                <w:sz w:val="24"/>
              </w:rPr>
              <w:t>SS、油类等</w:t>
            </w:r>
            <w:r>
              <w:rPr>
                <w:rFonts w:ascii="Times New Roman" w:hAnsi="Times New Roman" w:eastAsia="宋体" w:cs="Times New Roman"/>
                <w:color w:val="000000" w:themeColor="text1"/>
                <w:sz w:val="24"/>
              </w:rPr>
              <w:t>），如无序排放</w:t>
            </w:r>
            <w:r>
              <w:rPr>
                <w:rFonts w:hint="eastAsia" w:ascii="Times New Roman" w:hAnsi="Times New Roman" w:eastAsia="宋体" w:cs="Times New Roman"/>
                <w:color w:val="000000" w:themeColor="text1"/>
                <w:sz w:val="24"/>
              </w:rPr>
              <w:t>，</w:t>
            </w:r>
            <w:r>
              <w:rPr>
                <w:rFonts w:ascii="Times New Roman" w:hAnsi="Times New Roman" w:eastAsia="宋体" w:cs="Times New Roman"/>
                <w:color w:val="000000" w:themeColor="text1"/>
                <w:sz w:val="24"/>
              </w:rPr>
              <w:t>造成一定的环境污染。</w:t>
            </w:r>
          </w:p>
          <w:p w14:paraId="67A938EA">
            <w:pPr>
              <w:widowControl/>
              <w:spacing w:line="360" w:lineRule="auto"/>
              <w:ind w:firstLine="480" w:firstLineChars="200"/>
              <w:jc w:val="left"/>
              <w:rPr>
                <w:rFonts w:ascii="Times New Roman" w:hAnsi="Times New Roman" w:cs="Times New Roman"/>
                <w:color w:val="000000" w:themeColor="text1"/>
                <w:sz w:val="24"/>
              </w:rPr>
            </w:pPr>
            <w:r>
              <w:rPr>
                <w:rFonts w:hint="eastAsia" w:ascii="Times New Roman" w:hAnsi="Times New Roman" w:eastAsia="宋体" w:cs="Times New Roman"/>
                <w:color w:val="000000" w:themeColor="text1"/>
                <w:sz w:val="24"/>
              </w:rPr>
              <w:t>本环评要求收集前1h的雨水进入本项目隔油池+沉淀池进行处理，回用于生产，其余经沉淀后外排，因此本厂1h的雨水量为0.985</w:t>
            </w:r>
            <w:r>
              <w:rPr>
                <w:rFonts w:ascii="Times New Roman" w:hAnsi="Times New Roman" w:eastAsia="??" w:cs="Times New Roman"/>
                <w:color w:val="000000" w:themeColor="text1"/>
                <w:sz w:val="24"/>
              </w:rPr>
              <w:t>m</w:t>
            </w:r>
            <w:r>
              <w:rPr>
                <w:rFonts w:ascii="Times New Roman" w:hAnsi="Times New Roman" w:eastAsia="??" w:cs="Times New Roman"/>
                <w:color w:val="000000" w:themeColor="text1"/>
                <w:sz w:val="24"/>
                <w:vertAlign w:val="superscript"/>
              </w:rPr>
              <w:t>3</w:t>
            </w:r>
            <w:r>
              <w:rPr>
                <w:rFonts w:hint="eastAsia" w:ascii="Times New Roman" w:hAnsi="Times New Roman" w:eastAsia="宋体" w:cs="Times New Roman"/>
                <w:color w:val="000000" w:themeColor="text1"/>
                <w:sz w:val="24"/>
              </w:rPr>
              <w:t>。</w:t>
            </w:r>
          </w:p>
          <w:p w14:paraId="54340FA7">
            <w:pPr>
              <w:pStyle w:val="205"/>
              <w:ind w:left="0" w:firstLine="480" w:firstLineChars="200"/>
              <w:rPr>
                <w:rFonts w:ascii="Times New Roman" w:hAnsi="Times New Roman" w:cs="Times New Roman"/>
                <w:color w:val="000000" w:themeColor="text1"/>
              </w:rPr>
            </w:pPr>
            <w:r>
              <w:rPr>
                <w:rFonts w:hint="eastAsia" w:ascii="Times New Roman" w:hAnsi="Times New Roman" w:cs="Times New Roman"/>
                <w:color w:val="000000" w:themeColor="text1"/>
              </w:rPr>
              <w:t>因此，本环评要求在项目区西侧场地最低处设置一个雨水收集池（1m</w:t>
            </w:r>
            <w:r>
              <w:rPr>
                <w:rFonts w:hint="eastAsia" w:ascii="Times New Roman" w:hAnsi="Times New Roman" w:cs="Times New Roman"/>
                <w:color w:val="000000" w:themeColor="text1"/>
                <w:vertAlign w:val="superscript"/>
              </w:rPr>
              <w:t>3</w:t>
            </w:r>
            <w:r>
              <w:rPr>
                <w:rFonts w:hint="eastAsia" w:ascii="Times New Roman" w:hAnsi="Times New Roman" w:cs="Times New Roman"/>
                <w:color w:val="000000" w:themeColor="text1"/>
              </w:rPr>
              <w:t>），用于收集前1h的雨水，此部分雨水因含SS、油类等，为防止对周边环境造成影响，此部分废水进入沉淀池处理后，回用于生产。</w:t>
            </w:r>
          </w:p>
          <w:p w14:paraId="62CA1FBD">
            <w:pPr>
              <w:pStyle w:val="205"/>
              <w:ind w:left="0" w:firstLine="480" w:firstLineChars="200"/>
              <w:rPr>
                <w:rFonts w:ascii="Times New Roman" w:hAnsi="Times New Roman" w:cs="Times New Roman"/>
                <w:color w:val="000000" w:themeColor="text1"/>
              </w:rPr>
            </w:pPr>
            <w:r>
              <w:rPr>
                <w:rFonts w:hint="eastAsia" w:ascii="Times New Roman" w:hAnsi="Times New Roman" w:cs="Times New Roman"/>
                <w:color w:val="000000" w:themeColor="text1"/>
              </w:rPr>
              <w:t>同时为防止原料塑料瓶中的剩余废油、废饮料等泄漏，雨天冲刷进入地表水体，本环评要求按照</w:t>
            </w:r>
            <w:r>
              <w:rPr>
                <w:rFonts w:ascii="Times New Roman" w:hAnsi="Times New Roman" w:cs="Times New Roman"/>
                <w:color w:val="000000" w:themeColor="text1"/>
              </w:rPr>
              <w:t>《废塑料综合利用行业规范条件》</w:t>
            </w:r>
            <w:r>
              <w:rPr>
                <w:rFonts w:hint="eastAsia" w:ascii="Times New Roman" w:hAnsi="Times New Roman" w:cs="Times New Roman"/>
                <w:color w:val="000000" w:themeColor="text1"/>
              </w:rPr>
              <w:t>要求，建设</w:t>
            </w:r>
            <w:r>
              <w:rPr>
                <w:rFonts w:ascii="Times New Roman" w:hAnsi="Times New Roman" w:cs="Times New Roman"/>
                <w:color w:val="000000" w:themeColor="text1"/>
                <w:szCs w:val="21"/>
              </w:rPr>
              <w:t>具有防雨、防风、防渗等功能的厂房或加盖雨棚</w:t>
            </w:r>
            <w:r>
              <w:rPr>
                <w:rFonts w:hint="eastAsia" w:ascii="Times New Roman" w:hAnsi="Times New Roman" w:cs="Times New Roman"/>
                <w:color w:val="000000" w:themeColor="text1"/>
                <w:szCs w:val="21"/>
              </w:rPr>
              <w:t>的原料仓库。</w:t>
            </w:r>
          </w:p>
          <w:p w14:paraId="2CC512C0">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w:t>
            </w:r>
            <w:r>
              <w:rPr>
                <w:rFonts w:hint="eastAsia" w:ascii="Times New Roman" w:hAnsi="Times New Roman" w:eastAsia="宋体" w:cs="Times New Roman"/>
                <w:b/>
                <w:snapToGrid w:val="0"/>
                <w:color w:val="000000" w:themeColor="text1"/>
                <w:kern w:val="0"/>
                <w:sz w:val="24"/>
                <w:szCs w:val="20"/>
              </w:rPr>
              <w:t>5</w:t>
            </w:r>
            <w:r>
              <w:rPr>
                <w:rFonts w:ascii="Times New Roman" w:hAnsi="Times New Roman" w:eastAsia="宋体" w:cs="Times New Roman"/>
                <w:b/>
                <w:snapToGrid w:val="0"/>
                <w:color w:val="000000" w:themeColor="text1"/>
                <w:kern w:val="0"/>
                <w:sz w:val="24"/>
                <w:szCs w:val="20"/>
              </w:rPr>
              <w:t>）地表水环境影响分析</w:t>
            </w:r>
          </w:p>
          <w:p w14:paraId="529DE165">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本项目排水方案为雨污分流，雨水排入道路雨水沟，生活污水经</w:t>
            </w:r>
            <w:r>
              <w:rPr>
                <w:rFonts w:hint="eastAsia" w:ascii="Times New Roman" w:hAnsi="Times New Roman" w:eastAsia="宋体" w:cs="Times New Roman"/>
                <w:color w:val="000000" w:themeColor="text1"/>
                <w:sz w:val="24"/>
              </w:rPr>
              <w:t>隔油池+化粪池</w:t>
            </w:r>
            <w:r>
              <w:rPr>
                <w:rFonts w:ascii="Times New Roman" w:hAnsi="Times New Roman" w:eastAsia="宋体" w:cs="Times New Roman"/>
                <w:snapToGrid w:val="0"/>
                <w:color w:val="000000" w:themeColor="text1"/>
                <w:kern w:val="0"/>
                <w:sz w:val="24"/>
                <w:szCs w:val="20"/>
              </w:rPr>
              <w:t>处理后，定期委托周边村民清掏，用于农作物施肥，不外排；生产废水经</w:t>
            </w:r>
            <w:r>
              <w:rPr>
                <w:rFonts w:hint="eastAsia" w:ascii="Times New Roman" w:hAnsi="Times New Roman" w:eastAsia="宋体" w:cs="Times New Roman"/>
                <w:color w:val="000000" w:themeColor="text1"/>
                <w:sz w:val="24"/>
              </w:rPr>
              <w:t>隔油池+沉淀池</w:t>
            </w:r>
            <w:r>
              <w:rPr>
                <w:rFonts w:ascii="Times New Roman" w:hAnsi="Times New Roman" w:eastAsia="宋体" w:cs="Times New Roman"/>
                <w:snapToGrid w:val="0"/>
                <w:color w:val="000000" w:themeColor="text1"/>
                <w:kern w:val="0"/>
                <w:sz w:val="24"/>
                <w:szCs w:val="20"/>
              </w:rPr>
              <w:t>处理</w:t>
            </w:r>
            <w:r>
              <w:rPr>
                <w:rFonts w:ascii="Times New Roman" w:hAnsi="Times New Roman" w:cs="Times New Roman"/>
                <w:color w:val="000000" w:themeColor="text1"/>
                <w:sz w:val="24"/>
              </w:rPr>
              <w:t>后，回用于生产，不外排。</w:t>
            </w:r>
          </w:p>
          <w:p w14:paraId="407520EC">
            <w:pPr>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综上本项目废水不外排，对地表水（</w:t>
            </w:r>
            <w:r>
              <w:rPr>
                <w:rFonts w:ascii="Times New Roman" w:hAnsi="Times New Roman" w:eastAsia="宋体" w:cs="Times New Roman"/>
                <w:snapToGrid w:val="0"/>
                <w:color w:val="000000" w:themeColor="text1"/>
                <w:kern w:val="0"/>
                <w:sz w:val="24"/>
                <w:szCs w:val="20"/>
              </w:rPr>
              <w:t>西侧350m当连河、西侧13km芒市大河</w:t>
            </w:r>
            <w:r>
              <w:rPr>
                <w:rFonts w:ascii="Times New Roman" w:hAnsi="Times New Roman" w:eastAsia="宋体" w:cs="Times New Roman"/>
                <w:color w:val="000000" w:themeColor="text1"/>
                <w:sz w:val="24"/>
              </w:rPr>
              <w:t>）影响较小。</w:t>
            </w:r>
          </w:p>
          <w:p w14:paraId="410479DD">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3、噪声对环境的影响分析</w:t>
            </w:r>
          </w:p>
          <w:p w14:paraId="147D4479">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运营期生产设备噪声源强在70～95dB（A），均设置于生产车间内，生产车间集中于项目区西侧，因此采用噪声叠加公式和噪声点源衰减公式进行声环境影响预测。本环评通过导则推荐的噪声预测软件对项目噪声进行影响预测和分析。</w:t>
            </w:r>
          </w:p>
          <w:p w14:paraId="6FCEE725">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预测时假设各设备同时运行，首先对各噪声源进行叠加，分贝叠加公式如下：</w:t>
            </w:r>
          </w:p>
          <w:p w14:paraId="0999562A">
            <w:pPr>
              <w:adjustRightInd w:val="0"/>
              <w:spacing w:line="360" w:lineRule="auto"/>
              <w:ind w:firstLine="480" w:firstLineChars="200"/>
              <w:jc w:val="center"/>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L</w:t>
            </w:r>
            <w:r>
              <w:rPr>
                <w:rFonts w:ascii="Times New Roman" w:hAnsi="Times New Roman" w:eastAsia="宋体" w:cs="Times New Roman"/>
                <w:snapToGrid w:val="0"/>
                <w:color w:val="000000" w:themeColor="text1"/>
                <w:kern w:val="0"/>
                <w:sz w:val="24"/>
                <w:szCs w:val="20"/>
                <w:vertAlign w:val="subscript"/>
              </w:rPr>
              <w:t>pi</w:t>
            </w:r>
            <w:r>
              <w:rPr>
                <w:rFonts w:ascii="Times New Roman" w:hAnsi="Times New Roman" w:eastAsia="宋体" w:cs="Times New Roman"/>
                <w:snapToGrid w:val="0"/>
                <w:color w:val="000000" w:themeColor="text1"/>
                <w:kern w:val="0"/>
                <w:sz w:val="24"/>
                <w:szCs w:val="20"/>
              </w:rPr>
              <w:t>=10lg(∑10</w:t>
            </w:r>
            <w:r>
              <w:rPr>
                <w:rFonts w:ascii="Times New Roman" w:hAnsi="Times New Roman" w:eastAsia="宋体" w:cs="Times New Roman"/>
                <w:snapToGrid w:val="0"/>
                <w:color w:val="000000" w:themeColor="text1"/>
                <w:kern w:val="0"/>
                <w:sz w:val="24"/>
                <w:szCs w:val="20"/>
                <w:vertAlign w:val="superscript"/>
              </w:rPr>
              <w:t>0.1Lpi</w:t>
            </w:r>
            <w:r>
              <w:rPr>
                <w:rFonts w:ascii="Times New Roman" w:hAnsi="Times New Roman" w:eastAsia="宋体" w:cs="Times New Roman"/>
                <w:snapToGrid w:val="0"/>
                <w:color w:val="000000" w:themeColor="text1"/>
                <w:kern w:val="0"/>
                <w:sz w:val="24"/>
                <w:szCs w:val="20"/>
              </w:rPr>
              <w:t>)</w:t>
            </w:r>
          </w:p>
          <w:p w14:paraId="19B5355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再通过距离衰减公式，分析施工噪声对外环境的影响，即：</w:t>
            </w:r>
          </w:p>
          <w:p w14:paraId="1CB166D4">
            <w:pPr>
              <w:adjustRightInd w:val="0"/>
              <w:spacing w:line="360" w:lineRule="auto"/>
              <w:ind w:firstLine="480" w:firstLineChars="200"/>
              <w:jc w:val="center"/>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L</w:t>
            </w:r>
            <w:r>
              <w:rPr>
                <w:rFonts w:ascii="Times New Roman" w:hAnsi="Times New Roman" w:eastAsia="宋体" w:cs="Times New Roman"/>
                <w:snapToGrid w:val="0"/>
                <w:color w:val="000000" w:themeColor="text1"/>
                <w:kern w:val="0"/>
                <w:sz w:val="24"/>
                <w:szCs w:val="20"/>
                <w:vertAlign w:val="subscript"/>
              </w:rPr>
              <w:t>A(r)</w:t>
            </w:r>
            <w:r>
              <w:rPr>
                <w:rFonts w:ascii="Times New Roman" w:hAnsi="Times New Roman" w:eastAsia="宋体" w:cs="Times New Roman"/>
                <w:snapToGrid w:val="0"/>
                <w:color w:val="000000" w:themeColor="text1"/>
                <w:kern w:val="0"/>
                <w:sz w:val="24"/>
                <w:szCs w:val="20"/>
              </w:rPr>
              <w:t>=L</w:t>
            </w:r>
            <w:r>
              <w:rPr>
                <w:rFonts w:ascii="Times New Roman" w:hAnsi="Times New Roman" w:eastAsia="宋体" w:cs="Times New Roman"/>
                <w:snapToGrid w:val="0"/>
                <w:color w:val="000000" w:themeColor="text1"/>
                <w:kern w:val="0"/>
                <w:sz w:val="24"/>
                <w:szCs w:val="20"/>
                <w:vertAlign w:val="subscript"/>
              </w:rPr>
              <w:t>ro</w:t>
            </w:r>
            <w:r>
              <w:rPr>
                <w:rFonts w:ascii="Times New Roman" w:hAnsi="Times New Roman" w:eastAsia="宋体" w:cs="Times New Roman"/>
                <w:snapToGrid w:val="0"/>
                <w:color w:val="000000" w:themeColor="text1"/>
                <w:kern w:val="0"/>
                <w:sz w:val="24"/>
                <w:szCs w:val="20"/>
              </w:rPr>
              <w:t>-201g(r/r</w:t>
            </w:r>
            <w:r>
              <w:rPr>
                <w:rFonts w:ascii="Times New Roman" w:hAnsi="Times New Roman" w:eastAsia="宋体" w:cs="Times New Roman"/>
                <w:snapToGrid w:val="0"/>
                <w:color w:val="000000" w:themeColor="text1"/>
                <w:kern w:val="0"/>
                <w:sz w:val="24"/>
                <w:szCs w:val="20"/>
                <w:vertAlign w:val="subscript"/>
              </w:rPr>
              <w:t>o</w:t>
            </w:r>
            <w:r>
              <w:rPr>
                <w:rFonts w:ascii="Times New Roman" w:hAnsi="Times New Roman" w:eastAsia="宋体" w:cs="Times New Roman"/>
                <w:snapToGrid w:val="0"/>
                <w:color w:val="000000" w:themeColor="text1"/>
                <w:kern w:val="0"/>
                <w:sz w:val="24"/>
                <w:szCs w:val="20"/>
              </w:rPr>
              <w:t>)-</w:t>
            </w:r>
            <w:r>
              <w:rPr>
                <w:rFonts w:ascii="Cambria Math" w:hAnsi="Cambria Math" w:eastAsia="宋体" w:cs="Cambria Math"/>
                <w:snapToGrid w:val="0"/>
                <w:color w:val="000000" w:themeColor="text1"/>
                <w:kern w:val="0"/>
                <w:sz w:val="24"/>
                <w:szCs w:val="20"/>
                <w:vertAlign w:val="subscript"/>
              </w:rPr>
              <w:t>△</w:t>
            </w:r>
            <w:r>
              <w:rPr>
                <w:rFonts w:ascii="Times New Roman" w:hAnsi="Times New Roman" w:eastAsia="宋体" w:cs="Times New Roman"/>
                <w:snapToGrid w:val="0"/>
                <w:color w:val="000000" w:themeColor="text1"/>
                <w:kern w:val="0"/>
                <w:sz w:val="24"/>
                <w:szCs w:val="20"/>
              </w:rPr>
              <w:t>L</w:t>
            </w:r>
          </w:p>
          <w:p w14:paraId="177B8B0E">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式中：L</w:t>
            </w:r>
            <w:r>
              <w:rPr>
                <w:rFonts w:ascii="Times New Roman" w:hAnsi="Times New Roman" w:eastAsia="宋体" w:cs="Times New Roman"/>
                <w:snapToGrid w:val="0"/>
                <w:color w:val="000000" w:themeColor="text1"/>
                <w:kern w:val="0"/>
                <w:sz w:val="24"/>
                <w:szCs w:val="20"/>
                <w:vertAlign w:val="subscript"/>
              </w:rPr>
              <w:t>A(r)</w:t>
            </w:r>
            <w:r>
              <w:rPr>
                <w:rFonts w:ascii="Times New Roman" w:hAnsi="Times New Roman" w:eastAsia="宋体" w:cs="Times New Roman"/>
                <w:snapToGrid w:val="0"/>
                <w:color w:val="000000" w:themeColor="text1"/>
                <w:kern w:val="0"/>
                <w:sz w:val="24"/>
                <w:szCs w:val="20"/>
              </w:rPr>
              <w:t>——距声源r米处受声点的A声级；</w:t>
            </w:r>
          </w:p>
          <w:p w14:paraId="13458AE9">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L</w:t>
            </w:r>
            <w:r>
              <w:rPr>
                <w:rFonts w:ascii="Times New Roman" w:hAnsi="Times New Roman" w:eastAsia="宋体" w:cs="Times New Roman"/>
                <w:snapToGrid w:val="0"/>
                <w:color w:val="000000" w:themeColor="text1"/>
                <w:kern w:val="0"/>
                <w:sz w:val="24"/>
                <w:szCs w:val="20"/>
                <w:vertAlign w:val="subscript"/>
              </w:rPr>
              <w:t>ro</w:t>
            </w:r>
            <w:r>
              <w:rPr>
                <w:rFonts w:ascii="Times New Roman" w:hAnsi="Times New Roman" w:eastAsia="宋体" w:cs="Times New Roman"/>
                <w:snapToGrid w:val="0"/>
                <w:color w:val="000000" w:themeColor="text1"/>
                <w:kern w:val="0"/>
                <w:sz w:val="24"/>
                <w:szCs w:val="20"/>
              </w:rPr>
              <w:t>——参考点声源强度(dB)；</w:t>
            </w:r>
          </w:p>
          <w:p w14:paraId="017A620A">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r——预测受声点与源之间的距离(m)；</w:t>
            </w:r>
          </w:p>
          <w:p w14:paraId="58B2B7DE">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r</w:t>
            </w:r>
            <w:r>
              <w:rPr>
                <w:rFonts w:ascii="Times New Roman" w:hAnsi="Times New Roman" w:eastAsia="宋体" w:cs="Times New Roman"/>
                <w:snapToGrid w:val="0"/>
                <w:color w:val="000000" w:themeColor="text1"/>
                <w:kern w:val="0"/>
                <w:sz w:val="24"/>
                <w:szCs w:val="20"/>
                <w:vertAlign w:val="subscript"/>
              </w:rPr>
              <w:t>0</w:t>
            </w:r>
            <w:r>
              <w:rPr>
                <w:rFonts w:ascii="Times New Roman" w:hAnsi="Times New Roman" w:eastAsia="宋体" w:cs="Times New Roman"/>
                <w:snapToGrid w:val="0"/>
                <w:color w:val="000000" w:themeColor="text1"/>
                <w:kern w:val="0"/>
                <w:sz w:val="24"/>
                <w:szCs w:val="20"/>
              </w:rPr>
              <w:t>——参考点与源之间的距离(m)；</w:t>
            </w:r>
          </w:p>
          <w:p w14:paraId="038E9D6E">
            <w:pPr>
              <w:adjustRightInd w:val="0"/>
              <w:spacing w:line="360" w:lineRule="auto"/>
              <w:ind w:firstLine="1200" w:firstLineChars="500"/>
              <w:rPr>
                <w:rFonts w:ascii="Times New Roman" w:hAnsi="Times New Roman" w:eastAsia="宋体" w:cs="Times New Roman"/>
                <w:snapToGrid w:val="0"/>
                <w:color w:val="000000" w:themeColor="text1"/>
                <w:kern w:val="0"/>
                <w:sz w:val="24"/>
                <w:szCs w:val="20"/>
              </w:rPr>
            </w:pPr>
            <w:r>
              <w:rPr>
                <w:rFonts w:ascii="Cambria Math" w:hAnsi="Cambria Math" w:eastAsia="宋体" w:cs="Cambria Math"/>
                <w:snapToGrid w:val="0"/>
                <w:color w:val="000000" w:themeColor="text1"/>
                <w:kern w:val="0"/>
                <w:sz w:val="24"/>
                <w:szCs w:val="20"/>
                <w:vertAlign w:val="subscript"/>
              </w:rPr>
              <w:t>△</w:t>
            </w:r>
            <w:r>
              <w:rPr>
                <w:rFonts w:ascii="Times New Roman" w:hAnsi="Times New Roman" w:eastAsia="宋体" w:cs="Times New Roman"/>
                <w:snapToGrid w:val="0"/>
                <w:color w:val="000000" w:themeColor="text1"/>
                <w:kern w:val="0"/>
                <w:sz w:val="24"/>
                <w:szCs w:val="20"/>
              </w:rPr>
              <w:t>L——其他衰减因素；</w:t>
            </w:r>
          </w:p>
          <w:p w14:paraId="329C33E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根据工程分析中项目设备噪声级及各类生产设备的数量，利用噪声叠加公式计算得到车间生产噪声源强约为96.47dB(A)。</w:t>
            </w:r>
          </w:p>
          <w:p w14:paraId="570EB349">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由于生产设备均设置于生产车间内，生产设备安装减震垫，车间可起到一定的隔声降噪效果，综合考虑，降噪量在1</w:t>
            </w:r>
            <w:r>
              <w:rPr>
                <w:rFonts w:hint="eastAsia" w:ascii="Times New Roman" w:hAnsi="Times New Roman" w:eastAsia="宋体" w:cs="Times New Roman"/>
                <w:snapToGrid w:val="0"/>
                <w:color w:val="000000" w:themeColor="text1"/>
                <w:kern w:val="0"/>
                <w:sz w:val="24"/>
                <w:szCs w:val="20"/>
              </w:rPr>
              <w:t>6</w:t>
            </w:r>
            <w:r>
              <w:rPr>
                <w:rFonts w:ascii="Times New Roman" w:hAnsi="Times New Roman" w:eastAsia="宋体" w:cs="Times New Roman"/>
                <w:snapToGrid w:val="0"/>
                <w:color w:val="000000" w:themeColor="text1"/>
                <w:kern w:val="0"/>
                <w:sz w:val="24"/>
                <w:szCs w:val="20"/>
              </w:rPr>
              <w:t>dB左右。</w:t>
            </w:r>
          </w:p>
          <w:p w14:paraId="2D98C943">
            <w:pPr>
              <w:keepNext/>
              <w:keepLines/>
              <w:ind w:left="105" w:leftChars="50" w:right="105" w:rightChars="50"/>
              <w:jc w:val="center"/>
              <w:outlineLvl w:val="0"/>
              <w:rPr>
                <w:rFonts w:ascii="Times New Roman" w:hAnsi="Times New Roman" w:eastAsia="宋体" w:cs="Times New Roman"/>
                <w:b/>
                <w:bCs/>
                <w:color w:val="000000" w:themeColor="text1"/>
                <w:kern w:val="44"/>
                <w:sz w:val="24"/>
              </w:rPr>
            </w:pPr>
            <w:r>
              <w:rPr>
                <w:rFonts w:ascii="Times New Roman" w:hAnsi="Times New Roman" w:eastAsia="宋体" w:cs="Times New Roman"/>
                <w:b/>
                <w:bCs/>
                <w:color w:val="000000" w:themeColor="text1"/>
                <w:kern w:val="44"/>
                <w:sz w:val="24"/>
              </w:rPr>
              <w:t>表7-2  项目设备在不同距离的噪声贡献值  单位：dB(A)</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754"/>
              <w:gridCol w:w="1177"/>
              <w:gridCol w:w="1087"/>
              <w:gridCol w:w="956"/>
              <w:gridCol w:w="980"/>
              <w:gridCol w:w="981"/>
              <w:gridCol w:w="981"/>
              <w:gridCol w:w="981"/>
            </w:tblGrid>
            <w:tr w14:paraId="0675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5" w:type="pct"/>
                  <w:vMerge w:val="restart"/>
                  <w:tcBorders>
                    <w:top w:val="single" w:color="auto" w:sz="4" w:space="0"/>
                    <w:left w:val="single" w:color="auto" w:sz="4" w:space="0"/>
                    <w:right w:val="single" w:color="auto" w:sz="4" w:space="0"/>
                  </w:tcBorders>
                  <w:vAlign w:val="center"/>
                </w:tcPr>
                <w:p w14:paraId="1AEC0970">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序号</w:t>
                  </w:r>
                </w:p>
              </w:tc>
              <w:tc>
                <w:tcPr>
                  <w:tcW w:w="918" w:type="pct"/>
                  <w:vMerge w:val="restart"/>
                  <w:tcBorders>
                    <w:top w:val="single" w:color="auto" w:sz="4" w:space="0"/>
                    <w:left w:val="single" w:color="auto" w:sz="4" w:space="0"/>
                    <w:right w:val="single" w:color="auto" w:sz="4" w:space="0"/>
                  </w:tcBorders>
                  <w:vAlign w:val="center"/>
                </w:tcPr>
                <w:p w14:paraId="52E121F2">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声源</w:t>
                  </w:r>
                </w:p>
              </w:tc>
              <w:tc>
                <w:tcPr>
                  <w:tcW w:w="616" w:type="pct"/>
                  <w:vMerge w:val="restart"/>
                  <w:tcBorders>
                    <w:top w:val="single" w:color="auto" w:sz="4" w:space="0"/>
                    <w:left w:val="single" w:color="auto" w:sz="4" w:space="0"/>
                    <w:right w:val="single" w:color="auto" w:sz="4" w:space="0"/>
                  </w:tcBorders>
                  <w:vAlign w:val="center"/>
                </w:tcPr>
                <w:p w14:paraId="18ADADFD">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数量（台）</w:t>
                  </w:r>
                </w:p>
              </w:tc>
              <w:tc>
                <w:tcPr>
                  <w:tcW w:w="569" w:type="pct"/>
                  <w:vMerge w:val="restart"/>
                  <w:tcBorders>
                    <w:top w:val="single" w:color="auto" w:sz="4" w:space="0"/>
                    <w:left w:val="single" w:color="auto" w:sz="4" w:space="0"/>
                    <w:right w:val="single" w:color="auto" w:sz="4" w:space="0"/>
                  </w:tcBorders>
                  <w:vAlign w:val="center"/>
                </w:tcPr>
                <w:p w14:paraId="6783C4B1">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噪声源强dB(A)</w:t>
                  </w:r>
                </w:p>
              </w:tc>
              <w:tc>
                <w:tcPr>
                  <w:tcW w:w="500" w:type="pct"/>
                  <w:vMerge w:val="restart"/>
                  <w:tcBorders>
                    <w:top w:val="single" w:color="auto" w:sz="4" w:space="0"/>
                    <w:left w:val="single" w:color="auto" w:sz="4" w:space="0"/>
                    <w:right w:val="single" w:color="auto" w:sz="4" w:space="0"/>
                  </w:tcBorders>
                  <w:vAlign w:val="center"/>
                </w:tcPr>
                <w:p w14:paraId="20C0A66F">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治理措施</w:t>
                  </w:r>
                </w:p>
              </w:tc>
              <w:tc>
                <w:tcPr>
                  <w:tcW w:w="2051" w:type="pct"/>
                  <w:gridSpan w:val="4"/>
                  <w:tcBorders>
                    <w:top w:val="single" w:color="auto" w:sz="4" w:space="0"/>
                    <w:left w:val="single" w:color="auto" w:sz="4" w:space="0"/>
                    <w:bottom w:val="single" w:color="auto" w:sz="4" w:space="0"/>
                    <w:right w:val="single" w:color="auto" w:sz="4" w:space="0"/>
                  </w:tcBorders>
                  <w:vAlign w:val="center"/>
                </w:tcPr>
                <w:p w14:paraId="63400974">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厂界距离m</w:t>
                  </w:r>
                </w:p>
              </w:tc>
            </w:tr>
            <w:tr w14:paraId="2787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5" w:type="pct"/>
                  <w:vMerge w:val="continue"/>
                  <w:tcBorders>
                    <w:left w:val="single" w:color="auto" w:sz="4" w:space="0"/>
                    <w:bottom w:val="single" w:color="auto" w:sz="4" w:space="0"/>
                    <w:right w:val="single" w:color="auto" w:sz="4" w:space="0"/>
                  </w:tcBorders>
                  <w:vAlign w:val="center"/>
                </w:tcPr>
                <w:p w14:paraId="0E0F4840">
                  <w:pPr>
                    <w:ind w:right="105" w:rightChars="50"/>
                    <w:jc w:val="center"/>
                    <w:rPr>
                      <w:rFonts w:ascii="Times New Roman" w:hAnsi="Times New Roman" w:eastAsia="宋体" w:cs="Times New Roman"/>
                      <w:b/>
                      <w:color w:val="000000" w:themeColor="text1"/>
                      <w:szCs w:val="21"/>
                    </w:rPr>
                  </w:pPr>
                </w:p>
              </w:tc>
              <w:tc>
                <w:tcPr>
                  <w:tcW w:w="918" w:type="pct"/>
                  <w:vMerge w:val="continue"/>
                  <w:tcBorders>
                    <w:left w:val="single" w:color="auto" w:sz="4" w:space="0"/>
                    <w:bottom w:val="single" w:color="auto" w:sz="4" w:space="0"/>
                    <w:right w:val="single" w:color="auto" w:sz="4" w:space="0"/>
                  </w:tcBorders>
                  <w:vAlign w:val="center"/>
                </w:tcPr>
                <w:p w14:paraId="3AB37435">
                  <w:pPr>
                    <w:ind w:right="105" w:rightChars="50"/>
                    <w:jc w:val="center"/>
                    <w:rPr>
                      <w:rFonts w:ascii="Times New Roman" w:hAnsi="Times New Roman" w:eastAsia="宋体" w:cs="Times New Roman"/>
                      <w:b/>
                      <w:color w:val="000000" w:themeColor="text1"/>
                      <w:szCs w:val="21"/>
                    </w:rPr>
                  </w:pPr>
                </w:p>
              </w:tc>
              <w:tc>
                <w:tcPr>
                  <w:tcW w:w="616" w:type="pct"/>
                  <w:vMerge w:val="continue"/>
                  <w:tcBorders>
                    <w:left w:val="single" w:color="auto" w:sz="4" w:space="0"/>
                    <w:bottom w:val="single" w:color="auto" w:sz="4" w:space="0"/>
                    <w:right w:val="single" w:color="auto" w:sz="4" w:space="0"/>
                  </w:tcBorders>
                  <w:vAlign w:val="center"/>
                </w:tcPr>
                <w:p w14:paraId="2889893C">
                  <w:pPr>
                    <w:ind w:right="105" w:rightChars="50"/>
                    <w:jc w:val="center"/>
                    <w:rPr>
                      <w:rFonts w:ascii="Times New Roman" w:hAnsi="Times New Roman" w:eastAsia="宋体" w:cs="Times New Roman"/>
                      <w:b/>
                      <w:color w:val="000000" w:themeColor="text1"/>
                      <w:szCs w:val="21"/>
                    </w:rPr>
                  </w:pPr>
                </w:p>
              </w:tc>
              <w:tc>
                <w:tcPr>
                  <w:tcW w:w="569" w:type="pct"/>
                  <w:vMerge w:val="continue"/>
                  <w:tcBorders>
                    <w:left w:val="single" w:color="auto" w:sz="4" w:space="0"/>
                    <w:bottom w:val="single" w:color="auto" w:sz="4" w:space="0"/>
                    <w:right w:val="single" w:color="auto" w:sz="4" w:space="0"/>
                  </w:tcBorders>
                  <w:vAlign w:val="center"/>
                </w:tcPr>
                <w:p w14:paraId="1F1A560E">
                  <w:pPr>
                    <w:ind w:right="105" w:rightChars="50"/>
                    <w:jc w:val="center"/>
                    <w:rPr>
                      <w:rFonts w:ascii="Times New Roman" w:hAnsi="Times New Roman" w:eastAsia="宋体" w:cs="Times New Roman"/>
                      <w:b/>
                      <w:color w:val="000000" w:themeColor="text1"/>
                      <w:szCs w:val="21"/>
                    </w:rPr>
                  </w:pPr>
                </w:p>
              </w:tc>
              <w:tc>
                <w:tcPr>
                  <w:tcW w:w="500" w:type="pct"/>
                  <w:vMerge w:val="continue"/>
                  <w:tcBorders>
                    <w:left w:val="single" w:color="auto" w:sz="4" w:space="0"/>
                    <w:bottom w:val="single" w:color="auto" w:sz="4" w:space="0"/>
                    <w:right w:val="single" w:color="auto" w:sz="4" w:space="0"/>
                  </w:tcBorders>
                  <w:vAlign w:val="center"/>
                </w:tcPr>
                <w:p w14:paraId="36FAF073">
                  <w:pPr>
                    <w:ind w:right="105" w:rightChars="50"/>
                    <w:jc w:val="center"/>
                    <w:rPr>
                      <w:rFonts w:ascii="Times New Roman" w:hAnsi="Times New Roman" w:eastAsia="宋体" w:cs="Times New Roman"/>
                      <w:b/>
                      <w:color w:val="000000" w:themeColor="text1"/>
                      <w:szCs w:val="21"/>
                    </w:rPr>
                  </w:pPr>
                </w:p>
              </w:tc>
              <w:tc>
                <w:tcPr>
                  <w:tcW w:w="513" w:type="pct"/>
                  <w:tcBorders>
                    <w:top w:val="single" w:color="auto" w:sz="4" w:space="0"/>
                    <w:left w:val="single" w:color="auto" w:sz="4" w:space="0"/>
                    <w:bottom w:val="single" w:color="auto" w:sz="4" w:space="0"/>
                    <w:right w:val="single" w:color="auto" w:sz="4" w:space="0"/>
                  </w:tcBorders>
                  <w:vAlign w:val="center"/>
                </w:tcPr>
                <w:p w14:paraId="75E871F5">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东</w:t>
                  </w:r>
                </w:p>
              </w:tc>
              <w:tc>
                <w:tcPr>
                  <w:tcW w:w="513" w:type="pct"/>
                  <w:tcBorders>
                    <w:top w:val="single" w:color="auto" w:sz="4" w:space="0"/>
                    <w:left w:val="single" w:color="auto" w:sz="4" w:space="0"/>
                    <w:bottom w:val="single" w:color="auto" w:sz="4" w:space="0"/>
                    <w:right w:val="single" w:color="auto" w:sz="4" w:space="0"/>
                  </w:tcBorders>
                  <w:vAlign w:val="center"/>
                </w:tcPr>
                <w:p w14:paraId="34BBC810">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南</w:t>
                  </w:r>
                </w:p>
              </w:tc>
              <w:tc>
                <w:tcPr>
                  <w:tcW w:w="513" w:type="pct"/>
                  <w:tcBorders>
                    <w:top w:val="single" w:color="auto" w:sz="4" w:space="0"/>
                    <w:left w:val="single" w:color="auto" w:sz="4" w:space="0"/>
                    <w:bottom w:val="single" w:color="auto" w:sz="4" w:space="0"/>
                    <w:right w:val="single" w:color="auto" w:sz="4" w:space="0"/>
                  </w:tcBorders>
                  <w:vAlign w:val="center"/>
                </w:tcPr>
                <w:p w14:paraId="79F2A3F0">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西</w:t>
                  </w:r>
                </w:p>
              </w:tc>
              <w:tc>
                <w:tcPr>
                  <w:tcW w:w="513" w:type="pct"/>
                  <w:tcBorders>
                    <w:top w:val="single" w:color="auto" w:sz="4" w:space="0"/>
                    <w:left w:val="single" w:color="auto" w:sz="4" w:space="0"/>
                    <w:bottom w:val="single" w:color="auto" w:sz="4" w:space="0"/>
                    <w:right w:val="single" w:color="auto" w:sz="4" w:space="0"/>
                  </w:tcBorders>
                  <w:vAlign w:val="center"/>
                </w:tcPr>
                <w:p w14:paraId="6303B7BF">
                  <w:pPr>
                    <w:ind w:right="105" w:rightChars="5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北</w:t>
                  </w:r>
                </w:p>
              </w:tc>
            </w:tr>
            <w:tr w14:paraId="57B2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5" w:type="pct"/>
                  <w:tcBorders>
                    <w:top w:val="single" w:color="auto" w:sz="4" w:space="0"/>
                    <w:left w:val="single" w:color="auto" w:sz="4" w:space="0"/>
                    <w:bottom w:val="single" w:color="auto" w:sz="4" w:space="0"/>
                    <w:right w:val="single" w:color="auto" w:sz="4" w:space="0"/>
                  </w:tcBorders>
                  <w:vAlign w:val="center"/>
                </w:tcPr>
                <w:p w14:paraId="06B3CC67">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w:t>
                  </w:r>
                </w:p>
              </w:tc>
              <w:tc>
                <w:tcPr>
                  <w:tcW w:w="918" w:type="pct"/>
                  <w:tcBorders>
                    <w:top w:val="single" w:color="auto" w:sz="4" w:space="0"/>
                    <w:left w:val="single" w:color="auto" w:sz="4" w:space="0"/>
                    <w:bottom w:val="single" w:color="auto" w:sz="4" w:space="0"/>
                    <w:right w:val="single" w:color="auto" w:sz="4" w:space="0"/>
                  </w:tcBorders>
                  <w:vAlign w:val="center"/>
                </w:tcPr>
                <w:p w14:paraId="681E05F0">
                  <w:pPr>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清洗机N1</w:t>
                  </w:r>
                </w:p>
              </w:tc>
              <w:tc>
                <w:tcPr>
                  <w:tcW w:w="616" w:type="pct"/>
                  <w:tcBorders>
                    <w:top w:val="single" w:color="auto" w:sz="4" w:space="0"/>
                    <w:left w:val="single" w:color="auto" w:sz="4" w:space="0"/>
                    <w:bottom w:val="single" w:color="auto" w:sz="4" w:space="0"/>
                    <w:right w:val="single" w:color="auto" w:sz="4" w:space="0"/>
                  </w:tcBorders>
                  <w:vAlign w:val="center"/>
                </w:tcPr>
                <w:p w14:paraId="31EE56EA">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w:t>
                  </w:r>
                </w:p>
              </w:tc>
              <w:tc>
                <w:tcPr>
                  <w:tcW w:w="569" w:type="pct"/>
                  <w:tcBorders>
                    <w:top w:val="single" w:color="auto" w:sz="4" w:space="0"/>
                    <w:left w:val="single" w:color="auto" w:sz="4" w:space="0"/>
                    <w:bottom w:val="single" w:color="auto" w:sz="4" w:space="0"/>
                    <w:right w:val="single" w:color="auto" w:sz="4" w:space="0"/>
                  </w:tcBorders>
                  <w:vAlign w:val="center"/>
                </w:tcPr>
                <w:p w14:paraId="1A2CD28B">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85</w:t>
                  </w:r>
                </w:p>
              </w:tc>
              <w:tc>
                <w:tcPr>
                  <w:tcW w:w="500" w:type="pct"/>
                  <w:vMerge w:val="restart"/>
                  <w:tcBorders>
                    <w:top w:val="single" w:color="auto" w:sz="4" w:space="0"/>
                    <w:left w:val="single" w:color="auto" w:sz="4" w:space="0"/>
                    <w:right w:val="single" w:color="auto" w:sz="4" w:space="0"/>
                  </w:tcBorders>
                  <w:vAlign w:val="center"/>
                </w:tcPr>
                <w:p w14:paraId="24B05EF1">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减震垫、房屋隔声</w:t>
                  </w:r>
                </w:p>
              </w:tc>
              <w:tc>
                <w:tcPr>
                  <w:tcW w:w="513" w:type="pct"/>
                  <w:tcBorders>
                    <w:top w:val="single" w:color="auto" w:sz="4" w:space="0"/>
                    <w:left w:val="single" w:color="auto" w:sz="4" w:space="0"/>
                    <w:right w:val="single" w:color="auto" w:sz="4" w:space="0"/>
                  </w:tcBorders>
                  <w:vAlign w:val="center"/>
                </w:tcPr>
                <w:p w14:paraId="56DEA331">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w:t>
                  </w:r>
                </w:p>
              </w:tc>
              <w:tc>
                <w:tcPr>
                  <w:tcW w:w="513" w:type="pct"/>
                  <w:tcBorders>
                    <w:top w:val="single" w:color="auto" w:sz="4" w:space="0"/>
                    <w:left w:val="single" w:color="auto" w:sz="4" w:space="0"/>
                    <w:right w:val="single" w:color="auto" w:sz="4" w:space="0"/>
                  </w:tcBorders>
                  <w:vAlign w:val="center"/>
                </w:tcPr>
                <w:p w14:paraId="158E8E7F">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9.5</w:t>
                  </w:r>
                </w:p>
              </w:tc>
              <w:tc>
                <w:tcPr>
                  <w:tcW w:w="513" w:type="pct"/>
                  <w:tcBorders>
                    <w:top w:val="single" w:color="auto" w:sz="4" w:space="0"/>
                    <w:left w:val="single" w:color="auto" w:sz="4" w:space="0"/>
                    <w:right w:val="single" w:color="auto" w:sz="4" w:space="0"/>
                  </w:tcBorders>
                  <w:vAlign w:val="center"/>
                </w:tcPr>
                <w:p w14:paraId="60A9D9CC">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48</w:t>
                  </w:r>
                </w:p>
              </w:tc>
              <w:tc>
                <w:tcPr>
                  <w:tcW w:w="513" w:type="pct"/>
                  <w:tcBorders>
                    <w:top w:val="single" w:color="auto" w:sz="4" w:space="0"/>
                    <w:left w:val="single" w:color="auto" w:sz="4" w:space="0"/>
                    <w:right w:val="single" w:color="auto" w:sz="4" w:space="0"/>
                  </w:tcBorders>
                  <w:vAlign w:val="center"/>
                </w:tcPr>
                <w:p w14:paraId="6D399EBC">
                  <w:pPr>
                    <w:ind w:right="105" w:rightChars="5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7</w:t>
                  </w:r>
                </w:p>
              </w:tc>
            </w:tr>
            <w:tr w14:paraId="7565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5" w:type="pct"/>
                  <w:tcBorders>
                    <w:top w:val="single" w:color="auto" w:sz="4" w:space="0"/>
                    <w:left w:val="single" w:color="auto" w:sz="4" w:space="0"/>
                    <w:bottom w:val="single" w:color="auto" w:sz="4" w:space="0"/>
                    <w:right w:val="single" w:color="auto" w:sz="4" w:space="0"/>
                  </w:tcBorders>
                  <w:vAlign w:val="center"/>
                </w:tcPr>
                <w:p w14:paraId="44931611">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2</w:t>
                  </w:r>
                </w:p>
              </w:tc>
              <w:tc>
                <w:tcPr>
                  <w:tcW w:w="918" w:type="pct"/>
                  <w:tcBorders>
                    <w:top w:val="single" w:color="auto" w:sz="4" w:space="0"/>
                    <w:left w:val="single" w:color="auto" w:sz="4" w:space="0"/>
                    <w:bottom w:val="single" w:color="auto" w:sz="4" w:space="0"/>
                    <w:right w:val="single" w:color="auto" w:sz="4" w:space="0"/>
                  </w:tcBorders>
                  <w:vAlign w:val="center"/>
                </w:tcPr>
                <w:p w14:paraId="3C94D44E">
                  <w:pPr>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破碎机N2</w:t>
                  </w:r>
                </w:p>
              </w:tc>
              <w:tc>
                <w:tcPr>
                  <w:tcW w:w="616" w:type="pct"/>
                  <w:tcBorders>
                    <w:top w:val="single" w:color="auto" w:sz="4" w:space="0"/>
                    <w:left w:val="single" w:color="auto" w:sz="4" w:space="0"/>
                    <w:bottom w:val="single" w:color="auto" w:sz="4" w:space="0"/>
                    <w:right w:val="single" w:color="auto" w:sz="4" w:space="0"/>
                  </w:tcBorders>
                  <w:vAlign w:val="center"/>
                </w:tcPr>
                <w:p w14:paraId="7987B26F">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w:t>
                  </w:r>
                </w:p>
              </w:tc>
              <w:tc>
                <w:tcPr>
                  <w:tcW w:w="569" w:type="pct"/>
                  <w:tcBorders>
                    <w:top w:val="single" w:color="auto" w:sz="4" w:space="0"/>
                    <w:left w:val="single" w:color="auto" w:sz="4" w:space="0"/>
                    <w:bottom w:val="single" w:color="auto" w:sz="4" w:space="0"/>
                    <w:right w:val="single" w:color="auto" w:sz="4" w:space="0"/>
                  </w:tcBorders>
                  <w:vAlign w:val="center"/>
                </w:tcPr>
                <w:p w14:paraId="37899D47">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92</w:t>
                  </w:r>
                </w:p>
              </w:tc>
              <w:tc>
                <w:tcPr>
                  <w:tcW w:w="500" w:type="pct"/>
                  <w:vMerge w:val="continue"/>
                  <w:tcBorders>
                    <w:left w:val="single" w:color="auto" w:sz="4" w:space="0"/>
                    <w:right w:val="single" w:color="auto" w:sz="4" w:space="0"/>
                  </w:tcBorders>
                  <w:vAlign w:val="center"/>
                </w:tcPr>
                <w:p w14:paraId="2048E43F">
                  <w:pPr>
                    <w:ind w:right="105" w:rightChars="50"/>
                    <w:jc w:val="center"/>
                    <w:rPr>
                      <w:rFonts w:ascii="Times New Roman" w:hAnsi="Times New Roman" w:eastAsia="宋体" w:cs="Times New Roman"/>
                      <w:color w:val="000000" w:themeColor="text1"/>
                      <w:szCs w:val="21"/>
                    </w:rPr>
                  </w:pPr>
                </w:p>
              </w:tc>
              <w:tc>
                <w:tcPr>
                  <w:tcW w:w="513" w:type="pct"/>
                  <w:tcBorders>
                    <w:top w:val="single" w:color="auto" w:sz="4" w:space="0"/>
                    <w:left w:val="single" w:color="auto" w:sz="4" w:space="0"/>
                    <w:right w:val="single" w:color="auto" w:sz="4" w:space="0"/>
                  </w:tcBorders>
                  <w:vAlign w:val="center"/>
                </w:tcPr>
                <w:p w14:paraId="54582255">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w:t>
                  </w:r>
                </w:p>
              </w:tc>
              <w:tc>
                <w:tcPr>
                  <w:tcW w:w="513" w:type="pct"/>
                  <w:tcBorders>
                    <w:top w:val="single" w:color="auto" w:sz="4" w:space="0"/>
                    <w:left w:val="single" w:color="auto" w:sz="4" w:space="0"/>
                    <w:right w:val="single" w:color="auto" w:sz="4" w:space="0"/>
                  </w:tcBorders>
                  <w:vAlign w:val="center"/>
                </w:tcPr>
                <w:p w14:paraId="1688F893">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9.5</w:t>
                  </w:r>
                </w:p>
              </w:tc>
              <w:tc>
                <w:tcPr>
                  <w:tcW w:w="513" w:type="pct"/>
                  <w:tcBorders>
                    <w:top w:val="single" w:color="auto" w:sz="4" w:space="0"/>
                    <w:left w:val="single" w:color="auto" w:sz="4" w:space="0"/>
                    <w:right w:val="single" w:color="auto" w:sz="4" w:space="0"/>
                  </w:tcBorders>
                  <w:vAlign w:val="center"/>
                </w:tcPr>
                <w:p w14:paraId="552C1FAF">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48</w:t>
                  </w:r>
                </w:p>
              </w:tc>
              <w:tc>
                <w:tcPr>
                  <w:tcW w:w="513" w:type="pct"/>
                  <w:tcBorders>
                    <w:top w:val="single" w:color="auto" w:sz="4" w:space="0"/>
                    <w:left w:val="single" w:color="auto" w:sz="4" w:space="0"/>
                    <w:right w:val="single" w:color="auto" w:sz="4" w:space="0"/>
                  </w:tcBorders>
                  <w:vAlign w:val="center"/>
                </w:tcPr>
                <w:p w14:paraId="31D867F2">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w:t>
                  </w:r>
                </w:p>
              </w:tc>
            </w:tr>
            <w:tr w14:paraId="5DF9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5" w:type="pct"/>
                  <w:tcBorders>
                    <w:top w:val="single" w:color="auto" w:sz="4" w:space="0"/>
                    <w:left w:val="single" w:color="auto" w:sz="4" w:space="0"/>
                    <w:bottom w:val="single" w:color="auto" w:sz="4" w:space="0"/>
                    <w:right w:val="single" w:color="auto" w:sz="4" w:space="0"/>
                  </w:tcBorders>
                  <w:vAlign w:val="center"/>
                </w:tcPr>
                <w:p w14:paraId="2EB16ABA">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3</w:t>
                  </w:r>
                </w:p>
              </w:tc>
              <w:tc>
                <w:tcPr>
                  <w:tcW w:w="918" w:type="pct"/>
                  <w:tcBorders>
                    <w:top w:val="single" w:color="auto" w:sz="4" w:space="0"/>
                    <w:left w:val="single" w:color="auto" w:sz="4" w:space="0"/>
                    <w:bottom w:val="single" w:color="auto" w:sz="4" w:space="0"/>
                    <w:right w:val="single" w:color="auto" w:sz="4" w:space="0"/>
                  </w:tcBorders>
                  <w:vAlign w:val="center"/>
                </w:tcPr>
                <w:p w14:paraId="14BF7C32">
                  <w:pPr>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甩干机N3</w:t>
                  </w:r>
                </w:p>
              </w:tc>
              <w:tc>
                <w:tcPr>
                  <w:tcW w:w="616" w:type="pct"/>
                  <w:tcBorders>
                    <w:top w:val="single" w:color="auto" w:sz="4" w:space="0"/>
                    <w:left w:val="single" w:color="auto" w:sz="4" w:space="0"/>
                    <w:bottom w:val="single" w:color="auto" w:sz="4" w:space="0"/>
                    <w:right w:val="single" w:color="auto" w:sz="4" w:space="0"/>
                  </w:tcBorders>
                  <w:vAlign w:val="center"/>
                </w:tcPr>
                <w:p w14:paraId="714B2ED4">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w:t>
                  </w:r>
                </w:p>
              </w:tc>
              <w:tc>
                <w:tcPr>
                  <w:tcW w:w="569" w:type="pct"/>
                  <w:tcBorders>
                    <w:top w:val="single" w:color="auto" w:sz="4" w:space="0"/>
                    <w:left w:val="single" w:color="auto" w:sz="4" w:space="0"/>
                    <w:bottom w:val="single" w:color="auto" w:sz="4" w:space="0"/>
                    <w:right w:val="single" w:color="auto" w:sz="4" w:space="0"/>
                  </w:tcBorders>
                  <w:vAlign w:val="center"/>
                </w:tcPr>
                <w:p w14:paraId="6C7F44F4">
                  <w:pPr>
                    <w:widowControl/>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Cs w:val="21"/>
                    </w:rPr>
                    <w:t>85</w:t>
                  </w:r>
                </w:p>
              </w:tc>
              <w:tc>
                <w:tcPr>
                  <w:tcW w:w="500" w:type="pct"/>
                  <w:vMerge w:val="continue"/>
                  <w:tcBorders>
                    <w:left w:val="single" w:color="auto" w:sz="4" w:space="0"/>
                    <w:right w:val="single" w:color="auto" w:sz="4" w:space="0"/>
                  </w:tcBorders>
                  <w:vAlign w:val="center"/>
                </w:tcPr>
                <w:p w14:paraId="07C1CA01">
                  <w:pPr>
                    <w:ind w:right="105" w:rightChars="50"/>
                    <w:jc w:val="center"/>
                    <w:rPr>
                      <w:rFonts w:ascii="Times New Roman" w:hAnsi="Times New Roman" w:eastAsia="宋体" w:cs="Times New Roman"/>
                      <w:color w:val="000000" w:themeColor="text1"/>
                      <w:szCs w:val="21"/>
                    </w:rPr>
                  </w:pPr>
                </w:p>
              </w:tc>
              <w:tc>
                <w:tcPr>
                  <w:tcW w:w="513" w:type="pct"/>
                  <w:tcBorders>
                    <w:left w:val="single" w:color="auto" w:sz="4" w:space="0"/>
                    <w:right w:val="single" w:color="auto" w:sz="4" w:space="0"/>
                  </w:tcBorders>
                  <w:vAlign w:val="center"/>
                </w:tcPr>
                <w:p w14:paraId="70414D13">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w:t>
                  </w:r>
                </w:p>
              </w:tc>
              <w:tc>
                <w:tcPr>
                  <w:tcW w:w="513" w:type="pct"/>
                  <w:tcBorders>
                    <w:left w:val="single" w:color="auto" w:sz="4" w:space="0"/>
                    <w:right w:val="single" w:color="auto" w:sz="4" w:space="0"/>
                  </w:tcBorders>
                  <w:vAlign w:val="center"/>
                </w:tcPr>
                <w:p w14:paraId="641B62EC">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9.5</w:t>
                  </w:r>
                </w:p>
              </w:tc>
              <w:tc>
                <w:tcPr>
                  <w:tcW w:w="513" w:type="pct"/>
                  <w:tcBorders>
                    <w:left w:val="single" w:color="auto" w:sz="4" w:space="0"/>
                    <w:right w:val="single" w:color="auto" w:sz="4" w:space="0"/>
                  </w:tcBorders>
                  <w:vAlign w:val="center"/>
                </w:tcPr>
                <w:p w14:paraId="2B9FD27D">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48</w:t>
                  </w:r>
                </w:p>
              </w:tc>
              <w:tc>
                <w:tcPr>
                  <w:tcW w:w="513" w:type="pct"/>
                  <w:tcBorders>
                    <w:left w:val="single" w:color="auto" w:sz="4" w:space="0"/>
                    <w:right w:val="single" w:color="auto" w:sz="4" w:space="0"/>
                  </w:tcBorders>
                  <w:vAlign w:val="center"/>
                </w:tcPr>
                <w:p w14:paraId="155DCB51">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w:t>
                  </w:r>
                </w:p>
              </w:tc>
            </w:tr>
            <w:tr w14:paraId="55FC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45" w:type="pct"/>
                  <w:tcBorders>
                    <w:top w:val="single" w:color="auto" w:sz="4" w:space="0"/>
                    <w:left w:val="single" w:color="auto" w:sz="4" w:space="0"/>
                    <w:bottom w:val="single" w:color="auto" w:sz="4" w:space="0"/>
                    <w:right w:val="single" w:color="auto" w:sz="4" w:space="0"/>
                  </w:tcBorders>
                  <w:vAlign w:val="center"/>
                </w:tcPr>
                <w:p w14:paraId="4E25FC51">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w:t>
                  </w:r>
                </w:p>
              </w:tc>
              <w:tc>
                <w:tcPr>
                  <w:tcW w:w="918" w:type="pct"/>
                  <w:tcBorders>
                    <w:top w:val="single" w:color="auto" w:sz="4" w:space="0"/>
                    <w:left w:val="single" w:color="auto" w:sz="4" w:space="0"/>
                    <w:bottom w:val="single" w:color="auto" w:sz="4" w:space="0"/>
                    <w:right w:val="single" w:color="auto" w:sz="4" w:space="0"/>
                  </w:tcBorders>
                  <w:vAlign w:val="center"/>
                </w:tcPr>
                <w:p w14:paraId="25B0334E">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噪声贡献值</w:t>
                  </w:r>
                </w:p>
              </w:tc>
              <w:tc>
                <w:tcPr>
                  <w:tcW w:w="616" w:type="pct"/>
                  <w:tcBorders>
                    <w:top w:val="single" w:color="auto" w:sz="4" w:space="0"/>
                    <w:left w:val="single" w:color="auto" w:sz="4" w:space="0"/>
                    <w:bottom w:val="single" w:color="auto" w:sz="4" w:space="0"/>
                    <w:right w:val="single" w:color="auto" w:sz="4" w:space="0"/>
                  </w:tcBorders>
                  <w:vAlign w:val="center"/>
                </w:tcPr>
                <w:p w14:paraId="5E632616">
                  <w:pPr>
                    <w:ind w:right="105" w:rightChars="5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w:t>
                  </w:r>
                </w:p>
              </w:tc>
              <w:tc>
                <w:tcPr>
                  <w:tcW w:w="569" w:type="pct"/>
                  <w:tcBorders>
                    <w:top w:val="single" w:color="auto" w:sz="4" w:space="0"/>
                    <w:left w:val="single" w:color="auto" w:sz="4" w:space="0"/>
                    <w:bottom w:val="single" w:color="auto" w:sz="4" w:space="0"/>
                    <w:right w:val="single" w:color="auto" w:sz="4" w:space="0"/>
                  </w:tcBorders>
                  <w:vAlign w:val="center"/>
                </w:tcPr>
                <w:p w14:paraId="6A3899AE">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94.67</w:t>
                  </w:r>
                </w:p>
              </w:tc>
              <w:tc>
                <w:tcPr>
                  <w:tcW w:w="500" w:type="pct"/>
                  <w:vMerge w:val="continue"/>
                  <w:tcBorders>
                    <w:left w:val="single" w:color="auto" w:sz="4" w:space="0"/>
                    <w:right w:val="single" w:color="auto" w:sz="4" w:space="0"/>
                  </w:tcBorders>
                  <w:vAlign w:val="center"/>
                </w:tcPr>
                <w:p w14:paraId="54506557">
                  <w:pPr>
                    <w:ind w:right="105" w:rightChars="50"/>
                    <w:jc w:val="center"/>
                    <w:rPr>
                      <w:rFonts w:ascii="Times New Roman" w:hAnsi="Times New Roman" w:eastAsia="宋体" w:cs="Times New Roman"/>
                      <w:color w:val="000000" w:themeColor="text1"/>
                      <w:szCs w:val="21"/>
                    </w:rPr>
                  </w:pPr>
                </w:p>
              </w:tc>
              <w:tc>
                <w:tcPr>
                  <w:tcW w:w="513" w:type="pct"/>
                  <w:tcBorders>
                    <w:left w:val="single" w:color="auto" w:sz="4" w:space="0"/>
                    <w:right w:val="single" w:color="auto" w:sz="4" w:space="0"/>
                  </w:tcBorders>
                  <w:vAlign w:val="center"/>
                </w:tcPr>
                <w:p w14:paraId="6A5FE825">
                  <w:pPr>
                    <w:ind w:right="105" w:rightChars="5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74.37</w:t>
                  </w:r>
                </w:p>
              </w:tc>
              <w:tc>
                <w:tcPr>
                  <w:tcW w:w="513" w:type="pct"/>
                  <w:tcBorders>
                    <w:left w:val="single" w:color="auto" w:sz="4" w:space="0"/>
                    <w:right w:val="single" w:color="auto" w:sz="4" w:space="0"/>
                  </w:tcBorders>
                  <w:vAlign w:val="center"/>
                </w:tcPr>
                <w:p w14:paraId="35409FA0">
                  <w:pPr>
                    <w:ind w:right="105" w:rightChars="5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73.9</w:t>
                  </w:r>
                </w:p>
              </w:tc>
              <w:tc>
                <w:tcPr>
                  <w:tcW w:w="513" w:type="pct"/>
                  <w:tcBorders>
                    <w:left w:val="single" w:color="auto" w:sz="4" w:space="0"/>
                    <w:right w:val="single" w:color="auto" w:sz="4" w:space="0"/>
                  </w:tcBorders>
                  <w:vAlign w:val="center"/>
                </w:tcPr>
                <w:p w14:paraId="33EF64A6">
                  <w:pPr>
                    <w:ind w:right="105" w:rightChars="5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59.83</w:t>
                  </w:r>
                </w:p>
              </w:tc>
              <w:tc>
                <w:tcPr>
                  <w:tcW w:w="513" w:type="pct"/>
                  <w:tcBorders>
                    <w:left w:val="single" w:color="auto" w:sz="4" w:space="0"/>
                    <w:right w:val="single" w:color="auto" w:sz="4" w:space="0"/>
                  </w:tcBorders>
                  <w:vAlign w:val="center"/>
                </w:tcPr>
                <w:p w14:paraId="0A955AEE">
                  <w:pPr>
                    <w:ind w:right="105" w:rightChars="50"/>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75.16</w:t>
                  </w:r>
                </w:p>
              </w:tc>
            </w:tr>
          </w:tbl>
          <w:p w14:paraId="29F8348B">
            <w:pPr>
              <w:keepNext/>
              <w:keepLines/>
              <w:ind w:left="105" w:leftChars="50" w:right="105" w:rightChars="50" w:firstLine="482"/>
              <w:jc w:val="center"/>
              <w:outlineLvl w:val="1"/>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表7-3  各厂界及保护目标噪声预测值（考虑</w:t>
            </w:r>
            <w:r>
              <w:rPr>
                <w:rFonts w:ascii="Cambria Math" w:hAnsi="Cambria Math" w:eastAsia="宋体" w:cs="Cambria Math"/>
                <w:color w:val="000000" w:themeColor="text1"/>
                <w:sz w:val="24"/>
              </w:rPr>
              <w:t>△</w:t>
            </w:r>
            <w:r>
              <w:rPr>
                <w:rFonts w:ascii="Times New Roman" w:hAnsi="Times New Roman" w:eastAsia="宋体" w:cs="Times New Roman"/>
                <w:color w:val="000000" w:themeColor="text1"/>
                <w:sz w:val="24"/>
              </w:rPr>
              <w:t>L</w:t>
            </w:r>
            <w:r>
              <w:rPr>
                <w:rFonts w:ascii="Times New Roman" w:hAnsi="Times New Roman" w:eastAsia="宋体" w:cs="Times New Roman"/>
                <w:b/>
                <w:bCs/>
                <w:color w:val="000000" w:themeColor="text1"/>
                <w:sz w:val="24"/>
              </w:rPr>
              <w:t xml:space="preserve">）  </w:t>
            </w:r>
            <w:r>
              <w:rPr>
                <w:rFonts w:ascii="Times New Roman" w:hAnsi="Times New Roman" w:eastAsia="宋体" w:cs="Times New Roman"/>
                <w:b/>
                <w:bCs/>
                <w:color w:val="000000" w:themeColor="text1"/>
                <w:kern w:val="44"/>
                <w:sz w:val="24"/>
              </w:rPr>
              <w:t>单位：dB(A)</w:t>
            </w:r>
          </w:p>
          <w:tbl>
            <w:tblPr>
              <w:tblStyle w:val="39"/>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1944"/>
              <w:gridCol w:w="15"/>
              <w:gridCol w:w="1746"/>
              <w:gridCol w:w="2011"/>
              <w:gridCol w:w="15"/>
              <w:gridCol w:w="1894"/>
            </w:tblGrid>
            <w:tr w14:paraId="3BED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shd w:val="clear" w:color="auto" w:fill="auto"/>
                  <w:vAlign w:val="center"/>
                </w:tcPr>
                <w:p w14:paraId="317CF8F2">
                  <w:pPr>
                    <w:keepNext/>
                    <w:keepLines/>
                    <w:adjustRightInd w:val="0"/>
                    <w:snapToGrid w:val="0"/>
                    <w:jc w:val="center"/>
                    <w:outlineLvl w:val="0"/>
                    <w:rPr>
                      <w:rFonts w:ascii="Times New Roman" w:hAnsi="Times New Roman" w:eastAsia="宋体" w:cs="Times New Roman"/>
                      <w:b/>
                      <w:color w:val="000000" w:themeColor="text1"/>
                      <w:kern w:val="44"/>
                      <w:szCs w:val="20"/>
                    </w:rPr>
                  </w:pPr>
                  <w:r>
                    <w:rPr>
                      <w:rFonts w:ascii="Times New Roman" w:hAnsi="Times New Roman" w:eastAsia="宋体" w:cs="Times New Roman"/>
                      <w:b/>
                      <w:color w:val="000000" w:themeColor="text1"/>
                      <w:kern w:val="44"/>
                      <w:szCs w:val="20"/>
                    </w:rPr>
                    <w:t>预测点</w:t>
                  </w:r>
                </w:p>
              </w:tc>
              <w:tc>
                <w:tcPr>
                  <w:tcW w:w="1019" w:type="pct"/>
                  <w:shd w:val="clear" w:color="auto" w:fill="auto"/>
                  <w:vAlign w:val="center"/>
                </w:tcPr>
                <w:p w14:paraId="0F853DFA">
                  <w:pPr>
                    <w:keepNext/>
                    <w:keepLines/>
                    <w:adjustRightInd w:val="0"/>
                    <w:snapToGrid w:val="0"/>
                    <w:jc w:val="center"/>
                    <w:outlineLvl w:val="0"/>
                    <w:rPr>
                      <w:rFonts w:ascii="Times New Roman" w:hAnsi="Times New Roman" w:eastAsia="宋体" w:cs="Times New Roman"/>
                      <w:b/>
                      <w:color w:val="000000" w:themeColor="text1"/>
                      <w:kern w:val="44"/>
                      <w:szCs w:val="20"/>
                    </w:rPr>
                  </w:pPr>
                  <w:r>
                    <w:rPr>
                      <w:rFonts w:ascii="Times New Roman" w:hAnsi="Times New Roman" w:eastAsia="宋体" w:cs="Times New Roman"/>
                      <w:b/>
                      <w:color w:val="000000" w:themeColor="text1"/>
                      <w:kern w:val="44"/>
                      <w:szCs w:val="20"/>
                    </w:rPr>
                    <w:t>背景值</w:t>
                  </w:r>
                </w:p>
              </w:tc>
              <w:tc>
                <w:tcPr>
                  <w:tcW w:w="923" w:type="pct"/>
                  <w:gridSpan w:val="2"/>
                  <w:shd w:val="clear" w:color="auto" w:fill="auto"/>
                  <w:vAlign w:val="center"/>
                </w:tcPr>
                <w:p w14:paraId="00D95C6F">
                  <w:pPr>
                    <w:keepNext/>
                    <w:keepLines/>
                    <w:adjustRightInd w:val="0"/>
                    <w:snapToGrid w:val="0"/>
                    <w:jc w:val="center"/>
                    <w:outlineLvl w:val="0"/>
                    <w:rPr>
                      <w:rFonts w:ascii="Times New Roman" w:hAnsi="Times New Roman" w:eastAsia="宋体" w:cs="Times New Roman"/>
                      <w:b/>
                      <w:color w:val="000000" w:themeColor="text1"/>
                      <w:kern w:val="44"/>
                      <w:szCs w:val="20"/>
                    </w:rPr>
                  </w:pPr>
                  <w:r>
                    <w:rPr>
                      <w:rFonts w:ascii="Times New Roman" w:hAnsi="Times New Roman" w:eastAsia="宋体" w:cs="Times New Roman"/>
                      <w:b/>
                      <w:color w:val="000000" w:themeColor="text1"/>
                      <w:kern w:val="44"/>
                      <w:szCs w:val="20"/>
                    </w:rPr>
                    <w:t>贡献值</w:t>
                  </w:r>
                </w:p>
              </w:tc>
              <w:tc>
                <w:tcPr>
                  <w:tcW w:w="1054" w:type="pct"/>
                </w:tcPr>
                <w:p w14:paraId="7AE2BCEA">
                  <w:pPr>
                    <w:keepNext/>
                    <w:keepLines/>
                    <w:adjustRightInd w:val="0"/>
                    <w:snapToGrid w:val="0"/>
                    <w:jc w:val="center"/>
                    <w:outlineLvl w:val="0"/>
                    <w:rPr>
                      <w:rFonts w:ascii="Times New Roman" w:hAnsi="Times New Roman" w:eastAsia="宋体" w:cs="Times New Roman"/>
                      <w:b/>
                      <w:color w:val="000000" w:themeColor="text1"/>
                      <w:kern w:val="44"/>
                      <w:szCs w:val="20"/>
                    </w:rPr>
                  </w:pPr>
                  <w:r>
                    <w:rPr>
                      <w:rFonts w:ascii="Times New Roman" w:hAnsi="Times New Roman" w:eastAsia="宋体" w:cs="Times New Roman"/>
                      <w:b/>
                      <w:color w:val="000000" w:themeColor="text1"/>
                      <w:kern w:val="44"/>
                      <w:szCs w:val="20"/>
                    </w:rPr>
                    <w:t>标准值</w:t>
                  </w:r>
                </w:p>
              </w:tc>
              <w:tc>
                <w:tcPr>
                  <w:tcW w:w="1001" w:type="pct"/>
                  <w:gridSpan w:val="2"/>
                </w:tcPr>
                <w:p w14:paraId="0134F73E">
                  <w:pPr>
                    <w:keepNext/>
                    <w:keepLines/>
                    <w:adjustRightInd w:val="0"/>
                    <w:snapToGrid w:val="0"/>
                    <w:jc w:val="center"/>
                    <w:outlineLvl w:val="0"/>
                    <w:rPr>
                      <w:rFonts w:ascii="Times New Roman" w:hAnsi="Times New Roman" w:eastAsia="宋体" w:cs="Times New Roman"/>
                      <w:b/>
                      <w:color w:val="000000" w:themeColor="text1"/>
                      <w:kern w:val="44"/>
                      <w:szCs w:val="20"/>
                    </w:rPr>
                  </w:pPr>
                  <w:r>
                    <w:rPr>
                      <w:rFonts w:ascii="Times New Roman" w:hAnsi="Times New Roman" w:eastAsia="宋体" w:cs="Times New Roman"/>
                      <w:b/>
                      <w:color w:val="000000" w:themeColor="text1"/>
                      <w:kern w:val="44"/>
                      <w:szCs w:val="20"/>
                    </w:rPr>
                    <w:t>达标情况</w:t>
                  </w:r>
                </w:p>
              </w:tc>
            </w:tr>
            <w:tr w14:paraId="698E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004" w:type="pct"/>
                  <w:shd w:val="clear" w:color="auto" w:fill="auto"/>
                  <w:vAlign w:val="center"/>
                </w:tcPr>
                <w:p w14:paraId="21280A04">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东</w:t>
                  </w:r>
                </w:p>
              </w:tc>
              <w:tc>
                <w:tcPr>
                  <w:tcW w:w="1027" w:type="pct"/>
                  <w:gridSpan w:val="2"/>
                  <w:shd w:val="clear" w:color="auto" w:fill="auto"/>
                  <w:vAlign w:val="center"/>
                </w:tcPr>
                <w:p w14:paraId="4FC27B7F">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昼间</w:t>
                  </w:r>
                </w:p>
              </w:tc>
              <w:tc>
                <w:tcPr>
                  <w:tcW w:w="915" w:type="pct"/>
                  <w:shd w:val="clear" w:color="auto" w:fill="auto"/>
                  <w:vAlign w:val="center"/>
                </w:tcPr>
                <w:p w14:paraId="16E6F1B2">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hint="eastAsia" w:ascii="Times New Roman" w:hAnsi="Times New Roman" w:eastAsia="宋体" w:cs="Times New Roman"/>
                      <w:color w:val="000000" w:themeColor="text1"/>
                      <w:kern w:val="44"/>
                      <w:szCs w:val="20"/>
                    </w:rPr>
                    <w:t>58.37</w:t>
                  </w:r>
                </w:p>
              </w:tc>
              <w:tc>
                <w:tcPr>
                  <w:tcW w:w="1062" w:type="pct"/>
                  <w:gridSpan w:val="2"/>
                </w:tcPr>
                <w:p w14:paraId="7D54BFAA">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60</w:t>
                  </w:r>
                </w:p>
              </w:tc>
              <w:tc>
                <w:tcPr>
                  <w:tcW w:w="993" w:type="pct"/>
                </w:tcPr>
                <w:p w14:paraId="25F4F894">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达标</w:t>
                  </w:r>
                </w:p>
              </w:tc>
            </w:tr>
            <w:tr w14:paraId="1C5B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shd w:val="clear" w:color="auto" w:fill="auto"/>
                  <w:vAlign w:val="center"/>
                </w:tcPr>
                <w:p w14:paraId="60CD2585">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南</w:t>
                  </w:r>
                </w:p>
              </w:tc>
              <w:tc>
                <w:tcPr>
                  <w:tcW w:w="1027" w:type="pct"/>
                  <w:gridSpan w:val="2"/>
                  <w:shd w:val="clear" w:color="auto" w:fill="auto"/>
                  <w:vAlign w:val="center"/>
                </w:tcPr>
                <w:p w14:paraId="0FA1D4EA">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昼间</w:t>
                  </w:r>
                </w:p>
              </w:tc>
              <w:tc>
                <w:tcPr>
                  <w:tcW w:w="915" w:type="pct"/>
                  <w:shd w:val="clear" w:color="auto" w:fill="auto"/>
                  <w:vAlign w:val="center"/>
                </w:tcPr>
                <w:p w14:paraId="56D73AC4">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hint="eastAsia" w:ascii="Times New Roman" w:hAnsi="Times New Roman" w:eastAsia="宋体" w:cs="Times New Roman"/>
                      <w:color w:val="000000" w:themeColor="text1"/>
                      <w:kern w:val="44"/>
                      <w:szCs w:val="20"/>
                    </w:rPr>
                    <w:t>57.9</w:t>
                  </w:r>
                </w:p>
              </w:tc>
              <w:tc>
                <w:tcPr>
                  <w:tcW w:w="1062" w:type="pct"/>
                  <w:gridSpan w:val="2"/>
                </w:tcPr>
                <w:p w14:paraId="7FD761A9">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60</w:t>
                  </w:r>
                </w:p>
              </w:tc>
              <w:tc>
                <w:tcPr>
                  <w:tcW w:w="993" w:type="pct"/>
                </w:tcPr>
                <w:p w14:paraId="7C8A686B">
                  <w:pPr>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达标</w:t>
                  </w:r>
                </w:p>
              </w:tc>
            </w:tr>
            <w:tr w14:paraId="5956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shd w:val="clear" w:color="auto" w:fill="auto"/>
                  <w:vAlign w:val="center"/>
                </w:tcPr>
                <w:p w14:paraId="75E15EF0">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西</w:t>
                  </w:r>
                </w:p>
              </w:tc>
              <w:tc>
                <w:tcPr>
                  <w:tcW w:w="1027" w:type="pct"/>
                  <w:gridSpan w:val="2"/>
                  <w:shd w:val="clear" w:color="auto" w:fill="auto"/>
                  <w:vAlign w:val="center"/>
                </w:tcPr>
                <w:p w14:paraId="252B60ED">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昼间</w:t>
                  </w:r>
                </w:p>
              </w:tc>
              <w:tc>
                <w:tcPr>
                  <w:tcW w:w="915" w:type="pct"/>
                  <w:shd w:val="clear" w:color="auto" w:fill="auto"/>
                  <w:vAlign w:val="center"/>
                </w:tcPr>
                <w:p w14:paraId="6E053CD9">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hint="eastAsia" w:ascii="Times New Roman" w:hAnsi="Times New Roman" w:eastAsia="宋体" w:cs="Times New Roman"/>
                      <w:color w:val="000000" w:themeColor="text1"/>
                      <w:kern w:val="44"/>
                      <w:szCs w:val="20"/>
                    </w:rPr>
                    <w:t>43.83</w:t>
                  </w:r>
                </w:p>
              </w:tc>
              <w:tc>
                <w:tcPr>
                  <w:tcW w:w="1062" w:type="pct"/>
                  <w:gridSpan w:val="2"/>
                </w:tcPr>
                <w:p w14:paraId="14D75645">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60</w:t>
                  </w:r>
                </w:p>
              </w:tc>
              <w:tc>
                <w:tcPr>
                  <w:tcW w:w="993" w:type="pct"/>
                </w:tcPr>
                <w:p w14:paraId="660C3FE9">
                  <w:pPr>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达标</w:t>
                  </w:r>
                </w:p>
              </w:tc>
            </w:tr>
            <w:tr w14:paraId="0799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shd w:val="clear" w:color="auto" w:fill="auto"/>
                  <w:vAlign w:val="center"/>
                </w:tcPr>
                <w:p w14:paraId="6EC197F4">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北</w:t>
                  </w:r>
                </w:p>
              </w:tc>
              <w:tc>
                <w:tcPr>
                  <w:tcW w:w="1027" w:type="pct"/>
                  <w:gridSpan w:val="2"/>
                  <w:shd w:val="clear" w:color="auto" w:fill="auto"/>
                  <w:vAlign w:val="center"/>
                </w:tcPr>
                <w:p w14:paraId="1E5DB6EE">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昼间</w:t>
                  </w:r>
                </w:p>
              </w:tc>
              <w:tc>
                <w:tcPr>
                  <w:tcW w:w="915" w:type="pct"/>
                  <w:shd w:val="clear" w:color="auto" w:fill="auto"/>
                  <w:vAlign w:val="center"/>
                </w:tcPr>
                <w:p w14:paraId="4A555F77">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hint="eastAsia" w:ascii="Times New Roman" w:hAnsi="Times New Roman" w:eastAsia="宋体" w:cs="Times New Roman"/>
                      <w:color w:val="000000" w:themeColor="text1"/>
                      <w:kern w:val="44"/>
                      <w:szCs w:val="20"/>
                    </w:rPr>
                    <w:t>59.16</w:t>
                  </w:r>
                </w:p>
              </w:tc>
              <w:tc>
                <w:tcPr>
                  <w:tcW w:w="1062" w:type="pct"/>
                  <w:gridSpan w:val="2"/>
                </w:tcPr>
                <w:p w14:paraId="338D802A">
                  <w:pPr>
                    <w:keepNext/>
                    <w:keepLines/>
                    <w:adjustRightInd w:val="0"/>
                    <w:snapToGrid w:val="0"/>
                    <w:jc w:val="center"/>
                    <w:outlineLvl w:val="0"/>
                    <w:rPr>
                      <w:rFonts w:ascii="Times New Roman" w:hAnsi="Times New Roman" w:eastAsia="宋体" w:cs="Times New Roman"/>
                      <w:color w:val="000000" w:themeColor="text1"/>
                      <w:kern w:val="44"/>
                      <w:szCs w:val="20"/>
                    </w:rPr>
                  </w:pPr>
                  <w:r>
                    <w:rPr>
                      <w:rFonts w:ascii="Times New Roman" w:hAnsi="Times New Roman" w:eastAsia="宋体" w:cs="Times New Roman"/>
                      <w:color w:val="000000" w:themeColor="text1"/>
                      <w:kern w:val="44"/>
                      <w:szCs w:val="20"/>
                    </w:rPr>
                    <w:t>60</w:t>
                  </w:r>
                </w:p>
              </w:tc>
              <w:tc>
                <w:tcPr>
                  <w:tcW w:w="993" w:type="pct"/>
                </w:tcPr>
                <w:p w14:paraId="49D47619">
                  <w:pPr>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达标</w:t>
                  </w:r>
                </w:p>
              </w:tc>
            </w:tr>
          </w:tbl>
          <w:p w14:paraId="3782B538">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color w:val="000000" w:themeColor="text1"/>
                <w:sz w:val="24"/>
                <w:szCs w:val="22"/>
              </w:rPr>
            </w:pPr>
            <w:r>
              <w:rPr>
                <w:rFonts w:ascii="Times New Roman" w:hAnsi="Times New Roman" w:eastAsia="宋体" w:cs="Times New Roman"/>
                <w:b/>
                <w:bCs/>
                <w:color w:val="000000" w:themeColor="text1"/>
                <w:sz w:val="24"/>
                <w:szCs w:val="22"/>
              </w:rPr>
              <w:t>（1）厂界达标分析</w:t>
            </w:r>
          </w:p>
          <w:p w14:paraId="5645DDC3">
            <w:pPr>
              <w:keepNext/>
              <w:keepLines/>
              <w:snapToGrid w:val="0"/>
              <w:spacing w:line="360" w:lineRule="auto"/>
              <w:ind w:left="105" w:leftChars="50" w:right="105" w:rightChars="50" w:firstLine="480" w:firstLineChars="200"/>
              <w:outlineLvl w:val="1"/>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根据上表预测结果，项目厂界昼间四周噪声能满足GB12348-2008《工业企业厂界环境噪声排放标准》中2类标准。</w:t>
            </w:r>
          </w:p>
          <w:p w14:paraId="5EAB4269">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项目仅白天运行，夜间不运行，且此类噪声具有短暂性和间歇性特点，且随着操作的停止而消失。</w:t>
            </w:r>
          </w:p>
          <w:p w14:paraId="71C8E2FA">
            <w:pPr>
              <w:keepNext/>
              <w:keepLines/>
              <w:adjustRightInd w:val="0"/>
              <w:snapToGrid w:val="0"/>
              <w:spacing w:line="360" w:lineRule="auto"/>
              <w:ind w:firstLine="482" w:firstLineChars="200"/>
              <w:jc w:val="left"/>
              <w:outlineLvl w:val="0"/>
              <w:rPr>
                <w:rFonts w:ascii="Times New Roman" w:hAnsi="Times New Roman" w:eastAsia="宋体" w:cs="Times New Roman"/>
                <w:b/>
                <w:bCs/>
                <w:color w:val="000000" w:themeColor="text1"/>
                <w:sz w:val="24"/>
                <w:szCs w:val="22"/>
              </w:rPr>
            </w:pPr>
            <w:r>
              <w:rPr>
                <w:rFonts w:ascii="Times New Roman" w:hAnsi="Times New Roman" w:eastAsia="宋体" w:cs="Times New Roman"/>
                <w:b/>
                <w:bCs/>
                <w:color w:val="000000" w:themeColor="text1"/>
                <w:sz w:val="24"/>
                <w:szCs w:val="22"/>
              </w:rPr>
              <w:t>（2）保护目标预测分析</w:t>
            </w:r>
          </w:p>
          <w:p w14:paraId="0C7AAEE4">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项目区500m范围内无声环境敏感点，厂界昼间能满足GB3096-2008《声环境质量标准》2类标准。</w:t>
            </w:r>
          </w:p>
          <w:p w14:paraId="62F3D476">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综上，项目的建设，不会降低周边声环境功能区质量。</w:t>
            </w:r>
          </w:p>
          <w:p w14:paraId="459690D2">
            <w:pPr>
              <w:adjustRightInd w:val="0"/>
              <w:snapToGrid w:val="0"/>
              <w:spacing w:line="360" w:lineRule="auto"/>
              <w:ind w:firstLine="482" w:firstLineChars="200"/>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（3）措施</w:t>
            </w:r>
          </w:p>
          <w:p w14:paraId="564C7F1A">
            <w:pPr>
              <w:adjustRightInd w:val="0"/>
              <w:snapToGrid w:val="0"/>
              <w:spacing w:line="360" w:lineRule="auto"/>
              <w:ind w:firstLine="480" w:firstLineChars="200"/>
              <w:rPr>
                <w:rFonts w:ascii="Times New Roman" w:hAnsi="Times New Roman" w:eastAsia="宋体" w:cs="Times New Roman"/>
                <w:snapToGrid w:val="0"/>
                <w:color w:val="000000" w:themeColor="text1"/>
                <w:kern w:val="0"/>
                <w:sz w:val="24"/>
              </w:rPr>
            </w:pPr>
            <w:r>
              <w:rPr>
                <w:rFonts w:ascii="Times New Roman" w:hAnsi="Times New Roman" w:eastAsia="宋体" w:cs="Times New Roman"/>
                <w:snapToGrid w:val="0"/>
                <w:color w:val="000000" w:themeColor="text1"/>
                <w:kern w:val="0"/>
                <w:sz w:val="24"/>
              </w:rPr>
              <w:t>为进一步降低运营期间噪声对周边环境的影响，本环评报告要求建设单位在运营期采取以下措施：</w:t>
            </w:r>
          </w:p>
          <w:p w14:paraId="0928A73D">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①</w:t>
            </w:r>
            <w:r>
              <w:rPr>
                <w:rFonts w:ascii="Times New Roman" w:hAnsi="Times New Roman" w:eastAsia="宋体" w:cs="Times New Roman"/>
                <w:color w:val="000000" w:themeColor="text1"/>
                <w:sz w:val="24"/>
              </w:rPr>
              <w:t>选用低噪声设备，且设备应定期维护保养，避免设备噪声增大。</w:t>
            </w:r>
          </w:p>
          <w:p w14:paraId="627D17F5">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②</w:t>
            </w:r>
            <w:r>
              <w:rPr>
                <w:rFonts w:ascii="Times New Roman" w:hAnsi="Times New Roman" w:eastAsia="宋体" w:cs="Times New Roman"/>
                <w:color w:val="000000" w:themeColor="text1"/>
                <w:sz w:val="24"/>
              </w:rPr>
              <w:t>进入项目区内的运输车辆应减速并禁止鸣笛。</w:t>
            </w:r>
          </w:p>
          <w:p w14:paraId="23095632">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③</w:t>
            </w:r>
            <w:r>
              <w:rPr>
                <w:rFonts w:ascii="Times New Roman" w:hAnsi="Times New Roman" w:eastAsia="宋体" w:cs="Times New Roman"/>
                <w:color w:val="000000" w:themeColor="text1"/>
                <w:sz w:val="24"/>
              </w:rPr>
              <w:t>在生产过程中如若噪声对周边居民造成影响，应进行积极整改。</w:t>
            </w:r>
          </w:p>
          <w:p w14:paraId="3FBF791F">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hint="eastAsia" w:ascii="宋体" w:hAnsi="宋体" w:eastAsia="宋体" w:cs="宋体"/>
                <w:snapToGrid w:val="0"/>
                <w:color w:val="000000" w:themeColor="text1"/>
                <w:kern w:val="0"/>
                <w:sz w:val="24"/>
                <w:szCs w:val="20"/>
              </w:rPr>
              <w:t>④</w:t>
            </w:r>
            <w:r>
              <w:rPr>
                <w:rFonts w:ascii="Times New Roman" w:hAnsi="Times New Roman" w:eastAsia="宋体" w:cs="Times New Roman"/>
                <w:snapToGrid w:val="0"/>
                <w:color w:val="000000" w:themeColor="text1"/>
                <w:kern w:val="0"/>
                <w:sz w:val="24"/>
                <w:szCs w:val="20"/>
              </w:rPr>
              <w:t>生产设备均设置于生产车间内，生产设备安装减震垫。</w:t>
            </w:r>
          </w:p>
          <w:p w14:paraId="6E79D815">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4、固体废弃物对环境的影响分析</w:t>
            </w:r>
          </w:p>
          <w:p w14:paraId="07413B42">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根据表五工程分析，项目生产过程中产生的固体废物主要一般固废和生活垃圾；</w:t>
            </w:r>
          </w:p>
          <w:p w14:paraId="15183A57">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（1）一般固废</w:t>
            </w:r>
          </w:p>
          <w:p w14:paraId="7C70A826">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项目运营期一般工业固废主要为拆包、人工分选杂物（S1）、剥离废标签纸（S2）、</w:t>
            </w:r>
            <w:r>
              <w:rPr>
                <w:rFonts w:hint="eastAsia" w:ascii="Times New Roman" w:hAnsi="Times New Roman" w:eastAsia="宋体" w:cs="Times New Roman"/>
                <w:snapToGrid w:val="0"/>
                <w:color w:val="000000" w:themeColor="text1"/>
                <w:kern w:val="0"/>
                <w:sz w:val="24"/>
                <w:szCs w:val="20"/>
              </w:rPr>
              <w:t>沉淀池</w:t>
            </w:r>
            <w:r>
              <w:rPr>
                <w:rFonts w:ascii="Times New Roman" w:hAnsi="Times New Roman" w:eastAsia="宋体" w:cs="Times New Roman"/>
                <w:snapToGrid w:val="0"/>
                <w:color w:val="000000" w:themeColor="text1"/>
                <w:kern w:val="0"/>
                <w:sz w:val="24"/>
                <w:szCs w:val="20"/>
              </w:rPr>
              <w:t>污泥。</w:t>
            </w:r>
          </w:p>
          <w:p w14:paraId="66D543C8">
            <w:pPr>
              <w:spacing w:line="360" w:lineRule="auto"/>
              <w:ind w:firstLine="480" w:firstLineChars="20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拆包、人工分选杂物</w:t>
            </w:r>
            <w:r>
              <w:rPr>
                <w:rFonts w:hint="eastAsia" w:ascii="Times New Roman" w:hAnsi="Times New Roman" w:cs="Times New Roman"/>
                <w:color w:val="000000" w:themeColor="text1"/>
                <w:kern w:val="0"/>
                <w:sz w:val="24"/>
              </w:rPr>
              <w:t>分类收集后，一部分外卖，其余运至芒市生活垃圾填埋场</w:t>
            </w:r>
            <w:r>
              <w:rPr>
                <w:rFonts w:ascii="Times New Roman" w:hAnsi="Times New Roman" w:cs="Times New Roman"/>
                <w:color w:val="000000" w:themeColor="text1"/>
                <w:kern w:val="0"/>
                <w:sz w:val="24"/>
              </w:rPr>
              <w:t>，禁止随意丢弃</w:t>
            </w:r>
            <w:r>
              <w:rPr>
                <w:rFonts w:hint="eastAsia" w:ascii="Times New Roman" w:hAnsi="Times New Roman" w:cs="Times New Roman"/>
                <w:color w:val="000000" w:themeColor="text1"/>
                <w:kern w:val="0"/>
                <w:sz w:val="24"/>
              </w:rPr>
              <w:t>；</w:t>
            </w:r>
            <w:r>
              <w:rPr>
                <w:rFonts w:ascii="Times New Roman" w:hAnsi="Times New Roman" w:cs="Times New Roman"/>
                <w:color w:val="000000" w:themeColor="text1"/>
                <w:kern w:val="0"/>
                <w:sz w:val="24"/>
              </w:rPr>
              <w:t>剥离废标签纸</w:t>
            </w:r>
            <w:r>
              <w:rPr>
                <w:rFonts w:hint="eastAsia" w:ascii="Times New Roman" w:hAnsi="Times New Roman" w:cs="Times New Roman"/>
                <w:color w:val="000000" w:themeColor="text1"/>
                <w:sz w:val="24"/>
              </w:rPr>
              <w:t>外卖处理；</w:t>
            </w:r>
            <w:r>
              <w:rPr>
                <w:rFonts w:hint="eastAsia" w:ascii="Times New Roman" w:hAnsi="Times New Roman" w:cs="Times New Roman"/>
                <w:color w:val="000000" w:themeColor="text1"/>
                <w:kern w:val="0"/>
                <w:sz w:val="24"/>
              </w:rPr>
              <w:t>沉淀池</w:t>
            </w:r>
            <w:r>
              <w:rPr>
                <w:rFonts w:ascii="Times New Roman" w:hAnsi="Times New Roman" w:cs="Times New Roman"/>
                <w:color w:val="000000" w:themeColor="text1"/>
                <w:kern w:val="0"/>
                <w:sz w:val="24"/>
              </w:rPr>
              <w:t>污泥</w:t>
            </w:r>
            <w:r>
              <w:rPr>
                <w:rFonts w:ascii="Times New Roman" w:hAnsi="Times New Roman" w:cs="Times New Roman"/>
                <w:color w:val="000000" w:themeColor="text1"/>
                <w:sz w:val="24"/>
              </w:rPr>
              <w:t>外运至垃圾填埋场处理</w:t>
            </w:r>
            <w:r>
              <w:rPr>
                <w:rFonts w:hint="eastAsia" w:ascii="Times New Roman" w:hAnsi="Times New Roman" w:cs="Times New Roman"/>
                <w:color w:val="000000" w:themeColor="text1"/>
                <w:sz w:val="24"/>
              </w:rPr>
              <w:t>；</w:t>
            </w:r>
            <w:r>
              <w:rPr>
                <w:rFonts w:hint="eastAsia" w:ascii="Times New Roman" w:hAnsi="Times New Roman" w:cs="Times New Roman"/>
                <w:color w:val="000000" w:themeColor="text1"/>
                <w:kern w:val="0"/>
                <w:sz w:val="24"/>
              </w:rPr>
              <w:t>隔油池废油</w:t>
            </w:r>
            <w:r>
              <w:rPr>
                <w:rFonts w:hint="eastAsia" w:ascii="Times New Roman" w:hAnsi="Times New Roman" w:cs="Times New Roman"/>
                <w:color w:val="000000" w:themeColor="text1"/>
                <w:sz w:val="24"/>
              </w:rPr>
              <w:t>交由有资质的单位进行处置。</w:t>
            </w:r>
          </w:p>
          <w:p w14:paraId="0D89451A">
            <w:pPr>
              <w:spacing w:line="360" w:lineRule="auto"/>
              <w:ind w:firstLine="480" w:firstLineChars="200"/>
              <w:jc w:val="left"/>
              <w:rPr>
                <w:rFonts w:ascii="Times New Roman" w:hAnsi="Times New Roman" w:cs="Times New Roman"/>
                <w:color w:val="000000" w:themeColor="text1"/>
                <w:kern w:val="0"/>
                <w:sz w:val="24"/>
              </w:rPr>
            </w:pPr>
          </w:p>
          <w:p w14:paraId="1CBF9333">
            <w:pPr>
              <w:spacing w:line="360" w:lineRule="auto"/>
              <w:ind w:firstLine="482" w:firstLineChars="200"/>
              <w:rPr>
                <w:rFonts w:ascii="Times New Roman" w:hAnsi="Times New Roman" w:cs="Times New Roman"/>
                <w:color w:val="000000" w:themeColor="text1"/>
                <w:kern w:val="0"/>
                <w:sz w:val="24"/>
              </w:rPr>
            </w:pPr>
            <w:r>
              <w:rPr>
                <w:rFonts w:ascii="Times New Roman" w:hAnsi="Times New Roman" w:cs="Times New Roman"/>
                <w:b/>
                <w:color w:val="000000" w:themeColor="text1"/>
                <w:kern w:val="0"/>
                <w:sz w:val="24"/>
              </w:rPr>
              <w:t>一般固废堆存间建设要求：</w:t>
            </w:r>
            <w:r>
              <w:rPr>
                <w:rFonts w:ascii="Times New Roman" w:hAnsi="Times New Roman" w:cs="Times New Roman"/>
                <w:color w:val="000000" w:themeColor="text1"/>
                <w:kern w:val="0"/>
                <w:sz w:val="24"/>
              </w:rPr>
              <w:t>建设单位应按照《一般工业固体废物贮存、处置场污染控制标准》(GB18599-2001)的相关要求建立固体废物临时的堆放场地，不得随处堆放。临时堆放的地面与裙角要用竖固、防渗的建筑材料建造，基础必须防渗，应设计建造径流疏导系统，保证暴雨不会流到临时堆放的场所。临时堆放场所要防风、防雨、防晒，周围应设置围墙并做好密闭处理，禁止生活垃圾混入。</w:t>
            </w:r>
          </w:p>
          <w:p w14:paraId="0F16326C">
            <w:pPr>
              <w:adjustRightInd w:val="0"/>
              <w:spacing w:line="360" w:lineRule="auto"/>
              <w:ind w:firstLine="482" w:firstLineChars="200"/>
              <w:rPr>
                <w:rFonts w:ascii="Times New Roman" w:hAnsi="Times New Roman" w:eastAsia="宋体" w:cs="Times New Roman"/>
                <w:b/>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（2）生活垃圾</w:t>
            </w:r>
          </w:p>
          <w:p w14:paraId="2F3AA200">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运营期产生的生活垃圾经统一收集后，由建设方运输至就近</w:t>
            </w:r>
            <w:r>
              <w:rPr>
                <w:rFonts w:ascii="Times New Roman" w:hAnsi="Times New Roman" w:eastAsia="宋体" w:cs="Times New Roman"/>
                <w:bCs/>
                <w:snapToGrid w:val="0"/>
                <w:color w:val="000000" w:themeColor="text1"/>
                <w:kern w:val="0"/>
                <w:sz w:val="24"/>
                <w:szCs w:val="20"/>
              </w:rPr>
              <w:t>当连村</w:t>
            </w:r>
            <w:r>
              <w:rPr>
                <w:rFonts w:ascii="Times New Roman" w:hAnsi="Times New Roman" w:eastAsia="宋体" w:cs="Times New Roman"/>
                <w:snapToGrid w:val="0"/>
                <w:color w:val="000000" w:themeColor="text1"/>
                <w:kern w:val="0"/>
                <w:sz w:val="24"/>
                <w:szCs w:val="20"/>
              </w:rPr>
              <w:t>垃圾收集点处置。</w:t>
            </w:r>
          </w:p>
          <w:p w14:paraId="533D30ED">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综上，建设项目产生的固体废弃物100%得到了妥善处置，不向外环境排放，不会对环境产生有害影响。</w:t>
            </w:r>
          </w:p>
          <w:p w14:paraId="19A10506">
            <w:pPr>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5、环境风险分析</w:t>
            </w:r>
          </w:p>
          <w:p w14:paraId="1B97C5FE">
            <w:pPr>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环境风险评价的任务是充分考虑与建设项目有联系的突发性事故，对环境带来较大影响的可能性和危害性。通过对建设项目进行环境风险识别及源项可能引起的后果影响，提出风险管理</w:t>
            </w:r>
            <w:r>
              <w:rPr>
                <w:rFonts w:hint="eastAsia" w:ascii="Times New Roman" w:hAnsi="Times New Roman" w:eastAsia="宋体" w:cs="Times New Roman"/>
                <w:color w:val="000000" w:themeColor="text1"/>
                <w:sz w:val="24"/>
                <w:lang w:eastAsia="zh-CN"/>
              </w:rPr>
              <w:t>的</w:t>
            </w:r>
            <w:r>
              <w:rPr>
                <w:rFonts w:ascii="Times New Roman" w:hAnsi="Times New Roman" w:eastAsia="宋体" w:cs="Times New Roman"/>
                <w:color w:val="000000" w:themeColor="text1"/>
                <w:sz w:val="24"/>
              </w:rPr>
              <w:t>具体方法及事故减缓防范及应急措施。</w:t>
            </w:r>
          </w:p>
          <w:p w14:paraId="207465E7">
            <w:pPr>
              <w:spacing w:line="360" w:lineRule="auto"/>
              <w:ind w:firstLine="482" w:firstLineChars="200"/>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（1） 环境风险识别</w:t>
            </w:r>
          </w:p>
          <w:p w14:paraId="49AE5916">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项目主要原料为</w:t>
            </w:r>
            <w:r>
              <w:rPr>
                <w:rFonts w:ascii="Times New Roman" w:hAnsi="Times New Roman" w:cs="Times New Roman"/>
                <w:bCs/>
                <w:color w:val="000000" w:themeColor="text1"/>
                <w:sz w:val="24"/>
              </w:rPr>
              <w:t>塑料瓶等</w:t>
            </w:r>
            <w:r>
              <w:rPr>
                <w:rFonts w:ascii="Times New Roman" w:hAnsi="Times New Roman" w:cs="Times New Roman"/>
                <w:color w:val="000000" w:themeColor="text1"/>
                <w:sz w:val="24"/>
              </w:rPr>
              <w:t>，原材料无危险性，但在操作、管理不善遇明火的情况下有可能导致火灾，导致厂区财产及员工生命受到威胁。</w:t>
            </w:r>
          </w:p>
          <w:p w14:paraId="67277973">
            <w:pPr>
              <w:spacing w:line="360" w:lineRule="auto"/>
              <w:ind w:firstLine="482" w:firstLineChars="200"/>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（2）重大危险源辨识</w:t>
            </w:r>
          </w:p>
          <w:p w14:paraId="1B47A778">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项目在生产过程中使用的主要原材料无有毒有害或危险化学品，未被列入《危险化学品重大危险源辨识》 （GB18218-2009）目录。即项目厂区内不构成重大危险源。</w:t>
            </w:r>
          </w:p>
          <w:p w14:paraId="24CED6D1">
            <w:pPr>
              <w:spacing w:line="360" w:lineRule="auto"/>
              <w:ind w:firstLine="482" w:firstLineChars="200"/>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（3） 风险识别</w:t>
            </w:r>
          </w:p>
          <w:p w14:paraId="6A99A09B">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项目各类生产单元，如生产车间、成品仓库，其主要危险、有害因素均为火灾。</w:t>
            </w:r>
          </w:p>
          <w:p w14:paraId="7F338B01">
            <w:pPr>
              <w:spacing w:line="360" w:lineRule="auto"/>
              <w:ind w:firstLine="482" w:firstLineChars="200"/>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（4）风险影响分析</w:t>
            </w:r>
          </w:p>
          <w:p w14:paraId="75A00D6A">
            <w:pPr>
              <w:spacing w:line="360" w:lineRule="auto"/>
              <w:ind w:firstLine="480" w:firstLineChars="200"/>
              <w:jc w:val="left"/>
              <w:rPr>
                <w:rFonts w:ascii="Times New Roman" w:hAnsi="Times New Roman" w:cs="Times New Roman"/>
                <w:color w:val="000000" w:themeColor="text1"/>
                <w:sz w:val="24"/>
              </w:rPr>
            </w:pPr>
            <w:r>
              <w:rPr>
                <w:rFonts w:hint="eastAsia" w:ascii="宋体" w:hAnsi="宋体" w:eastAsia="宋体" w:cs="宋体"/>
                <w:color w:val="000000" w:themeColor="text1"/>
                <w:sz w:val="24"/>
              </w:rPr>
              <w:t>①</w:t>
            </w:r>
            <w:r>
              <w:rPr>
                <w:rFonts w:ascii="Times New Roman" w:hAnsi="Times New Roman" w:cs="Times New Roman"/>
                <w:color w:val="000000" w:themeColor="text1"/>
                <w:sz w:val="24"/>
              </w:rPr>
              <w:t>火灾事故</w:t>
            </w:r>
          </w:p>
          <w:p w14:paraId="6E408F86">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项目生产过程中使用的废塑料当遇见明火或高温时易发生火灾事故，火灾会带来生产设施的重大破坏和人员伤亡，火灾是在起火后火势逐渐蔓延扩大，随着时间的延续，损失数量迅速增长，损失大约与时间的平方成正比，如火灾时间延长一倍，损失可能增加 4 倍，同时，在火灾过程中，废塑料的燃烧会产生有毒有害气体，造成次生污染，从而对周围环境空气造成污染以及人员健康造成伤害。</w:t>
            </w:r>
          </w:p>
          <w:p w14:paraId="0B8E1794">
            <w:pPr>
              <w:spacing w:line="360" w:lineRule="auto"/>
              <w:ind w:firstLine="480" w:firstLineChars="200"/>
              <w:jc w:val="left"/>
              <w:rPr>
                <w:rFonts w:ascii="Times New Roman" w:hAnsi="Times New Roman" w:cs="Times New Roman"/>
                <w:color w:val="000000" w:themeColor="text1"/>
                <w:sz w:val="24"/>
              </w:rPr>
            </w:pPr>
            <w:r>
              <w:rPr>
                <w:rFonts w:ascii="Times New Roman" w:hAnsi="Times New Roman" w:cs="Times New Roman"/>
                <w:color w:val="000000" w:themeColor="text1"/>
                <w:sz w:val="24"/>
              </w:rPr>
              <w:t>因此，建设单位应该建立完善的环境风险管理措施及风险应急计划。</w:t>
            </w:r>
          </w:p>
          <w:p w14:paraId="4CC5A137">
            <w:pPr>
              <w:spacing w:line="360" w:lineRule="auto"/>
              <w:ind w:firstLine="482" w:firstLineChars="200"/>
              <w:jc w:val="left"/>
              <w:rPr>
                <w:rFonts w:ascii="Times New Roman" w:hAnsi="Times New Roman" w:cs="Times New Roman"/>
                <w:b/>
                <w:color w:val="000000" w:themeColor="text1"/>
                <w:sz w:val="24"/>
              </w:rPr>
            </w:pPr>
            <w:r>
              <w:rPr>
                <w:rFonts w:ascii="Times New Roman" w:hAnsi="Times New Roman" w:cs="Times New Roman"/>
                <w:b/>
                <w:color w:val="000000" w:themeColor="text1"/>
                <w:sz w:val="24"/>
              </w:rPr>
              <w:t>（5）风险防范措施</w:t>
            </w:r>
          </w:p>
          <w:p w14:paraId="7FB4F32E">
            <w:pPr>
              <w:spacing w:line="360" w:lineRule="auto"/>
              <w:ind w:firstLine="480" w:firstLineChars="200"/>
              <w:jc w:val="left"/>
              <w:rPr>
                <w:rFonts w:ascii="Times New Roman" w:hAnsi="Times New Roman" w:cs="Times New Roman"/>
                <w:color w:val="000000" w:themeColor="text1"/>
                <w:sz w:val="24"/>
              </w:rPr>
            </w:pPr>
            <w:r>
              <w:rPr>
                <w:rFonts w:hint="eastAsia" w:ascii="宋体" w:hAnsi="宋体" w:eastAsia="宋体" w:cs="宋体"/>
                <w:color w:val="000000" w:themeColor="text1"/>
                <w:sz w:val="24"/>
              </w:rPr>
              <w:t>①</w:t>
            </w:r>
            <w:r>
              <w:rPr>
                <w:rFonts w:ascii="Times New Roman" w:hAnsi="Times New Roman" w:cs="Times New Roman"/>
                <w:color w:val="000000" w:themeColor="text1"/>
                <w:sz w:val="24"/>
              </w:rPr>
              <w:t>在项目施工建设及投产运营各阶段均严格落实《建筑设计防火规范》（GB50016-2006）等相关规定和要求，落实厂区防火措施要求。</w:t>
            </w:r>
          </w:p>
          <w:p w14:paraId="5A9AD3F5">
            <w:pPr>
              <w:spacing w:line="360" w:lineRule="auto"/>
              <w:ind w:firstLine="480" w:firstLineChars="200"/>
              <w:rPr>
                <w:rFonts w:ascii="Times New Roman" w:hAnsi="Times New Roman" w:cs="Times New Roman"/>
                <w:color w:val="000000" w:themeColor="text1"/>
                <w:sz w:val="24"/>
              </w:rPr>
            </w:pPr>
            <w:r>
              <w:rPr>
                <w:rFonts w:hint="eastAsia" w:ascii="宋体" w:hAnsi="宋体" w:eastAsia="宋体" w:cs="宋体"/>
                <w:color w:val="000000" w:themeColor="text1"/>
                <w:sz w:val="24"/>
              </w:rPr>
              <w:t>②</w:t>
            </w:r>
            <w:r>
              <w:rPr>
                <w:rFonts w:ascii="Times New Roman" w:hAnsi="Times New Roman" w:cs="Times New Roman"/>
                <w:color w:val="000000" w:themeColor="text1"/>
                <w:sz w:val="24"/>
              </w:rPr>
              <w:t>加强管理，提供职工意识，增强责任心，同时加强职工的防火意识，从源头上控制消防事故废水的产生。</w:t>
            </w:r>
          </w:p>
          <w:p w14:paraId="4AADE020">
            <w:pPr>
              <w:spacing w:line="360" w:lineRule="auto"/>
              <w:ind w:firstLine="480" w:firstLineChars="200"/>
              <w:rPr>
                <w:rFonts w:ascii="Times New Roman" w:hAnsi="Times New Roman" w:cs="Times New Roman"/>
                <w:color w:val="000000" w:themeColor="text1"/>
                <w:sz w:val="24"/>
              </w:rPr>
            </w:pPr>
            <w:r>
              <w:rPr>
                <w:rFonts w:hint="eastAsia" w:ascii="宋体" w:hAnsi="宋体" w:eastAsia="宋体" w:cs="宋体"/>
                <w:color w:val="000000" w:themeColor="text1"/>
                <w:sz w:val="24"/>
              </w:rPr>
              <w:t>③</w:t>
            </w:r>
            <w:r>
              <w:rPr>
                <w:rFonts w:ascii="Times New Roman" w:hAnsi="Times New Roman" w:cs="Times New Roman"/>
                <w:color w:val="000000" w:themeColor="text1"/>
                <w:sz w:val="24"/>
              </w:rPr>
              <w:t>在厂区配备灭火沙子、手提式干粉灭火器、消防水龙带等，一旦发生起火事故，可及时有效地进行扑救。</w:t>
            </w:r>
          </w:p>
          <w:p w14:paraId="36A45AF5">
            <w:pPr>
              <w:spacing w:line="360" w:lineRule="auto"/>
              <w:ind w:firstLine="480" w:firstLineChars="200"/>
              <w:rPr>
                <w:rFonts w:ascii="Times New Roman" w:hAnsi="Times New Roman" w:cs="Times New Roman"/>
                <w:color w:val="000000" w:themeColor="text1"/>
                <w:sz w:val="24"/>
              </w:rPr>
            </w:pPr>
            <w:r>
              <w:rPr>
                <w:rFonts w:hint="eastAsia" w:ascii="宋体" w:hAnsi="宋体" w:eastAsia="宋体" w:cs="宋体"/>
                <w:color w:val="000000" w:themeColor="text1"/>
                <w:sz w:val="24"/>
              </w:rPr>
              <w:t>④</w:t>
            </w:r>
            <w:r>
              <w:rPr>
                <w:rFonts w:ascii="Times New Roman" w:hAnsi="Times New Roman" w:cs="Times New Roman"/>
                <w:color w:val="000000" w:themeColor="text1"/>
                <w:sz w:val="24"/>
              </w:rPr>
              <w:t>制定风险事故应急措施和风险应急预案，并进行演练。</w:t>
            </w:r>
          </w:p>
          <w:p w14:paraId="692C73B5">
            <w:pPr>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6、清洁生产分析</w:t>
            </w:r>
          </w:p>
          <w:p w14:paraId="7B51B139">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清洁生产即选用清洁的原料、采用清洁的生产工艺生产出清洁的产品，把污染控制的重点从末端治理转向全过程控制，使污染物的发生量、排放量最小量化。推行清洁生产可以达到“节能、降耗、减污、增效”的目的，是环境保护和实现经济可持续发展的必由之路。</w:t>
            </w:r>
          </w:p>
          <w:p w14:paraId="5FFF227C">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（1）清洁生产分析</w:t>
            </w:r>
          </w:p>
          <w:p w14:paraId="4B4C3EF2">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项目所使用的原材料为各种废塑料，属于清洁原料，本项目产品为塑料片，属于清洁产品。本项目用水主要为生活用水及生产用水，生产用水经</w:t>
            </w:r>
            <w:r>
              <w:rPr>
                <w:rFonts w:hint="eastAsia" w:ascii="Times New Roman" w:hAnsi="Times New Roman" w:eastAsia="宋体" w:cs="Times New Roman"/>
                <w:color w:val="000000" w:themeColor="text1"/>
                <w:sz w:val="24"/>
              </w:rPr>
              <w:t>隔油池+沉淀池</w:t>
            </w:r>
            <w:r>
              <w:rPr>
                <w:rFonts w:ascii="Times New Roman" w:hAnsi="Times New Roman" w:eastAsia="宋体" w:cs="Times New Roman"/>
                <w:bCs/>
                <w:color w:val="000000" w:themeColor="text1"/>
                <w:sz w:val="24"/>
              </w:rPr>
              <w:t>处理后回用，不外排，主要能源为电。本项目技术生产工艺成熟、经济可靠，能耗低，资源利用率高。整个生产过程污染物产生量较少，符合清洁生产要求。</w:t>
            </w:r>
          </w:p>
          <w:p w14:paraId="37F6740D">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（2）清洁生产建议</w:t>
            </w:r>
          </w:p>
          <w:p w14:paraId="38563E92">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根据上述分析结果，结合国内同类生产企业的清洁生产水平，建议建设方需要从以下几方面入手来提高企业清洁生产水平：</w:t>
            </w:r>
          </w:p>
          <w:p w14:paraId="031A9CB8">
            <w:pPr>
              <w:spacing w:line="360" w:lineRule="auto"/>
              <w:ind w:firstLine="480" w:firstLineChars="200"/>
              <w:jc w:val="left"/>
              <w:rPr>
                <w:rFonts w:ascii="Times New Roman" w:hAnsi="Times New Roman" w:eastAsia="宋体" w:cs="Times New Roman"/>
                <w:bCs/>
                <w:color w:val="000000" w:themeColor="text1"/>
                <w:sz w:val="24"/>
              </w:rPr>
            </w:pPr>
            <w:r>
              <w:rPr>
                <w:rFonts w:hint="eastAsia" w:ascii="宋体" w:hAnsi="宋体" w:eastAsia="宋体" w:cs="宋体"/>
                <w:bCs/>
                <w:color w:val="000000" w:themeColor="text1"/>
                <w:sz w:val="24"/>
              </w:rPr>
              <w:t>①</w:t>
            </w:r>
            <w:r>
              <w:rPr>
                <w:rFonts w:ascii="Times New Roman" w:hAnsi="Times New Roman" w:eastAsia="宋体" w:cs="Times New Roman"/>
                <w:bCs/>
                <w:color w:val="000000" w:themeColor="text1"/>
                <w:sz w:val="24"/>
              </w:rPr>
              <w:t>进一步提升设备的先进性，进一步提高设备的节能效果。</w:t>
            </w:r>
          </w:p>
          <w:p w14:paraId="31C61FF5">
            <w:pPr>
              <w:spacing w:line="360" w:lineRule="auto"/>
              <w:ind w:firstLine="480" w:firstLineChars="200"/>
              <w:jc w:val="left"/>
              <w:rPr>
                <w:rFonts w:ascii="Times New Roman" w:hAnsi="Times New Roman" w:eastAsia="宋体" w:cs="Times New Roman"/>
                <w:bCs/>
                <w:color w:val="000000" w:themeColor="text1"/>
                <w:sz w:val="24"/>
              </w:rPr>
            </w:pPr>
            <w:r>
              <w:rPr>
                <w:rFonts w:hint="eastAsia" w:ascii="宋体" w:hAnsi="宋体" w:eastAsia="宋体" w:cs="宋体"/>
                <w:bCs/>
                <w:color w:val="000000" w:themeColor="text1"/>
                <w:sz w:val="24"/>
              </w:rPr>
              <w:t>②</w:t>
            </w:r>
            <w:r>
              <w:rPr>
                <w:rFonts w:ascii="Times New Roman" w:hAnsi="Times New Roman" w:eastAsia="宋体" w:cs="Times New Roman"/>
                <w:bCs/>
                <w:color w:val="000000" w:themeColor="text1"/>
                <w:sz w:val="24"/>
              </w:rPr>
              <w:t>进一步提升车间自动控制水平，提高生产管理水平。</w:t>
            </w:r>
          </w:p>
          <w:p w14:paraId="209FC9BF">
            <w:pPr>
              <w:spacing w:line="360" w:lineRule="auto"/>
              <w:ind w:firstLine="480" w:firstLineChars="200"/>
              <w:jc w:val="left"/>
              <w:rPr>
                <w:rFonts w:ascii="Times New Roman" w:hAnsi="Times New Roman" w:eastAsia="宋体" w:cs="Times New Roman"/>
                <w:bCs/>
                <w:color w:val="000000" w:themeColor="text1"/>
                <w:sz w:val="24"/>
              </w:rPr>
            </w:pPr>
            <w:r>
              <w:rPr>
                <w:rFonts w:hint="eastAsia" w:ascii="宋体" w:hAnsi="宋体" w:eastAsia="宋体" w:cs="宋体"/>
                <w:bCs/>
                <w:color w:val="000000" w:themeColor="text1"/>
                <w:sz w:val="24"/>
              </w:rPr>
              <w:t>③</w:t>
            </w:r>
            <w:r>
              <w:rPr>
                <w:rFonts w:ascii="Times New Roman" w:hAnsi="Times New Roman" w:eastAsia="宋体" w:cs="Times New Roman"/>
                <w:bCs/>
                <w:color w:val="000000" w:themeColor="text1"/>
                <w:sz w:val="24"/>
              </w:rPr>
              <w:t>委托专业清洁生产审计单位对全厂进行清洁生产审核，并建立完整的环境管理体系。</w:t>
            </w:r>
          </w:p>
          <w:p w14:paraId="3524D44F">
            <w:pPr>
              <w:spacing w:line="360" w:lineRule="auto"/>
              <w:ind w:firstLine="482" w:firstLineChars="200"/>
              <w:jc w:val="left"/>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7、与《废塑料加工利用污染防治管理规定》相符性分析</w:t>
            </w:r>
          </w:p>
          <w:p w14:paraId="7EF6655B">
            <w:pPr>
              <w:spacing w:line="360" w:lineRule="auto"/>
              <w:ind w:firstLine="482" w:firstLineChars="200"/>
              <w:jc w:val="left"/>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（1）《废塑料加工利用污染防治管理规定》要求</w:t>
            </w:r>
          </w:p>
          <w:p w14:paraId="1C987E64">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根据《废塑料加工利用污染防治管理规定》中第三条：废塑料加工利用必须符合国家相关产业政策规定及《</w:t>
            </w:r>
            <w:r>
              <w:fldChar w:fldCharType="begin"/>
            </w:r>
            <w:r>
              <w:instrText xml:space="preserve"> HYPERLINK "http://baike.sogou.com/lemma/ShowInnerLink.htm?lemmaId=70328627&amp;ss_c=ssc.citiao.link" \t "_blank" </w:instrText>
            </w:r>
            <w:r>
              <w:fldChar w:fldCharType="separate"/>
            </w:r>
            <w:r>
              <w:rPr>
                <w:rStyle w:val="46"/>
                <w:rFonts w:ascii="Times New Roman" w:hAnsi="Times New Roman" w:eastAsia="宋体" w:cs="Times New Roman"/>
                <w:bCs/>
                <w:color w:val="000000" w:themeColor="text1"/>
                <w:sz w:val="24"/>
                <w:u w:val="none"/>
              </w:rPr>
              <w:t>废塑料回收与再生利用污染控制技术规范</w:t>
            </w:r>
            <w:r>
              <w:rPr>
                <w:rStyle w:val="46"/>
                <w:rFonts w:ascii="Times New Roman" w:hAnsi="Times New Roman" w:eastAsia="宋体" w:cs="Times New Roman"/>
                <w:bCs/>
                <w:color w:val="000000" w:themeColor="text1"/>
                <w:sz w:val="24"/>
                <w:u w:val="none"/>
              </w:rPr>
              <w:fldChar w:fldCharType="end"/>
            </w:r>
            <w:r>
              <w:rPr>
                <w:rFonts w:ascii="Times New Roman" w:hAnsi="Times New Roman" w:eastAsia="宋体" w:cs="Times New Roman"/>
                <w:bCs/>
                <w:color w:val="000000" w:themeColor="text1"/>
                <w:sz w:val="24"/>
              </w:rPr>
              <w:t>》，防止二次污染。</w:t>
            </w:r>
          </w:p>
          <w:p w14:paraId="593C1166">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禁止在居民区加工利用废塑料。禁止利用废塑料生产厚度小于0.025mm的超薄塑料购物袋和厚度小于0.015mm超薄塑料袋。禁止利用废塑料生产食品用塑料袋。禁止无</w:t>
            </w:r>
            <w:r>
              <w:fldChar w:fldCharType="begin"/>
            </w:r>
            <w:r>
              <w:instrText xml:space="preserve"> HYPERLINK "http://baike.sogou.com/lemma/ShowInnerLink.htm?lemmaId=7781605&amp;ss_c=ssc.citiao.link" \t "_blank" </w:instrText>
            </w:r>
            <w:r>
              <w:fldChar w:fldCharType="separate"/>
            </w:r>
            <w:r>
              <w:rPr>
                <w:rStyle w:val="46"/>
                <w:rFonts w:ascii="Times New Roman" w:hAnsi="Times New Roman" w:eastAsia="宋体" w:cs="Times New Roman"/>
                <w:bCs/>
                <w:color w:val="000000" w:themeColor="text1"/>
                <w:sz w:val="24"/>
                <w:u w:val="none"/>
              </w:rPr>
              <w:t>危险废物</w:t>
            </w:r>
            <w:r>
              <w:rPr>
                <w:rStyle w:val="46"/>
                <w:rFonts w:ascii="Times New Roman" w:hAnsi="Times New Roman" w:eastAsia="宋体" w:cs="Times New Roman"/>
                <w:bCs/>
                <w:color w:val="000000" w:themeColor="text1"/>
                <w:sz w:val="24"/>
                <w:u w:val="none"/>
              </w:rPr>
              <w:fldChar w:fldCharType="end"/>
            </w:r>
            <w:r>
              <w:rPr>
                <w:rFonts w:ascii="Times New Roman" w:hAnsi="Times New Roman" w:eastAsia="宋体" w:cs="Times New Roman"/>
                <w:bCs/>
                <w:color w:val="000000" w:themeColor="text1"/>
                <w:sz w:val="24"/>
              </w:rPr>
              <w:t>经营许可证从事废塑料类危险废物的回收利用活动，包括被危险化学品、农药等污染的废弃塑料包装物，废弃的一次性医疗用塑料制品(如</w:t>
            </w:r>
            <w:r>
              <w:fldChar w:fldCharType="begin"/>
            </w:r>
            <w:r>
              <w:instrText xml:space="preserve"> HYPERLINK "http://baike.sogou.com/lemma/ShowInnerLink.htm?lemmaId=32931801&amp;ss_c=ssc.citiao.link" \t "_blank" </w:instrText>
            </w:r>
            <w:r>
              <w:fldChar w:fldCharType="separate"/>
            </w:r>
            <w:r>
              <w:rPr>
                <w:rStyle w:val="46"/>
                <w:rFonts w:ascii="Times New Roman" w:hAnsi="Times New Roman" w:eastAsia="宋体" w:cs="Times New Roman"/>
                <w:bCs/>
                <w:color w:val="000000" w:themeColor="text1"/>
                <w:sz w:val="24"/>
                <w:u w:val="none"/>
              </w:rPr>
              <w:t>输液器</w:t>
            </w:r>
            <w:r>
              <w:rPr>
                <w:rStyle w:val="46"/>
                <w:rFonts w:ascii="Times New Roman" w:hAnsi="Times New Roman" w:eastAsia="宋体" w:cs="Times New Roman"/>
                <w:bCs/>
                <w:color w:val="000000" w:themeColor="text1"/>
                <w:sz w:val="24"/>
                <w:u w:val="none"/>
              </w:rPr>
              <w:fldChar w:fldCharType="end"/>
            </w:r>
            <w:r>
              <w:rPr>
                <w:rFonts w:ascii="Times New Roman" w:hAnsi="Times New Roman" w:eastAsia="宋体" w:cs="Times New Roman"/>
                <w:bCs/>
                <w:color w:val="000000" w:themeColor="text1"/>
                <w:sz w:val="24"/>
              </w:rPr>
              <w:t>、血袋)等。</w:t>
            </w:r>
          </w:p>
          <w:p w14:paraId="50F551E4">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无符合环保要求</w:t>
            </w:r>
            <w:r>
              <w:fldChar w:fldCharType="begin"/>
            </w:r>
            <w:r>
              <w:instrText xml:space="preserve"> HYPERLINK "http://baike.sogou.com/lemma/ShowInnerLink.htm?lemmaId=2960990&amp;ss_c=ssc.citiao.link" \t "_blank" </w:instrText>
            </w:r>
            <w:r>
              <w:fldChar w:fldCharType="separate"/>
            </w:r>
            <w:r>
              <w:rPr>
                <w:rStyle w:val="46"/>
                <w:rFonts w:ascii="Times New Roman" w:hAnsi="Times New Roman" w:eastAsia="宋体" w:cs="Times New Roman"/>
                <w:bCs/>
                <w:color w:val="000000" w:themeColor="text1"/>
                <w:sz w:val="24"/>
                <w:u w:val="none"/>
              </w:rPr>
              <w:t>污水治理</w:t>
            </w:r>
            <w:r>
              <w:rPr>
                <w:rStyle w:val="46"/>
                <w:rFonts w:ascii="Times New Roman" w:hAnsi="Times New Roman" w:eastAsia="宋体" w:cs="Times New Roman"/>
                <w:bCs/>
                <w:color w:val="000000" w:themeColor="text1"/>
                <w:sz w:val="24"/>
                <w:u w:val="none"/>
              </w:rPr>
              <w:fldChar w:fldCharType="end"/>
            </w:r>
            <w:r>
              <w:rPr>
                <w:rFonts w:ascii="Times New Roman" w:hAnsi="Times New Roman" w:eastAsia="宋体" w:cs="Times New Roman"/>
                <w:bCs/>
                <w:color w:val="000000" w:themeColor="text1"/>
                <w:sz w:val="24"/>
              </w:rPr>
              <w:t>设施的，禁止从事废</w:t>
            </w:r>
            <w:r>
              <w:fldChar w:fldCharType="begin"/>
            </w:r>
            <w:r>
              <w:instrText xml:space="preserve"> HYPERLINK "http://baike.sogou.com/lemma/ShowInnerLink.htm?lemmaId=183324&amp;ss_c=ssc.citiao.link" \t "_blank" </w:instrText>
            </w:r>
            <w:r>
              <w:fldChar w:fldCharType="separate"/>
            </w:r>
            <w:r>
              <w:rPr>
                <w:rStyle w:val="46"/>
                <w:rFonts w:ascii="Times New Roman" w:hAnsi="Times New Roman" w:eastAsia="宋体" w:cs="Times New Roman"/>
                <w:bCs/>
                <w:color w:val="000000" w:themeColor="text1"/>
                <w:sz w:val="24"/>
                <w:u w:val="none"/>
              </w:rPr>
              <w:t>编织袋</w:t>
            </w:r>
            <w:r>
              <w:rPr>
                <w:rStyle w:val="46"/>
                <w:rFonts w:ascii="Times New Roman" w:hAnsi="Times New Roman" w:eastAsia="宋体" w:cs="Times New Roman"/>
                <w:bCs/>
                <w:color w:val="000000" w:themeColor="text1"/>
                <w:sz w:val="24"/>
                <w:u w:val="none"/>
              </w:rPr>
              <w:fldChar w:fldCharType="end"/>
            </w:r>
            <w:r>
              <w:rPr>
                <w:rFonts w:ascii="Times New Roman" w:hAnsi="Times New Roman" w:eastAsia="宋体" w:cs="Times New Roman"/>
                <w:bCs/>
                <w:color w:val="000000" w:themeColor="text1"/>
                <w:sz w:val="24"/>
              </w:rPr>
              <w:t>造粒、缸脚料淘洗、废塑料退镀(涂)、盐卤分拣等加工活动。</w:t>
            </w:r>
          </w:p>
          <w:p w14:paraId="3A50E563">
            <w:pPr>
              <w:spacing w:line="360" w:lineRule="auto"/>
              <w:ind w:firstLine="482" w:firstLineChars="200"/>
              <w:jc w:val="left"/>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（2）符合性分析</w:t>
            </w:r>
          </w:p>
          <w:p w14:paraId="3CEB27B0">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本项目所在地为</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bCs/>
                <w:color w:val="000000" w:themeColor="text1"/>
                <w:sz w:val="24"/>
              </w:rPr>
              <w:t>，项目四周1000m内均为荒地、植被等，无居民，学校、医院等敏感点，项目仅对废塑料破碎、清洗，不进行再生产，项目原料为废塑料瓶等，主要成分为PET、PP等，不含废汽车配件、废机油桶、危险废物等，同时本项目不从事废编织袋造粒、缸脚料淘洗、废塑料退镀(涂)、盐卤分拣等加工活动。</w:t>
            </w:r>
          </w:p>
          <w:p w14:paraId="72B1E1DB">
            <w:pPr>
              <w:spacing w:line="360" w:lineRule="auto"/>
              <w:ind w:firstLine="480" w:firstLineChars="200"/>
              <w:jc w:val="left"/>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综上，本项目符合《废塑料加工利用污染防治管理规定》。</w:t>
            </w:r>
          </w:p>
          <w:p w14:paraId="0E8378ED">
            <w:pPr>
              <w:spacing w:line="360" w:lineRule="auto"/>
              <w:ind w:firstLine="482" w:firstLineChars="200"/>
              <w:jc w:val="left"/>
              <w:rPr>
                <w:rFonts w:ascii="Times New Roman" w:hAnsi="Times New Roman" w:eastAsia="宋体" w:cs="Times New Roman"/>
                <w:b/>
                <w:bCs/>
                <w:color w:val="000000" w:themeColor="text1"/>
                <w:sz w:val="24"/>
              </w:rPr>
            </w:pPr>
            <w:r>
              <w:rPr>
                <w:rFonts w:ascii="Times New Roman" w:hAnsi="Times New Roman" w:eastAsia="宋体" w:cs="Times New Roman"/>
                <w:b/>
                <w:bCs/>
                <w:color w:val="000000" w:themeColor="text1"/>
                <w:sz w:val="24"/>
              </w:rPr>
              <w:t>8、与《废塑料综合利用行业规范条件》相符性分析</w:t>
            </w:r>
          </w:p>
          <w:p w14:paraId="18A61B8E">
            <w:pPr>
              <w:snapToGrid w:val="0"/>
              <w:ind w:firstLine="482" w:firstLineChars="200"/>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7-4  本项目与《废塑料综合利用行业规范条件》相符性分析表</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7"/>
              <w:gridCol w:w="3447"/>
            </w:tblGrid>
            <w:tr w14:paraId="26DB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6007" w:type="dxa"/>
                  <w:vAlign w:val="center"/>
                </w:tcPr>
                <w:p w14:paraId="4526B727">
                  <w:pPr>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废塑料综合利用行业规范条件</w:t>
                  </w:r>
                </w:p>
              </w:tc>
              <w:tc>
                <w:tcPr>
                  <w:tcW w:w="3447" w:type="dxa"/>
                </w:tcPr>
                <w:p w14:paraId="295321F9">
                  <w:pPr>
                    <w:jc w:val="center"/>
                    <w:rPr>
                      <w:rFonts w:ascii="Times New Roman" w:hAnsi="Times New Roman" w:eastAsia="黑体" w:cs="Times New Roman"/>
                      <w:b/>
                      <w:color w:val="000000" w:themeColor="text1"/>
                      <w:sz w:val="28"/>
                      <w:szCs w:val="28"/>
                    </w:rPr>
                  </w:pPr>
                  <w:r>
                    <w:rPr>
                      <w:rFonts w:ascii="Times New Roman" w:hAnsi="Times New Roman" w:eastAsia="宋体" w:cs="Times New Roman"/>
                      <w:b/>
                      <w:color w:val="000000" w:themeColor="text1"/>
                      <w:szCs w:val="21"/>
                    </w:rPr>
                    <w:t>本项目情况</w:t>
                  </w:r>
                </w:p>
              </w:tc>
            </w:tr>
            <w:tr w14:paraId="283B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07" w:type="dxa"/>
                </w:tcPr>
                <w:p w14:paraId="4B67B1A2">
                  <w:pPr>
                    <w:ind w:firstLine="422" w:firstLineChars="200"/>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企业的设立和布局</w:t>
                  </w:r>
                </w:p>
                <w:p w14:paraId="4FA0B15C">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(1)废塑料综合利用企业所涉及的热塑性废塑料原料，不包括受到危险化学品、农药等污染的废弃塑料包装物、废弃一次性医疗用塑料制品等塑料类危险废物,以及氟塑料等特种工程塑料。</w:t>
                  </w:r>
                </w:p>
                <w:p w14:paraId="2B03C601">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(2)新建及改造、扩建废塑料加工企业应符合国家产业政策及所在地区土地利用总体规划、城乡建设规划、环境保护、污染防治规划。企业建设应有规范化设计要求，采用节能环保技术及生产装备。</w:t>
                  </w:r>
                </w:p>
                <w:p w14:paraId="6E1F2C60">
                  <w:pPr>
                    <w:ind w:firstLine="420" w:firstLineChars="200"/>
                    <w:rPr>
                      <w:rFonts w:ascii="Times New Roman" w:hAnsi="Times New Roman" w:eastAsia="宋体" w:cs="Times New Roman"/>
                      <w:b/>
                      <w:color w:val="000000" w:themeColor="text1"/>
                      <w:szCs w:val="21"/>
                    </w:rPr>
                  </w:pPr>
                  <w:r>
                    <w:rPr>
                      <w:rFonts w:ascii="Times New Roman" w:hAnsi="Times New Roman" w:eastAsia="宋体" w:cs="Times New Roman"/>
                      <w:color w:val="000000" w:themeColor="text1"/>
                      <w:szCs w:val="21"/>
                    </w:rPr>
                    <w:t>(3)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3447" w:type="dxa"/>
                </w:tcPr>
                <w:p w14:paraId="26172454">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(1)本项目原料为废塑料瓶等，主要成分为PET、PP等，不含废汽车配件、废机油桶、危险废物等。</w:t>
                  </w:r>
                </w:p>
                <w:p w14:paraId="1A576A7E">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(2)符合产业政策，并正在办理环评手续。本项目均采用节能环保技术及生产装备进行生产。</w:t>
                  </w:r>
                </w:p>
                <w:p w14:paraId="7C66D90E">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(3)本项目不在国家法律、法规、规章和规划确定或县级及以上人民政府规定的自然保护区、风景名胜区、饮用水源保护区、基本农田保护区和其他需要特别保护的区域内。</w:t>
                  </w:r>
                </w:p>
              </w:tc>
            </w:tr>
            <w:tr w14:paraId="2187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007" w:type="dxa"/>
                </w:tcPr>
                <w:p w14:paraId="72E7EF9E">
                  <w:pPr>
                    <w:ind w:firstLine="422" w:firstLineChars="200"/>
                    <w:jc w:val="left"/>
                    <w:rPr>
                      <w:b/>
                      <w:color w:val="000000" w:themeColor="text1"/>
                      <w:szCs w:val="21"/>
                    </w:rPr>
                  </w:pPr>
                  <w:r>
                    <w:rPr>
                      <w:rFonts w:hint="eastAsia"/>
                      <w:b/>
                      <w:color w:val="000000" w:themeColor="text1"/>
                      <w:szCs w:val="21"/>
                    </w:rPr>
                    <w:t>生产经营规模</w:t>
                  </w:r>
                </w:p>
                <w:p w14:paraId="6201F9BA">
                  <w:pPr>
                    <w:snapToGrid w:val="0"/>
                    <w:ind w:firstLine="420" w:firstLineChars="200"/>
                    <w:jc w:val="left"/>
                    <w:rPr>
                      <w:color w:val="000000" w:themeColor="text1"/>
                      <w:szCs w:val="21"/>
                    </w:rPr>
                  </w:pPr>
                  <w:r>
                    <w:rPr>
                      <w:rFonts w:hint="eastAsia"/>
                      <w:color w:val="000000" w:themeColor="text1"/>
                      <w:szCs w:val="21"/>
                    </w:rPr>
                    <w:t>(1)废塑料破碎、清洗、分选类企业：新建企业年废塑料处理能力不低于30000吨；已建企业年废塑料处理能力不低于20000吨。</w:t>
                  </w:r>
                </w:p>
                <w:p w14:paraId="09B02358">
                  <w:pPr>
                    <w:ind w:firstLine="420" w:firstLineChars="200"/>
                    <w:jc w:val="left"/>
                    <w:rPr>
                      <w:color w:val="000000" w:themeColor="text1"/>
                      <w:szCs w:val="21"/>
                    </w:rPr>
                  </w:pPr>
                  <w:r>
                    <w:rPr>
                      <w:rFonts w:hint="eastAsia"/>
                      <w:color w:val="000000" w:themeColor="text1"/>
                      <w:szCs w:val="21"/>
                    </w:rPr>
                    <w:t>(2)企业应具有与生产能力相匹配的厂区作业场地面积。</w:t>
                  </w:r>
                </w:p>
                <w:p w14:paraId="744136D4">
                  <w:pPr>
                    <w:ind w:firstLine="420" w:firstLineChars="200"/>
                    <w:jc w:val="left"/>
                    <w:rPr>
                      <w:color w:val="000000" w:themeColor="text1"/>
                      <w:szCs w:val="21"/>
                    </w:rPr>
                  </w:pPr>
                  <w:r>
                    <w:rPr>
                      <w:rFonts w:hint="eastAsia"/>
                      <w:color w:val="000000" w:themeColor="text1"/>
                      <w:szCs w:val="21"/>
                    </w:rPr>
                    <w:t>(3)企业应对收集的废塑料进行充分利用，提高资源回收利用效率，不得倾倒、焚烧与填埋。</w:t>
                  </w:r>
                </w:p>
              </w:tc>
              <w:tc>
                <w:tcPr>
                  <w:tcW w:w="3447" w:type="dxa"/>
                </w:tcPr>
                <w:p w14:paraId="75811DAD">
                  <w:pPr>
                    <w:ind w:firstLine="420" w:firstLineChars="200"/>
                    <w:jc w:val="left"/>
                    <w:rPr>
                      <w:color w:val="000000" w:themeColor="text1"/>
                      <w:szCs w:val="21"/>
                    </w:rPr>
                  </w:pPr>
                  <w:r>
                    <w:rPr>
                      <w:rFonts w:hint="eastAsia"/>
                      <w:color w:val="000000" w:themeColor="text1"/>
                      <w:szCs w:val="21"/>
                    </w:rPr>
                    <w:t>(1)本项目废塑料处理能力为30000吨/年。</w:t>
                  </w:r>
                </w:p>
                <w:p w14:paraId="2527AF92">
                  <w:pPr>
                    <w:ind w:firstLine="420" w:firstLineChars="200"/>
                    <w:jc w:val="left"/>
                    <w:rPr>
                      <w:color w:val="000000" w:themeColor="text1"/>
                      <w:szCs w:val="21"/>
                    </w:rPr>
                  </w:pPr>
                  <w:r>
                    <w:rPr>
                      <w:rFonts w:hint="eastAsia"/>
                      <w:color w:val="000000" w:themeColor="text1"/>
                      <w:szCs w:val="21"/>
                    </w:rPr>
                    <w:t>(2)项目具有与生产能力相匹配的厂区作业场地面积。</w:t>
                  </w:r>
                </w:p>
                <w:p w14:paraId="73D5E9F9">
                  <w:pPr>
                    <w:ind w:firstLine="420" w:firstLineChars="200"/>
                    <w:jc w:val="left"/>
                    <w:rPr>
                      <w:color w:val="000000" w:themeColor="text1"/>
                      <w:szCs w:val="21"/>
                    </w:rPr>
                  </w:pPr>
                  <w:r>
                    <w:rPr>
                      <w:rFonts w:hint="eastAsia"/>
                      <w:color w:val="000000" w:themeColor="text1"/>
                      <w:szCs w:val="21"/>
                    </w:rPr>
                    <w:t>(3)项目将废塑料破碎、清洗后外售，提高了资源回收利用效率。</w:t>
                  </w:r>
                </w:p>
              </w:tc>
            </w:tr>
            <w:tr w14:paraId="0914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7" w:type="dxa"/>
                </w:tcPr>
                <w:p w14:paraId="245D852C">
                  <w:pPr>
                    <w:ind w:firstLine="422" w:firstLineChars="200"/>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资源综合利用及能耗</w:t>
                  </w:r>
                </w:p>
                <w:p w14:paraId="234FE055">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PET再生瓶片类企业与废塑料破碎、清洗、分选类企业的综合新水消耗低于1.5吨/吨废塑料。</w:t>
                  </w:r>
                </w:p>
              </w:tc>
              <w:tc>
                <w:tcPr>
                  <w:tcW w:w="3447" w:type="dxa"/>
                </w:tcPr>
                <w:p w14:paraId="3E8B8C62">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项目清洗</w:t>
                  </w:r>
                  <w:r>
                    <w:rPr>
                      <w:rFonts w:hint="eastAsia" w:ascii="Times New Roman" w:hAnsi="Times New Roman" w:eastAsia="宋体" w:cs="Times New Roman"/>
                      <w:color w:val="000000" w:themeColor="text1"/>
                      <w:szCs w:val="21"/>
                    </w:rPr>
                    <w:t>新鲜</w:t>
                  </w:r>
                  <w:r>
                    <w:rPr>
                      <w:rFonts w:ascii="Times New Roman" w:hAnsi="Times New Roman" w:eastAsia="宋体" w:cs="Times New Roman"/>
                      <w:color w:val="000000" w:themeColor="text1"/>
                      <w:szCs w:val="21"/>
                    </w:rPr>
                    <w:t>水量为</w:t>
                  </w:r>
                  <w:r>
                    <w:rPr>
                      <w:rFonts w:hint="eastAsia" w:ascii="Times New Roman" w:hAnsi="Times New Roman" w:eastAsia="宋体" w:cs="Times New Roman"/>
                      <w:color w:val="000000" w:themeColor="text1"/>
                      <w:szCs w:val="21"/>
                    </w:rPr>
                    <w:t>6900</w:t>
                  </w:r>
                  <w:r>
                    <w:rPr>
                      <w:rFonts w:ascii="Times New Roman" w:hAnsi="Times New Roman" w:eastAsia="宋体" w:cs="Times New Roman"/>
                      <w:color w:val="000000" w:themeColor="text1"/>
                      <w:szCs w:val="21"/>
                    </w:rPr>
                    <w:t>t/a，每吨废塑料的清洗水量约为0.</w:t>
                  </w:r>
                  <w:r>
                    <w:rPr>
                      <w:rFonts w:hint="eastAsia" w:ascii="Times New Roman" w:hAnsi="Times New Roman" w:eastAsia="宋体" w:cs="Times New Roman"/>
                      <w:color w:val="000000" w:themeColor="text1"/>
                      <w:szCs w:val="21"/>
                    </w:rPr>
                    <w:t>23</w:t>
                  </w:r>
                  <w:r>
                    <w:rPr>
                      <w:rFonts w:ascii="Times New Roman" w:hAnsi="Times New Roman" w:eastAsia="宋体" w:cs="Times New Roman"/>
                      <w:color w:val="000000" w:themeColor="text1"/>
                      <w:szCs w:val="21"/>
                    </w:rPr>
                    <w:t>t/t废塑料。</w:t>
                  </w:r>
                </w:p>
              </w:tc>
            </w:tr>
            <w:tr w14:paraId="2192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7" w:type="dxa"/>
                </w:tcPr>
                <w:p w14:paraId="7803669B">
                  <w:pPr>
                    <w:ind w:firstLine="422" w:firstLineChars="200"/>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工艺与装备</w:t>
                  </w:r>
                </w:p>
                <w:p w14:paraId="68272AB3">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3447" w:type="dxa"/>
                </w:tcPr>
                <w:p w14:paraId="1C5368C4">
                  <w:pPr>
                    <w:ind w:firstLine="420" w:firstLineChars="200"/>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(1)本项目破碎工序采用具有减振与降噪功能的密闭破碎设备；洗瓶机实现自动清洗，且清洗废水循环利用。</w:t>
                  </w:r>
                </w:p>
              </w:tc>
            </w:tr>
            <w:tr w14:paraId="0A82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007" w:type="dxa"/>
                </w:tcPr>
                <w:p w14:paraId="574C12CE">
                  <w:pP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环境保护</w:t>
                  </w:r>
                </w:p>
                <w:p w14:paraId="03A8396A">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p w14:paraId="181899F4">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(2)企业加工存储场地应建有围墙，在园区内的企业可为单独厂房，地面全部硬化且无明显破损现象。</w:t>
                  </w:r>
                </w:p>
                <w:p w14:paraId="16950D41">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(3)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p w14:paraId="01D8FED8">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(4)企业对收集的废塑料中的金属、橡胶、纤维、渣土、油脂、添加物等夹杂物，应采取相应的处理措施。如企业不具备处理条件，应委托其他具有处理能力的企业处理，不得擅自丢弃、倾倒、焚烧与填埋。</w:t>
                  </w:r>
                </w:p>
                <w:p w14:paraId="46235040">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企业应具有与加工利用能力相适应的废水处理设施，中水回用率必须符合环评文件的有关要求。废水处理后需要外排的废水，必须经处理后达标排放。企业应采用高效节能环保的污泥处理工艺,或交由具有处理资格的废物处理机构,实现污泥无害化处理。除具有获批建设、验收合格的专业盐卤废水处理设施，禁止使用盐卤分选工艺。</w:t>
                  </w:r>
                </w:p>
                <w:p w14:paraId="20F68782">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(6)再生加工过程中产生废气、粉尘的加工车间应设置废气、粉尘收集处理设施，通过净化处理，达标后排放。</w:t>
                  </w:r>
                </w:p>
                <w:p w14:paraId="292C3CAB">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(7)对于加工过程中噪</w:t>
                  </w:r>
                  <w:r>
                    <w:rPr>
                      <w:rFonts w:hint="eastAsia" w:ascii="Times New Roman" w:hAnsi="Times New Roman" w:eastAsia="宋体" w:cs="Times New Roman"/>
                      <w:color w:val="000000" w:themeColor="text1"/>
                      <w:szCs w:val="21"/>
                      <w:lang w:val="en-US" w:eastAsia="zh-CN"/>
                    </w:rPr>
                    <w:t>声</w:t>
                  </w:r>
                  <w:r>
                    <w:rPr>
                      <w:rFonts w:ascii="Times New Roman" w:hAnsi="Times New Roman" w:eastAsia="宋体" w:cs="Times New Roman"/>
                      <w:color w:val="000000" w:themeColor="text1"/>
                      <w:szCs w:val="21"/>
                    </w:rPr>
                    <w:t>污染大的设备，必须采取降噪和隔音措施，企业噪声应达到《工业企业厂界环境噪声排放标准》。</w:t>
                  </w:r>
                </w:p>
              </w:tc>
              <w:tc>
                <w:tcPr>
                  <w:tcW w:w="3447" w:type="dxa"/>
                </w:tcPr>
                <w:p w14:paraId="3756478E">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(1)本项目正在进行环评手续。</w:t>
                  </w:r>
                </w:p>
                <w:p w14:paraId="7757480C">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(2)项目加工存储场地均建有围墙，并建设单独厂房，地面全部硬化且无明显破损现象。</w:t>
                  </w:r>
                </w:p>
                <w:p w14:paraId="5343C051">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(3)项目建设1个生产厂房将不同塑料分开处理，无露天堆放现象。项目厂区建设雨污分流管网。</w:t>
                  </w:r>
                </w:p>
                <w:p w14:paraId="1BD4936A">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(4)本项目废塑料中的金属、橡胶、纤维、渣土、油脂等夹杂物，本环评要求交由有资质单位进行处理。</w:t>
                  </w:r>
                </w:p>
                <w:p w14:paraId="08AFBCE2">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(5)项目自建</w:t>
                  </w:r>
                  <w:r>
                    <w:rPr>
                      <w:rFonts w:hint="eastAsia" w:ascii="Times New Roman" w:hAnsi="Times New Roman" w:eastAsia="宋体" w:cs="Times New Roman"/>
                      <w:color w:val="000000" w:themeColor="text1"/>
                      <w:szCs w:val="21"/>
                    </w:rPr>
                    <w:t>隔油池+沉淀池</w:t>
                  </w:r>
                  <w:r>
                    <w:rPr>
                      <w:rFonts w:ascii="Times New Roman" w:hAnsi="Times New Roman" w:eastAsia="宋体" w:cs="Times New Roman"/>
                      <w:color w:val="000000" w:themeColor="text1"/>
                      <w:szCs w:val="21"/>
                    </w:rPr>
                    <w:t>，将清洗废水处理后回用于生产，废水处理设施处理能力与本项目加工利用能力相适应，产生的污泥均外运处理。</w:t>
                  </w:r>
                </w:p>
                <w:p w14:paraId="31CFA892">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(6)本项目的废气采取相应措施后均能达标排放。</w:t>
                  </w:r>
                </w:p>
                <w:p w14:paraId="625E7B9C">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(7)各设备产生的噪声，采取相应降噪和隔音措施后，项目厂界噪声能达到《工业企业厂界环境噪声排放标准》2类标准值。</w:t>
                  </w:r>
                </w:p>
              </w:tc>
            </w:tr>
            <w:tr w14:paraId="20A1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6007" w:type="dxa"/>
                  <w:vAlign w:val="center"/>
                </w:tcPr>
                <w:p w14:paraId="46C63F41">
                  <w:pPr>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结论</w:t>
                  </w:r>
                </w:p>
              </w:tc>
              <w:tc>
                <w:tcPr>
                  <w:tcW w:w="3447" w:type="dxa"/>
                </w:tcPr>
                <w:p w14:paraId="72F12D5D">
                  <w:pP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本项目与《废塑料综合利用行业规范条件》内容基本相符。</w:t>
                  </w:r>
                </w:p>
              </w:tc>
            </w:tr>
          </w:tbl>
          <w:p w14:paraId="291E6516">
            <w:pPr>
              <w:spacing w:line="360" w:lineRule="auto"/>
              <w:ind w:firstLine="482" w:firstLineChars="200"/>
              <w:jc w:val="left"/>
              <w:rPr>
                <w:rFonts w:ascii="Times New Roman" w:hAnsi="Times New Roman" w:eastAsia="宋体" w:cs="Times New Roman"/>
                <w:b/>
                <w:color w:val="000000" w:themeColor="text1"/>
                <w:sz w:val="24"/>
              </w:rPr>
            </w:pPr>
          </w:p>
          <w:p w14:paraId="7F33C35C">
            <w:pPr>
              <w:spacing w:line="360" w:lineRule="auto"/>
              <w:ind w:firstLine="482" w:firstLineChars="200"/>
              <w:jc w:val="left"/>
              <w:rPr>
                <w:rFonts w:ascii="Times New Roman" w:hAnsi="Times New Roman" w:eastAsia="宋体" w:cs="Times New Roman"/>
                <w:b/>
                <w:color w:val="000000" w:themeColor="text1"/>
                <w:sz w:val="24"/>
              </w:rPr>
            </w:pPr>
          </w:p>
          <w:p w14:paraId="27BEF181">
            <w:pPr>
              <w:spacing w:line="360" w:lineRule="auto"/>
              <w:ind w:firstLine="482" w:firstLineChars="200"/>
              <w:jc w:val="left"/>
              <w:rPr>
                <w:rFonts w:ascii="Times New Roman" w:hAnsi="Times New Roman" w:eastAsia="宋体" w:cs="Times New Roman"/>
                <w:b/>
                <w:color w:val="000000" w:themeColor="text1"/>
                <w:sz w:val="24"/>
              </w:rPr>
            </w:pPr>
          </w:p>
          <w:p w14:paraId="5667EB6F">
            <w:pPr>
              <w:spacing w:line="360" w:lineRule="auto"/>
              <w:ind w:firstLine="482" w:firstLineChars="200"/>
              <w:jc w:val="left"/>
              <w:rPr>
                <w:rFonts w:ascii="Times New Roman" w:hAnsi="Times New Roman" w:eastAsia="宋体" w:cs="Times New Roman"/>
                <w:b/>
                <w:color w:val="000000" w:themeColor="text1"/>
                <w:sz w:val="24"/>
              </w:rPr>
            </w:pPr>
          </w:p>
        </w:tc>
      </w:tr>
    </w:tbl>
    <w:p w14:paraId="60A31A0F">
      <w:pPr>
        <w:rPr>
          <w:rFonts w:ascii="Times New Roman" w:hAnsi="Times New Roman" w:cs="Times New Roman"/>
          <w:color w:val="000000" w:themeColor="text1"/>
        </w:rPr>
      </w:pPr>
    </w:p>
    <w:p w14:paraId="554BBFA7">
      <w:pPr>
        <w:keepNext/>
        <w:keepLines/>
        <w:pageBreakBefore/>
        <w:spacing w:after="156" w:afterLines="50"/>
        <w:outlineLvl w:val="0"/>
        <w:rPr>
          <w:rFonts w:ascii="Times New Roman" w:hAnsi="Times New Roman" w:eastAsia="宋体" w:cs="Times New Roman"/>
          <w:b/>
          <w:bCs/>
          <w:color w:val="000000" w:themeColor="text1"/>
          <w:kern w:val="44"/>
          <w:sz w:val="30"/>
          <w:szCs w:val="44"/>
        </w:rPr>
      </w:pPr>
      <w:r>
        <w:rPr>
          <w:rFonts w:ascii="Times New Roman" w:hAnsi="Times New Roman" w:eastAsia="宋体" w:cs="Times New Roman"/>
          <w:b/>
          <w:bCs/>
          <w:color w:val="000000" w:themeColor="text1"/>
          <w:kern w:val="44"/>
          <w:sz w:val="30"/>
          <w:szCs w:val="44"/>
        </w:rPr>
        <w:t>表八、建设项目拟采取的防治措施及预期治理效果</w:t>
      </w:r>
    </w:p>
    <w:tbl>
      <w:tblPr>
        <w:tblStyle w:val="39"/>
        <w:tblW w:w="55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30"/>
        <w:gridCol w:w="426"/>
        <w:gridCol w:w="866"/>
        <w:gridCol w:w="1378"/>
        <w:gridCol w:w="3500"/>
        <w:gridCol w:w="2450"/>
      </w:tblGrid>
      <w:tr w14:paraId="20ED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2" w:type="pct"/>
            <w:gridSpan w:val="2"/>
            <w:tcBorders>
              <w:tl2br w:val="single" w:color="auto" w:sz="4" w:space="0"/>
            </w:tcBorders>
            <w:vAlign w:val="center"/>
          </w:tcPr>
          <w:p w14:paraId="3145A09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 xml:space="preserve">  内容</w:t>
            </w:r>
          </w:p>
          <w:p w14:paraId="7D3CB00F">
            <w:pP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类型</w:t>
            </w:r>
          </w:p>
        </w:tc>
        <w:tc>
          <w:tcPr>
            <w:tcW w:w="682" w:type="pct"/>
            <w:gridSpan w:val="2"/>
            <w:vAlign w:val="center"/>
          </w:tcPr>
          <w:p w14:paraId="1272FDE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排放源</w:t>
            </w:r>
          </w:p>
        </w:tc>
        <w:tc>
          <w:tcPr>
            <w:tcW w:w="727" w:type="pct"/>
            <w:vAlign w:val="center"/>
          </w:tcPr>
          <w:p w14:paraId="759B07F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污染物</w:t>
            </w:r>
          </w:p>
        </w:tc>
        <w:tc>
          <w:tcPr>
            <w:tcW w:w="1847" w:type="pct"/>
            <w:vAlign w:val="center"/>
          </w:tcPr>
          <w:p w14:paraId="26A2971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防治措施</w:t>
            </w:r>
          </w:p>
        </w:tc>
        <w:tc>
          <w:tcPr>
            <w:tcW w:w="1293" w:type="pct"/>
            <w:vAlign w:val="center"/>
          </w:tcPr>
          <w:p w14:paraId="66E41D6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预期治理效果</w:t>
            </w:r>
          </w:p>
        </w:tc>
      </w:tr>
      <w:tr w14:paraId="09F7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restart"/>
            <w:vAlign w:val="center"/>
          </w:tcPr>
          <w:p w14:paraId="7D99C7C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大气污染物</w:t>
            </w:r>
          </w:p>
        </w:tc>
        <w:tc>
          <w:tcPr>
            <w:tcW w:w="226" w:type="pct"/>
            <w:vAlign w:val="center"/>
          </w:tcPr>
          <w:p w14:paraId="563809EA">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682" w:type="pct"/>
            <w:gridSpan w:val="2"/>
            <w:vAlign w:val="center"/>
          </w:tcPr>
          <w:p w14:paraId="598F663F">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施工扬尘机械尾气</w:t>
            </w:r>
          </w:p>
        </w:tc>
        <w:tc>
          <w:tcPr>
            <w:tcW w:w="727" w:type="pct"/>
            <w:shd w:val="clear" w:color="auto" w:fill="auto"/>
            <w:vAlign w:val="center"/>
          </w:tcPr>
          <w:p w14:paraId="3DCF5E0A">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扬尘</w:t>
            </w:r>
          </w:p>
        </w:tc>
        <w:tc>
          <w:tcPr>
            <w:tcW w:w="1847" w:type="pct"/>
            <w:shd w:val="clear" w:color="auto" w:fill="auto"/>
            <w:vAlign w:val="center"/>
          </w:tcPr>
          <w:p w14:paraId="6688BA5B">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场地洒水、大气稀释扩散。</w:t>
            </w:r>
          </w:p>
        </w:tc>
        <w:tc>
          <w:tcPr>
            <w:tcW w:w="1293" w:type="pct"/>
            <w:shd w:val="clear" w:color="auto" w:fill="auto"/>
            <w:vAlign w:val="center"/>
          </w:tcPr>
          <w:p w14:paraId="4EAF2D7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满足《大气污染物综合排放标准》表2无组织排放监控浓度限值</w:t>
            </w:r>
          </w:p>
        </w:tc>
      </w:tr>
      <w:tr w14:paraId="11A4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225" w:type="pct"/>
            <w:vMerge w:val="continue"/>
            <w:vAlign w:val="center"/>
          </w:tcPr>
          <w:p w14:paraId="2F7DEE8D">
            <w:pPr>
              <w:jc w:val="center"/>
              <w:rPr>
                <w:rFonts w:ascii="Times New Roman" w:hAnsi="Times New Roman" w:eastAsia="宋体" w:cs="Times New Roman"/>
                <w:color w:val="000000" w:themeColor="text1"/>
                <w:szCs w:val="22"/>
              </w:rPr>
            </w:pPr>
          </w:p>
        </w:tc>
        <w:tc>
          <w:tcPr>
            <w:tcW w:w="226" w:type="pct"/>
            <w:vAlign w:val="center"/>
          </w:tcPr>
          <w:p w14:paraId="3606E29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682" w:type="pct"/>
            <w:gridSpan w:val="2"/>
            <w:vAlign w:val="center"/>
          </w:tcPr>
          <w:p w14:paraId="3A9644B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食堂</w:t>
            </w:r>
          </w:p>
        </w:tc>
        <w:tc>
          <w:tcPr>
            <w:tcW w:w="727" w:type="pct"/>
            <w:shd w:val="clear" w:color="auto" w:fill="auto"/>
            <w:vAlign w:val="center"/>
          </w:tcPr>
          <w:p w14:paraId="25743B4B">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油烟</w:t>
            </w:r>
          </w:p>
        </w:tc>
        <w:tc>
          <w:tcPr>
            <w:tcW w:w="1847" w:type="pct"/>
            <w:shd w:val="clear" w:color="auto" w:fill="auto"/>
            <w:vAlign w:val="center"/>
          </w:tcPr>
          <w:p w14:paraId="2837AF38">
            <w:pPr>
              <w:jc w:val="center"/>
              <w:rPr>
                <w:rFonts w:ascii="Times New Roman" w:hAnsi="Times New Roman" w:eastAsia="宋体" w:cs="Times New Roman"/>
                <w:color w:val="000000" w:themeColor="text1"/>
                <w:szCs w:val="21"/>
              </w:rPr>
            </w:pPr>
            <w:r>
              <w:rPr>
                <w:rFonts w:ascii="Times New Roman" w:hAnsi="Times New Roman" w:eastAsia="宋体" w:cs="Times New Roman"/>
                <w:bCs/>
                <w:color w:val="000000" w:themeColor="text1"/>
                <w:szCs w:val="21"/>
              </w:rPr>
              <w:t>食堂油烟</w:t>
            </w:r>
            <w:r>
              <w:rPr>
                <w:rFonts w:hint="eastAsia" w:ascii="Times New Roman" w:hAnsi="Times New Roman" w:eastAsia="宋体" w:cs="Times New Roman"/>
                <w:bCs/>
                <w:color w:val="000000" w:themeColor="text1"/>
                <w:szCs w:val="21"/>
              </w:rPr>
              <w:t>收集后</w:t>
            </w:r>
            <w:r>
              <w:rPr>
                <w:rFonts w:ascii="Times New Roman" w:hAnsi="Times New Roman" w:eastAsia="宋体" w:cs="Times New Roman"/>
                <w:bCs/>
                <w:color w:val="000000" w:themeColor="text1"/>
                <w:szCs w:val="21"/>
              </w:rPr>
              <w:t>，外排。</w:t>
            </w:r>
          </w:p>
        </w:tc>
        <w:tc>
          <w:tcPr>
            <w:tcW w:w="1293" w:type="pct"/>
            <w:shd w:val="clear" w:color="auto" w:fill="auto"/>
            <w:vAlign w:val="center"/>
          </w:tcPr>
          <w:p w14:paraId="235A2F46">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对环境影响较小</w:t>
            </w:r>
          </w:p>
        </w:tc>
      </w:tr>
      <w:tr w14:paraId="61C8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restart"/>
            <w:vAlign w:val="center"/>
          </w:tcPr>
          <w:p w14:paraId="287FACD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水污染物</w:t>
            </w:r>
          </w:p>
        </w:tc>
        <w:tc>
          <w:tcPr>
            <w:tcW w:w="226" w:type="pct"/>
            <w:vMerge w:val="restart"/>
            <w:vAlign w:val="center"/>
          </w:tcPr>
          <w:p w14:paraId="20F1822D">
            <w:pP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682" w:type="pct"/>
            <w:gridSpan w:val="2"/>
            <w:vAlign w:val="center"/>
          </w:tcPr>
          <w:p w14:paraId="17DD88D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施工废水</w:t>
            </w:r>
          </w:p>
        </w:tc>
        <w:tc>
          <w:tcPr>
            <w:tcW w:w="727" w:type="pct"/>
            <w:vAlign w:val="center"/>
          </w:tcPr>
          <w:p w14:paraId="367F509D">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SS</w:t>
            </w:r>
          </w:p>
        </w:tc>
        <w:tc>
          <w:tcPr>
            <w:tcW w:w="1847" w:type="pct"/>
            <w:vAlign w:val="center"/>
          </w:tcPr>
          <w:p w14:paraId="2582705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施工废水在与水泥砂浆等建材的拌合使用的过程中消耗。</w:t>
            </w:r>
          </w:p>
        </w:tc>
        <w:tc>
          <w:tcPr>
            <w:tcW w:w="1293" w:type="pct"/>
            <w:vMerge w:val="restart"/>
            <w:vAlign w:val="center"/>
          </w:tcPr>
          <w:p w14:paraId="3551835C">
            <w:pPr>
              <w:jc w:val="center"/>
              <w:rPr>
                <w:rFonts w:ascii="Times New Roman" w:hAnsi="Times New Roman" w:eastAsia="宋体" w:cs="Times New Roman"/>
                <w:bCs/>
                <w:color w:val="000000" w:themeColor="text1"/>
                <w:szCs w:val="22"/>
              </w:rPr>
            </w:pPr>
            <w:r>
              <w:rPr>
                <w:rFonts w:ascii="Times New Roman" w:hAnsi="Times New Roman" w:eastAsia="宋体" w:cs="Times New Roman"/>
                <w:bCs/>
                <w:color w:val="000000" w:themeColor="text1"/>
                <w:szCs w:val="22"/>
              </w:rPr>
              <w:t>废水不外排，对周围环境影响较小</w:t>
            </w:r>
          </w:p>
        </w:tc>
      </w:tr>
      <w:tr w14:paraId="6597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vAlign w:val="center"/>
          </w:tcPr>
          <w:p w14:paraId="35C866F6">
            <w:pPr>
              <w:jc w:val="center"/>
              <w:rPr>
                <w:rFonts w:ascii="Times New Roman" w:hAnsi="Times New Roman" w:eastAsia="宋体" w:cs="Times New Roman"/>
                <w:color w:val="000000" w:themeColor="text1"/>
                <w:szCs w:val="22"/>
              </w:rPr>
            </w:pPr>
          </w:p>
        </w:tc>
        <w:tc>
          <w:tcPr>
            <w:tcW w:w="226" w:type="pct"/>
            <w:vMerge w:val="continue"/>
            <w:vAlign w:val="center"/>
          </w:tcPr>
          <w:p w14:paraId="62305C0E">
            <w:pPr>
              <w:rPr>
                <w:rFonts w:ascii="Times New Roman" w:hAnsi="Times New Roman" w:eastAsia="宋体" w:cs="Times New Roman"/>
                <w:color w:val="000000" w:themeColor="text1"/>
                <w:szCs w:val="22"/>
              </w:rPr>
            </w:pPr>
          </w:p>
        </w:tc>
        <w:tc>
          <w:tcPr>
            <w:tcW w:w="682" w:type="pct"/>
            <w:gridSpan w:val="2"/>
            <w:vAlign w:val="center"/>
          </w:tcPr>
          <w:p w14:paraId="0909DEE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生活污水</w:t>
            </w:r>
          </w:p>
        </w:tc>
        <w:tc>
          <w:tcPr>
            <w:tcW w:w="727" w:type="pct"/>
            <w:vAlign w:val="center"/>
          </w:tcPr>
          <w:p w14:paraId="2773FACD">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BOD</w:t>
            </w:r>
            <w:r>
              <w:rPr>
                <w:rFonts w:ascii="Times New Roman" w:hAnsi="Times New Roman" w:eastAsia="宋体" w:cs="Times New Roman"/>
                <w:color w:val="000000" w:themeColor="text1"/>
                <w:szCs w:val="21"/>
                <w:vertAlign w:val="subscript"/>
              </w:rPr>
              <w:t>5</w:t>
            </w:r>
            <w:r>
              <w:rPr>
                <w:rFonts w:ascii="Times New Roman" w:hAnsi="Times New Roman" w:eastAsia="宋体" w:cs="Times New Roman"/>
                <w:color w:val="000000" w:themeColor="text1"/>
                <w:szCs w:val="21"/>
              </w:rPr>
              <w:t>、氨氮等</w:t>
            </w:r>
          </w:p>
        </w:tc>
        <w:tc>
          <w:tcPr>
            <w:tcW w:w="1847" w:type="pct"/>
            <w:vAlign w:val="center"/>
          </w:tcPr>
          <w:p w14:paraId="4AFEF2C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委托村民清掏，用作农肥。</w:t>
            </w:r>
          </w:p>
        </w:tc>
        <w:tc>
          <w:tcPr>
            <w:tcW w:w="1293" w:type="pct"/>
            <w:vMerge w:val="continue"/>
            <w:vAlign w:val="center"/>
          </w:tcPr>
          <w:p w14:paraId="352A2FBD">
            <w:pPr>
              <w:jc w:val="center"/>
              <w:rPr>
                <w:rFonts w:ascii="Times New Roman" w:hAnsi="Times New Roman" w:eastAsia="宋体" w:cs="Times New Roman"/>
                <w:bCs/>
                <w:color w:val="000000" w:themeColor="text1"/>
                <w:szCs w:val="22"/>
              </w:rPr>
            </w:pPr>
          </w:p>
        </w:tc>
      </w:tr>
      <w:tr w14:paraId="710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25" w:type="pct"/>
            <w:vMerge w:val="continue"/>
            <w:vAlign w:val="center"/>
          </w:tcPr>
          <w:p w14:paraId="4672F1F2">
            <w:pPr>
              <w:jc w:val="center"/>
              <w:rPr>
                <w:rFonts w:ascii="Times New Roman" w:hAnsi="Times New Roman" w:eastAsia="宋体" w:cs="Times New Roman"/>
                <w:color w:val="000000" w:themeColor="text1"/>
                <w:szCs w:val="22"/>
              </w:rPr>
            </w:pPr>
          </w:p>
        </w:tc>
        <w:tc>
          <w:tcPr>
            <w:tcW w:w="226" w:type="pct"/>
            <w:vMerge w:val="restart"/>
            <w:vAlign w:val="center"/>
          </w:tcPr>
          <w:p w14:paraId="2A6A468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682" w:type="pct"/>
            <w:gridSpan w:val="2"/>
            <w:vAlign w:val="center"/>
          </w:tcPr>
          <w:p w14:paraId="381F2350">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雨水</w:t>
            </w:r>
          </w:p>
        </w:tc>
        <w:tc>
          <w:tcPr>
            <w:tcW w:w="727" w:type="pct"/>
            <w:vAlign w:val="center"/>
          </w:tcPr>
          <w:p w14:paraId="1AB2B2B7">
            <w:pPr>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szCs w:val="21"/>
              </w:rPr>
              <w:t>SS、</w:t>
            </w:r>
            <w:r>
              <w:rPr>
                <w:rFonts w:hint="eastAsia" w:ascii="Times New Roman" w:hAnsi="Times New Roman" w:eastAsia="宋体" w:cs="Times New Roman"/>
                <w:color w:val="000000" w:themeColor="text1"/>
                <w:szCs w:val="21"/>
              </w:rPr>
              <w:t>油类</w:t>
            </w:r>
            <w:r>
              <w:rPr>
                <w:rFonts w:ascii="Times New Roman" w:hAnsi="Times New Roman" w:eastAsia="宋体" w:cs="Times New Roman"/>
                <w:color w:val="000000" w:themeColor="text1"/>
                <w:szCs w:val="21"/>
              </w:rPr>
              <w:t>等</w:t>
            </w:r>
          </w:p>
        </w:tc>
        <w:tc>
          <w:tcPr>
            <w:tcW w:w="1847" w:type="pct"/>
            <w:vAlign w:val="center"/>
          </w:tcPr>
          <w:p w14:paraId="407B0F33">
            <w:pPr>
              <w:jc w:val="center"/>
              <w:rPr>
                <w:rFonts w:ascii="Times New Roman" w:hAnsi="Times New Roman" w:eastAsia="宋体" w:cs="Times New Roman"/>
                <w:bCs/>
                <w:color w:val="000000" w:themeColor="text1"/>
                <w:szCs w:val="22"/>
              </w:rPr>
            </w:pPr>
            <w:r>
              <w:rPr>
                <w:rFonts w:hint="eastAsia" w:ascii="Times New Roman" w:hAnsi="Times New Roman" w:eastAsia="宋体" w:cs="Times New Roman"/>
                <w:bCs/>
                <w:color w:val="000000" w:themeColor="text1"/>
                <w:szCs w:val="22"/>
              </w:rPr>
              <w:t>雨污分流；</w:t>
            </w:r>
          </w:p>
          <w:p w14:paraId="3E3D1DAC">
            <w:pPr>
              <w:jc w:val="center"/>
              <w:rPr>
                <w:rFonts w:ascii="Times New Roman" w:hAnsi="Times New Roman" w:eastAsia="宋体" w:cs="Times New Roman"/>
                <w:bCs/>
                <w:color w:val="000000" w:themeColor="text1"/>
                <w:szCs w:val="22"/>
              </w:rPr>
            </w:pPr>
            <w:r>
              <w:rPr>
                <w:rFonts w:hint="eastAsia" w:ascii="Times New Roman" w:hAnsi="Times New Roman" w:cs="Times New Roman"/>
                <w:color w:val="000000" w:themeColor="text1"/>
              </w:rPr>
              <w:t>一个雨水收集池（1m</w:t>
            </w:r>
            <w:r>
              <w:rPr>
                <w:rFonts w:hint="eastAsia" w:ascii="Times New Roman" w:hAnsi="Times New Roman" w:cs="Times New Roman"/>
                <w:color w:val="000000" w:themeColor="text1"/>
                <w:vertAlign w:val="superscript"/>
              </w:rPr>
              <w:t>3</w:t>
            </w:r>
            <w:r>
              <w:rPr>
                <w:rFonts w:hint="eastAsia" w:ascii="Times New Roman" w:hAnsi="Times New Roman" w:cs="Times New Roman"/>
                <w:color w:val="000000" w:themeColor="text1"/>
              </w:rPr>
              <w:t>）；建设</w:t>
            </w:r>
            <w:r>
              <w:rPr>
                <w:rFonts w:ascii="Times New Roman" w:hAnsi="Times New Roman" w:eastAsia="宋体" w:cs="Times New Roman"/>
                <w:color w:val="000000" w:themeColor="text1"/>
                <w:szCs w:val="21"/>
              </w:rPr>
              <w:t>具有防雨、防风、防渗等功能的厂房或加盖雨棚</w:t>
            </w:r>
            <w:r>
              <w:rPr>
                <w:rFonts w:hint="eastAsia" w:ascii="Times New Roman" w:hAnsi="Times New Roman" w:cs="Times New Roman"/>
                <w:color w:val="000000" w:themeColor="text1"/>
                <w:szCs w:val="21"/>
              </w:rPr>
              <w:t>的原料、生产仓库</w:t>
            </w:r>
          </w:p>
        </w:tc>
        <w:tc>
          <w:tcPr>
            <w:tcW w:w="1293" w:type="pct"/>
            <w:vAlign w:val="center"/>
          </w:tcPr>
          <w:p w14:paraId="7B7C22E1">
            <w:pPr>
              <w:jc w:val="center"/>
              <w:rPr>
                <w:rFonts w:ascii="Times New Roman" w:hAnsi="Times New Roman" w:eastAsia="宋体" w:cs="Times New Roman"/>
                <w:bCs/>
                <w:color w:val="000000" w:themeColor="text1"/>
                <w:szCs w:val="22"/>
              </w:rPr>
            </w:pPr>
            <w:r>
              <w:rPr>
                <w:rFonts w:hint="eastAsia" w:ascii="Times New Roman" w:hAnsi="Times New Roman" w:eastAsia="宋体" w:cs="Times New Roman"/>
                <w:color w:val="000000" w:themeColor="text1"/>
                <w:szCs w:val="22"/>
              </w:rPr>
              <w:t>前1h雨水经沉淀后</w:t>
            </w:r>
            <w:r>
              <w:rPr>
                <w:rFonts w:ascii="Times New Roman" w:hAnsi="Times New Roman" w:eastAsia="宋体" w:cs="Times New Roman"/>
                <w:color w:val="000000" w:themeColor="text1"/>
                <w:szCs w:val="22"/>
              </w:rPr>
              <w:t>回用</w:t>
            </w:r>
            <w:r>
              <w:rPr>
                <w:rFonts w:ascii="Times New Roman" w:hAnsi="Times New Roman" w:eastAsia="宋体" w:cs="Times New Roman"/>
                <w:bCs/>
                <w:color w:val="000000" w:themeColor="text1"/>
                <w:szCs w:val="22"/>
              </w:rPr>
              <w:t xml:space="preserve"> </w:t>
            </w:r>
          </w:p>
        </w:tc>
      </w:tr>
      <w:tr w14:paraId="39E3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25" w:type="pct"/>
            <w:vMerge w:val="continue"/>
            <w:vAlign w:val="center"/>
          </w:tcPr>
          <w:p w14:paraId="1AC383A4">
            <w:pPr>
              <w:jc w:val="center"/>
              <w:rPr>
                <w:rFonts w:ascii="Times New Roman" w:hAnsi="Times New Roman" w:eastAsia="宋体" w:cs="Times New Roman"/>
                <w:color w:val="000000" w:themeColor="text1"/>
                <w:szCs w:val="22"/>
              </w:rPr>
            </w:pPr>
          </w:p>
        </w:tc>
        <w:tc>
          <w:tcPr>
            <w:tcW w:w="226" w:type="pct"/>
            <w:vMerge w:val="continue"/>
            <w:vAlign w:val="center"/>
          </w:tcPr>
          <w:p w14:paraId="0B322C1F">
            <w:pPr>
              <w:jc w:val="center"/>
              <w:rPr>
                <w:rFonts w:ascii="Times New Roman" w:hAnsi="Times New Roman" w:eastAsia="宋体" w:cs="Times New Roman"/>
                <w:color w:val="000000" w:themeColor="text1"/>
                <w:szCs w:val="22"/>
              </w:rPr>
            </w:pPr>
          </w:p>
        </w:tc>
        <w:tc>
          <w:tcPr>
            <w:tcW w:w="682" w:type="pct"/>
            <w:gridSpan w:val="2"/>
            <w:vAlign w:val="center"/>
          </w:tcPr>
          <w:p w14:paraId="4C8AE51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生活污水</w:t>
            </w:r>
          </w:p>
        </w:tc>
        <w:tc>
          <w:tcPr>
            <w:tcW w:w="727" w:type="pct"/>
            <w:vAlign w:val="center"/>
          </w:tcPr>
          <w:p w14:paraId="5D3F3C6B">
            <w:pPr>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szCs w:val="21"/>
              </w:rPr>
              <w:t>COD、BOD</w:t>
            </w:r>
            <w:r>
              <w:rPr>
                <w:rFonts w:ascii="Times New Roman" w:hAnsi="Times New Roman" w:eastAsia="宋体" w:cs="Times New Roman"/>
                <w:color w:val="000000" w:themeColor="text1"/>
                <w:szCs w:val="21"/>
                <w:vertAlign w:val="subscript"/>
              </w:rPr>
              <w:t>5</w:t>
            </w:r>
            <w:r>
              <w:rPr>
                <w:rFonts w:ascii="Times New Roman" w:hAnsi="Times New Roman" w:eastAsia="宋体" w:cs="Times New Roman"/>
                <w:color w:val="000000" w:themeColor="text1"/>
                <w:szCs w:val="21"/>
              </w:rPr>
              <w:t>、SS、NH</w:t>
            </w:r>
            <w:r>
              <w:rPr>
                <w:rFonts w:ascii="Times New Roman" w:hAnsi="Times New Roman" w:eastAsia="宋体" w:cs="Times New Roman"/>
                <w:color w:val="000000" w:themeColor="text1"/>
                <w:szCs w:val="21"/>
                <w:vertAlign w:val="subscript"/>
              </w:rPr>
              <w:t>3</w:t>
            </w:r>
            <w:r>
              <w:rPr>
                <w:rFonts w:ascii="Times New Roman" w:hAnsi="Times New Roman" w:eastAsia="宋体" w:cs="Times New Roman"/>
                <w:color w:val="000000" w:themeColor="text1"/>
                <w:szCs w:val="21"/>
              </w:rPr>
              <w:t>-N、</w:t>
            </w:r>
            <w:r>
              <w:rPr>
                <w:rFonts w:ascii="Times New Roman" w:hAnsi="Times New Roman" w:eastAsia="宋体" w:cs="Times New Roman"/>
                <w:color w:val="000000" w:themeColor="text1"/>
                <w:szCs w:val="21"/>
              </w:rPr>
              <w:cr/>
            </w:r>
            <w:r>
              <w:rPr>
                <w:rFonts w:ascii="Times New Roman" w:hAnsi="Times New Roman" w:eastAsia="宋体" w:cs="Times New Roman"/>
                <w:color w:val="000000" w:themeColor="text1"/>
                <w:szCs w:val="21"/>
              </w:rPr>
              <w:t>TP等</w:t>
            </w:r>
          </w:p>
        </w:tc>
        <w:tc>
          <w:tcPr>
            <w:tcW w:w="1847" w:type="pct"/>
            <w:vAlign w:val="center"/>
          </w:tcPr>
          <w:p w14:paraId="63A1C088">
            <w:pPr>
              <w:jc w:val="center"/>
              <w:rPr>
                <w:rFonts w:ascii="Times New Roman" w:hAnsi="Times New Roman" w:eastAsia="宋体" w:cs="Times New Roman"/>
                <w:bCs/>
                <w:color w:val="000000" w:themeColor="text1"/>
                <w:szCs w:val="22"/>
              </w:rPr>
            </w:pPr>
            <w:r>
              <w:rPr>
                <w:rFonts w:ascii="Times New Roman" w:hAnsi="Times New Roman" w:eastAsia="宋体" w:cs="Times New Roman"/>
                <w:color w:val="000000" w:themeColor="text1"/>
                <w:szCs w:val="22"/>
              </w:rPr>
              <w:t>厨房废水经1个隔油池（0.</w:t>
            </w:r>
            <w:r>
              <w:rPr>
                <w:rFonts w:hint="eastAsia" w:ascii="Times New Roman" w:hAnsi="Times New Roman" w:eastAsia="宋体" w:cs="Times New Roman"/>
                <w:color w:val="000000" w:themeColor="text1"/>
                <w:szCs w:val="22"/>
              </w:rPr>
              <w:t>2</w:t>
            </w:r>
            <w:r>
              <w:rPr>
                <w:rFonts w:ascii="Times New Roman" w:hAnsi="Times New Roman" w:eastAsia="宋体" w:cs="Times New Roman"/>
                <w:color w:val="000000" w:themeColor="text1"/>
                <w:szCs w:val="22"/>
              </w:rPr>
              <w:t>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）处理后，与其它生活废水排入化粪池（1</w:t>
            </w:r>
            <w:r>
              <w:rPr>
                <w:rFonts w:hint="eastAsia" w:ascii="Times New Roman" w:hAnsi="Times New Roman" w:eastAsia="宋体" w:cs="Times New Roman"/>
                <w:color w:val="000000" w:themeColor="text1"/>
                <w:szCs w:val="22"/>
              </w:rPr>
              <w:t>5</w:t>
            </w:r>
            <w:r>
              <w:rPr>
                <w:rFonts w:ascii="Times New Roman" w:hAnsi="Times New Roman" w:eastAsia="宋体" w:cs="Times New Roman"/>
                <w:color w:val="000000" w:themeColor="text1"/>
                <w:szCs w:val="22"/>
              </w:rPr>
              <w:t>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）处理，定期委托周边村民清运，用于农作物施肥。</w:t>
            </w:r>
          </w:p>
        </w:tc>
        <w:tc>
          <w:tcPr>
            <w:tcW w:w="1293" w:type="pct"/>
            <w:vAlign w:val="center"/>
          </w:tcPr>
          <w:p w14:paraId="33000798">
            <w:pPr>
              <w:jc w:val="center"/>
              <w:rPr>
                <w:rFonts w:ascii="Times New Roman" w:hAnsi="Times New Roman" w:eastAsia="宋体" w:cs="Times New Roman"/>
                <w:bCs/>
                <w:color w:val="000000" w:themeColor="text1"/>
                <w:szCs w:val="22"/>
              </w:rPr>
            </w:pPr>
            <w:r>
              <w:rPr>
                <w:rFonts w:ascii="Times New Roman" w:hAnsi="Times New Roman" w:eastAsia="宋体" w:cs="Times New Roman"/>
                <w:bCs/>
                <w:color w:val="000000" w:themeColor="text1"/>
                <w:szCs w:val="22"/>
              </w:rPr>
              <w:t>废水不外排，对周围环境影响较小</w:t>
            </w:r>
          </w:p>
        </w:tc>
      </w:tr>
      <w:tr w14:paraId="23794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25" w:type="pct"/>
            <w:vMerge w:val="continue"/>
            <w:vAlign w:val="center"/>
          </w:tcPr>
          <w:p w14:paraId="47EAE533">
            <w:pPr>
              <w:jc w:val="center"/>
              <w:rPr>
                <w:rFonts w:ascii="Times New Roman" w:hAnsi="Times New Roman" w:eastAsia="宋体" w:cs="Times New Roman"/>
                <w:color w:val="000000" w:themeColor="text1"/>
                <w:szCs w:val="22"/>
              </w:rPr>
            </w:pPr>
          </w:p>
        </w:tc>
        <w:tc>
          <w:tcPr>
            <w:tcW w:w="226" w:type="pct"/>
            <w:vMerge w:val="continue"/>
            <w:vAlign w:val="center"/>
          </w:tcPr>
          <w:p w14:paraId="42C1470C">
            <w:pPr>
              <w:jc w:val="center"/>
              <w:rPr>
                <w:rFonts w:ascii="Times New Roman" w:hAnsi="Times New Roman" w:eastAsia="宋体" w:cs="Times New Roman"/>
                <w:color w:val="000000" w:themeColor="text1"/>
                <w:szCs w:val="22"/>
              </w:rPr>
            </w:pPr>
          </w:p>
        </w:tc>
        <w:tc>
          <w:tcPr>
            <w:tcW w:w="682" w:type="pct"/>
            <w:gridSpan w:val="2"/>
            <w:vAlign w:val="center"/>
          </w:tcPr>
          <w:p w14:paraId="303FB7A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生产废水</w:t>
            </w:r>
          </w:p>
        </w:tc>
        <w:tc>
          <w:tcPr>
            <w:tcW w:w="727" w:type="pct"/>
            <w:vAlign w:val="center"/>
          </w:tcPr>
          <w:p w14:paraId="17BE7F5D">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COD、BOD</w:t>
            </w:r>
            <w:r>
              <w:rPr>
                <w:rFonts w:ascii="Times New Roman" w:hAnsi="Times New Roman" w:eastAsia="宋体" w:cs="Times New Roman"/>
                <w:color w:val="000000" w:themeColor="text1"/>
                <w:szCs w:val="21"/>
                <w:vertAlign w:val="subscript"/>
              </w:rPr>
              <w:t>5</w:t>
            </w:r>
            <w:r>
              <w:rPr>
                <w:rFonts w:ascii="Times New Roman" w:hAnsi="Times New Roman" w:eastAsia="宋体" w:cs="Times New Roman"/>
                <w:color w:val="000000" w:themeColor="text1"/>
                <w:szCs w:val="21"/>
              </w:rPr>
              <w:t>、SS、NH</w:t>
            </w:r>
            <w:r>
              <w:rPr>
                <w:rFonts w:ascii="Times New Roman" w:hAnsi="Times New Roman" w:eastAsia="宋体" w:cs="Times New Roman"/>
                <w:color w:val="000000" w:themeColor="text1"/>
                <w:szCs w:val="21"/>
                <w:vertAlign w:val="subscript"/>
              </w:rPr>
              <w:t>3</w:t>
            </w:r>
            <w:r>
              <w:rPr>
                <w:rFonts w:ascii="Times New Roman" w:hAnsi="Times New Roman" w:eastAsia="宋体" w:cs="Times New Roman"/>
                <w:color w:val="000000" w:themeColor="text1"/>
                <w:szCs w:val="21"/>
              </w:rPr>
              <w:t>-N、</w:t>
            </w:r>
            <w:r>
              <w:rPr>
                <w:rFonts w:ascii="Times New Roman" w:hAnsi="Times New Roman" w:eastAsia="宋体" w:cs="Times New Roman"/>
                <w:color w:val="000000" w:themeColor="text1"/>
                <w:szCs w:val="21"/>
              </w:rPr>
              <w:cr/>
            </w:r>
            <w:r>
              <w:rPr>
                <w:rFonts w:ascii="Times New Roman" w:hAnsi="Times New Roman" w:eastAsia="宋体" w:cs="Times New Roman"/>
                <w:color w:val="000000" w:themeColor="text1"/>
                <w:szCs w:val="21"/>
              </w:rPr>
              <w:t>TP等</w:t>
            </w:r>
          </w:p>
        </w:tc>
        <w:tc>
          <w:tcPr>
            <w:tcW w:w="1847" w:type="pct"/>
            <w:vAlign w:val="center"/>
          </w:tcPr>
          <w:p w14:paraId="400C25EB">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生产废水通过自建的</w:t>
            </w:r>
            <w:r>
              <w:rPr>
                <w:rFonts w:hint="eastAsia" w:ascii="Times New Roman" w:hAnsi="Times New Roman" w:eastAsia="宋体" w:cs="Times New Roman"/>
                <w:color w:val="000000" w:themeColor="text1"/>
                <w:szCs w:val="21"/>
              </w:rPr>
              <w:t>隔油池</w:t>
            </w:r>
            <w:r>
              <w:rPr>
                <w:rFonts w:ascii="Times New Roman" w:hAnsi="Times New Roman" w:eastAsia="宋体" w:cs="Times New Roman"/>
                <w:color w:val="000000" w:themeColor="text1"/>
                <w:szCs w:val="21"/>
              </w:rPr>
              <w:t>（</w:t>
            </w:r>
            <w:r>
              <w:rPr>
                <w:rFonts w:hint="eastAsia" w:ascii="Times New Roman" w:hAnsi="Times New Roman" w:eastAsia="宋体" w:cs="Times New Roman"/>
                <w:snapToGrid w:val="0"/>
                <w:color w:val="000000" w:themeColor="text1"/>
                <w:kern w:val="0"/>
                <w:szCs w:val="21"/>
              </w:rPr>
              <w:t>2</w:t>
            </w:r>
            <w:r>
              <w:rPr>
                <w:rFonts w:ascii="Times New Roman" w:hAnsi="Times New Roman" w:eastAsia="宋体" w:cs="Times New Roman"/>
                <w:snapToGrid w:val="0"/>
                <w:color w:val="000000" w:themeColor="text1"/>
                <w:kern w:val="0"/>
                <w:szCs w:val="21"/>
              </w:rPr>
              <w:t>m</w:t>
            </w:r>
            <w:r>
              <w:rPr>
                <w:rFonts w:ascii="Times New Roman" w:hAnsi="Times New Roman" w:eastAsia="宋体" w:cs="Times New Roman"/>
                <w:snapToGrid w:val="0"/>
                <w:color w:val="000000" w:themeColor="text1"/>
                <w:kern w:val="0"/>
                <w:szCs w:val="21"/>
                <w:vertAlign w:val="superscript"/>
              </w:rPr>
              <w:t>3</w:t>
            </w:r>
            <w:r>
              <w:rPr>
                <w:rFonts w:ascii="Times New Roman" w:hAnsi="Times New Roman" w:eastAsia="宋体" w:cs="Times New Roman"/>
                <w:color w:val="000000" w:themeColor="text1"/>
                <w:szCs w:val="21"/>
              </w:rPr>
              <w:t>）</w:t>
            </w:r>
            <w:r>
              <w:rPr>
                <w:rFonts w:hint="eastAsia" w:ascii="Times New Roman" w:hAnsi="Times New Roman" w:eastAsia="宋体" w:cs="Times New Roman"/>
                <w:color w:val="000000" w:themeColor="text1"/>
                <w:szCs w:val="21"/>
              </w:rPr>
              <w:t>+沉淀池</w:t>
            </w:r>
            <w:r>
              <w:rPr>
                <w:rFonts w:ascii="Times New Roman" w:hAnsi="Times New Roman" w:eastAsia="宋体" w:cs="Times New Roman"/>
                <w:color w:val="000000" w:themeColor="text1"/>
                <w:szCs w:val="21"/>
              </w:rPr>
              <w:t>（</w:t>
            </w:r>
            <w:r>
              <w:rPr>
                <w:rFonts w:hint="eastAsia" w:ascii="Times New Roman" w:hAnsi="Times New Roman" w:eastAsia="宋体" w:cs="Times New Roman"/>
                <w:snapToGrid w:val="0"/>
                <w:color w:val="000000" w:themeColor="text1"/>
                <w:kern w:val="0"/>
                <w:szCs w:val="21"/>
              </w:rPr>
              <w:t>8</w:t>
            </w:r>
            <w:r>
              <w:rPr>
                <w:rFonts w:ascii="Times New Roman" w:hAnsi="Times New Roman" w:eastAsia="宋体" w:cs="Times New Roman"/>
                <w:snapToGrid w:val="0"/>
                <w:color w:val="000000" w:themeColor="text1"/>
                <w:kern w:val="0"/>
                <w:szCs w:val="21"/>
              </w:rPr>
              <w:t>m</w:t>
            </w:r>
            <w:r>
              <w:rPr>
                <w:rFonts w:ascii="Times New Roman" w:hAnsi="Times New Roman" w:eastAsia="宋体" w:cs="Times New Roman"/>
                <w:snapToGrid w:val="0"/>
                <w:color w:val="000000" w:themeColor="text1"/>
                <w:kern w:val="0"/>
                <w:szCs w:val="21"/>
                <w:vertAlign w:val="superscript"/>
              </w:rPr>
              <w:t>3</w:t>
            </w:r>
            <w:r>
              <w:rPr>
                <w:rFonts w:ascii="Times New Roman" w:hAnsi="Times New Roman" w:eastAsia="宋体" w:cs="Times New Roman"/>
                <w:color w:val="000000" w:themeColor="text1"/>
                <w:szCs w:val="21"/>
              </w:rPr>
              <w:t>）处理后，储存于</w:t>
            </w:r>
            <w:r>
              <w:rPr>
                <w:rFonts w:hint="eastAsia" w:ascii="Times New Roman" w:hAnsi="Times New Roman" w:eastAsia="宋体" w:cs="Times New Roman"/>
                <w:color w:val="000000" w:themeColor="text1"/>
                <w:szCs w:val="21"/>
              </w:rPr>
              <w:t>供水</w:t>
            </w:r>
            <w:r>
              <w:rPr>
                <w:rFonts w:ascii="Times New Roman" w:hAnsi="Times New Roman" w:eastAsia="宋体" w:cs="Times New Roman"/>
                <w:color w:val="000000" w:themeColor="text1"/>
                <w:szCs w:val="21"/>
              </w:rPr>
              <w:t>池回用于生产。</w:t>
            </w:r>
          </w:p>
        </w:tc>
        <w:tc>
          <w:tcPr>
            <w:tcW w:w="1293" w:type="pct"/>
            <w:vAlign w:val="center"/>
          </w:tcPr>
          <w:p w14:paraId="6B38FEE4">
            <w:pPr>
              <w:jc w:val="center"/>
              <w:rPr>
                <w:rFonts w:ascii="Times New Roman" w:hAnsi="Times New Roman" w:eastAsia="宋体" w:cs="Times New Roman"/>
                <w:bCs/>
                <w:color w:val="000000" w:themeColor="text1"/>
                <w:szCs w:val="22"/>
              </w:rPr>
            </w:pPr>
            <w:r>
              <w:rPr>
                <w:rFonts w:ascii="Times New Roman" w:hAnsi="Times New Roman" w:eastAsia="宋体" w:cs="Times New Roman"/>
                <w:color w:val="000000" w:themeColor="text1"/>
                <w:szCs w:val="22"/>
              </w:rPr>
              <w:t>全部回用，不外排</w:t>
            </w:r>
          </w:p>
        </w:tc>
      </w:tr>
      <w:tr w14:paraId="1ADED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restart"/>
            <w:vAlign w:val="center"/>
          </w:tcPr>
          <w:p w14:paraId="4080201A">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固体废弃物</w:t>
            </w:r>
          </w:p>
        </w:tc>
        <w:tc>
          <w:tcPr>
            <w:tcW w:w="226" w:type="pct"/>
            <w:vMerge w:val="restart"/>
            <w:vAlign w:val="center"/>
          </w:tcPr>
          <w:p w14:paraId="575087C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682" w:type="pct"/>
            <w:gridSpan w:val="2"/>
            <w:tcBorders>
              <w:bottom w:val="single" w:color="auto" w:sz="4" w:space="0"/>
            </w:tcBorders>
            <w:vAlign w:val="center"/>
          </w:tcPr>
          <w:p w14:paraId="294E3BB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施工固废</w:t>
            </w:r>
          </w:p>
        </w:tc>
        <w:tc>
          <w:tcPr>
            <w:tcW w:w="727" w:type="pct"/>
            <w:tcBorders>
              <w:bottom w:val="single" w:color="auto" w:sz="4" w:space="0"/>
            </w:tcBorders>
            <w:vAlign w:val="center"/>
          </w:tcPr>
          <w:p w14:paraId="7657ABFA">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土方、</w:t>
            </w:r>
            <w:r>
              <w:rPr>
                <w:rFonts w:ascii="Times New Roman" w:hAnsi="Times New Roman" w:eastAsia="宋体" w:cs="Times New Roman"/>
                <w:color w:val="000000" w:themeColor="text1"/>
                <w:szCs w:val="21"/>
              </w:rPr>
              <w:t>建筑垃圾</w:t>
            </w:r>
          </w:p>
        </w:tc>
        <w:tc>
          <w:tcPr>
            <w:tcW w:w="1847" w:type="pct"/>
            <w:vAlign w:val="center"/>
          </w:tcPr>
          <w:p w14:paraId="43611D86">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土方就地回填，其余少部分</w:t>
            </w:r>
            <w:r>
              <w:rPr>
                <w:rFonts w:ascii="Times New Roman" w:hAnsi="Times New Roman" w:eastAsia="宋体" w:cs="Times New Roman"/>
                <w:color w:val="000000" w:themeColor="text1"/>
                <w:szCs w:val="22"/>
              </w:rPr>
              <w:t>建筑垃圾通过分类集中堆存，其中可再生利用部分回收利用，不能利用的由施工单位及时清运到住建部门制定堆放点。</w:t>
            </w:r>
          </w:p>
        </w:tc>
        <w:tc>
          <w:tcPr>
            <w:tcW w:w="1293" w:type="pct"/>
            <w:vMerge w:val="restart"/>
            <w:vAlign w:val="center"/>
          </w:tcPr>
          <w:p w14:paraId="656736D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全部合理利用或处置率100%</w:t>
            </w:r>
          </w:p>
          <w:p w14:paraId="0A39CF6D">
            <w:pPr>
              <w:jc w:val="center"/>
              <w:rPr>
                <w:rFonts w:ascii="Times New Roman" w:hAnsi="Times New Roman" w:eastAsia="宋体" w:cs="Times New Roman"/>
                <w:color w:val="000000" w:themeColor="text1"/>
                <w:szCs w:val="22"/>
              </w:rPr>
            </w:pPr>
          </w:p>
        </w:tc>
      </w:tr>
      <w:tr w14:paraId="342B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vAlign w:val="center"/>
          </w:tcPr>
          <w:p w14:paraId="09FD430D">
            <w:pPr>
              <w:jc w:val="center"/>
              <w:rPr>
                <w:rFonts w:ascii="Times New Roman" w:hAnsi="Times New Roman" w:eastAsia="宋体" w:cs="Times New Roman"/>
                <w:color w:val="000000" w:themeColor="text1"/>
                <w:szCs w:val="22"/>
              </w:rPr>
            </w:pPr>
          </w:p>
        </w:tc>
        <w:tc>
          <w:tcPr>
            <w:tcW w:w="226" w:type="pct"/>
            <w:vMerge w:val="continue"/>
            <w:tcBorders>
              <w:bottom w:val="single" w:color="auto" w:sz="4" w:space="0"/>
            </w:tcBorders>
            <w:vAlign w:val="center"/>
          </w:tcPr>
          <w:p w14:paraId="47C70F42">
            <w:pPr>
              <w:jc w:val="center"/>
              <w:rPr>
                <w:rFonts w:ascii="Times New Roman" w:hAnsi="Times New Roman" w:eastAsia="宋体" w:cs="Times New Roman"/>
                <w:color w:val="000000" w:themeColor="text1"/>
                <w:szCs w:val="22"/>
              </w:rPr>
            </w:pPr>
          </w:p>
        </w:tc>
        <w:tc>
          <w:tcPr>
            <w:tcW w:w="682" w:type="pct"/>
            <w:gridSpan w:val="2"/>
            <w:tcBorders>
              <w:bottom w:val="single" w:color="auto" w:sz="4" w:space="0"/>
            </w:tcBorders>
            <w:vAlign w:val="center"/>
          </w:tcPr>
          <w:p w14:paraId="50D8961B">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施工人员</w:t>
            </w:r>
          </w:p>
        </w:tc>
        <w:tc>
          <w:tcPr>
            <w:tcW w:w="727" w:type="pct"/>
            <w:tcBorders>
              <w:bottom w:val="single" w:color="auto" w:sz="4" w:space="0"/>
            </w:tcBorders>
            <w:vAlign w:val="center"/>
          </w:tcPr>
          <w:p w14:paraId="6C60E993">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1"/>
              </w:rPr>
              <w:t>生活垃圾</w:t>
            </w:r>
          </w:p>
        </w:tc>
        <w:tc>
          <w:tcPr>
            <w:tcW w:w="1847" w:type="pct"/>
            <w:vAlign w:val="center"/>
          </w:tcPr>
          <w:p w14:paraId="557BFD9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运至项目区</w:t>
            </w:r>
            <w:r>
              <w:rPr>
                <w:rFonts w:ascii="Times New Roman" w:hAnsi="Times New Roman" w:eastAsia="宋体" w:cs="Times New Roman"/>
                <w:bCs/>
                <w:color w:val="000000" w:themeColor="text1"/>
                <w:szCs w:val="22"/>
              </w:rPr>
              <w:t>当连村</w:t>
            </w:r>
            <w:r>
              <w:rPr>
                <w:rFonts w:ascii="Times New Roman" w:hAnsi="Times New Roman" w:eastAsia="宋体" w:cs="Times New Roman"/>
                <w:color w:val="000000" w:themeColor="text1"/>
                <w:szCs w:val="22"/>
              </w:rPr>
              <w:t>垃圾收集点处置</w:t>
            </w:r>
          </w:p>
        </w:tc>
        <w:tc>
          <w:tcPr>
            <w:tcW w:w="1293" w:type="pct"/>
            <w:vMerge w:val="continue"/>
            <w:vAlign w:val="center"/>
          </w:tcPr>
          <w:p w14:paraId="49F7C8D7">
            <w:pPr>
              <w:jc w:val="center"/>
              <w:rPr>
                <w:rFonts w:ascii="Times New Roman" w:hAnsi="Times New Roman" w:eastAsia="宋体" w:cs="Times New Roman"/>
                <w:color w:val="000000" w:themeColor="text1"/>
                <w:szCs w:val="22"/>
              </w:rPr>
            </w:pPr>
          </w:p>
        </w:tc>
      </w:tr>
      <w:tr w14:paraId="74E1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25" w:type="pct"/>
            <w:vMerge w:val="continue"/>
            <w:vAlign w:val="center"/>
          </w:tcPr>
          <w:p w14:paraId="29D154F3">
            <w:pPr>
              <w:jc w:val="center"/>
              <w:rPr>
                <w:rFonts w:ascii="Times New Roman" w:hAnsi="Times New Roman" w:eastAsia="宋体" w:cs="Times New Roman"/>
                <w:color w:val="000000" w:themeColor="text1"/>
                <w:szCs w:val="22"/>
              </w:rPr>
            </w:pPr>
          </w:p>
        </w:tc>
        <w:tc>
          <w:tcPr>
            <w:tcW w:w="226" w:type="pct"/>
            <w:vMerge w:val="restart"/>
            <w:vAlign w:val="center"/>
          </w:tcPr>
          <w:p w14:paraId="20C05C44">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225" w:type="pct"/>
            <w:vMerge w:val="restart"/>
            <w:vAlign w:val="center"/>
          </w:tcPr>
          <w:p w14:paraId="3A18B05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一般工业固废</w:t>
            </w:r>
          </w:p>
        </w:tc>
        <w:tc>
          <w:tcPr>
            <w:tcW w:w="457" w:type="pct"/>
            <w:vAlign w:val="center"/>
          </w:tcPr>
          <w:p w14:paraId="0909720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拆包、人工分选</w:t>
            </w:r>
          </w:p>
        </w:tc>
        <w:tc>
          <w:tcPr>
            <w:tcW w:w="727" w:type="pct"/>
            <w:vAlign w:val="center"/>
          </w:tcPr>
          <w:p w14:paraId="33632AA2">
            <w:pPr>
              <w:ind w:left="50" w:right="50"/>
              <w:jc w:val="center"/>
              <w:rPr>
                <w:rFonts w:ascii="Times New Roman" w:hAnsi="Times New Roman" w:eastAsia="宋体" w:cs="Times New Roman"/>
                <w:color w:val="000000" w:themeColor="text1"/>
                <w:szCs w:val="21"/>
                <w:lang w:val="fr-FR"/>
              </w:rPr>
            </w:pPr>
            <w:r>
              <w:rPr>
                <w:rFonts w:ascii="Times New Roman" w:hAnsi="Times New Roman" w:eastAsia="宋体" w:cs="Times New Roman"/>
                <w:color w:val="000000" w:themeColor="text1"/>
                <w:szCs w:val="22"/>
              </w:rPr>
              <w:t>杂物</w:t>
            </w:r>
            <w:r>
              <w:rPr>
                <w:rFonts w:ascii="Times New Roman" w:hAnsi="Times New Roman" w:eastAsia="宋体" w:cs="Times New Roman"/>
                <w:color w:val="000000" w:themeColor="text1"/>
              </w:rPr>
              <w:t>S1</w:t>
            </w:r>
          </w:p>
        </w:tc>
        <w:tc>
          <w:tcPr>
            <w:tcW w:w="1847" w:type="pct"/>
            <w:vAlign w:val="center"/>
          </w:tcPr>
          <w:p w14:paraId="6069B7E3">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分类收集后，一部分外卖，其余运至芒市生活垃圾填埋场</w:t>
            </w:r>
          </w:p>
        </w:tc>
        <w:tc>
          <w:tcPr>
            <w:tcW w:w="1293" w:type="pct"/>
            <w:vMerge w:val="continue"/>
            <w:vAlign w:val="center"/>
          </w:tcPr>
          <w:p w14:paraId="12D0AC93">
            <w:pPr>
              <w:jc w:val="center"/>
              <w:rPr>
                <w:rFonts w:ascii="Times New Roman" w:hAnsi="Times New Roman" w:eastAsia="宋体" w:cs="Times New Roman"/>
                <w:color w:val="000000" w:themeColor="text1"/>
                <w:szCs w:val="22"/>
              </w:rPr>
            </w:pPr>
          </w:p>
        </w:tc>
      </w:tr>
      <w:tr w14:paraId="426B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25" w:type="pct"/>
            <w:vMerge w:val="continue"/>
            <w:vAlign w:val="center"/>
          </w:tcPr>
          <w:p w14:paraId="474C65FB">
            <w:pPr>
              <w:jc w:val="center"/>
              <w:rPr>
                <w:rFonts w:ascii="Times New Roman" w:hAnsi="Times New Roman" w:eastAsia="宋体" w:cs="Times New Roman"/>
                <w:color w:val="000000" w:themeColor="text1"/>
                <w:szCs w:val="22"/>
              </w:rPr>
            </w:pPr>
          </w:p>
        </w:tc>
        <w:tc>
          <w:tcPr>
            <w:tcW w:w="226" w:type="pct"/>
            <w:vMerge w:val="continue"/>
            <w:vAlign w:val="center"/>
          </w:tcPr>
          <w:p w14:paraId="735D67A5">
            <w:pPr>
              <w:jc w:val="center"/>
              <w:rPr>
                <w:rFonts w:ascii="Times New Roman" w:hAnsi="Times New Roman" w:eastAsia="宋体" w:cs="Times New Roman"/>
                <w:color w:val="000000" w:themeColor="text1"/>
                <w:szCs w:val="22"/>
              </w:rPr>
            </w:pPr>
          </w:p>
        </w:tc>
        <w:tc>
          <w:tcPr>
            <w:tcW w:w="225" w:type="pct"/>
            <w:vMerge w:val="continue"/>
            <w:vAlign w:val="center"/>
          </w:tcPr>
          <w:p w14:paraId="3169DF4F">
            <w:pPr>
              <w:jc w:val="center"/>
              <w:rPr>
                <w:rFonts w:ascii="Times New Roman" w:hAnsi="Times New Roman" w:eastAsia="宋体" w:cs="Times New Roman"/>
                <w:color w:val="000000" w:themeColor="text1"/>
                <w:szCs w:val="22"/>
              </w:rPr>
            </w:pPr>
          </w:p>
        </w:tc>
        <w:tc>
          <w:tcPr>
            <w:tcW w:w="457" w:type="pct"/>
            <w:vMerge w:val="restart"/>
            <w:vAlign w:val="center"/>
          </w:tcPr>
          <w:p w14:paraId="212ADF1E">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污水处理设施</w:t>
            </w:r>
          </w:p>
        </w:tc>
        <w:tc>
          <w:tcPr>
            <w:tcW w:w="727" w:type="pct"/>
            <w:vAlign w:val="center"/>
          </w:tcPr>
          <w:p w14:paraId="10608886">
            <w:pPr>
              <w:ind w:left="50" w:right="50"/>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污泥</w:t>
            </w:r>
          </w:p>
        </w:tc>
        <w:tc>
          <w:tcPr>
            <w:tcW w:w="1847" w:type="pct"/>
            <w:vAlign w:val="center"/>
          </w:tcPr>
          <w:p w14:paraId="2AA79C0A">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外运至垃圾填埋场处理</w:t>
            </w:r>
          </w:p>
        </w:tc>
        <w:tc>
          <w:tcPr>
            <w:tcW w:w="1293" w:type="pct"/>
            <w:vMerge w:val="continue"/>
            <w:vAlign w:val="center"/>
          </w:tcPr>
          <w:p w14:paraId="1D472AFF">
            <w:pPr>
              <w:jc w:val="center"/>
              <w:rPr>
                <w:rFonts w:ascii="Times New Roman" w:hAnsi="Times New Roman" w:eastAsia="宋体" w:cs="Times New Roman"/>
                <w:color w:val="000000" w:themeColor="text1"/>
                <w:szCs w:val="22"/>
              </w:rPr>
            </w:pPr>
          </w:p>
        </w:tc>
      </w:tr>
      <w:tr w14:paraId="4A83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25" w:type="pct"/>
            <w:vMerge w:val="continue"/>
            <w:vAlign w:val="center"/>
          </w:tcPr>
          <w:p w14:paraId="71D2C0D0">
            <w:pPr>
              <w:jc w:val="center"/>
              <w:rPr>
                <w:rFonts w:ascii="Times New Roman" w:hAnsi="Times New Roman" w:eastAsia="宋体" w:cs="Times New Roman"/>
                <w:color w:val="000000" w:themeColor="text1"/>
                <w:szCs w:val="22"/>
              </w:rPr>
            </w:pPr>
          </w:p>
        </w:tc>
        <w:tc>
          <w:tcPr>
            <w:tcW w:w="226" w:type="pct"/>
            <w:vMerge w:val="continue"/>
            <w:vAlign w:val="center"/>
          </w:tcPr>
          <w:p w14:paraId="7497C34F">
            <w:pPr>
              <w:jc w:val="center"/>
              <w:rPr>
                <w:rFonts w:ascii="Times New Roman" w:hAnsi="Times New Roman" w:eastAsia="宋体" w:cs="Times New Roman"/>
                <w:color w:val="000000" w:themeColor="text1"/>
                <w:szCs w:val="22"/>
              </w:rPr>
            </w:pPr>
          </w:p>
        </w:tc>
        <w:tc>
          <w:tcPr>
            <w:tcW w:w="225" w:type="pct"/>
            <w:vMerge w:val="continue"/>
            <w:vAlign w:val="center"/>
          </w:tcPr>
          <w:p w14:paraId="7D38B6E7">
            <w:pPr>
              <w:jc w:val="center"/>
              <w:rPr>
                <w:rFonts w:ascii="Times New Roman" w:hAnsi="Times New Roman" w:eastAsia="宋体" w:cs="Times New Roman"/>
                <w:color w:val="000000" w:themeColor="text1"/>
                <w:szCs w:val="22"/>
              </w:rPr>
            </w:pPr>
          </w:p>
        </w:tc>
        <w:tc>
          <w:tcPr>
            <w:tcW w:w="457" w:type="pct"/>
            <w:vMerge w:val="continue"/>
            <w:vAlign w:val="center"/>
          </w:tcPr>
          <w:p w14:paraId="6EB9F17B">
            <w:pPr>
              <w:jc w:val="center"/>
              <w:rPr>
                <w:rFonts w:ascii="Times New Roman" w:hAnsi="Times New Roman" w:eastAsia="宋体" w:cs="Times New Roman"/>
                <w:color w:val="000000" w:themeColor="text1"/>
                <w:szCs w:val="22"/>
              </w:rPr>
            </w:pPr>
          </w:p>
        </w:tc>
        <w:tc>
          <w:tcPr>
            <w:tcW w:w="727" w:type="pct"/>
            <w:vAlign w:val="center"/>
          </w:tcPr>
          <w:p w14:paraId="24772A17">
            <w:pPr>
              <w:ind w:left="50" w:right="50"/>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隔油池废油</w:t>
            </w:r>
          </w:p>
        </w:tc>
        <w:tc>
          <w:tcPr>
            <w:tcW w:w="1847" w:type="pct"/>
            <w:vAlign w:val="center"/>
          </w:tcPr>
          <w:p w14:paraId="560A2006">
            <w:pPr>
              <w:jc w:val="center"/>
              <w:rPr>
                <w:rFonts w:ascii="Times New Roman" w:hAnsi="Times New Roman" w:eastAsia="宋体" w:cs="Times New Roman"/>
                <w:color w:val="000000" w:themeColor="text1"/>
                <w:szCs w:val="22"/>
              </w:rPr>
            </w:pPr>
            <w:r>
              <w:rPr>
                <w:rFonts w:hint="eastAsia" w:ascii="Times New Roman" w:hAnsi="Times New Roman" w:eastAsia="宋体" w:cs="Times New Roman"/>
                <w:color w:val="000000" w:themeColor="text1"/>
                <w:szCs w:val="22"/>
              </w:rPr>
              <w:t>交由有资质的单位进行处置</w:t>
            </w:r>
          </w:p>
        </w:tc>
        <w:tc>
          <w:tcPr>
            <w:tcW w:w="1293" w:type="pct"/>
            <w:vMerge w:val="continue"/>
            <w:vAlign w:val="center"/>
          </w:tcPr>
          <w:p w14:paraId="0A4B1F0E">
            <w:pPr>
              <w:jc w:val="center"/>
              <w:rPr>
                <w:rFonts w:ascii="Times New Roman" w:hAnsi="Times New Roman" w:eastAsia="宋体" w:cs="Times New Roman"/>
                <w:color w:val="000000" w:themeColor="text1"/>
                <w:szCs w:val="22"/>
              </w:rPr>
            </w:pPr>
          </w:p>
        </w:tc>
      </w:tr>
      <w:tr w14:paraId="3B1C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225" w:type="pct"/>
            <w:vMerge w:val="continue"/>
            <w:vAlign w:val="center"/>
          </w:tcPr>
          <w:p w14:paraId="7D8E51AC">
            <w:pPr>
              <w:jc w:val="center"/>
              <w:rPr>
                <w:rFonts w:ascii="Times New Roman" w:hAnsi="Times New Roman" w:eastAsia="宋体" w:cs="Times New Roman"/>
                <w:color w:val="000000" w:themeColor="text1"/>
                <w:szCs w:val="22"/>
              </w:rPr>
            </w:pPr>
          </w:p>
        </w:tc>
        <w:tc>
          <w:tcPr>
            <w:tcW w:w="226" w:type="pct"/>
            <w:vMerge w:val="continue"/>
            <w:vAlign w:val="center"/>
          </w:tcPr>
          <w:p w14:paraId="3385A5E6">
            <w:pPr>
              <w:jc w:val="center"/>
              <w:rPr>
                <w:rFonts w:ascii="Times New Roman" w:hAnsi="Times New Roman" w:eastAsia="宋体" w:cs="Times New Roman"/>
                <w:color w:val="000000" w:themeColor="text1"/>
                <w:szCs w:val="22"/>
              </w:rPr>
            </w:pPr>
          </w:p>
        </w:tc>
        <w:tc>
          <w:tcPr>
            <w:tcW w:w="225" w:type="pct"/>
            <w:vMerge w:val="continue"/>
            <w:vAlign w:val="center"/>
          </w:tcPr>
          <w:p w14:paraId="022E8939">
            <w:pPr>
              <w:jc w:val="center"/>
              <w:rPr>
                <w:rFonts w:ascii="Times New Roman" w:hAnsi="Times New Roman" w:eastAsia="宋体" w:cs="Times New Roman"/>
                <w:color w:val="000000" w:themeColor="text1"/>
                <w:szCs w:val="22"/>
              </w:rPr>
            </w:pPr>
          </w:p>
        </w:tc>
        <w:tc>
          <w:tcPr>
            <w:tcW w:w="457" w:type="pct"/>
            <w:vAlign w:val="center"/>
          </w:tcPr>
          <w:p w14:paraId="416881C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剥离</w:t>
            </w:r>
          </w:p>
        </w:tc>
        <w:tc>
          <w:tcPr>
            <w:tcW w:w="727" w:type="pct"/>
            <w:vAlign w:val="center"/>
          </w:tcPr>
          <w:p w14:paraId="0BD0C19B">
            <w:pPr>
              <w:ind w:left="50" w:right="50"/>
              <w:jc w:val="center"/>
              <w:rPr>
                <w:rFonts w:ascii="Times New Roman" w:hAnsi="Times New Roman" w:eastAsia="宋体" w:cs="Times New Roman"/>
                <w:color w:val="000000" w:themeColor="text1"/>
                <w:szCs w:val="21"/>
                <w:lang w:val="fr-FR"/>
              </w:rPr>
            </w:pPr>
            <w:r>
              <w:rPr>
                <w:rFonts w:ascii="Times New Roman" w:hAnsi="Times New Roman" w:eastAsia="宋体" w:cs="Times New Roman"/>
                <w:color w:val="000000" w:themeColor="text1"/>
                <w:szCs w:val="22"/>
              </w:rPr>
              <w:t>废标签纸</w:t>
            </w:r>
            <w:r>
              <w:rPr>
                <w:rFonts w:ascii="Times New Roman" w:hAnsi="Times New Roman" w:eastAsia="宋体" w:cs="Times New Roman"/>
                <w:color w:val="000000" w:themeColor="text1"/>
              </w:rPr>
              <w:t>S2</w:t>
            </w:r>
          </w:p>
        </w:tc>
        <w:tc>
          <w:tcPr>
            <w:tcW w:w="1847" w:type="pct"/>
            <w:vAlign w:val="center"/>
          </w:tcPr>
          <w:p w14:paraId="38152B32">
            <w:pPr>
              <w:jc w:val="center"/>
              <w:rPr>
                <w:rFonts w:ascii="Times New Roman" w:hAnsi="Times New Roman" w:eastAsia="宋体" w:cs="Times New Roman"/>
                <w:color w:val="000000" w:themeColor="text1"/>
                <w:szCs w:val="21"/>
              </w:rPr>
            </w:pPr>
            <w:r>
              <w:rPr>
                <w:rFonts w:hint="eastAsia" w:ascii="Times New Roman" w:hAnsi="Times New Roman" w:eastAsia="宋体" w:cs="Times New Roman"/>
                <w:color w:val="000000" w:themeColor="text1"/>
                <w:szCs w:val="22"/>
              </w:rPr>
              <w:t>外卖</w:t>
            </w:r>
          </w:p>
        </w:tc>
        <w:tc>
          <w:tcPr>
            <w:tcW w:w="1293" w:type="pct"/>
            <w:vMerge w:val="continue"/>
            <w:vAlign w:val="center"/>
          </w:tcPr>
          <w:p w14:paraId="7C9005E9">
            <w:pPr>
              <w:jc w:val="center"/>
              <w:rPr>
                <w:rFonts w:ascii="Times New Roman" w:hAnsi="Times New Roman" w:eastAsia="宋体" w:cs="Times New Roman"/>
                <w:color w:val="000000" w:themeColor="text1"/>
                <w:szCs w:val="22"/>
              </w:rPr>
            </w:pPr>
          </w:p>
        </w:tc>
      </w:tr>
      <w:tr w14:paraId="163D4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vAlign w:val="center"/>
          </w:tcPr>
          <w:p w14:paraId="7912A7A4">
            <w:pPr>
              <w:jc w:val="center"/>
              <w:rPr>
                <w:rFonts w:ascii="Times New Roman" w:hAnsi="Times New Roman" w:eastAsia="宋体" w:cs="Times New Roman"/>
                <w:color w:val="000000" w:themeColor="text1"/>
                <w:szCs w:val="22"/>
              </w:rPr>
            </w:pPr>
          </w:p>
        </w:tc>
        <w:tc>
          <w:tcPr>
            <w:tcW w:w="226" w:type="pct"/>
            <w:vMerge w:val="continue"/>
            <w:vAlign w:val="center"/>
          </w:tcPr>
          <w:p w14:paraId="1A005533">
            <w:pPr>
              <w:jc w:val="center"/>
              <w:rPr>
                <w:rFonts w:ascii="Times New Roman" w:hAnsi="Times New Roman" w:eastAsia="宋体" w:cs="Times New Roman"/>
                <w:color w:val="000000" w:themeColor="text1"/>
                <w:szCs w:val="22"/>
              </w:rPr>
            </w:pPr>
          </w:p>
        </w:tc>
        <w:tc>
          <w:tcPr>
            <w:tcW w:w="682" w:type="pct"/>
            <w:gridSpan w:val="2"/>
            <w:vAlign w:val="center"/>
          </w:tcPr>
          <w:p w14:paraId="0F59B57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员工</w:t>
            </w:r>
          </w:p>
        </w:tc>
        <w:tc>
          <w:tcPr>
            <w:tcW w:w="727" w:type="pct"/>
            <w:vAlign w:val="center"/>
          </w:tcPr>
          <w:p w14:paraId="52DFAB2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生活垃圾</w:t>
            </w:r>
          </w:p>
        </w:tc>
        <w:tc>
          <w:tcPr>
            <w:tcW w:w="1847" w:type="pct"/>
            <w:vAlign w:val="center"/>
          </w:tcPr>
          <w:p w14:paraId="2E0C0A02">
            <w:pP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运至项目区</w:t>
            </w:r>
            <w:r>
              <w:rPr>
                <w:rFonts w:ascii="Times New Roman" w:hAnsi="Times New Roman" w:eastAsia="宋体" w:cs="Times New Roman"/>
                <w:bCs/>
                <w:color w:val="000000" w:themeColor="text1"/>
                <w:szCs w:val="22"/>
              </w:rPr>
              <w:t>当连村</w:t>
            </w:r>
            <w:r>
              <w:rPr>
                <w:rFonts w:ascii="Times New Roman" w:hAnsi="Times New Roman" w:eastAsia="宋体" w:cs="Times New Roman"/>
                <w:color w:val="000000" w:themeColor="text1"/>
                <w:szCs w:val="22"/>
              </w:rPr>
              <w:t>垃圾收集点处置</w:t>
            </w:r>
          </w:p>
        </w:tc>
        <w:tc>
          <w:tcPr>
            <w:tcW w:w="1293" w:type="pct"/>
            <w:vMerge w:val="continue"/>
            <w:vAlign w:val="center"/>
          </w:tcPr>
          <w:p w14:paraId="66398CB9">
            <w:pPr>
              <w:jc w:val="center"/>
              <w:rPr>
                <w:rFonts w:ascii="Times New Roman" w:hAnsi="Times New Roman" w:eastAsia="宋体" w:cs="Times New Roman"/>
                <w:color w:val="000000" w:themeColor="text1"/>
                <w:szCs w:val="22"/>
              </w:rPr>
            </w:pPr>
          </w:p>
        </w:tc>
      </w:tr>
      <w:tr w14:paraId="0BF8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restart"/>
            <w:vAlign w:val="center"/>
          </w:tcPr>
          <w:p w14:paraId="2B2675A8">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噪声</w:t>
            </w:r>
          </w:p>
        </w:tc>
        <w:tc>
          <w:tcPr>
            <w:tcW w:w="226" w:type="pct"/>
            <w:vAlign w:val="center"/>
          </w:tcPr>
          <w:p w14:paraId="7675635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682" w:type="pct"/>
            <w:gridSpan w:val="2"/>
            <w:vAlign w:val="center"/>
          </w:tcPr>
          <w:p w14:paraId="70EDB1FD">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施工机械噪声</w:t>
            </w:r>
          </w:p>
        </w:tc>
        <w:tc>
          <w:tcPr>
            <w:tcW w:w="727" w:type="pct"/>
            <w:vAlign w:val="center"/>
          </w:tcPr>
          <w:p w14:paraId="022211A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噪声</w:t>
            </w:r>
          </w:p>
        </w:tc>
        <w:tc>
          <w:tcPr>
            <w:tcW w:w="1847" w:type="pct"/>
            <w:vAlign w:val="center"/>
          </w:tcPr>
          <w:p w14:paraId="2690E1B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合理布置机械设备，选用低噪声设备，加强施工机械管理。</w:t>
            </w:r>
          </w:p>
        </w:tc>
        <w:tc>
          <w:tcPr>
            <w:tcW w:w="1293" w:type="pct"/>
            <w:vAlign w:val="center"/>
          </w:tcPr>
          <w:p w14:paraId="587C199F">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GB12523-2011《建筑施工厂界环境噪声排放标准》</w:t>
            </w:r>
          </w:p>
        </w:tc>
      </w:tr>
      <w:tr w14:paraId="3416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 w:type="pct"/>
            <w:vMerge w:val="continue"/>
            <w:vAlign w:val="center"/>
          </w:tcPr>
          <w:p w14:paraId="690BBD38">
            <w:pPr>
              <w:jc w:val="center"/>
              <w:rPr>
                <w:rFonts w:ascii="Times New Roman" w:hAnsi="Times New Roman" w:eastAsia="宋体" w:cs="Times New Roman"/>
                <w:color w:val="000000" w:themeColor="text1"/>
                <w:szCs w:val="22"/>
              </w:rPr>
            </w:pPr>
          </w:p>
        </w:tc>
        <w:tc>
          <w:tcPr>
            <w:tcW w:w="226" w:type="pct"/>
            <w:vAlign w:val="center"/>
          </w:tcPr>
          <w:p w14:paraId="01B4C8D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682" w:type="pct"/>
            <w:gridSpan w:val="2"/>
            <w:vAlign w:val="center"/>
          </w:tcPr>
          <w:p w14:paraId="600A806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设备噪声</w:t>
            </w:r>
          </w:p>
        </w:tc>
        <w:tc>
          <w:tcPr>
            <w:tcW w:w="727" w:type="pct"/>
            <w:vAlign w:val="center"/>
          </w:tcPr>
          <w:p w14:paraId="5FCF3E7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噪声</w:t>
            </w:r>
          </w:p>
        </w:tc>
        <w:tc>
          <w:tcPr>
            <w:tcW w:w="1847" w:type="pct"/>
            <w:vAlign w:val="center"/>
          </w:tcPr>
          <w:p w14:paraId="4C687B02">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选用低噪声设备，加装减震垫，厂房隔音，距离衰减，加强管理。</w:t>
            </w:r>
          </w:p>
        </w:tc>
        <w:tc>
          <w:tcPr>
            <w:tcW w:w="1293" w:type="pct"/>
            <w:vAlign w:val="center"/>
          </w:tcPr>
          <w:p w14:paraId="6EA61DE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GB12348-2008《工业企业厂界环境噪声排放标准》2类标准</w:t>
            </w:r>
          </w:p>
        </w:tc>
      </w:tr>
      <w:tr w14:paraId="734C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7"/>
            <w:vAlign w:val="center"/>
          </w:tcPr>
          <w:p w14:paraId="19B62ADE">
            <w:pPr>
              <w:spacing w:before="156" w:beforeLines="50" w:line="360" w:lineRule="auto"/>
              <w:jc w:val="left"/>
              <w:rPr>
                <w:rFonts w:ascii="Times New Roman" w:hAnsi="Times New Roman" w:eastAsia="宋体" w:cs="Times New Roman"/>
                <w:b/>
                <w:color w:val="000000" w:themeColor="text1"/>
                <w:sz w:val="28"/>
              </w:rPr>
            </w:pPr>
            <w:r>
              <w:rPr>
                <w:rFonts w:ascii="Times New Roman" w:hAnsi="Times New Roman" w:eastAsia="宋体" w:cs="Times New Roman"/>
                <w:b/>
                <w:color w:val="000000" w:themeColor="text1"/>
                <w:sz w:val="28"/>
              </w:rPr>
              <w:t>生态保护措施及预期效果：</w:t>
            </w:r>
          </w:p>
          <w:p w14:paraId="11F7C055">
            <w:pPr>
              <w:adjustRightInd w:val="0"/>
              <w:spacing w:line="360" w:lineRule="auto"/>
              <w:ind w:firstLine="480" w:firstLineChars="200"/>
              <w:jc w:val="left"/>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项目</w:t>
            </w:r>
            <w:r>
              <w:rPr>
                <w:rFonts w:ascii="Times New Roman" w:hAnsi="Times New Roman" w:cs="Times New Roman"/>
                <w:color w:val="000000" w:themeColor="text1"/>
                <w:sz w:val="24"/>
              </w:rPr>
              <w:t>租用</w:t>
            </w:r>
            <w:r>
              <w:rPr>
                <w:rFonts w:ascii="Times New Roman" w:hAnsi="Times New Roman" w:cs="Times New Roman"/>
                <w:bCs/>
                <w:color w:val="000000" w:themeColor="text1"/>
                <w:sz w:val="24"/>
              </w:rPr>
              <w:t>拱弄场村小组村民曹发强土地和已建厂房</w:t>
            </w:r>
            <w:r>
              <w:rPr>
                <w:rFonts w:ascii="Times New Roman" w:hAnsi="Times New Roman" w:eastAsia="宋体" w:cs="Times New Roman"/>
                <w:snapToGrid w:val="0"/>
                <w:color w:val="000000" w:themeColor="text1"/>
                <w:kern w:val="0"/>
                <w:sz w:val="24"/>
                <w:szCs w:val="20"/>
              </w:rPr>
              <w:t>，在建设过程中充分利用厂区范围内已有空间进行绿化，可在一定程度上改善厂区生态环境，不会对周围生态环境产生大的影响。</w:t>
            </w:r>
          </w:p>
          <w:p w14:paraId="47032A98">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p>
          <w:p w14:paraId="53EF4B97">
            <w:pPr>
              <w:spacing w:line="360" w:lineRule="auto"/>
              <w:ind w:firstLine="480" w:firstLineChars="200"/>
              <w:rPr>
                <w:rFonts w:ascii="Times New Roman" w:hAnsi="Times New Roman" w:eastAsia="宋体" w:cs="Times New Roman"/>
                <w:bCs/>
                <w:color w:val="000000" w:themeColor="text1"/>
                <w:sz w:val="24"/>
              </w:rPr>
            </w:pPr>
          </w:p>
          <w:p w14:paraId="6CB60747">
            <w:pPr>
              <w:spacing w:line="360" w:lineRule="auto"/>
              <w:ind w:firstLine="480" w:firstLineChars="200"/>
              <w:rPr>
                <w:rFonts w:ascii="Times New Roman" w:hAnsi="Times New Roman" w:eastAsia="宋体" w:cs="Times New Roman"/>
                <w:bCs/>
                <w:color w:val="000000" w:themeColor="text1"/>
                <w:sz w:val="24"/>
              </w:rPr>
            </w:pPr>
          </w:p>
          <w:p w14:paraId="1BEC6D20">
            <w:pPr>
              <w:ind w:firstLine="480" w:firstLineChars="200"/>
              <w:rPr>
                <w:rFonts w:ascii="Times New Roman" w:hAnsi="Times New Roman" w:eastAsia="宋体" w:cs="Times New Roman"/>
                <w:bCs/>
                <w:color w:val="000000" w:themeColor="text1"/>
                <w:sz w:val="24"/>
              </w:rPr>
            </w:pPr>
          </w:p>
          <w:p w14:paraId="2ECB21FC">
            <w:pPr>
              <w:ind w:firstLine="480" w:firstLineChars="200"/>
              <w:rPr>
                <w:rFonts w:ascii="Times New Roman" w:hAnsi="Times New Roman" w:eastAsia="宋体" w:cs="Times New Roman"/>
                <w:bCs/>
                <w:color w:val="000000" w:themeColor="text1"/>
                <w:sz w:val="24"/>
              </w:rPr>
            </w:pPr>
          </w:p>
          <w:p w14:paraId="07E131F9">
            <w:pPr>
              <w:ind w:firstLine="480" w:firstLineChars="200"/>
              <w:rPr>
                <w:rFonts w:ascii="Times New Roman" w:hAnsi="Times New Roman" w:eastAsia="宋体" w:cs="Times New Roman"/>
                <w:bCs/>
                <w:color w:val="000000" w:themeColor="text1"/>
                <w:sz w:val="24"/>
              </w:rPr>
            </w:pPr>
          </w:p>
          <w:p w14:paraId="2AFE3CFE">
            <w:pPr>
              <w:ind w:firstLine="480" w:firstLineChars="200"/>
              <w:rPr>
                <w:rFonts w:ascii="Times New Roman" w:hAnsi="Times New Roman" w:eastAsia="宋体" w:cs="Times New Roman"/>
                <w:bCs/>
                <w:color w:val="000000" w:themeColor="text1"/>
                <w:sz w:val="24"/>
              </w:rPr>
            </w:pPr>
          </w:p>
          <w:p w14:paraId="2711CAB3">
            <w:pPr>
              <w:ind w:firstLine="480" w:firstLineChars="200"/>
              <w:rPr>
                <w:rFonts w:ascii="Times New Roman" w:hAnsi="Times New Roman" w:eastAsia="宋体" w:cs="Times New Roman"/>
                <w:bCs/>
                <w:color w:val="000000" w:themeColor="text1"/>
                <w:sz w:val="24"/>
              </w:rPr>
            </w:pPr>
          </w:p>
          <w:p w14:paraId="2A10EBE1">
            <w:pPr>
              <w:ind w:firstLine="480" w:firstLineChars="200"/>
              <w:rPr>
                <w:rFonts w:ascii="Times New Roman" w:hAnsi="Times New Roman" w:eastAsia="宋体" w:cs="Times New Roman"/>
                <w:bCs/>
                <w:color w:val="000000" w:themeColor="text1"/>
                <w:sz w:val="24"/>
              </w:rPr>
            </w:pPr>
          </w:p>
          <w:p w14:paraId="5D22025F">
            <w:pPr>
              <w:ind w:firstLine="480" w:firstLineChars="200"/>
              <w:rPr>
                <w:rFonts w:ascii="Times New Roman" w:hAnsi="Times New Roman" w:eastAsia="宋体" w:cs="Times New Roman"/>
                <w:bCs/>
                <w:color w:val="000000" w:themeColor="text1"/>
                <w:sz w:val="24"/>
              </w:rPr>
            </w:pPr>
          </w:p>
          <w:p w14:paraId="3034DC8C">
            <w:pPr>
              <w:ind w:firstLine="480" w:firstLineChars="200"/>
              <w:rPr>
                <w:rFonts w:ascii="Times New Roman" w:hAnsi="Times New Roman" w:eastAsia="宋体" w:cs="Times New Roman"/>
                <w:bCs/>
                <w:color w:val="000000" w:themeColor="text1"/>
                <w:sz w:val="24"/>
              </w:rPr>
            </w:pPr>
          </w:p>
          <w:p w14:paraId="2E695BE1">
            <w:pPr>
              <w:ind w:firstLine="480" w:firstLineChars="200"/>
              <w:rPr>
                <w:rFonts w:ascii="Times New Roman" w:hAnsi="Times New Roman" w:eastAsia="宋体" w:cs="Times New Roman"/>
                <w:bCs/>
                <w:color w:val="000000" w:themeColor="text1"/>
                <w:sz w:val="24"/>
              </w:rPr>
            </w:pPr>
          </w:p>
          <w:p w14:paraId="791BD248">
            <w:pPr>
              <w:ind w:firstLine="480" w:firstLineChars="200"/>
              <w:rPr>
                <w:rFonts w:ascii="Times New Roman" w:hAnsi="Times New Roman" w:eastAsia="宋体" w:cs="Times New Roman"/>
                <w:bCs/>
                <w:color w:val="000000" w:themeColor="text1"/>
                <w:sz w:val="24"/>
              </w:rPr>
            </w:pPr>
          </w:p>
          <w:p w14:paraId="0C526ACA">
            <w:pPr>
              <w:ind w:firstLine="480" w:firstLineChars="200"/>
              <w:rPr>
                <w:rFonts w:ascii="Times New Roman" w:hAnsi="Times New Roman" w:eastAsia="宋体" w:cs="Times New Roman"/>
                <w:bCs/>
                <w:color w:val="000000" w:themeColor="text1"/>
                <w:sz w:val="24"/>
              </w:rPr>
            </w:pPr>
          </w:p>
          <w:p w14:paraId="74A700BF">
            <w:pPr>
              <w:ind w:firstLine="480" w:firstLineChars="200"/>
              <w:rPr>
                <w:rFonts w:ascii="Times New Roman" w:hAnsi="Times New Roman" w:eastAsia="宋体" w:cs="Times New Roman"/>
                <w:bCs/>
                <w:color w:val="000000" w:themeColor="text1"/>
                <w:sz w:val="24"/>
              </w:rPr>
            </w:pPr>
          </w:p>
          <w:p w14:paraId="58243F2D">
            <w:pPr>
              <w:ind w:firstLine="480" w:firstLineChars="200"/>
              <w:rPr>
                <w:rFonts w:ascii="Times New Roman" w:hAnsi="Times New Roman" w:eastAsia="宋体" w:cs="Times New Roman"/>
                <w:bCs/>
                <w:color w:val="000000" w:themeColor="text1"/>
                <w:sz w:val="24"/>
              </w:rPr>
            </w:pPr>
          </w:p>
          <w:p w14:paraId="31EF5CBA">
            <w:pPr>
              <w:ind w:firstLine="480" w:firstLineChars="200"/>
              <w:rPr>
                <w:rFonts w:ascii="Times New Roman" w:hAnsi="Times New Roman" w:eastAsia="宋体" w:cs="Times New Roman"/>
                <w:bCs/>
                <w:color w:val="000000" w:themeColor="text1"/>
                <w:sz w:val="24"/>
              </w:rPr>
            </w:pPr>
          </w:p>
          <w:p w14:paraId="475C0B05">
            <w:pPr>
              <w:ind w:firstLine="480" w:firstLineChars="200"/>
              <w:rPr>
                <w:rFonts w:ascii="Times New Roman" w:hAnsi="Times New Roman" w:eastAsia="宋体" w:cs="Times New Roman"/>
                <w:bCs/>
                <w:color w:val="000000" w:themeColor="text1"/>
                <w:sz w:val="24"/>
              </w:rPr>
            </w:pPr>
          </w:p>
          <w:p w14:paraId="430571D1">
            <w:pPr>
              <w:ind w:firstLine="480" w:firstLineChars="200"/>
              <w:rPr>
                <w:rFonts w:ascii="Times New Roman" w:hAnsi="Times New Roman" w:eastAsia="宋体" w:cs="Times New Roman"/>
                <w:bCs/>
                <w:color w:val="000000" w:themeColor="text1"/>
                <w:sz w:val="24"/>
              </w:rPr>
            </w:pPr>
          </w:p>
          <w:p w14:paraId="55CF165B">
            <w:pPr>
              <w:ind w:firstLine="480" w:firstLineChars="200"/>
              <w:rPr>
                <w:rFonts w:ascii="Times New Roman" w:hAnsi="Times New Roman" w:eastAsia="宋体" w:cs="Times New Roman"/>
                <w:bCs/>
                <w:color w:val="000000" w:themeColor="text1"/>
                <w:sz w:val="24"/>
              </w:rPr>
            </w:pPr>
          </w:p>
          <w:p w14:paraId="677DDD73">
            <w:pPr>
              <w:ind w:firstLine="480" w:firstLineChars="200"/>
              <w:rPr>
                <w:rFonts w:ascii="Times New Roman" w:hAnsi="Times New Roman" w:eastAsia="宋体" w:cs="Times New Roman"/>
                <w:bCs/>
                <w:color w:val="000000" w:themeColor="text1"/>
                <w:sz w:val="24"/>
              </w:rPr>
            </w:pPr>
          </w:p>
          <w:p w14:paraId="1B1DC80C">
            <w:pPr>
              <w:ind w:firstLine="480" w:firstLineChars="200"/>
              <w:rPr>
                <w:rFonts w:ascii="Times New Roman" w:hAnsi="Times New Roman" w:eastAsia="宋体" w:cs="Times New Roman"/>
                <w:bCs/>
                <w:color w:val="000000" w:themeColor="text1"/>
                <w:sz w:val="24"/>
              </w:rPr>
            </w:pPr>
          </w:p>
          <w:p w14:paraId="5B83D8BC">
            <w:pPr>
              <w:ind w:firstLine="480" w:firstLineChars="200"/>
              <w:rPr>
                <w:rFonts w:ascii="Times New Roman" w:hAnsi="Times New Roman" w:eastAsia="宋体" w:cs="Times New Roman"/>
                <w:bCs/>
                <w:color w:val="000000" w:themeColor="text1"/>
                <w:sz w:val="24"/>
              </w:rPr>
            </w:pPr>
          </w:p>
          <w:p w14:paraId="7EFC561A">
            <w:pPr>
              <w:rPr>
                <w:rFonts w:ascii="Times New Roman" w:hAnsi="Times New Roman" w:eastAsia="宋体" w:cs="Times New Roman"/>
                <w:bCs/>
                <w:color w:val="000000" w:themeColor="text1"/>
                <w:sz w:val="24"/>
              </w:rPr>
            </w:pPr>
          </w:p>
          <w:p w14:paraId="31FDEE0C">
            <w:pPr>
              <w:ind w:firstLine="480" w:firstLineChars="200"/>
              <w:rPr>
                <w:rFonts w:ascii="Times New Roman" w:hAnsi="Times New Roman" w:eastAsia="宋体" w:cs="Times New Roman"/>
                <w:bCs/>
                <w:color w:val="000000" w:themeColor="text1"/>
                <w:sz w:val="24"/>
              </w:rPr>
            </w:pPr>
          </w:p>
          <w:p w14:paraId="278E1107">
            <w:pPr>
              <w:ind w:firstLine="480" w:firstLineChars="200"/>
              <w:rPr>
                <w:rFonts w:ascii="Times New Roman" w:hAnsi="Times New Roman" w:eastAsia="宋体" w:cs="Times New Roman"/>
                <w:bCs/>
                <w:color w:val="000000" w:themeColor="text1"/>
                <w:sz w:val="24"/>
              </w:rPr>
            </w:pPr>
          </w:p>
          <w:p w14:paraId="68172728">
            <w:pPr>
              <w:rPr>
                <w:rFonts w:ascii="Times New Roman" w:hAnsi="Times New Roman" w:eastAsia="宋体" w:cs="Times New Roman"/>
                <w:bCs/>
                <w:color w:val="000000" w:themeColor="text1"/>
                <w:sz w:val="24"/>
              </w:rPr>
            </w:pPr>
          </w:p>
          <w:p w14:paraId="240E5A8A">
            <w:pPr>
              <w:ind w:firstLine="480" w:firstLineChars="200"/>
              <w:rPr>
                <w:rFonts w:ascii="Times New Roman" w:hAnsi="Times New Roman" w:eastAsia="宋体" w:cs="Times New Roman"/>
                <w:bCs/>
                <w:color w:val="000000" w:themeColor="text1"/>
                <w:sz w:val="24"/>
              </w:rPr>
            </w:pPr>
          </w:p>
          <w:p w14:paraId="0B0DC290">
            <w:pPr>
              <w:ind w:firstLine="480" w:firstLineChars="200"/>
              <w:rPr>
                <w:rFonts w:ascii="Times New Roman" w:hAnsi="Times New Roman" w:eastAsia="宋体" w:cs="Times New Roman"/>
                <w:bCs/>
                <w:color w:val="000000" w:themeColor="text1"/>
                <w:sz w:val="24"/>
              </w:rPr>
            </w:pPr>
          </w:p>
          <w:p w14:paraId="4C25E8BB">
            <w:pPr>
              <w:rPr>
                <w:rFonts w:ascii="Times New Roman" w:hAnsi="Times New Roman" w:eastAsia="宋体" w:cs="Times New Roman"/>
                <w:bCs/>
                <w:color w:val="000000" w:themeColor="text1"/>
                <w:sz w:val="24"/>
              </w:rPr>
            </w:pPr>
          </w:p>
        </w:tc>
      </w:tr>
    </w:tbl>
    <w:p w14:paraId="558D2DBB">
      <w:pPr>
        <w:pStyle w:val="3"/>
        <w:spacing w:before="0" w:after="0"/>
        <w:rPr>
          <w:rFonts w:ascii="Times New Roman" w:hAnsi="Times New Roman" w:eastAsia="宋体" w:cs="Times New Roman"/>
          <w:color w:val="000000" w:themeColor="text1"/>
          <w:sz w:val="30"/>
        </w:rPr>
      </w:pPr>
      <w:r>
        <w:rPr>
          <w:rFonts w:ascii="Times New Roman" w:hAnsi="Times New Roman" w:cs="Times New Roman"/>
          <w:color w:val="000000" w:themeColor="text1"/>
        </w:rPr>
        <w:br w:type="page"/>
      </w:r>
      <w:r>
        <w:rPr>
          <w:rFonts w:ascii="Times New Roman" w:hAnsi="Times New Roman" w:eastAsia="宋体" w:cs="Times New Roman"/>
          <w:color w:val="000000" w:themeColor="text1"/>
          <w:sz w:val="30"/>
        </w:rPr>
        <w:t>表九、结论与建议</w:t>
      </w:r>
    </w:p>
    <w:tbl>
      <w:tblPr>
        <w:tblStyle w:val="39"/>
        <w:tblW w:w="573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2"/>
      </w:tblGrid>
      <w:tr w14:paraId="44F4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5000" w:type="pct"/>
          </w:tcPr>
          <w:p w14:paraId="5CBAC8F9">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1、产业政策符合性结论</w:t>
            </w:r>
          </w:p>
          <w:p w14:paraId="46994FCF">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属于国务院批准的《产业结构调整指导目录(2011年本)》(2013年修正本)中的第一类鼓励类“二十六、环境保护与资源节约综合利用”中“42、再生资源回收利用产业化”类，同时本项目产品、工艺未列入《淘汰落后生产能力、工艺和产品目录》中，生产设备未列入《部分工业行业淘汰落后生产工艺装备和产品指导目录(2010年本)》中，不属于指导目录中的淘汰落后设备，生产设备符合工艺要求，同时符合国家及地方的相关产业政策。</w:t>
            </w:r>
          </w:p>
          <w:p w14:paraId="189E2B31">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因此，本项目符合国家产业政策。</w:t>
            </w:r>
          </w:p>
          <w:p w14:paraId="7A3275CF">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2、相关规划符合性分析</w:t>
            </w:r>
          </w:p>
          <w:p w14:paraId="7B217C8A">
            <w:pPr>
              <w:adjustRightInd w:val="0"/>
              <w:spacing w:line="360" w:lineRule="auto"/>
              <w:ind w:firstLine="480" w:firstLineChars="200"/>
              <w:rPr>
                <w:bCs/>
                <w:color w:val="000000" w:themeColor="text1"/>
                <w:sz w:val="24"/>
              </w:rPr>
            </w:pPr>
            <w:r>
              <w:rPr>
                <w:rFonts w:ascii="Times New Roman" w:hAnsi="Times New Roman" w:eastAsia="宋体" w:cs="Times New Roman"/>
                <w:snapToGrid w:val="0"/>
                <w:color w:val="000000" w:themeColor="text1"/>
                <w:kern w:val="0"/>
                <w:sz w:val="24"/>
                <w:szCs w:val="20"/>
              </w:rPr>
              <w:t>本项目选址于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w:t>
            </w:r>
            <w:r>
              <w:rPr>
                <w:rFonts w:hint="eastAsia" w:ascii="Times New Roman" w:hAnsi="Times New Roman" w:eastAsia="宋体" w:cs="Times New Roman"/>
                <w:snapToGrid w:val="0"/>
                <w:color w:val="000000" w:themeColor="text1"/>
                <w:kern w:val="0"/>
                <w:sz w:val="24"/>
                <w:szCs w:val="20"/>
              </w:rPr>
              <w:t>根据</w:t>
            </w:r>
            <w:r>
              <w:rPr>
                <w:rFonts w:ascii="Times New Roman" w:hAnsi="Times New Roman" w:cs="Times New Roman"/>
                <w:bCs/>
                <w:color w:val="000000" w:themeColor="text1"/>
                <w:sz w:val="24"/>
              </w:rPr>
              <w:t>芒市勐戛镇勐旺村民委员会</w:t>
            </w:r>
            <w:r>
              <w:rPr>
                <w:rFonts w:hint="eastAsia" w:ascii="Times New Roman" w:hAnsi="Times New Roman" w:cs="Times New Roman"/>
                <w:bCs/>
                <w:color w:val="000000" w:themeColor="text1"/>
                <w:sz w:val="24"/>
              </w:rPr>
              <w:t>出具的土地证明，本项目选址不属于农业用地和林业用地，为</w:t>
            </w:r>
            <w:r>
              <w:rPr>
                <w:bCs/>
                <w:color w:val="000000" w:themeColor="text1"/>
                <w:sz w:val="24"/>
              </w:rPr>
              <w:t>拱弄场村小组村民曹发强</w:t>
            </w:r>
            <w:r>
              <w:rPr>
                <w:rFonts w:hint="eastAsia"/>
                <w:bCs/>
                <w:color w:val="000000" w:themeColor="text1"/>
                <w:sz w:val="24"/>
              </w:rPr>
              <w:t>的建设用地</w:t>
            </w:r>
            <w:r>
              <w:rPr>
                <w:bCs/>
                <w:color w:val="000000" w:themeColor="text1"/>
                <w:sz w:val="24"/>
              </w:rPr>
              <w:t>和</w:t>
            </w:r>
            <w:r>
              <w:rPr>
                <w:rFonts w:hint="eastAsia"/>
                <w:bCs/>
                <w:color w:val="000000" w:themeColor="text1"/>
                <w:sz w:val="24"/>
              </w:rPr>
              <w:t>自建</w:t>
            </w:r>
            <w:r>
              <w:rPr>
                <w:bCs/>
                <w:color w:val="000000" w:themeColor="text1"/>
                <w:sz w:val="24"/>
              </w:rPr>
              <w:t>厂房</w:t>
            </w:r>
            <w:r>
              <w:rPr>
                <w:rFonts w:hint="eastAsia"/>
                <w:bCs/>
                <w:color w:val="000000" w:themeColor="text1"/>
                <w:sz w:val="24"/>
              </w:rPr>
              <w:t>；</w:t>
            </w:r>
          </w:p>
          <w:p w14:paraId="48AC1C33">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rPr>
            </w:pPr>
            <w:r>
              <w:rPr>
                <w:rFonts w:hint="eastAsia"/>
                <w:bCs/>
                <w:color w:val="000000" w:themeColor="text1"/>
                <w:sz w:val="24"/>
              </w:rPr>
              <w:t>同时</w:t>
            </w:r>
            <w:r>
              <w:rPr>
                <w:rFonts w:ascii="Times New Roman" w:hAnsi="Times New Roman" w:eastAsia="宋体" w:cs="Times New Roman"/>
                <w:snapToGrid w:val="0"/>
                <w:color w:val="000000" w:themeColor="text1"/>
                <w:kern w:val="0"/>
                <w:sz w:val="24"/>
                <w:szCs w:val="20"/>
              </w:rPr>
              <w:t>选址不属于《德宏州域城镇体系规划（2011—2030）》用地范围，</w:t>
            </w:r>
            <w:r>
              <w:rPr>
                <w:rFonts w:ascii="Times New Roman" w:hAnsi="Times New Roman" w:eastAsia="宋体" w:cs="Times New Roman"/>
                <w:bCs/>
                <w:snapToGrid w:val="0"/>
                <w:color w:val="000000" w:themeColor="text1"/>
                <w:kern w:val="0"/>
                <w:sz w:val="24"/>
                <w:szCs w:val="20"/>
              </w:rPr>
              <w:t>建设项目与《德宏州域城镇体系规划（2011—2030）》的总体规划定位分析不冲突；</w:t>
            </w:r>
            <w:r>
              <w:rPr>
                <w:rFonts w:hint="eastAsia" w:ascii="Times New Roman" w:hAnsi="Times New Roman" w:eastAsia="宋体" w:cs="Times New Roman"/>
                <w:bCs/>
                <w:snapToGrid w:val="0"/>
                <w:color w:val="000000" w:themeColor="text1"/>
                <w:kern w:val="0"/>
                <w:sz w:val="24"/>
                <w:szCs w:val="20"/>
              </w:rPr>
              <w:t xml:space="preserve"> </w:t>
            </w:r>
          </w:p>
          <w:p w14:paraId="2C75F2F3">
            <w:pPr>
              <w:adjustRightInd w:val="0"/>
              <w:spacing w:line="360" w:lineRule="auto"/>
              <w:ind w:firstLine="480" w:firstLineChars="200"/>
              <w:rPr>
                <w:rFonts w:ascii="Times New Roman" w:hAnsi="Times New Roman" w:eastAsia="宋体" w:cs="Times New Roman"/>
                <w:bCs/>
                <w:snapToGrid w:val="0"/>
                <w:color w:val="000000" w:themeColor="text1"/>
                <w:kern w:val="0"/>
                <w:sz w:val="24"/>
                <w:szCs w:val="20"/>
              </w:rPr>
            </w:pPr>
            <w:r>
              <w:rPr>
                <w:rFonts w:ascii="Times New Roman" w:hAnsi="Times New Roman" w:eastAsia="宋体" w:cs="Times New Roman"/>
                <w:bCs/>
                <w:snapToGrid w:val="0"/>
                <w:color w:val="000000" w:themeColor="text1"/>
                <w:kern w:val="0"/>
                <w:sz w:val="24"/>
                <w:szCs w:val="20"/>
              </w:rPr>
              <w:t>综上，建设项目符合相关规划要求。</w:t>
            </w:r>
          </w:p>
          <w:p w14:paraId="489FC0C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3、项目选址合理性分析</w:t>
            </w:r>
          </w:p>
          <w:p w14:paraId="7B3F8384">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本项目于</w:t>
            </w:r>
            <w:r>
              <w:rPr>
                <w:rFonts w:ascii="Times New Roman" w:hAnsi="Times New Roman" w:cs="Times New Roman"/>
                <w:bCs/>
                <w:color w:val="000000" w:themeColor="text1"/>
                <w:sz w:val="24"/>
              </w:rPr>
              <w:t>德宏傣族景颇族自治州芒市勐戛镇勐旺村民委员会拱弄场村</w:t>
            </w:r>
            <w:r>
              <w:rPr>
                <w:rFonts w:ascii="Times New Roman" w:hAnsi="Times New Roman" w:eastAsia="宋体" w:cs="Times New Roman"/>
                <w:snapToGrid w:val="0"/>
                <w:color w:val="000000" w:themeColor="text1"/>
                <w:kern w:val="0"/>
                <w:sz w:val="24"/>
                <w:szCs w:val="20"/>
              </w:rPr>
              <w:t>，项目周围500米范围内无自然保护区、风景名胜区、生态功能保护区等需特殊保护的环境敏感区，以及天然林、重要湿地等生态敏感区与脆弱区。项目区域交通建设基本完善，水、电供应有保障，为项目建设堤供了良好的条件。</w:t>
            </w:r>
          </w:p>
          <w:p w14:paraId="58A02A81">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同时，环境影响结果表明，项目废水、废气、噪声、固废等对环境影响不大，外环境对项目影响不大，项目所在区域周围无文物保护、风景名胜等环境敏感目标，项目建设不存在环境敏感制约因素。项目在运行过程中产生的污染物在采取处理措施后可达标，不会改变区域环境功能。项目与周边环境相容。</w:t>
            </w:r>
          </w:p>
          <w:p w14:paraId="1FA4AFB8">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综上所述，本项目的建设选址合理。</w:t>
            </w:r>
          </w:p>
          <w:p w14:paraId="0E96CE4F">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4、施工期环境影响评价分析及措施</w:t>
            </w:r>
          </w:p>
          <w:p w14:paraId="203FBCB6">
            <w:pPr>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（1）废气环境影响及措施</w:t>
            </w:r>
          </w:p>
          <w:p w14:paraId="0E6941D4">
            <w:pPr>
              <w:adjustRightInd w:val="0"/>
              <w:snapToGrid w:val="0"/>
              <w:spacing w:line="360" w:lineRule="auto"/>
              <w:ind w:firstLine="480" w:firstLineChars="200"/>
              <w:jc w:val="left"/>
              <w:rPr>
                <w:rFonts w:ascii="Times New Roman" w:hAnsi="Times New Roman" w:eastAsia="宋体" w:cs="Times New Roman"/>
                <w:color w:val="000000" w:themeColor="text1"/>
                <w:kern w:val="0"/>
                <w:sz w:val="24"/>
              </w:rPr>
            </w:pPr>
            <w:r>
              <w:rPr>
                <w:rFonts w:ascii="Times New Roman" w:hAnsi="Times New Roman" w:eastAsia="宋体" w:cs="Times New Roman"/>
                <w:color w:val="000000" w:themeColor="text1"/>
                <w:sz w:val="24"/>
              </w:rPr>
              <w:t>环境影响：施工期对区域大气环境的影响主要是地面扬尘污染，在建筑材料的运输和拌合作业中仍会产生少量的扬尘，以无组织形式排放，</w:t>
            </w:r>
            <w:r>
              <w:rPr>
                <w:rFonts w:ascii="Times New Roman" w:hAnsi="Times New Roman" w:eastAsia="宋体" w:cs="Times New Roman"/>
                <w:color w:val="000000" w:themeColor="text1"/>
                <w:kern w:val="0"/>
                <w:sz w:val="24"/>
              </w:rPr>
              <w:t>对周边的环境影响很小。</w:t>
            </w:r>
          </w:p>
          <w:p w14:paraId="2B5477A8">
            <w:pPr>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kern w:val="0"/>
                <w:sz w:val="24"/>
              </w:rPr>
              <w:t>措施：</w:t>
            </w:r>
            <w:r>
              <w:rPr>
                <w:rFonts w:ascii="Times New Roman" w:hAnsi="Times New Roman" w:eastAsia="宋体" w:cs="Times New Roman"/>
                <w:color w:val="000000" w:themeColor="text1"/>
                <w:sz w:val="24"/>
              </w:rPr>
              <w:t>施工场地内的沙、石材料堆场尽量选在生产区（生产区现已设置顶棚），避免原材料露天堆放，减少扬尘产生量。</w:t>
            </w:r>
          </w:p>
          <w:p w14:paraId="129224A4">
            <w:pPr>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kern w:val="0"/>
                <w:sz w:val="24"/>
              </w:rPr>
              <w:t>（2）废水</w:t>
            </w:r>
            <w:r>
              <w:rPr>
                <w:rFonts w:ascii="Times New Roman" w:hAnsi="Times New Roman" w:eastAsia="宋体" w:cs="Times New Roman"/>
                <w:b/>
                <w:color w:val="000000" w:themeColor="text1"/>
                <w:sz w:val="24"/>
              </w:rPr>
              <w:t>环境影响及措施</w:t>
            </w:r>
          </w:p>
          <w:p w14:paraId="2C54B53E">
            <w:pPr>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项目施工废水产生较小，在与水泥砂浆等建材的拌合使用的过程中消耗，无外排施工废水，对区域水环境基本无影响；生活废水量较少，使用项目区厕所，定期委托周边村民清运，对区域水环境基本无影响。</w:t>
            </w:r>
          </w:p>
          <w:p w14:paraId="025D0274">
            <w:pPr>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（3）噪声环境影响及措施</w:t>
            </w:r>
          </w:p>
          <w:p w14:paraId="002F8D7A">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环境影响：施工噪声具有突发性和间歇性，持续时间短，项目区500m范围内无声环境敏感点。</w:t>
            </w:r>
          </w:p>
          <w:p w14:paraId="4D0856DE">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根据上述分析，本项目施工期厂界10m外才能满足GB12523-2011《建筑施工场界环境噪声排放标准》标准，需采取措施。</w:t>
            </w:r>
          </w:p>
          <w:p w14:paraId="4EEA35C1">
            <w:pPr>
              <w:spacing w:line="360" w:lineRule="auto"/>
              <w:ind w:firstLine="480" w:firstLineChars="200"/>
              <w:rPr>
                <w:rFonts w:ascii="Times New Roman" w:hAnsi="Times New Roman" w:eastAsia="宋体" w:cs="Times New Roman"/>
                <w:color w:val="000000" w:themeColor="text1"/>
                <w:sz w:val="24"/>
                <w:szCs w:val="20"/>
              </w:rPr>
            </w:pPr>
            <w:r>
              <w:rPr>
                <w:rFonts w:ascii="Times New Roman" w:hAnsi="Times New Roman" w:eastAsia="宋体" w:cs="Times New Roman"/>
                <w:color w:val="000000" w:themeColor="text1"/>
                <w:sz w:val="24"/>
              </w:rPr>
              <w:t>措施：</w:t>
            </w:r>
            <w:r>
              <w:rPr>
                <w:rFonts w:hint="eastAsia" w:ascii="宋体" w:hAnsi="宋体" w:eastAsia="宋体" w:cs="宋体"/>
                <w:color w:val="000000" w:themeColor="text1"/>
                <w:sz w:val="24"/>
                <w:szCs w:val="20"/>
              </w:rPr>
              <w:t>①</w:t>
            </w:r>
            <w:r>
              <w:rPr>
                <w:rFonts w:ascii="Times New Roman" w:hAnsi="Times New Roman" w:eastAsia="宋体" w:cs="Times New Roman"/>
                <w:color w:val="000000" w:themeColor="text1"/>
                <w:sz w:val="24"/>
                <w:szCs w:val="20"/>
              </w:rPr>
              <w:t xml:space="preserve"> 从声源上控制：建议建设方采用低噪声机械设备，同时在施工过程中施工单位应设专人对设备进行定期保养和维护，并负责对现场工作人员进行培训，严格按操作规范使用各类机械。</w:t>
            </w:r>
          </w:p>
          <w:p w14:paraId="3B88C5F9">
            <w:pPr>
              <w:spacing w:line="360" w:lineRule="auto"/>
              <w:ind w:firstLine="480" w:firstLineChars="200"/>
              <w:rPr>
                <w:rFonts w:ascii="Times New Roman" w:hAnsi="Times New Roman" w:eastAsia="宋体" w:cs="Times New Roman"/>
                <w:color w:val="000000" w:themeColor="text1"/>
                <w:sz w:val="24"/>
                <w:szCs w:val="20"/>
              </w:rPr>
            </w:pPr>
            <w:r>
              <w:rPr>
                <w:rFonts w:hint="eastAsia" w:ascii="宋体" w:hAnsi="宋体" w:eastAsia="宋体" w:cs="宋体"/>
                <w:color w:val="000000" w:themeColor="text1"/>
                <w:sz w:val="24"/>
                <w:szCs w:val="20"/>
              </w:rPr>
              <w:t>②</w:t>
            </w:r>
            <w:r>
              <w:rPr>
                <w:rFonts w:ascii="Times New Roman" w:hAnsi="Times New Roman" w:eastAsia="宋体" w:cs="Times New Roman"/>
                <w:color w:val="000000" w:themeColor="text1"/>
                <w:sz w:val="24"/>
                <w:szCs w:val="20"/>
              </w:rPr>
              <w:t>施工场地的施工车辆出入施工现场时应低速、禁止鸣笛。</w:t>
            </w:r>
          </w:p>
          <w:p w14:paraId="7C80FA82">
            <w:pPr>
              <w:adjustRightInd w:val="0"/>
              <w:snapToGrid w:val="0"/>
              <w:spacing w:line="360" w:lineRule="auto"/>
              <w:ind w:firstLine="482" w:firstLineChars="200"/>
              <w:jc w:val="left"/>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（4）固废环境影响及措施</w:t>
            </w:r>
          </w:p>
          <w:p w14:paraId="34E36FE2">
            <w:pPr>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hint="eastAsia" w:ascii="Times New Roman" w:hAnsi="Times New Roman" w:eastAsia="宋体" w:cs="Times New Roman"/>
                <w:color w:val="000000" w:themeColor="text1"/>
                <w:sz w:val="24"/>
              </w:rPr>
              <w:t>土方、</w:t>
            </w:r>
            <w:r>
              <w:rPr>
                <w:rFonts w:ascii="Times New Roman" w:hAnsi="Times New Roman" w:eastAsia="宋体" w:cs="Times New Roman"/>
                <w:color w:val="000000" w:themeColor="text1"/>
                <w:sz w:val="24"/>
              </w:rPr>
              <w:t>建筑垃圾量为24t，</w:t>
            </w:r>
            <w:r>
              <w:rPr>
                <w:rFonts w:hint="eastAsia" w:ascii="Times New Roman" w:hAnsi="Times New Roman" w:eastAsia="宋体" w:cs="Times New Roman"/>
                <w:color w:val="000000" w:themeColor="text1"/>
                <w:sz w:val="24"/>
              </w:rPr>
              <w:t>土方就地回填，其余少部分</w:t>
            </w:r>
            <w:r>
              <w:rPr>
                <w:rFonts w:ascii="Times New Roman" w:hAnsi="Times New Roman" w:eastAsia="宋体" w:cs="Times New Roman"/>
                <w:color w:val="000000" w:themeColor="text1"/>
                <w:sz w:val="24"/>
              </w:rPr>
              <w:t>建筑垃圾通过分类集中堆存，其中可再生利用部分回收利用，不能利用的由施工单位及时清运到住建部门制定堆放点</w:t>
            </w:r>
            <w:r>
              <w:rPr>
                <w:rFonts w:hint="eastAsia" w:ascii="Times New Roman" w:hAnsi="Times New Roman" w:eastAsia="宋体" w:cs="Times New Roman"/>
                <w:color w:val="000000" w:themeColor="text1"/>
                <w:sz w:val="24"/>
              </w:rPr>
              <w:t>，</w:t>
            </w:r>
            <w:r>
              <w:rPr>
                <w:rFonts w:ascii="Times New Roman" w:hAnsi="Times New Roman" w:eastAsia="宋体" w:cs="Times New Roman"/>
                <w:color w:val="000000" w:themeColor="text1"/>
                <w:sz w:val="24"/>
              </w:rPr>
              <w:t>对环境影响较小。</w:t>
            </w:r>
          </w:p>
          <w:p w14:paraId="58DC0D87">
            <w:pPr>
              <w:adjustRightInd w:val="0"/>
              <w:snapToGrid w:val="0"/>
              <w:spacing w:line="360" w:lineRule="auto"/>
              <w:ind w:firstLine="480" w:firstLineChars="200"/>
              <w:jc w:val="left"/>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在严格采取上述处置措施后，施工期废气、废水、固废和声环境均得到妥善处置，对周围环境的影响较小。</w:t>
            </w:r>
          </w:p>
          <w:p w14:paraId="7970D291">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2、运营期环境影响评价分析</w:t>
            </w:r>
          </w:p>
          <w:p w14:paraId="6E0CD898">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（1）环境空气影响及主要环保措施</w:t>
            </w:r>
          </w:p>
          <w:p w14:paraId="5215F09A">
            <w:pPr>
              <w:keepNext/>
              <w:keepLines/>
              <w:spacing w:line="360" w:lineRule="auto"/>
              <w:ind w:firstLine="480"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color w:val="000000" w:themeColor="text1"/>
                <w:sz w:val="24"/>
              </w:rPr>
              <w:t>本项目</w:t>
            </w:r>
            <w:r>
              <w:rPr>
                <w:rFonts w:ascii="Times New Roman" w:hAnsi="Times New Roman" w:cs="Times New Roman"/>
                <w:color w:val="000000" w:themeColor="text1"/>
                <w:sz w:val="24"/>
              </w:rPr>
              <w:t>由于采用湿式破碎，因此基本无粉尘产生，</w:t>
            </w:r>
            <w:r>
              <w:rPr>
                <w:rFonts w:ascii="Times New Roman" w:hAnsi="Times New Roman" w:eastAsia="宋体" w:cs="Times New Roman"/>
                <w:color w:val="000000" w:themeColor="text1"/>
                <w:sz w:val="24"/>
              </w:rPr>
              <w:t>废气主要为食堂油烟。</w:t>
            </w:r>
          </w:p>
          <w:p w14:paraId="151A4BA9">
            <w:pPr>
              <w:autoSpaceDE w:val="0"/>
              <w:autoSpaceDN w:val="0"/>
              <w:adjustRightInd w:val="0"/>
              <w:spacing w:line="360" w:lineRule="auto"/>
              <w:ind w:firstLine="482" w:firstLineChars="200"/>
              <w:rPr>
                <w:rFonts w:ascii="Times New Roman" w:hAnsi="Times New Roman" w:eastAsia="宋体" w:cs="Times New Roman"/>
                <w:b/>
                <w:color w:val="000000" w:themeColor="text1"/>
                <w:sz w:val="24"/>
              </w:rPr>
            </w:pPr>
            <w:r>
              <w:rPr>
                <w:rFonts w:hint="eastAsia" w:ascii="宋体" w:hAnsi="宋体" w:eastAsia="宋体" w:cs="宋体"/>
                <w:b/>
                <w:color w:val="000000" w:themeColor="text1"/>
                <w:sz w:val="24"/>
              </w:rPr>
              <w:t>①</w:t>
            </w:r>
            <w:r>
              <w:rPr>
                <w:rFonts w:ascii="Times New Roman" w:hAnsi="Times New Roman" w:eastAsia="宋体" w:cs="Times New Roman"/>
                <w:b/>
                <w:color w:val="000000" w:themeColor="text1"/>
                <w:sz w:val="24"/>
              </w:rPr>
              <w:t>食堂油烟环境影响分析</w:t>
            </w:r>
          </w:p>
          <w:p w14:paraId="7F246A5E">
            <w:pPr>
              <w:autoSpaceDE w:val="0"/>
              <w:autoSpaceDN w:val="0"/>
              <w:adjustRightIn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项目区有食堂，每天提供三餐，规模属于小型，根据表五核算，本项目食堂油烟产生量约为0.00</w:t>
            </w:r>
            <w:r>
              <w:rPr>
                <w:rFonts w:hint="eastAsia" w:ascii="Times New Roman" w:hAnsi="Times New Roman" w:eastAsia="宋体" w:cs="Times New Roman"/>
                <w:color w:val="000000" w:themeColor="text1"/>
                <w:sz w:val="24"/>
              </w:rPr>
              <w:t>1</w:t>
            </w:r>
            <w:r>
              <w:rPr>
                <w:rFonts w:ascii="Times New Roman" w:hAnsi="Times New Roman" w:eastAsia="宋体" w:cs="Times New Roman"/>
                <w:color w:val="000000" w:themeColor="text1"/>
                <w:sz w:val="24"/>
              </w:rPr>
              <w:t>kg/h</w:t>
            </w:r>
            <w:r>
              <w:rPr>
                <w:rFonts w:hint="eastAsia" w:ascii="Times New Roman" w:hAnsi="Times New Roman" w:eastAsia="宋体" w:cs="Times New Roman"/>
                <w:color w:val="000000" w:themeColor="text1"/>
                <w:sz w:val="24"/>
              </w:rPr>
              <w:t>，产生量较少，最近居民区为北侧1260m的当连村，</w:t>
            </w:r>
            <w:r>
              <w:rPr>
                <w:rFonts w:ascii="Times New Roman" w:hAnsi="Times New Roman" w:eastAsia="宋体" w:cs="Times New Roman"/>
                <w:color w:val="000000" w:themeColor="text1"/>
                <w:sz w:val="24"/>
              </w:rPr>
              <w:t>对周围环境影响较小。</w:t>
            </w:r>
          </w:p>
          <w:p w14:paraId="7A7C0DF0">
            <w:pPr>
              <w:adjustRightInd w:val="0"/>
              <w:snapToGrid w:val="0"/>
              <w:spacing w:line="360" w:lineRule="auto"/>
              <w:ind w:firstLine="361" w:firstLineChars="150"/>
              <w:rPr>
                <w:rFonts w:ascii="Times New Roman" w:hAnsi="Times New Roman" w:eastAsia="宋体" w:cs="Times New Roman"/>
                <w:b/>
                <w:color w:val="000000" w:themeColor="text1"/>
                <w:sz w:val="24"/>
                <w:szCs w:val="20"/>
              </w:rPr>
            </w:pPr>
            <w:r>
              <w:rPr>
                <w:rFonts w:hint="eastAsia" w:ascii="宋体" w:hAnsi="宋体" w:eastAsia="宋体" w:cs="宋体"/>
                <w:b/>
                <w:color w:val="000000" w:themeColor="text1"/>
                <w:sz w:val="24"/>
                <w:szCs w:val="20"/>
              </w:rPr>
              <w:t>②</w:t>
            </w:r>
            <w:r>
              <w:rPr>
                <w:rFonts w:hint="eastAsia" w:ascii="Times New Roman" w:hAnsi="Times New Roman" w:eastAsia="宋体" w:cs="Times New Roman"/>
                <w:b/>
                <w:color w:val="000000" w:themeColor="text1"/>
                <w:sz w:val="24"/>
                <w:szCs w:val="20"/>
              </w:rPr>
              <w:t>生活垃圾</w:t>
            </w:r>
            <w:r>
              <w:rPr>
                <w:rFonts w:ascii="Times New Roman" w:hAnsi="Times New Roman" w:eastAsia="宋体" w:cs="Times New Roman"/>
                <w:b/>
                <w:color w:val="000000" w:themeColor="text1"/>
                <w:sz w:val="24"/>
                <w:szCs w:val="20"/>
              </w:rPr>
              <w:t>异味</w:t>
            </w:r>
          </w:p>
          <w:p w14:paraId="0576E8EC">
            <w:pPr>
              <w:adjustRightInd w:val="0"/>
              <w:snapToGrid w:val="0"/>
              <w:spacing w:line="360" w:lineRule="auto"/>
              <w:ind w:firstLine="480" w:firstLineChars="200"/>
              <w:rPr>
                <w:rFonts w:ascii="Times New Roman" w:hAnsi="Times New Roman" w:eastAsia="宋体" w:cs="Times New Roman"/>
                <w:color w:val="000000" w:themeColor="text1"/>
                <w:sz w:val="24"/>
                <w:szCs w:val="20"/>
              </w:rPr>
            </w:pPr>
            <w:r>
              <w:rPr>
                <w:rFonts w:ascii="Times New Roman" w:hAnsi="Times New Roman" w:eastAsia="宋体" w:cs="Times New Roman"/>
                <w:color w:val="000000" w:themeColor="text1"/>
                <w:sz w:val="24"/>
                <w:szCs w:val="20"/>
              </w:rPr>
              <w:t>项目生活垃圾采用活动室垃圾桶收集，会产生一定异味</w:t>
            </w:r>
            <w:r>
              <w:rPr>
                <w:rFonts w:hint="eastAsia" w:ascii="Times New Roman" w:hAnsi="Times New Roman" w:eastAsia="宋体" w:cs="Times New Roman"/>
                <w:color w:val="000000" w:themeColor="text1"/>
                <w:sz w:val="24"/>
                <w:szCs w:val="20"/>
              </w:rPr>
              <w:t>，</w:t>
            </w:r>
            <w:r>
              <w:rPr>
                <w:rFonts w:ascii="Times New Roman" w:hAnsi="Times New Roman" w:cs="Times New Roman"/>
                <w:color w:val="000000" w:themeColor="text1"/>
                <w:sz w:val="24"/>
              </w:rPr>
              <w:t>通过</w:t>
            </w:r>
            <w:r>
              <w:rPr>
                <w:rFonts w:hint="eastAsia" w:ascii="Times New Roman" w:hAnsi="Times New Roman" w:cs="Times New Roman"/>
                <w:color w:val="000000" w:themeColor="text1"/>
                <w:sz w:val="24"/>
              </w:rPr>
              <w:t>垃圾日产日清</w:t>
            </w:r>
            <w:r>
              <w:rPr>
                <w:rFonts w:ascii="Times New Roman" w:hAnsi="Times New Roman" w:cs="Times New Roman"/>
                <w:color w:val="000000" w:themeColor="text1"/>
                <w:sz w:val="24"/>
              </w:rPr>
              <w:t>，来减少臭气的逸散，</w:t>
            </w:r>
            <w:r>
              <w:rPr>
                <w:rFonts w:ascii="Times New Roman" w:hAnsi="Times New Roman" w:eastAsia="宋体" w:cs="Times New Roman"/>
                <w:color w:val="000000" w:themeColor="text1"/>
                <w:sz w:val="24"/>
                <w:szCs w:val="20"/>
              </w:rPr>
              <w:t>厂区有大量绿化，且500m范围内无居民区，其异味对环境影响较小。</w:t>
            </w:r>
          </w:p>
          <w:p w14:paraId="1AFBFB5D">
            <w:pPr>
              <w:adjustRightInd w:val="0"/>
              <w:snapToGrid w:val="0"/>
              <w:spacing w:line="360" w:lineRule="auto"/>
              <w:ind w:firstLine="482" w:firstLineChars="200"/>
              <w:jc w:val="left"/>
              <w:rPr>
                <w:rFonts w:ascii="Times New Roman" w:hAnsi="Times New Roman" w:eastAsia="宋体" w:cs="Times New Roman"/>
                <w:b/>
                <w:color w:val="000000" w:themeColor="text1"/>
                <w:sz w:val="24"/>
                <w:szCs w:val="20"/>
              </w:rPr>
            </w:pPr>
            <w:r>
              <w:rPr>
                <w:rFonts w:hint="eastAsia" w:ascii="宋体" w:hAnsi="宋体" w:eastAsia="宋体" w:cs="宋体"/>
                <w:b/>
                <w:color w:val="000000" w:themeColor="text1"/>
                <w:sz w:val="24"/>
                <w:szCs w:val="20"/>
              </w:rPr>
              <w:t>③</w:t>
            </w:r>
            <w:r>
              <w:rPr>
                <w:rFonts w:ascii="Times New Roman" w:hAnsi="Times New Roman" w:eastAsia="宋体" w:cs="Times New Roman"/>
                <w:b/>
                <w:color w:val="000000" w:themeColor="text1"/>
                <w:sz w:val="24"/>
                <w:szCs w:val="20"/>
              </w:rPr>
              <w:t>汽车尾气</w:t>
            </w:r>
          </w:p>
          <w:p w14:paraId="6999F64C">
            <w:pPr>
              <w:adjustRightInd w:val="0"/>
              <w:snapToGrid w:val="0"/>
              <w:spacing w:line="360" w:lineRule="auto"/>
              <w:ind w:firstLine="480" w:firstLineChars="200"/>
              <w:jc w:val="left"/>
              <w:rPr>
                <w:rFonts w:ascii="Times New Roman" w:hAnsi="Times New Roman" w:eastAsia="宋体" w:cs="Times New Roman"/>
                <w:b/>
                <w:color w:val="000000" w:themeColor="text1"/>
                <w:sz w:val="24"/>
                <w:szCs w:val="20"/>
              </w:rPr>
            </w:pPr>
            <w:r>
              <w:rPr>
                <w:rFonts w:ascii="Times New Roman" w:hAnsi="Times New Roman" w:eastAsia="宋体" w:cs="Times New Roman"/>
                <w:color w:val="000000" w:themeColor="text1"/>
                <w:sz w:val="24"/>
                <w:szCs w:val="20"/>
              </w:rPr>
              <w:t>汽车排放的废气主要集中于地面停车位，在汽车的启动和停放过程中产生，废气中主要污染物为CO、HC、NO</w:t>
            </w:r>
            <w:r>
              <w:rPr>
                <w:rFonts w:ascii="Times New Roman" w:hAnsi="Times New Roman" w:eastAsia="宋体" w:cs="Times New Roman"/>
                <w:color w:val="000000" w:themeColor="text1"/>
                <w:sz w:val="24"/>
                <w:szCs w:val="20"/>
                <w:vertAlign w:val="subscript"/>
              </w:rPr>
              <w:t>x</w:t>
            </w:r>
            <w:r>
              <w:rPr>
                <w:rFonts w:ascii="Times New Roman" w:hAnsi="Times New Roman" w:eastAsia="宋体" w:cs="Times New Roman"/>
                <w:color w:val="000000" w:themeColor="text1"/>
                <w:sz w:val="24"/>
                <w:szCs w:val="20"/>
              </w:rPr>
              <w:t>等，区域扩散条件好，同时</w:t>
            </w:r>
            <w:r>
              <w:rPr>
                <w:rFonts w:ascii="Times New Roman" w:hAnsi="Times New Roman" w:eastAsia="宋体" w:cs="Times New Roman"/>
                <w:color w:val="000000" w:themeColor="text1"/>
                <w:kern w:val="0"/>
                <w:sz w:val="24"/>
                <w:szCs w:val="20"/>
              </w:rPr>
              <w:t>加强绿化，可有效缓解汽车废气对周围环境的影响。</w:t>
            </w:r>
          </w:p>
          <w:p w14:paraId="1388A6A2">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（2）水环境影响及主要环保措施</w:t>
            </w:r>
          </w:p>
          <w:p w14:paraId="7E102B07">
            <w:pPr>
              <w:keepNext/>
              <w:keepLines/>
              <w:spacing w:line="360" w:lineRule="auto"/>
              <w:ind w:firstLine="480" w:firstLineChars="200"/>
              <w:jc w:val="left"/>
              <w:outlineLvl w:val="2"/>
              <w:rPr>
                <w:rFonts w:ascii="Times New Roman" w:hAnsi="Times New Roman" w:eastAsia="宋体" w:cs="Times New Roman"/>
                <w:bCs/>
                <w:color w:val="000000" w:themeColor="text1"/>
                <w:sz w:val="24"/>
                <w:szCs w:val="32"/>
              </w:rPr>
            </w:pPr>
            <w:r>
              <w:rPr>
                <w:rFonts w:ascii="Times New Roman" w:hAnsi="Times New Roman" w:eastAsia="宋体" w:cs="Times New Roman"/>
                <w:bCs/>
                <w:color w:val="000000" w:themeColor="text1"/>
                <w:sz w:val="24"/>
                <w:szCs w:val="32"/>
              </w:rPr>
              <w:t>雨污分流。</w:t>
            </w:r>
          </w:p>
          <w:p w14:paraId="61B84B4C">
            <w:pPr>
              <w:keepNext/>
              <w:keepLines/>
              <w:spacing w:line="360" w:lineRule="auto"/>
              <w:ind w:firstLine="482" w:firstLineChars="200"/>
              <w:jc w:val="left"/>
              <w:outlineLvl w:val="2"/>
              <w:rPr>
                <w:rFonts w:ascii="Times New Roman" w:hAnsi="Times New Roman" w:eastAsia="宋体" w:cs="Times New Roman"/>
                <w:bCs/>
                <w:color w:val="000000" w:themeColor="text1"/>
                <w:sz w:val="24"/>
                <w:szCs w:val="32"/>
              </w:rPr>
            </w:pPr>
            <w:r>
              <w:rPr>
                <w:rFonts w:ascii="Times New Roman" w:hAnsi="Times New Roman" w:eastAsia="宋体" w:cs="Times New Roman"/>
                <w:b/>
                <w:bCs/>
                <w:color w:val="000000" w:themeColor="text1"/>
                <w:sz w:val="24"/>
                <w:szCs w:val="32"/>
              </w:rPr>
              <w:t>生活废水：</w:t>
            </w:r>
            <w:r>
              <w:rPr>
                <w:rFonts w:ascii="Times New Roman" w:hAnsi="Times New Roman" w:eastAsia="宋体" w:cs="Times New Roman"/>
                <w:bCs/>
                <w:color w:val="000000" w:themeColor="text1"/>
                <w:sz w:val="24"/>
                <w:szCs w:val="32"/>
              </w:rPr>
              <w:t>厨房废水经1个隔油池（0.</w:t>
            </w:r>
            <w:r>
              <w:rPr>
                <w:rFonts w:hint="eastAsia" w:ascii="Times New Roman" w:hAnsi="Times New Roman" w:eastAsia="宋体" w:cs="Times New Roman"/>
                <w:bCs/>
                <w:color w:val="000000" w:themeColor="text1"/>
                <w:sz w:val="24"/>
                <w:szCs w:val="32"/>
              </w:rPr>
              <w:t>2</w:t>
            </w:r>
            <w:r>
              <w:rPr>
                <w:rFonts w:ascii="Times New Roman" w:hAnsi="Times New Roman" w:eastAsia="宋体" w:cs="Times New Roman"/>
                <w:bCs/>
                <w:color w:val="000000" w:themeColor="text1"/>
                <w:sz w:val="24"/>
                <w:szCs w:val="32"/>
              </w:rPr>
              <w:t>m</w:t>
            </w:r>
            <w:r>
              <w:rPr>
                <w:rFonts w:ascii="Times New Roman" w:hAnsi="Times New Roman" w:eastAsia="宋体" w:cs="Times New Roman"/>
                <w:bCs/>
                <w:color w:val="000000" w:themeColor="text1"/>
                <w:sz w:val="24"/>
                <w:szCs w:val="32"/>
                <w:vertAlign w:val="superscript"/>
              </w:rPr>
              <w:t>3</w:t>
            </w:r>
            <w:r>
              <w:rPr>
                <w:rFonts w:ascii="Times New Roman" w:hAnsi="Times New Roman" w:eastAsia="宋体" w:cs="Times New Roman"/>
                <w:bCs/>
                <w:color w:val="000000" w:themeColor="text1"/>
                <w:sz w:val="24"/>
                <w:szCs w:val="32"/>
              </w:rPr>
              <w:t>）处理后，与其它生活废水排入化粪池（</w:t>
            </w:r>
            <w:r>
              <w:rPr>
                <w:rFonts w:hint="eastAsia" w:ascii="Times New Roman" w:hAnsi="Times New Roman" w:eastAsia="宋体" w:cs="Times New Roman"/>
                <w:bCs/>
                <w:color w:val="000000" w:themeColor="text1"/>
                <w:sz w:val="24"/>
                <w:szCs w:val="32"/>
              </w:rPr>
              <w:t>15</w:t>
            </w:r>
            <w:r>
              <w:rPr>
                <w:rFonts w:ascii="Times New Roman" w:hAnsi="Times New Roman" w:eastAsia="宋体" w:cs="Times New Roman"/>
                <w:bCs/>
                <w:color w:val="000000" w:themeColor="text1"/>
                <w:sz w:val="24"/>
                <w:szCs w:val="32"/>
              </w:rPr>
              <w:t>m</w:t>
            </w:r>
            <w:r>
              <w:rPr>
                <w:rFonts w:ascii="Times New Roman" w:hAnsi="Times New Roman" w:eastAsia="宋体" w:cs="Times New Roman"/>
                <w:bCs/>
                <w:color w:val="000000" w:themeColor="text1"/>
                <w:sz w:val="24"/>
                <w:szCs w:val="32"/>
                <w:vertAlign w:val="superscript"/>
              </w:rPr>
              <w:t>3</w:t>
            </w:r>
            <w:r>
              <w:rPr>
                <w:rFonts w:ascii="Times New Roman" w:hAnsi="Times New Roman" w:eastAsia="宋体" w:cs="Times New Roman"/>
                <w:bCs/>
                <w:color w:val="000000" w:themeColor="text1"/>
                <w:sz w:val="24"/>
                <w:szCs w:val="32"/>
              </w:rPr>
              <w:t>）处理，定期委托周边村民清运，用于农作物施肥。</w:t>
            </w:r>
          </w:p>
          <w:p w14:paraId="40EFBCF7">
            <w:pPr>
              <w:keepNext/>
              <w:keepLines/>
              <w:spacing w:line="360" w:lineRule="auto"/>
              <w:ind w:firstLine="482" w:firstLineChars="200"/>
              <w:jc w:val="left"/>
              <w:outlineLvl w:val="2"/>
              <w:rPr>
                <w:rFonts w:ascii="Times New Roman" w:hAnsi="Times New Roman" w:eastAsia="宋体" w:cs="Times New Roman"/>
                <w:bCs/>
                <w:color w:val="000000" w:themeColor="text1"/>
                <w:sz w:val="24"/>
                <w:szCs w:val="32"/>
              </w:rPr>
            </w:pPr>
            <w:r>
              <w:rPr>
                <w:rFonts w:ascii="Times New Roman" w:hAnsi="Times New Roman" w:eastAsia="宋体" w:cs="Times New Roman"/>
                <w:b/>
                <w:bCs/>
                <w:color w:val="000000" w:themeColor="text1"/>
                <w:sz w:val="24"/>
                <w:szCs w:val="32"/>
              </w:rPr>
              <w:t>生产废水：</w:t>
            </w:r>
            <w:r>
              <w:rPr>
                <w:rFonts w:ascii="Times New Roman" w:hAnsi="Times New Roman" w:eastAsia="宋体" w:cs="Times New Roman"/>
                <w:bCs/>
                <w:color w:val="000000" w:themeColor="text1"/>
                <w:sz w:val="24"/>
                <w:szCs w:val="32"/>
              </w:rPr>
              <w:t>生产废水通过自建的</w:t>
            </w:r>
            <w:r>
              <w:rPr>
                <w:rFonts w:hint="eastAsia" w:ascii="Times New Roman" w:hAnsi="Times New Roman" w:eastAsia="宋体" w:cs="Times New Roman"/>
                <w:bCs/>
                <w:color w:val="000000" w:themeColor="text1"/>
                <w:sz w:val="24"/>
                <w:szCs w:val="32"/>
              </w:rPr>
              <w:t>隔油池</w:t>
            </w:r>
            <w:r>
              <w:rPr>
                <w:rFonts w:ascii="Times New Roman" w:hAnsi="Times New Roman" w:eastAsia="宋体" w:cs="Times New Roman"/>
                <w:bCs/>
                <w:color w:val="000000" w:themeColor="text1"/>
                <w:sz w:val="24"/>
                <w:szCs w:val="32"/>
              </w:rPr>
              <w:t>（</w:t>
            </w:r>
            <w:r>
              <w:rPr>
                <w:rFonts w:hint="eastAsia" w:ascii="Times New Roman" w:hAnsi="Times New Roman" w:eastAsia="宋体" w:cs="Times New Roman"/>
                <w:bCs/>
                <w:color w:val="000000" w:themeColor="text1"/>
                <w:sz w:val="24"/>
                <w:szCs w:val="32"/>
              </w:rPr>
              <w:t>2</w:t>
            </w:r>
            <w:r>
              <w:rPr>
                <w:rFonts w:ascii="Times New Roman" w:hAnsi="Times New Roman" w:eastAsia="宋体" w:cs="Times New Roman"/>
                <w:bCs/>
                <w:color w:val="000000" w:themeColor="text1"/>
                <w:sz w:val="24"/>
                <w:szCs w:val="32"/>
              </w:rPr>
              <w:t>m</w:t>
            </w:r>
            <w:r>
              <w:rPr>
                <w:rFonts w:ascii="Times New Roman" w:hAnsi="Times New Roman" w:eastAsia="宋体" w:cs="Times New Roman"/>
                <w:bCs/>
                <w:color w:val="000000" w:themeColor="text1"/>
                <w:sz w:val="24"/>
                <w:szCs w:val="32"/>
                <w:vertAlign w:val="superscript"/>
              </w:rPr>
              <w:t>3</w:t>
            </w:r>
            <w:r>
              <w:rPr>
                <w:rFonts w:ascii="Times New Roman" w:hAnsi="Times New Roman" w:eastAsia="宋体" w:cs="Times New Roman"/>
                <w:bCs/>
                <w:color w:val="000000" w:themeColor="text1"/>
                <w:sz w:val="24"/>
                <w:szCs w:val="32"/>
              </w:rPr>
              <w:t>）</w:t>
            </w:r>
            <w:r>
              <w:rPr>
                <w:rFonts w:hint="eastAsia" w:ascii="Times New Roman" w:hAnsi="Times New Roman" w:eastAsia="宋体" w:cs="Times New Roman"/>
                <w:bCs/>
                <w:color w:val="000000" w:themeColor="text1"/>
                <w:sz w:val="24"/>
                <w:szCs w:val="32"/>
              </w:rPr>
              <w:t>+沉淀池</w:t>
            </w:r>
            <w:r>
              <w:rPr>
                <w:rFonts w:ascii="Times New Roman" w:hAnsi="Times New Roman" w:eastAsia="宋体" w:cs="Times New Roman"/>
                <w:bCs/>
                <w:color w:val="000000" w:themeColor="text1"/>
                <w:sz w:val="24"/>
                <w:szCs w:val="32"/>
              </w:rPr>
              <w:t>（</w:t>
            </w:r>
            <w:r>
              <w:rPr>
                <w:rFonts w:hint="eastAsia" w:ascii="Times New Roman" w:hAnsi="Times New Roman" w:eastAsia="宋体" w:cs="Times New Roman"/>
                <w:bCs/>
                <w:color w:val="000000" w:themeColor="text1"/>
                <w:sz w:val="24"/>
                <w:szCs w:val="32"/>
              </w:rPr>
              <w:t>8</w:t>
            </w:r>
            <w:r>
              <w:rPr>
                <w:rFonts w:ascii="Times New Roman" w:hAnsi="Times New Roman" w:eastAsia="宋体" w:cs="Times New Roman"/>
                <w:bCs/>
                <w:color w:val="000000" w:themeColor="text1"/>
                <w:sz w:val="24"/>
                <w:szCs w:val="32"/>
              </w:rPr>
              <w:t>m</w:t>
            </w:r>
            <w:r>
              <w:rPr>
                <w:rFonts w:ascii="Times New Roman" w:hAnsi="Times New Roman" w:eastAsia="宋体" w:cs="Times New Roman"/>
                <w:bCs/>
                <w:color w:val="000000" w:themeColor="text1"/>
                <w:sz w:val="24"/>
                <w:szCs w:val="32"/>
                <w:vertAlign w:val="superscript"/>
              </w:rPr>
              <w:t>3</w:t>
            </w:r>
            <w:r>
              <w:rPr>
                <w:rFonts w:ascii="Times New Roman" w:hAnsi="Times New Roman" w:eastAsia="宋体" w:cs="Times New Roman"/>
                <w:bCs/>
                <w:color w:val="000000" w:themeColor="text1"/>
                <w:sz w:val="24"/>
                <w:szCs w:val="32"/>
              </w:rPr>
              <w:t>）处理达后，储存于</w:t>
            </w:r>
            <w:r>
              <w:rPr>
                <w:rFonts w:hint="eastAsia" w:ascii="Times New Roman" w:hAnsi="Times New Roman" w:eastAsia="宋体" w:cs="Times New Roman"/>
                <w:bCs/>
                <w:color w:val="000000" w:themeColor="text1"/>
                <w:sz w:val="24"/>
                <w:szCs w:val="32"/>
              </w:rPr>
              <w:t>供水池</w:t>
            </w:r>
            <w:r>
              <w:rPr>
                <w:rFonts w:ascii="Times New Roman" w:hAnsi="Times New Roman" w:eastAsia="宋体" w:cs="Times New Roman"/>
                <w:bCs/>
                <w:color w:val="000000" w:themeColor="text1"/>
                <w:sz w:val="24"/>
                <w:szCs w:val="32"/>
              </w:rPr>
              <w:t>回用于生产。</w:t>
            </w:r>
          </w:p>
          <w:p w14:paraId="6A7CFB6D">
            <w:pPr>
              <w:keepNext/>
              <w:keepLines/>
              <w:spacing w:line="360" w:lineRule="auto"/>
              <w:ind w:firstLine="480" w:firstLineChars="200"/>
              <w:jc w:val="left"/>
              <w:outlineLvl w:val="2"/>
              <w:rPr>
                <w:rFonts w:ascii="Times New Roman" w:hAnsi="Times New Roman" w:eastAsia="宋体" w:cs="Times New Roman"/>
                <w:bCs/>
                <w:color w:val="000000" w:themeColor="text1"/>
                <w:sz w:val="24"/>
                <w:szCs w:val="32"/>
              </w:rPr>
            </w:pPr>
            <w:r>
              <w:rPr>
                <w:rFonts w:ascii="Times New Roman" w:hAnsi="Times New Roman" w:eastAsia="宋体" w:cs="Times New Roman"/>
                <w:bCs/>
                <w:color w:val="000000" w:themeColor="text1"/>
                <w:sz w:val="24"/>
                <w:szCs w:val="32"/>
              </w:rPr>
              <w:t>本项目废水不外排，对地表水（</w:t>
            </w:r>
            <w:r>
              <w:rPr>
                <w:rFonts w:ascii="Times New Roman" w:hAnsi="Times New Roman" w:eastAsia="宋体" w:cs="Times New Roman"/>
                <w:snapToGrid w:val="0"/>
                <w:color w:val="000000" w:themeColor="text1"/>
                <w:kern w:val="0"/>
                <w:sz w:val="24"/>
                <w:szCs w:val="20"/>
              </w:rPr>
              <w:t>西侧350m当连河、西侧13km芒市大河</w:t>
            </w:r>
            <w:r>
              <w:rPr>
                <w:rFonts w:ascii="Times New Roman" w:hAnsi="Times New Roman" w:eastAsia="宋体" w:cs="Times New Roman"/>
                <w:bCs/>
                <w:color w:val="000000" w:themeColor="text1"/>
                <w:sz w:val="24"/>
                <w:szCs w:val="32"/>
              </w:rPr>
              <w:t>）影响较小。</w:t>
            </w:r>
          </w:p>
          <w:p w14:paraId="43EDCD7C">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（3）声环境影响</w:t>
            </w:r>
          </w:p>
          <w:p w14:paraId="55A2B1AE">
            <w:pPr>
              <w:keepNext/>
              <w:keepLines/>
              <w:snapToGrid w:val="0"/>
              <w:spacing w:line="360" w:lineRule="auto"/>
              <w:ind w:left="105" w:leftChars="50" w:right="105" w:rightChars="50" w:firstLine="482" w:firstLineChars="200"/>
              <w:outlineLvl w:val="1"/>
              <w:rPr>
                <w:rFonts w:ascii="Times New Roman" w:hAnsi="Times New Roman" w:eastAsia="宋体" w:cs="Times New Roman"/>
                <w:b/>
                <w:bCs/>
                <w:color w:val="000000" w:themeColor="text1"/>
                <w:sz w:val="24"/>
                <w:szCs w:val="22"/>
              </w:rPr>
            </w:pPr>
            <w:r>
              <w:rPr>
                <w:rFonts w:hint="eastAsia" w:ascii="宋体" w:hAnsi="宋体" w:eastAsia="宋体" w:cs="宋体"/>
                <w:b/>
                <w:bCs/>
                <w:color w:val="000000" w:themeColor="text1"/>
                <w:sz w:val="24"/>
                <w:szCs w:val="22"/>
              </w:rPr>
              <w:t>①</w:t>
            </w:r>
            <w:r>
              <w:rPr>
                <w:rFonts w:ascii="Times New Roman" w:hAnsi="Times New Roman" w:eastAsia="宋体" w:cs="Times New Roman"/>
                <w:b/>
                <w:bCs/>
                <w:color w:val="000000" w:themeColor="text1"/>
                <w:sz w:val="24"/>
                <w:szCs w:val="22"/>
              </w:rPr>
              <w:t>厂界达标分析</w:t>
            </w:r>
          </w:p>
          <w:p w14:paraId="59E10AB1">
            <w:pPr>
              <w:keepNext/>
              <w:keepLines/>
              <w:snapToGrid w:val="0"/>
              <w:spacing w:line="360" w:lineRule="auto"/>
              <w:ind w:left="105" w:leftChars="50" w:right="105" w:rightChars="50" w:firstLine="480" w:firstLineChars="200"/>
              <w:outlineLvl w:val="1"/>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根据上表预测结果，项目厂界昼间四周噪声能满足GB12348-2008《工业企业厂界环境噪声排放标准》中2类标准。</w:t>
            </w:r>
          </w:p>
          <w:p w14:paraId="139847DA">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项目仅白天运行，夜间不运行，且此类噪声具有短暂性和间歇性特点，且随着操作的停止而消失。</w:t>
            </w:r>
          </w:p>
          <w:p w14:paraId="6061F004">
            <w:pPr>
              <w:keepNext/>
              <w:keepLines/>
              <w:adjustRightInd w:val="0"/>
              <w:snapToGrid w:val="0"/>
              <w:spacing w:line="360" w:lineRule="auto"/>
              <w:ind w:firstLine="482" w:firstLineChars="200"/>
              <w:jc w:val="left"/>
              <w:outlineLvl w:val="0"/>
              <w:rPr>
                <w:rFonts w:ascii="Times New Roman" w:hAnsi="Times New Roman" w:eastAsia="宋体" w:cs="Times New Roman"/>
                <w:b/>
                <w:bCs/>
                <w:color w:val="000000" w:themeColor="text1"/>
                <w:sz w:val="24"/>
                <w:szCs w:val="22"/>
              </w:rPr>
            </w:pPr>
            <w:r>
              <w:rPr>
                <w:rFonts w:hint="eastAsia" w:ascii="宋体" w:hAnsi="宋体" w:eastAsia="宋体" w:cs="宋体"/>
                <w:b/>
                <w:bCs/>
                <w:color w:val="000000" w:themeColor="text1"/>
                <w:sz w:val="24"/>
                <w:szCs w:val="22"/>
              </w:rPr>
              <w:t>②</w:t>
            </w:r>
            <w:r>
              <w:rPr>
                <w:rFonts w:ascii="Times New Roman" w:hAnsi="Times New Roman" w:eastAsia="宋体" w:cs="Times New Roman"/>
                <w:b/>
                <w:bCs/>
                <w:color w:val="000000" w:themeColor="text1"/>
                <w:sz w:val="24"/>
                <w:szCs w:val="22"/>
              </w:rPr>
              <w:t>保护目标预测分析</w:t>
            </w:r>
          </w:p>
          <w:p w14:paraId="7A9758BC">
            <w:pPr>
              <w:keepNext/>
              <w:keepLines/>
              <w:adjustRightInd w:val="0"/>
              <w:snapToGrid w:val="0"/>
              <w:spacing w:line="360" w:lineRule="auto"/>
              <w:ind w:firstLine="480" w:firstLineChars="200"/>
              <w:jc w:val="left"/>
              <w:outlineLvl w:val="0"/>
              <w:rPr>
                <w:rFonts w:ascii="Times New Roman" w:hAnsi="Times New Roman" w:eastAsia="宋体" w:cs="Times New Roman"/>
                <w:bCs/>
                <w:color w:val="000000" w:themeColor="text1"/>
                <w:sz w:val="24"/>
                <w:szCs w:val="22"/>
              </w:rPr>
            </w:pPr>
            <w:r>
              <w:rPr>
                <w:rFonts w:ascii="Times New Roman" w:hAnsi="Times New Roman" w:eastAsia="宋体" w:cs="Times New Roman"/>
                <w:bCs/>
                <w:color w:val="000000" w:themeColor="text1"/>
                <w:sz w:val="24"/>
                <w:szCs w:val="22"/>
              </w:rPr>
              <w:t>距离项目最近的保护目标为</w:t>
            </w:r>
            <w:r>
              <w:rPr>
                <w:rFonts w:ascii="Times New Roman" w:hAnsi="Times New Roman" w:eastAsia="宋体" w:cs="Times New Roman"/>
                <w:color w:val="000000" w:themeColor="text1"/>
                <w:sz w:val="24"/>
              </w:rPr>
              <w:t>北侧1260m当连村</w:t>
            </w:r>
            <w:r>
              <w:rPr>
                <w:rFonts w:ascii="Times New Roman" w:hAnsi="Times New Roman" w:eastAsia="宋体" w:cs="Times New Roman"/>
                <w:bCs/>
                <w:color w:val="000000" w:themeColor="text1"/>
                <w:sz w:val="24"/>
                <w:szCs w:val="22"/>
              </w:rPr>
              <w:t>，基本对其无影响。</w:t>
            </w:r>
          </w:p>
          <w:p w14:paraId="1A1BF6FF">
            <w:pPr>
              <w:adjustRightInd w:val="0"/>
              <w:snapToGrid w:val="0"/>
              <w:spacing w:line="360" w:lineRule="auto"/>
              <w:ind w:firstLine="482" w:firstLineChars="200"/>
              <w:rPr>
                <w:rFonts w:ascii="Times New Roman" w:hAnsi="Times New Roman" w:eastAsia="宋体" w:cs="Times New Roman"/>
                <w:snapToGrid w:val="0"/>
                <w:color w:val="000000" w:themeColor="text1"/>
                <w:kern w:val="0"/>
                <w:sz w:val="24"/>
              </w:rPr>
            </w:pPr>
            <w:r>
              <w:rPr>
                <w:rFonts w:ascii="Times New Roman" w:hAnsi="Times New Roman" w:eastAsia="宋体" w:cs="Times New Roman"/>
                <w:b/>
                <w:snapToGrid w:val="0"/>
                <w:color w:val="000000" w:themeColor="text1"/>
                <w:kern w:val="0"/>
                <w:sz w:val="24"/>
              </w:rPr>
              <w:t>措施：</w:t>
            </w:r>
            <w:r>
              <w:rPr>
                <w:rFonts w:ascii="Times New Roman" w:hAnsi="Times New Roman" w:eastAsia="宋体" w:cs="Times New Roman"/>
                <w:snapToGrid w:val="0"/>
                <w:color w:val="000000" w:themeColor="text1"/>
                <w:kern w:val="0"/>
                <w:sz w:val="24"/>
              </w:rPr>
              <w:t>为进一步降低运营期间噪声对周边环境的影响，本环评报告要求建设单位在运营期采取以下措施：</w:t>
            </w:r>
          </w:p>
          <w:p w14:paraId="1DF5C91B">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①</w:t>
            </w:r>
            <w:r>
              <w:rPr>
                <w:rFonts w:ascii="Times New Roman" w:hAnsi="Times New Roman" w:eastAsia="宋体" w:cs="Times New Roman"/>
                <w:color w:val="000000" w:themeColor="text1"/>
                <w:sz w:val="24"/>
              </w:rPr>
              <w:t>选用低噪声设备，且设备应定期维护保养，避免设备噪声增大。</w:t>
            </w:r>
          </w:p>
          <w:p w14:paraId="29BB34D0">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hint="eastAsia" w:ascii="宋体" w:hAnsi="宋体" w:eastAsia="宋体" w:cs="宋体"/>
                <w:color w:val="000000" w:themeColor="text1"/>
                <w:sz w:val="24"/>
              </w:rPr>
              <w:t>②</w:t>
            </w:r>
            <w:r>
              <w:rPr>
                <w:rFonts w:ascii="Times New Roman" w:hAnsi="Times New Roman" w:eastAsia="宋体" w:cs="Times New Roman"/>
                <w:color w:val="000000" w:themeColor="text1"/>
                <w:sz w:val="24"/>
              </w:rPr>
              <w:t>进入项目区内的运输车辆应减速并禁止鸣笛。</w:t>
            </w:r>
          </w:p>
          <w:p w14:paraId="35B2770F">
            <w:pPr>
              <w:adjustRightInd w:val="0"/>
              <w:snapToGri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hint="eastAsia" w:ascii="宋体" w:hAnsi="宋体" w:eastAsia="宋体" w:cs="宋体"/>
                <w:color w:val="000000" w:themeColor="text1"/>
                <w:sz w:val="24"/>
              </w:rPr>
              <w:t>③</w:t>
            </w:r>
            <w:r>
              <w:rPr>
                <w:rFonts w:ascii="Times New Roman" w:hAnsi="Times New Roman" w:eastAsia="宋体" w:cs="Times New Roman"/>
                <w:snapToGrid w:val="0"/>
                <w:color w:val="000000" w:themeColor="text1"/>
                <w:kern w:val="0"/>
                <w:sz w:val="24"/>
                <w:szCs w:val="20"/>
              </w:rPr>
              <w:t>生产设备均设置于生产车间内，生产设备安装减震垫。</w:t>
            </w:r>
          </w:p>
          <w:p w14:paraId="0FEEC12A">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（4）固体废物影响及主要环保措施</w:t>
            </w:r>
          </w:p>
          <w:p w14:paraId="72F0C570">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一般工业固废：</w:t>
            </w:r>
            <w:r>
              <w:rPr>
                <w:rFonts w:ascii="Times New Roman" w:hAnsi="Times New Roman" w:eastAsia="宋体" w:cs="Times New Roman"/>
                <w:snapToGrid w:val="0"/>
                <w:color w:val="000000" w:themeColor="text1"/>
                <w:kern w:val="0"/>
                <w:sz w:val="24"/>
                <w:szCs w:val="20"/>
              </w:rPr>
              <w:t>项目运营期一般工业固废主要为拆包、人工分选杂物（S1）、剥离废标签纸（S2）、</w:t>
            </w:r>
            <w:r>
              <w:rPr>
                <w:rFonts w:hint="eastAsia" w:ascii="Times New Roman" w:hAnsi="Times New Roman" w:eastAsia="宋体" w:cs="Times New Roman"/>
                <w:snapToGrid w:val="0"/>
                <w:color w:val="000000" w:themeColor="text1"/>
                <w:kern w:val="0"/>
                <w:sz w:val="24"/>
                <w:szCs w:val="20"/>
              </w:rPr>
              <w:t>沉淀池</w:t>
            </w:r>
            <w:r>
              <w:rPr>
                <w:rFonts w:ascii="Times New Roman" w:hAnsi="Times New Roman" w:eastAsia="宋体" w:cs="Times New Roman"/>
                <w:snapToGrid w:val="0"/>
                <w:color w:val="000000" w:themeColor="text1"/>
                <w:kern w:val="0"/>
                <w:sz w:val="24"/>
                <w:szCs w:val="20"/>
              </w:rPr>
              <w:t>污泥。</w:t>
            </w:r>
          </w:p>
          <w:p w14:paraId="2D0726CD">
            <w:pPr>
              <w:spacing w:line="360" w:lineRule="auto"/>
              <w:ind w:firstLine="480" w:firstLineChars="200"/>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拆包、人工分选杂物</w:t>
            </w:r>
            <w:r>
              <w:rPr>
                <w:rFonts w:hint="eastAsia" w:ascii="Times New Roman" w:hAnsi="Times New Roman" w:cs="Times New Roman"/>
                <w:color w:val="000000" w:themeColor="text1"/>
                <w:kern w:val="0"/>
                <w:sz w:val="24"/>
              </w:rPr>
              <w:t>分类收集后，一部分外卖，其余运至芒市生活垃圾填埋场</w:t>
            </w:r>
            <w:r>
              <w:rPr>
                <w:rFonts w:ascii="Times New Roman" w:hAnsi="Times New Roman" w:cs="Times New Roman"/>
                <w:color w:val="000000" w:themeColor="text1"/>
                <w:kern w:val="0"/>
                <w:sz w:val="24"/>
              </w:rPr>
              <w:t>，禁止随意丢弃</w:t>
            </w:r>
            <w:r>
              <w:rPr>
                <w:rFonts w:hint="eastAsia" w:ascii="Times New Roman" w:hAnsi="Times New Roman" w:cs="Times New Roman"/>
                <w:color w:val="000000" w:themeColor="text1"/>
                <w:kern w:val="0"/>
                <w:sz w:val="24"/>
              </w:rPr>
              <w:t>；</w:t>
            </w:r>
            <w:r>
              <w:rPr>
                <w:rFonts w:ascii="Times New Roman" w:hAnsi="Times New Roman" w:cs="Times New Roman"/>
                <w:color w:val="000000" w:themeColor="text1"/>
                <w:kern w:val="0"/>
                <w:sz w:val="24"/>
              </w:rPr>
              <w:t>剥离废标签纸</w:t>
            </w:r>
            <w:r>
              <w:rPr>
                <w:rFonts w:hint="eastAsia" w:ascii="Times New Roman" w:hAnsi="Times New Roman" w:cs="Times New Roman"/>
                <w:color w:val="000000" w:themeColor="text1"/>
                <w:sz w:val="24"/>
              </w:rPr>
              <w:t>外卖处理；</w:t>
            </w:r>
            <w:r>
              <w:rPr>
                <w:rFonts w:hint="eastAsia" w:ascii="Times New Roman" w:hAnsi="Times New Roman" w:cs="Times New Roman"/>
                <w:color w:val="000000" w:themeColor="text1"/>
                <w:kern w:val="0"/>
                <w:sz w:val="24"/>
              </w:rPr>
              <w:t>沉淀池</w:t>
            </w:r>
            <w:r>
              <w:rPr>
                <w:rFonts w:ascii="Times New Roman" w:hAnsi="Times New Roman" w:cs="Times New Roman"/>
                <w:color w:val="000000" w:themeColor="text1"/>
                <w:kern w:val="0"/>
                <w:sz w:val="24"/>
              </w:rPr>
              <w:t>污泥</w:t>
            </w:r>
            <w:r>
              <w:rPr>
                <w:rFonts w:ascii="Times New Roman" w:hAnsi="Times New Roman" w:cs="Times New Roman"/>
                <w:color w:val="000000" w:themeColor="text1"/>
                <w:sz w:val="24"/>
              </w:rPr>
              <w:t>外运至垃圾填埋场处理</w:t>
            </w:r>
            <w:r>
              <w:rPr>
                <w:rFonts w:hint="eastAsia" w:ascii="Times New Roman" w:hAnsi="Times New Roman" w:cs="Times New Roman"/>
                <w:color w:val="000000" w:themeColor="text1"/>
                <w:sz w:val="24"/>
              </w:rPr>
              <w:t>；</w:t>
            </w:r>
            <w:r>
              <w:rPr>
                <w:rFonts w:hint="eastAsia" w:ascii="Times New Roman" w:hAnsi="Times New Roman" w:cs="Times New Roman"/>
                <w:color w:val="000000" w:themeColor="text1"/>
                <w:kern w:val="0"/>
                <w:sz w:val="24"/>
              </w:rPr>
              <w:t>隔油池废油</w:t>
            </w:r>
            <w:r>
              <w:rPr>
                <w:rFonts w:hint="eastAsia" w:ascii="Times New Roman" w:hAnsi="Times New Roman" w:cs="Times New Roman"/>
                <w:color w:val="000000" w:themeColor="text1"/>
                <w:sz w:val="24"/>
              </w:rPr>
              <w:t>交由有资质的单位进行处置。</w:t>
            </w:r>
          </w:p>
          <w:p w14:paraId="4D066D2F">
            <w:pPr>
              <w:spacing w:line="360" w:lineRule="auto"/>
              <w:ind w:firstLine="480" w:firstLineChars="200"/>
              <w:rPr>
                <w:rFonts w:ascii="Times New Roman" w:hAnsi="Times New Roman" w:cs="Times New Roman"/>
                <w:color w:val="000000" w:themeColor="text1"/>
                <w:sz w:val="24"/>
              </w:rPr>
            </w:pPr>
            <w:r>
              <w:rPr>
                <w:rFonts w:ascii="Times New Roman" w:hAnsi="Times New Roman" w:cs="Times New Roman"/>
                <w:color w:val="000000" w:themeColor="text1"/>
                <w:sz w:val="24"/>
              </w:rPr>
              <w:t>同时</w:t>
            </w:r>
            <w:r>
              <w:rPr>
                <w:rFonts w:ascii="Times New Roman" w:hAnsi="Times New Roman" w:cs="Times New Roman"/>
                <w:color w:val="000000" w:themeColor="text1"/>
                <w:kern w:val="0"/>
                <w:sz w:val="24"/>
              </w:rPr>
              <w:t>建设单位应按照《一般工业固体废物贮存、处置场污染控制标准》(GB18599-2001)的相关要求建立固体废物临时的堆放场地。</w:t>
            </w:r>
          </w:p>
          <w:p w14:paraId="4A06268C">
            <w:pPr>
              <w:adjustRightInd w:val="0"/>
              <w:spacing w:line="360" w:lineRule="auto"/>
              <w:ind w:firstLine="482"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
                <w:snapToGrid w:val="0"/>
                <w:color w:val="000000" w:themeColor="text1"/>
                <w:kern w:val="0"/>
                <w:sz w:val="24"/>
                <w:szCs w:val="20"/>
              </w:rPr>
              <w:t>生活垃圾：</w:t>
            </w:r>
            <w:r>
              <w:rPr>
                <w:rFonts w:ascii="Times New Roman" w:hAnsi="Times New Roman" w:eastAsia="宋体" w:cs="Times New Roman"/>
                <w:snapToGrid w:val="0"/>
                <w:color w:val="000000" w:themeColor="text1"/>
                <w:kern w:val="0"/>
                <w:sz w:val="24"/>
                <w:szCs w:val="20"/>
              </w:rPr>
              <w:t>经统一收集后，由建设方运输至就近</w:t>
            </w:r>
            <w:r>
              <w:rPr>
                <w:rFonts w:ascii="Times New Roman" w:hAnsi="Times New Roman" w:eastAsia="宋体" w:cs="Times New Roman"/>
                <w:bCs/>
                <w:snapToGrid w:val="0"/>
                <w:color w:val="000000" w:themeColor="text1"/>
                <w:kern w:val="0"/>
                <w:sz w:val="24"/>
                <w:szCs w:val="20"/>
              </w:rPr>
              <w:t>当连村</w:t>
            </w:r>
            <w:r>
              <w:rPr>
                <w:rFonts w:ascii="Times New Roman" w:hAnsi="Times New Roman" w:eastAsia="宋体" w:cs="Times New Roman"/>
                <w:snapToGrid w:val="0"/>
                <w:color w:val="000000" w:themeColor="text1"/>
                <w:kern w:val="0"/>
                <w:sz w:val="24"/>
                <w:szCs w:val="20"/>
              </w:rPr>
              <w:t>垃圾收集点处置。</w:t>
            </w:r>
          </w:p>
          <w:p w14:paraId="6E11D557">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综上所述，本项目的固体废物能够实现资源化、无害化和减量化，固废处置率100%，对周围环境不产生影响，也不会产生二次污染。</w:t>
            </w:r>
          </w:p>
          <w:p w14:paraId="755F254B">
            <w:pPr>
              <w:adjustRightInd w:val="0"/>
              <w:spacing w:line="360" w:lineRule="auto"/>
              <w:ind w:firstLine="482" w:firstLineChars="200"/>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szCs w:val="20"/>
              </w:rPr>
              <w:t>3、</w:t>
            </w:r>
            <w:r>
              <w:rPr>
                <w:rFonts w:ascii="Times New Roman" w:hAnsi="Times New Roman" w:eastAsia="宋体" w:cs="Times New Roman"/>
                <w:b/>
                <w:snapToGrid w:val="0"/>
                <w:color w:val="000000" w:themeColor="text1"/>
                <w:kern w:val="0"/>
                <w:sz w:val="24"/>
              </w:rPr>
              <w:t>环境风险结论</w:t>
            </w:r>
          </w:p>
          <w:p w14:paraId="5FEC4642">
            <w:pPr>
              <w:adjustRightInd w:val="0"/>
              <w:snapToGrid w:val="0"/>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本项目在严格落实环评报告表中的风险防范措施，杜绝事故发生的前提下，该项目的环境风险处于可接受水平，制定的风险管理措施和应急预案有效可靠，从环境风险角度分析该项目建设可行。</w:t>
            </w:r>
          </w:p>
          <w:p w14:paraId="23888180">
            <w:pPr>
              <w:adjustRightInd w:val="0"/>
              <w:spacing w:line="360" w:lineRule="auto"/>
              <w:ind w:firstLine="482" w:firstLineChars="200"/>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4、清洁生产结论</w:t>
            </w:r>
          </w:p>
          <w:p w14:paraId="5E40F6FA">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bCs/>
                <w:snapToGrid w:val="0"/>
                <w:color w:val="000000" w:themeColor="text1"/>
                <w:kern w:val="0"/>
                <w:sz w:val="24"/>
                <w:szCs w:val="20"/>
              </w:rPr>
              <w:t>本项目的生产工艺先进，产品节能，污染物产生及排放较少，工程所用主要原材料安全卫生，生产过程中妥善采取了防治污染措施，使废水、废气均达到了相应的排放标准，因此该工程基本上属于清洁生产工艺，符合清洁生产要求。</w:t>
            </w:r>
          </w:p>
          <w:p w14:paraId="22173189">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5、综合评价结论</w:t>
            </w:r>
          </w:p>
          <w:p w14:paraId="4A0B27A9">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cs="Times New Roman"/>
                <w:bCs/>
                <w:color w:val="000000" w:themeColor="text1"/>
                <w:sz w:val="24"/>
              </w:rPr>
              <w:t>芒市勐戛镇天天废品回收店芒市废塑料瓶破碎项目</w:t>
            </w:r>
            <w:r>
              <w:rPr>
                <w:rFonts w:ascii="Times New Roman" w:hAnsi="Times New Roman" w:eastAsia="宋体" w:cs="Times New Roman"/>
                <w:snapToGrid w:val="0"/>
                <w:color w:val="000000" w:themeColor="text1"/>
                <w:kern w:val="0"/>
                <w:sz w:val="24"/>
                <w:szCs w:val="20"/>
              </w:rPr>
              <w:t>符合国家产业政策，选址、布局合理。在采取了相应的防治措施后，项目施工及营运期各污染物或达标排放或综合利用，项目的建设不会降低区域的环境功能。</w:t>
            </w:r>
          </w:p>
          <w:p w14:paraId="1B2E9EB4">
            <w:pPr>
              <w:adjustRightInd w:val="0"/>
              <w:spacing w:line="360" w:lineRule="auto"/>
              <w:ind w:firstLine="480" w:firstLineChars="200"/>
              <w:rPr>
                <w:rFonts w:ascii="Times New Roman" w:hAnsi="Times New Roman" w:eastAsia="宋体" w:cs="Times New Roman"/>
                <w:snapToGrid w:val="0"/>
                <w:color w:val="000000" w:themeColor="text1"/>
                <w:kern w:val="0"/>
                <w:sz w:val="24"/>
                <w:szCs w:val="20"/>
              </w:rPr>
            </w:pPr>
            <w:r>
              <w:rPr>
                <w:rFonts w:ascii="Times New Roman" w:hAnsi="Times New Roman" w:eastAsia="宋体" w:cs="Times New Roman"/>
                <w:snapToGrid w:val="0"/>
                <w:color w:val="000000" w:themeColor="text1"/>
                <w:kern w:val="0"/>
                <w:sz w:val="24"/>
                <w:szCs w:val="20"/>
              </w:rPr>
              <w:t>建设单位在建设、营运过程中，必须严格落实本环评提出的各项污染防治对策措施，认真做好“三同时”建设及日常环境管理工作，从环保角度出发，本项目建设可行。</w:t>
            </w:r>
          </w:p>
          <w:p w14:paraId="2189861E">
            <w:pPr>
              <w:keepNext/>
              <w:keepLines/>
              <w:spacing w:line="360" w:lineRule="auto"/>
              <w:ind w:firstLine="482" w:firstLineChars="200"/>
              <w:jc w:val="left"/>
              <w:outlineLvl w:val="2"/>
              <w:rPr>
                <w:rFonts w:ascii="Times New Roman" w:hAnsi="Times New Roman" w:eastAsia="宋体" w:cs="Times New Roman"/>
                <w:b/>
                <w:bCs/>
                <w:color w:val="000000" w:themeColor="text1"/>
                <w:sz w:val="24"/>
                <w:szCs w:val="32"/>
              </w:rPr>
            </w:pPr>
            <w:r>
              <w:rPr>
                <w:rFonts w:ascii="Times New Roman" w:hAnsi="Times New Roman" w:eastAsia="宋体" w:cs="Times New Roman"/>
                <w:b/>
                <w:bCs/>
                <w:color w:val="000000" w:themeColor="text1"/>
                <w:sz w:val="24"/>
                <w:szCs w:val="32"/>
              </w:rPr>
              <w:t>6、环境监察计划</w:t>
            </w:r>
          </w:p>
          <w:p w14:paraId="0CBBD783">
            <w:pPr>
              <w:spacing w:line="360" w:lineRule="auto"/>
              <w:ind w:firstLine="480" w:firstLineChars="200"/>
              <w:rPr>
                <w:rFonts w:ascii="Times New Roman" w:hAnsi="Times New Roman" w:eastAsia="宋体" w:cs="Times New Roman"/>
                <w:b/>
                <w:bCs/>
                <w:color w:val="000000" w:themeColor="text1"/>
                <w:kern w:val="0"/>
                <w:sz w:val="24"/>
                <w:shd w:val="clear" w:color="auto" w:fill="FFFFFF"/>
              </w:rPr>
            </w:pPr>
            <w:r>
              <w:rPr>
                <w:rFonts w:ascii="Times New Roman" w:hAnsi="Times New Roman" w:eastAsia="宋体" w:cs="Times New Roman"/>
                <w:bCs/>
                <w:color w:val="000000" w:themeColor="text1"/>
                <w:kern w:val="0"/>
                <w:sz w:val="24"/>
                <w:shd w:val="clear" w:color="auto" w:fill="FFFFFF"/>
              </w:rPr>
              <w:t>根据本项目的建设特点，建议芒市环境监察大队对项目施工期、运行期的环境保护监察工作，具体监察计划见表9-1。</w:t>
            </w:r>
          </w:p>
          <w:p w14:paraId="47666182">
            <w:pPr>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 9-1 项目环境监察计划</w:t>
            </w:r>
          </w:p>
          <w:tbl>
            <w:tblPr>
              <w:tblStyle w:val="3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6"/>
              <w:gridCol w:w="6055"/>
              <w:gridCol w:w="1173"/>
              <w:gridCol w:w="1202"/>
            </w:tblGrid>
            <w:tr w14:paraId="7085D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trPr>
              <w:tc>
                <w:tcPr>
                  <w:tcW w:w="589" w:type="pct"/>
                  <w:vAlign w:val="center"/>
                </w:tcPr>
                <w:p w14:paraId="4D63D099">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工程进度</w:t>
                  </w:r>
                </w:p>
              </w:tc>
              <w:tc>
                <w:tcPr>
                  <w:tcW w:w="3168" w:type="pct"/>
                  <w:vAlign w:val="center"/>
                </w:tcPr>
                <w:p w14:paraId="09A630CC">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环保措施要求</w:t>
                  </w:r>
                </w:p>
              </w:tc>
              <w:tc>
                <w:tcPr>
                  <w:tcW w:w="614" w:type="pct"/>
                  <w:vAlign w:val="center"/>
                </w:tcPr>
                <w:p w14:paraId="27EBE0C7">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执行单位</w:t>
                  </w:r>
                </w:p>
              </w:tc>
              <w:tc>
                <w:tcPr>
                  <w:tcW w:w="629" w:type="pct"/>
                  <w:vAlign w:val="center"/>
                </w:tcPr>
                <w:p w14:paraId="0CF64E1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监察部门</w:t>
                  </w:r>
                </w:p>
              </w:tc>
            </w:tr>
            <w:tr w14:paraId="38E9B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89" w:type="pct"/>
                  <w:vAlign w:val="center"/>
                </w:tcPr>
                <w:p w14:paraId="07B0A1C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施工期</w:t>
                  </w:r>
                </w:p>
              </w:tc>
              <w:tc>
                <w:tcPr>
                  <w:tcW w:w="3168" w:type="pct"/>
                  <w:vAlign w:val="center"/>
                </w:tcPr>
                <w:p w14:paraId="4E3410D8">
                  <w:pPr>
                    <w:jc w:val="left"/>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 施工期场地及时洒水抑尘，并及时打扫清理；</w:t>
                  </w:r>
                </w:p>
                <w:p w14:paraId="364CA84D">
                  <w:pPr>
                    <w:jc w:val="left"/>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 施工废水全部回用，不外排；</w:t>
                  </w:r>
                </w:p>
                <w:p w14:paraId="2704DF8A">
                  <w:pPr>
                    <w:jc w:val="left"/>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3. 施工噪声不扰民；</w:t>
                  </w:r>
                </w:p>
                <w:p w14:paraId="54BEC95E">
                  <w:pPr>
                    <w:jc w:val="left"/>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4. 建筑垃圾全部妥善处置。</w:t>
                  </w:r>
                </w:p>
              </w:tc>
              <w:tc>
                <w:tcPr>
                  <w:tcW w:w="614" w:type="pct"/>
                  <w:vAlign w:val="center"/>
                </w:tcPr>
                <w:p w14:paraId="191E392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建设单位</w:t>
                  </w:r>
                </w:p>
              </w:tc>
              <w:tc>
                <w:tcPr>
                  <w:tcW w:w="629" w:type="pct"/>
                  <w:vAlign w:val="center"/>
                </w:tcPr>
                <w:p w14:paraId="4E3D7470">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芒市</w:t>
                  </w:r>
                </w:p>
                <w:p w14:paraId="4DC089A5">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环保局</w:t>
                  </w:r>
                </w:p>
              </w:tc>
            </w:tr>
            <w:tr w14:paraId="3848B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589" w:type="pct"/>
                  <w:vAlign w:val="center"/>
                </w:tcPr>
                <w:p w14:paraId="4A55CDC6">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运营期</w:t>
                  </w:r>
                </w:p>
              </w:tc>
              <w:tc>
                <w:tcPr>
                  <w:tcW w:w="3168" w:type="pct"/>
                  <w:vAlign w:val="center"/>
                </w:tcPr>
                <w:p w14:paraId="657588B5">
                  <w:pPr>
                    <w:jc w:val="left"/>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1. 环保设施运转效果如何，是否进行了环保设置竣工验收；</w:t>
                  </w:r>
                </w:p>
                <w:p w14:paraId="4C286DF5">
                  <w:pPr>
                    <w:jc w:val="left"/>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2. 强化环保设施管理，定期检查，排出故障，确保环保设施正常运行；</w:t>
                  </w:r>
                </w:p>
              </w:tc>
              <w:tc>
                <w:tcPr>
                  <w:tcW w:w="614" w:type="pct"/>
                  <w:vAlign w:val="center"/>
                </w:tcPr>
                <w:p w14:paraId="5DAE22E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建设单位</w:t>
                  </w:r>
                </w:p>
              </w:tc>
              <w:tc>
                <w:tcPr>
                  <w:tcW w:w="629" w:type="pct"/>
                  <w:tcBorders>
                    <w:bottom w:val="single" w:color="auto" w:sz="4" w:space="0"/>
                  </w:tcBorders>
                  <w:vAlign w:val="center"/>
                </w:tcPr>
                <w:p w14:paraId="396A70D1">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芒市</w:t>
                  </w:r>
                </w:p>
                <w:p w14:paraId="63DC3133">
                  <w:pPr>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2"/>
                    </w:rPr>
                    <w:t>环保局</w:t>
                  </w:r>
                </w:p>
              </w:tc>
            </w:tr>
          </w:tbl>
          <w:p w14:paraId="412D9992">
            <w:pPr>
              <w:spacing w:before="93" w:beforeLines="30" w:after="31" w:afterLines="10"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7、环境监测</w:t>
            </w:r>
          </w:p>
          <w:p w14:paraId="7FBD4DD0">
            <w:pPr>
              <w:adjustRightInd w:val="0"/>
              <w:snapToGrid w:val="0"/>
              <w:spacing w:line="360" w:lineRule="auto"/>
              <w:ind w:firstLine="480" w:firstLineChars="200"/>
              <w:rPr>
                <w:rFonts w:ascii="Times New Roman" w:hAnsi="Times New Roman" w:eastAsia="宋体" w:cs="Times New Roman"/>
                <w:bCs/>
                <w:color w:val="000000" w:themeColor="text1"/>
                <w:sz w:val="24"/>
              </w:rPr>
            </w:pPr>
            <w:r>
              <w:rPr>
                <w:rFonts w:ascii="Times New Roman" w:hAnsi="Times New Roman" w:eastAsia="宋体" w:cs="Times New Roman"/>
                <w:bCs/>
                <w:color w:val="000000" w:themeColor="text1"/>
                <w:sz w:val="24"/>
              </w:rPr>
              <w:t>根据项目污染排放特征及区域环境特点，项目环境监测重点在运行期，建议监测内容详见下表9-2。</w:t>
            </w:r>
          </w:p>
          <w:p w14:paraId="4F52AD35">
            <w:pPr>
              <w:adjustRightInd w:val="0"/>
              <w:snapToGrid w:val="0"/>
              <w:ind w:firstLine="482" w:firstLineChars="200"/>
              <w:jc w:val="center"/>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表9-2 环境监测计划表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013"/>
              <w:gridCol w:w="1445"/>
              <w:gridCol w:w="1877"/>
              <w:gridCol w:w="3312"/>
              <w:gridCol w:w="1047"/>
            </w:tblGrid>
            <w:tr w14:paraId="19C3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51" w:type="pct"/>
                  <w:vAlign w:val="center"/>
                </w:tcPr>
                <w:p w14:paraId="5533E395">
                  <w:pPr>
                    <w:ind w:left="51" w:right="51"/>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监测时段</w:t>
                  </w:r>
                </w:p>
              </w:tc>
              <w:tc>
                <w:tcPr>
                  <w:tcW w:w="530" w:type="pct"/>
                  <w:vAlign w:val="center"/>
                </w:tcPr>
                <w:p w14:paraId="5F040FD1">
                  <w:pPr>
                    <w:ind w:left="51" w:right="51"/>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监测对象</w:t>
                  </w:r>
                </w:p>
              </w:tc>
              <w:tc>
                <w:tcPr>
                  <w:tcW w:w="756" w:type="pct"/>
                  <w:vAlign w:val="center"/>
                </w:tcPr>
                <w:p w14:paraId="4314012E">
                  <w:pPr>
                    <w:ind w:left="51" w:right="51"/>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监测地点</w:t>
                  </w:r>
                </w:p>
              </w:tc>
              <w:tc>
                <w:tcPr>
                  <w:tcW w:w="982" w:type="pct"/>
                  <w:vAlign w:val="center"/>
                </w:tcPr>
                <w:p w14:paraId="566D85FA">
                  <w:pPr>
                    <w:ind w:left="51" w:right="51"/>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监测项目</w:t>
                  </w:r>
                </w:p>
              </w:tc>
              <w:tc>
                <w:tcPr>
                  <w:tcW w:w="1733" w:type="pct"/>
                  <w:vAlign w:val="center"/>
                </w:tcPr>
                <w:p w14:paraId="0383A72D">
                  <w:pPr>
                    <w:ind w:right="51"/>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排放标准</w:t>
                  </w:r>
                </w:p>
              </w:tc>
              <w:tc>
                <w:tcPr>
                  <w:tcW w:w="548" w:type="pct"/>
                  <w:vAlign w:val="center"/>
                </w:tcPr>
                <w:p w14:paraId="020FE3ED">
                  <w:pPr>
                    <w:ind w:left="51" w:right="51"/>
                    <w:jc w:val="center"/>
                    <w:rPr>
                      <w:rFonts w:ascii="Times New Roman" w:hAnsi="Times New Roman" w:eastAsia="宋体" w:cs="Times New Roman"/>
                      <w:b/>
                      <w:color w:val="000000" w:themeColor="text1"/>
                    </w:rPr>
                  </w:pPr>
                  <w:r>
                    <w:rPr>
                      <w:rFonts w:ascii="Times New Roman" w:hAnsi="Times New Roman" w:eastAsia="宋体" w:cs="Times New Roman"/>
                      <w:b/>
                      <w:color w:val="000000" w:themeColor="text1"/>
                    </w:rPr>
                    <w:t>监测频率</w:t>
                  </w:r>
                </w:p>
              </w:tc>
            </w:tr>
            <w:tr w14:paraId="2822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451" w:type="pct"/>
                  <w:vAlign w:val="center"/>
                </w:tcPr>
                <w:p w14:paraId="02F93810">
                  <w:pPr>
                    <w:ind w:left="51" w:right="51"/>
                    <w:jc w:val="center"/>
                    <w:rPr>
                      <w:rFonts w:ascii="Times New Roman" w:hAnsi="Times New Roman" w:eastAsia="宋体" w:cs="Times New Roman"/>
                      <w:color w:val="000000" w:themeColor="text1"/>
                    </w:rPr>
                  </w:pPr>
                  <w:r>
                    <w:rPr>
                      <w:rFonts w:hint="eastAsia" w:ascii="Times New Roman" w:hAnsi="Times New Roman" w:eastAsia="宋体" w:cs="Times New Roman"/>
                      <w:color w:val="000000" w:themeColor="text1"/>
                    </w:rPr>
                    <w:t>运营期</w:t>
                  </w:r>
                </w:p>
              </w:tc>
              <w:tc>
                <w:tcPr>
                  <w:tcW w:w="530" w:type="pct"/>
                  <w:vAlign w:val="center"/>
                </w:tcPr>
                <w:p w14:paraId="09CC5542">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噪声</w:t>
                  </w:r>
                </w:p>
              </w:tc>
              <w:tc>
                <w:tcPr>
                  <w:tcW w:w="756" w:type="pct"/>
                  <w:vAlign w:val="center"/>
                </w:tcPr>
                <w:p w14:paraId="33942EBC">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场界四周</w:t>
                  </w:r>
                </w:p>
              </w:tc>
              <w:tc>
                <w:tcPr>
                  <w:tcW w:w="982" w:type="pct"/>
                  <w:vAlign w:val="center"/>
                </w:tcPr>
                <w:p w14:paraId="25D7DF77">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等效连续A声级</w:t>
                  </w:r>
                </w:p>
              </w:tc>
              <w:tc>
                <w:tcPr>
                  <w:tcW w:w="1733" w:type="pct"/>
                  <w:vAlign w:val="center"/>
                </w:tcPr>
                <w:p w14:paraId="35A31B2C">
                  <w:pPr>
                    <w:ind w:left="51" w:right="51"/>
                    <w:jc w:val="center"/>
                    <w:rPr>
                      <w:rFonts w:ascii="Times New Roman" w:hAnsi="Times New Roman" w:eastAsia="宋体" w:cs="Times New Roman"/>
                      <w:color w:val="000000" w:themeColor="text1"/>
                    </w:rPr>
                  </w:pPr>
                  <w:r>
                    <w:rPr>
                      <w:rFonts w:ascii="Times New Roman" w:hAnsi="Times New Roman" w:eastAsia="宋体" w:cs="Times New Roman"/>
                      <w:color w:val="000000" w:themeColor="text1"/>
                    </w:rPr>
                    <w:t>GB12348-2008《工业企业厂界环境噪声排放标准》2类标准</w:t>
                  </w:r>
                </w:p>
              </w:tc>
              <w:tc>
                <w:tcPr>
                  <w:tcW w:w="548" w:type="pct"/>
                  <w:vAlign w:val="center"/>
                </w:tcPr>
                <w:p w14:paraId="6B4055B6">
                  <w:pPr>
                    <w:ind w:left="51" w:right="51"/>
                    <w:jc w:val="center"/>
                    <w:rPr>
                      <w:rFonts w:ascii="Times New Roman" w:hAnsi="Times New Roman" w:eastAsia="宋体" w:cs="Times New Roman"/>
                      <w:color w:val="000000" w:themeColor="text1"/>
                    </w:rPr>
                  </w:pPr>
                  <w:r>
                    <w:rPr>
                      <w:rFonts w:hint="eastAsia" w:ascii="Times New Roman" w:hAnsi="Times New Roman" w:eastAsia="宋体" w:cs="Times New Roman"/>
                      <w:color w:val="000000" w:themeColor="text1"/>
                    </w:rPr>
                    <w:t>按国家规定</w:t>
                  </w:r>
                </w:p>
              </w:tc>
            </w:tr>
          </w:tbl>
          <w:p w14:paraId="26BC88C3">
            <w:pPr>
              <w:widowControl/>
              <w:snapToGrid w:val="0"/>
              <w:spacing w:line="360" w:lineRule="auto"/>
              <w:ind w:firstLine="482" w:firstLineChars="200"/>
              <w:jc w:val="left"/>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8、环境保护竣工验收</w:t>
            </w:r>
          </w:p>
          <w:p w14:paraId="701DDA53">
            <w:pPr>
              <w:widowControl/>
              <w:snapToGrid w:val="0"/>
              <w:spacing w:line="360" w:lineRule="auto"/>
              <w:ind w:left="105" w:leftChars="50" w:right="105" w:rightChars="50" w:firstLine="480" w:firstLineChars="200"/>
              <w:jc w:val="left"/>
              <w:outlineLvl w:val="0"/>
              <w:rPr>
                <w:rFonts w:ascii="Times New Roman" w:hAnsi="Times New Roman" w:eastAsia="宋体" w:cs="Times New Roman"/>
                <w:color w:val="000000" w:themeColor="text1"/>
                <w:sz w:val="24"/>
                <w:szCs w:val="21"/>
              </w:rPr>
            </w:pPr>
            <w:r>
              <w:rPr>
                <w:rFonts w:ascii="Times New Roman" w:hAnsi="Times New Roman" w:eastAsia="宋体" w:cs="Times New Roman"/>
                <w:color w:val="000000" w:themeColor="text1"/>
                <w:sz w:val="24"/>
                <w:szCs w:val="21"/>
              </w:rPr>
              <w:t>根据建设单位项目“三同时”原则，在项目建设过程中，环境污染防治设施应与主体工程同时设计、同时施工、同时投入使用，拟建项目建成运营时，应对环保设施进行验收。项目环保竣工验收清单见下表。</w:t>
            </w:r>
          </w:p>
          <w:p w14:paraId="7ADA8C7D">
            <w:pPr>
              <w:widowControl/>
              <w:snapToGrid w:val="0"/>
              <w:jc w:val="center"/>
              <w:rPr>
                <w:rFonts w:ascii="Times New Roman" w:hAnsi="Times New Roman" w:eastAsia="宋体" w:cs="Times New Roman"/>
                <w:b/>
                <w:snapToGrid w:val="0"/>
                <w:color w:val="000000" w:themeColor="text1"/>
                <w:kern w:val="0"/>
                <w:sz w:val="24"/>
              </w:rPr>
            </w:pPr>
            <w:r>
              <w:rPr>
                <w:rFonts w:ascii="Times New Roman" w:hAnsi="Times New Roman" w:eastAsia="宋体" w:cs="Times New Roman"/>
                <w:b/>
                <w:snapToGrid w:val="0"/>
                <w:color w:val="000000" w:themeColor="text1"/>
                <w:kern w:val="0"/>
                <w:sz w:val="24"/>
              </w:rPr>
              <w:t>表9-3  竣工环境保护验收一览表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974"/>
              <w:gridCol w:w="3970"/>
              <w:gridCol w:w="2863"/>
            </w:tblGrid>
            <w:tr w14:paraId="3AE0E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Align w:val="center"/>
                </w:tcPr>
                <w:p w14:paraId="6ECA2E18">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项目</w:t>
                  </w:r>
                </w:p>
              </w:tc>
              <w:tc>
                <w:tcPr>
                  <w:tcW w:w="1033" w:type="pct"/>
                  <w:vAlign w:val="center"/>
                </w:tcPr>
                <w:p w14:paraId="7634BAF8">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防治对象</w:t>
                  </w:r>
                </w:p>
              </w:tc>
              <w:tc>
                <w:tcPr>
                  <w:tcW w:w="2077" w:type="pct"/>
                  <w:vAlign w:val="center"/>
                </w:tcPr>
                <w:p w14:paraId="7D2E59F4">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验收内容</w:t>
                  </w:r>
                </w:p>
              </w:tc>
              <w:tc>
                <w:tcPr>
                  <w:tcW w:w="1498" w:type="pct"/>
                  <w:vAlign w:val="center"/>
                </w:tcPr>
                <w:p w14:paraId="7504894E">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治理效果</w:t>
                  </w:r>
                </w:p>
              </w:tc>
            </w:tr>
            <w:tr w14:paraId="3370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Merge w:val="restart"/>
                  <w:vAlign w:val="center"/>
                </w:tcPr>
                <w:p w14:paraId="19145107">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废水</w:t>
                  </w:r>
                </w:p>
              </w:tc>
              <w:tc>
                <w:tcPr>
                  <w:tcW w:w="1033" w:type="pct"/>
                  <w:vAlign w:val="center"/>
                </w:tcPr>
                <w:p w14:paraId="6273AE4D">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生活污水</w:t>
                  </w:r>
                </w:p>
              </w:tc>
              <w:tc>
                <w:tcPr>
                  <w:tcW w:w="2077" w:type="pct"/>
                  <w:vAlign w:val="center"/>
                </w:tcPr>
                <w:p w14:paraId="4AFBBDF3">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2"/>
                    </w:rPr>
                    <w:t>厨房废水经1个隔油池（0.</w:t>
                  </w:r>
                  <w:r>
                    <w:rPr>
                      <w:rFonts w:hint="eastAsia" w:ascii="Times New Roman" w:hAnsi="Times New Roman" w:eastAsia="宋体" w:cs="Times New Roman"/>
                      <w:color w:val="000000" w:themeColor="text1"/>
                      <w:szCs w:val="22"/>
                    </w:rPr>
                    <w:t>2</w:t>
                  </w:r>
                  <w:r>
                    <w:rPr>
                      <w:rFonts w:ascii="Times New Roman" w:hAnsi="Times New Roman" w:eastAsia="宋体" w:cs="Times New Roman"/>
                      <w:color w:val="000000" w:themeColor="text1"/>
                      <w:szCs w:val="22"/>
                    </w:rPr>
                    <w:t>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）处理后，与其它生活废水排入化粪池（</w:t>
                  </w:r>
                  <w:r>
                    <w:rPr>
                      <w:rFonts w:hint="eastAsia" w:ascii="Times New Roman" w:hAnsi="Times New Roman" w:eastAsia="宋体" w:cs="Times New Roman"/>
                      <w:color w:val="000000" w:themeColor="text1"/>
                      <w:szCs w:val="22"/>
                    </w:rPr>
                    <w:t>15</w:t>
                  </w:r>
                  <w:r>
                    <w:rPr>
                      <w:rFonts w:ascii="Times New Roman" w:hAnsi="Times New Roman" w:eastAsia="宋体" w:cs="Times New Roman"/>
                      <w:color w:val="000000" w:themeColor="text1"/>
                      <w:szCs w:val="22"/>
                    </w:rPr>
                    <w:t>m</w:t>
                  </w:r>
                  <w:r>
                    <w:rPr>
                      <w:rFonts w:ascii="Times New Roman" w:hAnsi="Times New Roman" w:eastAsia="宋体" w:cs="Times New Roman"/>
                      <w:color w:val="000000" w:themeColor="text1"/>
                      <w:szCs w:val="22"/>
                      <w:vertAlign w:val="superscript"/>
                    </w:rPr>
                    <w:t>3</w:t>
                  </w:r>
                  <w:r>
                    <w:rPr>
                      <w:rFonts w:ascii="Times New Roman" w:hAnsi="Times New Roman" w:eastAsia="宋体" w:cs="Times New Roman"/>
                      <w:color w:val="000000" w:themeColor="text1"/>
                      <w:szCs w:val="22"/>
                    </w:rPr>
                    <w:t>）处理，定期委托周边村民清运，用于农作物施肥。</w:t>
                  </w:r>
                </w:p>
              </w:tc>
              <w:tc>
                <w:tcPr>
                  <w:tcW w:w="1498" w:type="pct"/>
                  <w:vAlign w:val="center"/>
                </w:tcPr>
                <w:p w14:paraId="2AD1C5EA">
                  <w:pPr>
                    <w:autoSpaceDE w:val="0"/>
                    <w:autoSpaceDN w:val="0"/>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废水不外排</w:t>
                  </w:r>
                </w:p>
              </w:tc>
            </w:tr>
            <w:tr w14:paraId="3C7A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Merge w:val="continue"/>
                  <w:vAlign w:val="center"/>
                </w:tcPr>
                <w:p w14:paraId="03AC4F8C">
                  <w:pPr>
                    <w:adjustRightInd w:val="0"/>
                    <w:snapToGrid w:val="0"/>
                    <w:jc w:val="center"/>
                    <w:rPr>
                      <w:rFonts w:ascii="Times New Roman" w:hAnsi="Times New Roman" w:eastAsia="宋体" w:cs="Times New Roman"/>
                      <w:b/>
                      <w:color w:val="000000" w:themeColor="text1"/>
                      <w:szCs w:val="21"/>
                    </w:rPr>
                  </w:pPr>
                </w:p>
              </w:tc>
              <w:tc>
                <w:tcPr>
                  <w:tcW w:w="1033" w:type="pct"/>
                  <w:vAlign w:val="center"/>
                </w:tcPr>
                <w:p w14:paraId="1F2D200B">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2"/>
                    </w:rPr>
                    <w:t>生产废水</w:t>
                  </w:r>
                </w:p>
              </w:tc>
              <w:tc>
                <w:tcPr>
                  <w:tcW w:w="2077" w:type="pct"/>
                  <w:vAlign w:val="center"/>
                </w:tcPr>
                <w:p w14:paraId="618A3283">
                  <w:pPr>
                    <w:adjustRightInd w:val="0"/>
                    <w:snapToGrid w:val="0"/>
                    <w:jc w:val="center"/>
                    <w:rPr>
                      <w:rFonts w:ascii="Times New Roman" w:hAnsi="Times New Roman" w:eastAsia="宋体" w:cs="Times New Roman"/>
                      <w:color w:val="000000" w:themeColor="text1"/>
                      <w:szCs w:val="22"/>
                    </w:rPr>
                  </w:pPr>
                  <w:r>
                    <w:rPr>
                      <w:rFonts w:ascii="Times New Roman" w:hAnsi="Times New Roman" w:eastAsia="宋体" w:cs="Times New Roman"/>
                      <w:color w:val="000000" w:themeColor="text1"/>
                      <w:szCs w:val="21"/>
                    </w:rPr>
                    <w:t>生产废水通过自建的</w:t>
                  </w:r>
                  <w:r>
                    <w:rPr>
                      <w:rFonts w:hint="eastAsia" w:ascii="Times New Roman" w:hAnsi="Times New Roman" w:eastAsia="宋体" w:cs="Times New Roman"/>
                      <w:color w:val="000000" w:themeColor="text1"/>
                      <w:szCs w:val="21"/>
                    </w:rPr>
                    <w:t>隔油池</w:t>
                  </w:r>
                  <w:r>
                    <w:rPr>
                      <w:rFonts w:ascii="Times New Roman" w:hAnsi="Times New Roman" w:eastAsia="宋体" w:cs="Times New Roman"/>
                      <w:color w:val="000000" w:themeColor="text1"/>
                      <w:szCs w:val="21"/>
                    </w:rPr>
                    <w:t>（</w:t>
                  </w:r>
                  <w:r>
                    <w:rPr>
                      <w:rFonts w:hint="eastAsia" w:ascii="Times New Roman" w:hAnsi="Times New Roman" w:eastAsia="宋体" w:cs="Times New Roman"/>
                      <w:snapToGrid w:val="0"/>
                      <w:color w:val="000000" w:themeColor="text1"/>
                      <w:kern w:val="0"/>
                      <w:szCs w:val="21"/>
                    </w:rPr>
                    <w:t>2</w:t>
                  </w:r>
                  <w:r>
                    <w:rPr>
                      <w:rFonts w:ascii="Times New Roman" w:hAnsi="Times New Roman" w:eastAsia="宋体" w:cs="Times New Roman"/>
                      <w:snapToGrid w:val="0"/>
                      <w:color w:val="000000" w:themeColor="text1"/>
                      <w:kern w:val="0"/>
                      <w:szCs w:val="21"/>
                    </w:rPr>
                    <w:t>m</w:t>
                  </w:r>
                  <w:r>
                    <w:rPr>
                      <w:rFonts w:ascii="Times New Roman" w:hAnsi="Times New Roman" w:eastAsia="宋体" w:cs="Times New Roman"/>
                      <w:snapToGrid w:val="0"/>
                      <w:color w:val="000000" w:themeColor="text1"/>
                      <w:kern w:val="0"/>
                      <w:szCs w:val="21"/>
                      <w:vertAlign w:val="superscript"/>
                    </w:rPr>
                    <w:t>3</w:t>
                  </w:r>
                  <w:r>
                    <w:rPr>
                      <w:rFonts w:ascii="Times New Roman" w:hAnsi="Times New Roman" w:eastAsia="宋体" w:cs="Times New Roman"/>
                      <w:color w:val="000000" w:themeColor="text1"/>
                      <w:szCs w:val="21"/>
                    </w:rPr>
                    <w:t>）</w:t>
                  </w:r>
                  <w:r>
                    <w:rPr>
                      <w:rFonts w:hint="eastAsia" w:ascii="Times New Roman" w:hAnsi="Times New Roman" w:eastAsia="宋体" w:cs="Times New Roman"/>
                      <w:color w:val="000000" w:themeColor="text1"/>
                      <w:szCs w:val="21"/>
                    </w:rPr>
                    <w:t>+沉淀池</w:t>
                  </w:r>
                  <w:r>
                    <w:rPr>
                      <w:rFonts w:ascii="Times New Roman" w:hAnsi="Times New Roman" w:eastAsia="宋体" w:cs="Times New Roman"/>
                      <w:color w:val="000000" w:themeColor="text1"/>
                      <w:szCs w:val="21"/>
                    </w:rPr>
                    <w:t>（</w:t>
                  </w:r>
                  <w:r>
                    <w:rPr>
                      <w:rFonts w:hint="eastAsia" w:ascii="Times New Roman" w:hAnsi="Times New Roman" w:eastAsia="宋体" w:cs="Times New Roman"/>
                      <w:snapToGrid w:val="0"/>
                      <w:color w:val="000000" w:themeColor="text1"/>
                      <w:kern w:val="0"/>
                      <w:szCs w:val="21"/>
                    </w:rPr>
                    <w:t>8</w:t>
                  </w:r>
                  <w:r>
                    <w:rPr>
                      <w:rFonts w:ascii="Times New Roman" w:hAnsi="Times New Roman" w:eastAsia="宋体" w:cs="Times New Roman"/>
                      <w:snapToGrid w:val="0"/>
                      <w:color w:val="000000" w:themeColor="text1"/>
                      <w:kern w:val="0"/>
                      <w:szCs w:val="21"/>
                    </w:rPr>
                    <w:t>m</w:t>
                  </w:r>
                  <w:r>
                    <w:rPr>
                      <w:rFonts w:ascii="Times New Roman" w:hAnsi="Times New Roman" w:eastAsia="宋体" w:cs="Times New Roman"/>
                      <w:snapToGrid w:val="0"/>
                      <w:color w:val="000000" w:themeColor="text1"/>
                      <w:kern w:val="0"/>
                      <w:szCs w:val="21"/>
                      <w:vertAlign w:val="superscript"/>
                    </w:rPr>
                    <w:t>3</w:t>
                  </w:r>
                  <w:r>
                    <w:rPr>
                      <w:rFonts w:ascii="Times New Roman" w:hAnsi="Times New Roman" w:eastAsia="宋体" w:cs="Times New Roman"/>
                      <w:color w:val="000000" w:themeColor="text1"/>
                      <w:szCs w:val="21"/>
                    </w:rPr>
                    <w:t>）处理后，储存于</w:t>
                  </w:r>
                  <w:r>
                    <w:rPr>
                      <w:rFonts w:hint="eastAsia" w:ascii="Times New Roman" w:hAnsi="Times New Roman" w:eastAsia="宋体" w:cs="Times New Roman"/>
                      <w:color w:val="000000" w:themeColor="text1"/>
                      <w:szCs w:val="21"/>
                    </w:rPr>
                    <w:t>供水</w:t>
                  </w:r>
                  <w:r>
                    <w:rPr>
                      <w:rFonts w:ascii="Times New Roman" w:hAnsi="Times New Roman" w:eastAsia="宋体" w:cs="Times New Roman"/>
                      <w:color w:val="000000" w:themeColor="text1"/>
                      <w:szCs w:val="21"/>
                    </w:rPr>
                    <w:t>池回用于生产。</w:t>
                  </w:r>
                </w:p>
              </w:tc>
              <w:tc>
                <w:tcPr>
                  <w:tcW w:w="1498" w:type="pct"/>
                  <w:vAlign w:val="center"/>
                </w:tcPr>
                <w:p w14:paraId="56AB61A5">
                  <w:pPr>
                    <w:autoSpaceDE w:val="0"/>
                    <w:autoSpaceDN w:val="0"/>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全部回用，不外排</w:t>
                  </w:r>
                </w:p>
              </w:tc>
            </w:tr>
            <w:tr w14:paraId="461D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Merge w:val="continue"/>
                  <w:vAlign w:val="center"/>
                </w:tcPr>
                <w:p w14:paraId="4D339CFE">
                  <w:pPr>
                    <w:adjustRightInd w:val="0"/>
                    <w:snapToGrid w:val="0"/>
                    <w:jc w:val="center"/>
                    <w:rPr>
                      <w:rFonts w:ascii="Times New Roman" w:hAnsi="Times New Roman" w:eastAsia="宋体" w:cs="Times New Roman"/>
                      <w:b/>
                      <w:color w:val="000000" w:themeColor="text1"/>
                      <w:szCs w:val="21"/>
                    </w:rPr>
                  </w:pPr>
                </w:p>
              </w:tc>
              <w:tc>
                <w:tcPr>
                  <w:tcW w:w="1033" w:type="pct"/>
                  <w:vAlign w:val="center"/>
                </w:tcPr>
                <w:p w14:paraId="725DA3A9">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雨污分流</w:t>
                  </w:r>
                </w:p>
              </w:tc>
              <w:tc>
                <w:tcPr>
                  <w:tcW w:w="2077" w:type="pct"/>
                  <w:vAlign w:val="center"/>
                </w:tcPr>
                <w:p w14:paraId="6F78A2F4">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设置雨污分流</w:t>
                  </w:r>
                  <w:r>
                    <w:rPr>
                      <w:rFonts w:hint="eastAsia" w:ascii="Times New Roman" w:hAnsi="Times New Roman" w:eastAsia="宋体" w:cs="Times New Roman"/>
                      <w:color w:val="000000" w:themeColor="text1"/>
                      <w:szCs w:val="21"/>
                    </w:rPr>
                    <w:t>；</w:t>
                  </w:r>
                </w:p>
                <w:p w14:paraId="459D57E3">
                  <w:pPr>
                    <w:adjustRightInd w:val="0"/>
                    <w:snapToGrid w:val="0"/>
                    <w:jc w:val="center"/>
                    <w:rPr>
                      <w:rFonts w:ascii="Times New Roman" w:hAnsi="Times New Roman" w:eastAsia="宋体" w:cs="Times New Roman"/>
                      <w:color w:val="000000" w:themeColor="text1"/>
                      <w:szCs w:val="21"/>
                    </w:rPr>
                  </w:pPr>
                  <w:r>
                    <w:rPr>
                      <w:rFonts w:hint="eastAsia" w:ascii="Times New Roman" w:hAnsi="Times New Roman" w:cs="Times New Roman"/>
                      <w:color w:val="000000" w:themeColor="text1"/>
                    </w:rPr>
                    <w:t>一个雨水收集池（1m</w:t>
                  </w:r>
                  <w:r>
                    <w:rPr>
                      <w:rFonts w:hint="eastAsia" w:ascii="Times New Roman" w:hAnsi="Times New Roman" w:cs="Times New Roman"/>
                      <w:color w:val="000000" w:themeColor="text1"/>
                      <w:vertAlign w:val="superscript"/>
                    </w:rPr>
                    <w:t>3</w:t>
                  </w:r>
                  <w:r>
                    <w:rPr>
                      <w:rFonts w:hint="eastAsia" w:ascii="Times New Roman" w:hAnsi="Times New Roman" w:cs="Times New Roman"/>
                      <w:color w:val="000000" w:themeColor="text1"/>
                    </w:rPr>
                    <w:t>）；建设</w:t>
                  </w:r>
                  <w:r>
                    <w:rPr>
                      <w:rFonts w:ascii="Times New Roman" w:hAnsi="Times New Roman" w:eastAsia="宋体" w:cs="Times New Roman"/>
                      <w:color w:val="000000" w:themeColor="text1"/>
                      <w:szCs w:val="21"/>
                    </w:rPr>
                    <w:t>具有防雨、防风、防渗等功能的厂房或加盖雨棚</w:t>
                  </w:r>
                  <w:r>
                    <w:rPr>
                      <w:rFonts w:hint="eastAsia" w:ascii="Times New Roman" w:hAnsi="Times New Roman" w:cs="Times New Roman"/>
                      <w:color w:val="000000" w:themeColor="text1"/>
                      <w:szCs w:val="21"/>
                    </w:rPr>
                    <w:t>的原料、生产仓库</w:t>
                  </w:r>
                </w:p>
              </w:tc>
              <w:tc>
                <w:tcPr>
                  <w:tcW w:w="1498" w:type="pct"/>
                  <w:vAlign w:val="center"/>
                </w:tcPr>
                <w:p w14:paraId="5494DBE0">
                  <w:pPr>
                    <w:jc w:val="center"/>
                    <w:rPr>
                      <w:rFonts w:ascii="Times New Roman" w:hAnsi="Times New Roman" w:eastAsia="宋体" w:cs="Times New Roman"/>
                      <w:bCs/>
                      <w:color w:val="000000" w:themeColor="text1"/>
                      <w:szCs w:val="22"/>
                    </w:rPr>
                  </w:pPr>
                  <w:r>
                    <w:rPr>
                      <w:rFonts w:hint="eastAsia" w:ascii="Times New Roman" w:hAnsi="Times New Roman" w:eastAsia="宋体" w:cs="Times New Roman"/>
                      <w:color w:val="000000" w:themeColor="text1"/>
                      <w:szCs w:val="22"/>
                    </w:rPr>
                    <w:t>前1h雨水经沉淀后</w:t>
                  </w:r>
                  <w:r>
                    <w:rPr>
                      <w:rFonts w:ascii="Times New Roman" w:hAnsi="Times New Roman" w:eastAsia="宋体" w:cs="Times New Roman"/>
                      <w:color w:val="000000" w:themeColor="text1"/>
                      <w:szCs w:val="22"/>
                    </w:rPr>
                    <w:t>回用</w:t>
                  </w:r>
                  <w:r>
                    <w:rPr>
                      <w:rFonts w:ascii="Times New Roman" w:hAnsi="Times New Roman" w:eastAsia="宋体" w:cs="Times New Roman"/>
                      <w:bCs/>
                      <w:color w:val="000000" w:themeColor="text1"/>
                      <w:szCs w:val="22"/>
                    </w:rPr>
                    <w:t xml:space="preserve"> </w:t>
                  </w:r>
                </w:p>
              </w:tc>
            </w:tr>
            <w:tr w14:paraId="57BFC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Align w:val="center"/>
                </w:tcPr>
                <w:p w14:paraId="4894A7BB">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噪声</w:t>
                  </w:r>
                </w:p>
              </w:tc>
              <w:tc>
                <w:tcPr>
                  <w:tcW w:w="1033" w:type="pct"/>
                  <w:vAlign w:val="center"/>
                </w:tcPr>
                <w:p w14:paraId="34FCD749">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生产设备</w:t>
                  </w:r>
                </w:p>
              </w:tc>
              <w:tc>
                <w:tcPr>
                  <w:tcW w:w="2077" w:type="pct"/>
                  <w:vAlign w:val="center"/>
                </w:tcPr>
                <w:p w14:paraId="7146950E">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选用低噪声设备，加装减震垫，厂房隔音，距离衰减，加强管理。</w:t>
                  </w:r>
                </w:p>
              </w:tc>
              <w:tc>
                <w:tcPr>
                  <w:tcW w:w="1498" w:type="pct"/>
                  <w:vAlign w:val="center"/>
                </w:tcPr>
                <w:p w14:paraId="01E0AD3C">
                  <w:pPr>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厂界噪声达到GB123 48—2008《工业企业厂界环境噪声排放标准》2类标准</w:t>
                  </w:r>
                </w:p>
              </w:tc>
            </w:tr>
            <w:tr w14:paraId="3839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Merge w:val="restart"/>
                  <w:vAlign w:val="center"/>
                </w:tcPr>
                <w:p w14:paraId="33046A22">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固废</w:t>
                  </w:r>
                </w:p>
              </w:tc>
              <w:tc>
                <w:tcPr>
                  <w:tcW w:w="1033" w:type="pct"/>
                  <w:vAlign w:val="center"/>
                </w:tcPr>
                <w:p w14:paraId="284DF773">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生活垃圾</w:t>
                  </w:r>
                </w:p>
              </w:tc>
              <w:tc>
                <w:tcPr>
                  <w:tcW w:w="2077" w:type="pct"/>
                  <w:vAlign w:val="center"/>
                </w:tcPr>
                <w:p w14:paraId="2278FD0B">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生活垃圾桶若干</w:t>
                  </w:r>
                </w:p>
              </w:tc>
              <w:tc>
                <w:tcPr>
                  <w:tcW w:w="1498" w:type="pct"/>
                  <w:vAlign w:val="center"/>
                </w:tcPr>
                <w:p w14:paraId="39CF2990">
                  <w:pPr>
                    <w:autoSpaceDE w:val="0"/>
                    <w:autoSpaceDN w:val="0"/>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统一收集后，清运至当连村垃圾收集点，集中处置</w:t>
                  </w:r>
                </w:p>
              </w:tc>
            </w:tr>
            <w:tr w14:paraId="6011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Merge w:val="continue"/>
                  <w:vAlign w:val="center"/>
                </w:tcPr>
                <w:p w14:paraId="6B188EEB">
                  <w:pPr>
                    <w:adjustRightInd w:val="0"/>
                    <w:snapToGrid w:val="0"/>
                    <w:jc w:val="center"/>
                    <w:rPr>
                      <w:rFonts w:ascii="Times New Roman" w:hAnsi="Times New Roman" w:eastAsia="宋体" w:cs="Times New Roman"/>
                      <w:b/>
                      <w:color w:val="000000" w:themeColor="text1"/>
                      <w:szCs w:val="21"/>
                    </w:rPr>
                  </w:pPr>
                </w:p>
              </w:tc>
              <w:tc>
                <w:tcPr>
                  <w:tcW w:w="1033" w:type="pct"/>
                  <w:vAlign w:val="center"/>
                </w:tcPr>
                <w:p w14:paraId="432CB770">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一般工业固废</w:t>
                  </w:r>
                </w:p>
              </w:tc>
              <w:tc>
                <w:tcPr>
                  <w:tcW w:w="2077" w:type="pct"/>
                  <w:vAlign w:val="center"/>
                </w:tcPr>
                <w:p w14:paraId="4612AE4D">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项目区生产区设置一般固废堆放间（占地</w:t>
                  </w:r>
                  <w:r>
                    <w:rPr>
                      <w:rFonts w:hint="eastAsia" w:ascii="Times New Roman" w:hAnsi="Times New Roman" w:eastAsia="宋体" w:cs="Times New Roman"/>
                      <w:color w:val="000000" w:themeColor="text1"/>
                      <w:szCs w:val="21"/>
                    </w:rPr>
                    <w:t>3</w:t>
                  </w:r>
                  <w:r>
                    <w:rPr>
                      <w:rFonts w:ascii="Times New Roman" w:hAnsi="Times New Roman" w:eastAsia="宋体" w:cs="Times New Roman"/>
                      <w:color w:val="000000" w:themeColor="text1"/>
                      <w:szCs w:val="21"/>
                    </w:rPr>
                    <w:t>m</w:t>
                  </w:r>
                  <w:r>
                    <w:rPr>
                      <w:rFonts w:ascii="Times New Roman" w:hAnsi="Times New Roman" w:eastAsia="宋体" w:cs="Times New Roman"/>
                      <w:color w:val="000000" w:themeColor="text1"/>
                      <w:szCs w:val="21"/>
                      <w:vertAlign w:val="superscript"/>
                    </w:rPr>
                    <w:t>2</w:t>
                  </w:r>
                  <w:r>
                    <w:rPr>
                      <w:rFonts w:ascii="Times New Roman" w:hAnsi="Times New Roman" w:eastAsia="宋体" w:cs="Times New Roman"/>
                      <w:color w:val="000000" w:themeColor="text1"/>
                      <w:szCs w:val="21"/>
                    </w:rPr>
                    <w:t>）</w:t>
                  </w:r>
                </w:p>
              </w:tc>
              <w:tc>
                <w:tcPr>
                  <w:tcW w:w="1498" w:type="pct"/>
                  <w:vAlign w:val="center"/>
                </w:tcPr>
                <w:p w14:paraId="5DE346E5">
                  <w:pPr>
                    <w:autoSpaceDE w:val="0"/>
                    <w:autoSpaceDN w:val="0"/>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100%处置</w:t>
                  </w:r>
                </w:p>
              </w:tc>
            </w:tr>
            <w:tr w14:paraId="44A5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392" w:type="pct"/>
                  <w:vAlign w:val="center"/>
                </w:tcPr>
                <w:p w14:paraId="1A78EE8D">
                  <w:pPr>
                    <w:adjustRightInd w:val="0"/>
                    <w:snapToGrid w:val="0"/>
                    <w:jc w:val="center"/>
                    <w:rPr>
                      <w:rFonts w:ascii="Times New Roman" w:hAnsi="Times New Roman" w:eastAsia="宋体" w:cs="Times New Roman"/>
                      <w:b/>
                      <w:color w:val="000000" w:themeColor="text1"/>
                      <w:szCs w:val="21"/>
                    </w:rPr>
                  </w:pPr>
                  <w:r>
                    <w:rPr>
                      <w:rFonts w:ascii="Times New Roman" w:hAnsi="Times New Roman" w:eastAsia="宋体" w:cs="Times New Roman"/>
                      <w:b/>
                      <w:color w:val="000000" w:themeColor="text1"/>
                      <w:szCs w:val="21"/>
                    </w:rPr>
                    <w:t>其他</w:t>
                  </w:r>
                </w:p>
              </w:tc>
              <w:tc>
                <w:tcPr>
                  <w:tcW w:w="4608" w:type="pct"/>
                  <w:gridSpan w:val="3"/>
                  <w:vAlign w:val="center"/>
                </w:tcPr>
                <w:p w14:paraId="2519E15E">
                  <w:pPr>
                    <w:adjustRightInd w:val="0"/>
                    <w:snapToGrid w:val="0"/>
                    <w:jc w:val="center"/>
                    <w:rPr>
                      <w:rFonts w:ascii="Times New Roman" w:hAnsi="Times New Roman" w:eastAsia="宋体" w:cs="Times New Roman"/>
                      <w:color w:val="000000" w:themeColor="text1"/>
                      <w:szCs w:val="21"/>
                    </w:rPr>
                  </w:pPr>
                  <w:r>
                    <w:rPr>
                      <w:rFonts w:ascii="Times New Roman" w:hAnsi="Times New Roman" w:eastAsia="宋体" w:cs="Times New Roman"/>
                      <w:color w:val="000000" w:themeColor="text1"/>
                      <w:szCs w:val="21"/>
                    </w:rPr>
                    <w:t>建设单位按环保部《突发环境事件应急管理办法》（部令第34号，2015.6.5）相关规定，根据同类工程发生过的事故编制应急管理预案，并到市环境保护局进行评估和备案。</w:t>
                  </w:r>
                </w:p>
              </w:tc>
            </w:tr>
          </w:tbl>
          <w:p w14:paraId="7E834C4C">
            <w:pPr>
              <w:widowControl/>
              <w:spacing w:before="312" w:beforeLines="100" w:line="360" w:lineRule="auto"/>
              <w:jc w:val="left"/>
              <w:rPr>
                <w:rFonts w:ascii="Times New Roman" w:hAnsi="Times New Roman" w:eastAsia="宋体" w:cs="Times New Roman"/>
                <w:b/>
                <w:color w:val="000000" w:themeColor="text1"/>
                <w:sz w:val="28"/>
                <w:szCs w:val="28"/>
              </w:rPr>
            </w:pPr>
          </w:p>
          <w:p w14:paraId="579A38D2">
            <w:pPr>
              <w:widowControl/>
              <w:spacing w:before="312" w:beforeLines="100" w:line="360" w:lineRule="auto"/>
              <w:jc w:val="left"/>
              <w:rPr>
                <w:rFonts w:ascii="Times New Roman" w:hAnsi="Times New Roman" w:eastAsia="宋体" w:cs="Times New Roman"/>
                <w:b/>
                <w:color w:val="000000" w:themeColor="text1"/>
                <w:sz w:val="28"/>
                <w:szCs w:val="28"/>
              </w:rPr>
            </w:pPr>
          </w:p>
          <w:p w14:paraId="62078B8B">
            <w:pPr>
              <w:widowControl/>
              <w:spacing w:before="312" w:beforeLines="100" w:line="360" w:lineRule="auto"/>
              <w:jc w:val="left"/>
              <w:rPr>
                <w:rFonts w:ascii="Times New Roman" w:hAnsi="Times New Roman" w:eastAsia="宋体" w:cs="Times New Roman"/>
                <w:b/>
                <w:color w:val="000000" w:themeColor="text1"/>
                <w:sz w:val="28"/>
                <w:szCs w:val="28"/>
              </w:rPr>
            </w:pPr>
          </w:p>
          <w:p w14:paraId="193D5CB3">
            <w:pPr>
              <w:widowControl/>
              <w:spacing w:before="312" w:beforeLines="100" w:line="360" w:lineRule="auto"/>
              <w:jc w:val="left"/>
              <w:rPr>
                <w:rFonts w:ascii="Times New Roman" w:hAnsi="Times New Roman" w:eastAsia="宋体" w:cs="Times New Roman"/>
                <w:b/>
                <w:color w:val="000000" w:themeColor="text1"/>
                <w:sz w:val="28"/>
                <w:szCs w:val="28"/>
              </w:rPr>
            </w:pPr>
            <w:r>
              <w:rPr>
                <w:rFonts w:ascii="Times New Roman" w:hAnsi="Times New Roman" w:eastAsia="宋体" w:cs="Times New Roman"/>
                <w:b/>
                <w:color w:val="000000" w:themeColor="text1"/>
                <w:sz w:val="28"/>
                <w:szCs w:val="28"/>
              </w:rPr>
              <w:t>预审意见：</w:t>
            </w:r>
          </w:p>
          <w:p w14:paraId="3A1EFC76">
            <w:pPr>
              <w:spacing w:line="360" w:lineRule="auto"/>
              <w:ind w:firstLine="480" w:firstLineChars="200"/>
              <w:rPr>
                <w:rFonts w:ascii="Times New Roman" w:hAnsi="Times New Roman" w:eastAsia="宋体" w:cs="Times New Roman"/>
                <w:color w:val="000000" w:themeColor="text1"/>
                <w:sz w:val="24"/>
              </w:rPr>
            </w:pPr>
          </w:p>
          <w:p w14:paraId="328A1C15">
            <w:pPr>
              <w:spacing w:line="360" w:lineRule="auto"/>
              <w:ind w:firstLine="480" w:firstLineChars="200"/>
              <w:rPr>
                <w:rFonts w:ascii="Times New Roman" w:hAnsi="Times New Roman" w:eastAsia="宋体" w:cs="Times New Roman"/>
                <w:color w:val="000000" w:themeColor="text1"/>
                <w:sz w:val="24"/>
              </w:rPr>
            </w:pPr>
          </w:p>
          <w:p w14:paraId="6A39ED34">
            <w:pPr>
              <w:spacing w:line="360" w:lineRule="auto"/>
              <w:ind w:firstLine="480" w:firstLineChars="200"/>
              <w:rPr>
                <w:rFonts w:ascii="Times New Roman" w:hAnsi="Times New Roman" w:eastAsia="宋体" w:cs="Times New Roman"/>
                <w:color w:val="000000" w:themeColor="text1"/>
                <w:sz w:val="24"/>
              </w:rPr>
            </w:pPr>
          </w:p>
          <w:p w14:paraId="4DF2AF45">
            <w:pPr>
              <w:spacing w:line="360" w:lineRule="auto"/>
              <w:ind w:firstLine="480" w:firstLineChars="200"/>
              <w:rPr>
                <w:rFonts w:ascii="Times New Roman" w:hAnsi="Times New Roman" w:eastAsia="宋体" w:cs="Times New Roman"/>
                <w:color w:val="000000" w:themeColor="text1"/>
                <w:sz w:val="24"/>
              </w:rPr>
            </w:pPr>
          </w:p>
          <w:p w14:paraId="787B1BB0">
            <w:pPr>
              <w:spacing w:line="360" w:lineRule="auto"/>
              <w:ind w:firstLine="480" w:firstLineChars="200"/>
              <w:rPr>
                <w:rFonts w:ascii="Times New Roman" w:hAnsi="Times New Roman" w:eastAsia="宋体" w:cs="Times New Roman"/>
                <w:color w:val="000000" w:themeColor="text1"/>
                <w:sz w:val="24"/>
              </w:rPr>
            </w:pPr>
          </w:p>
          <w:p w14:paraId="283011CE">
            <w:pPr>
              <w:spacing w:line="360" w:lineRule="auto"/>
              <w:ind w:firstLine="480" w:firstLineChars="200"/>
              <w:rPr>
                <w:rFonts w:ascii="Times New Roman" w:hAnsi="Times New Roman" w:eastAsia="宋体" w:cs="Times New Roman"/>
                <w:color w:val="000000" w:themeColor="text1"/>
                <w:sz w:val="24"/>
              </w:rPr>
            </w:pPr>
          </w:p>
          <w:p w14:paraId="4B38AF48">
            <w:pPr>
              <w:spacing w:line="360" w:lineRule="auto"/>
              <w:rPr>
                <w:rFonts w:ascii="Times New Roman" w:hAnsi="Times New Roman" w:eastAsia="宋体" w:cs="Times New Roman"/>
                <w:color w:val="000000" w:themeColor="text1"/>
                <w:sz w:val="24"/>
              </w:rPr>
            </w:pPr>
          </w:p>
          <w:p w14:paraId="7D031A30">
            <w:pPr>
              <w:spacing w:line="360" w:lineRule="auto"/>
              <w:ind w:firstLine="480" w:firstLineChars="200"/>
              <w:rPr>
                <w:rFonts w:ascii="Times New Roman" w:hAnsi="Times New Roman" w:eastAsia="宋体" w:cs="Times New Roman"/>
                <w:color w:val="000000" w:themeColor="text1"/>
                <w:sz w:val="24"/>
              </w:rPr>
            </w:pPr>
          </w:p>
          <w:p w14:paraId="4442CE49">
            <w:pPr>
              <w:spacing w:line="360" w:lineRule="auto"/>
              <w:ind w:firstLine="480" w:firstLineChars="200"/>
              <w:rPr>
                <w:rFonts w:ascii="Times New Roman" w:hAnsi="Times New Roman" w:eastAsia="宋体" w:cs="Times New Roman"/>
                <w:b/>
                <w:color w:val="000000" w:themeColor="text1"/>
                <w:sz w:val="24"/>
              </w:rPr>
            </w:pPr>
            <w:r>
              <w:rPr>
                <w:rFonts w:ascii="Times New Roman" w:hAnsi="Times New Roman" w:eastAsia="宋体" w:cs="Times New Roman"/>
                <w:color w:val="000000" w:themeColor="text1"/>
                <w:sz w:val="24"/>
              </w:rPr>
              <w:t xml:space="preserve">                                                    </w:t>
            </w:r>
            <w:r>
              <w:rPr>
                <w:rFonts w:ascii="Times New Roman" w:hAnsi="Times New Roman" w:eastAsia="宋体" w:cs="Times New Roman"/>
                <w:b/>
                <w:color w:val="000000" w:themeColor="text1"/>
                <w:sz w:val="24"/>
              </w:rPr>
              <w:t>公  章</w:t>
            </w:r>
          </w:p>
          <w:p w14:paraId="13094DBE">
            <w:pPr>
              <w:spacing w:line="360" w:lineRule="auto"/>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 xml:space="preserve">经办人：                                      </w:t>
            </w:r>
          </w:p>
          <w:p w14:paraId="5FE74751">
            <w:pPr>
              <w:spacing w:line="360" w:lineRule="auto"/>
              <w:ind w:firstLine="6575" w:firstLineChars="2729"/>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年  月  日</w:t>
            </w:r>
          </w:p>
          <w:p w14:paraId="39457007">
            <w:pPr>
              <w:spacing w:line="360" w:lineRule="auto"/>
              <w:ind w:firstLine="5277" w:firstLineChars="2190"/>
              <w:rPr>
                <w:rFonts w:ascii="Times New Roman" w:hAnsi="Times New Roman" w:eastAsia="宋体" w:cs="Times New Roman"/>
                <w:b/>
                <w:color w:val="000000" w:themeColor="text1"/>
                <w:sz w:val="24"/>
              </w:rPr>
            </w:pPr>
          </w:p>
          <w:p w14:paraId="6C8B521D">
            <w:pPr>
              <w:spacing w:line="360" w:lineRule="auto"/>
              <w:rPr>
                <w:rFonts w:ascii="Times New Roman" w:hAnsi="Times New Roman" w:eastAsia="宋体" w:cs="Times New Roman"/>
                <w:color w:val="000000" w:themeColor="text1"/>
                <w:sz w:val="24"/>
              </w:rPr>
            </w:pPr>
          </w:p>
          <w:p w14:paraId="1245C218">
            <w:pPr>
              <w:spacing w:line="360" w:lineRule="auto"/>
              <w:rPr>
                <w:rFonts w:ascii="Times New Roman" w:hAnsi="Times New Roman" w:eastAsia="宋体" w:cs="Times New Roman"/>
                <w:color w:val="000000" w:themeColor="text1"/>
                <w:sz w:val="24"/>
              </w:rPr>
            </w:pPr>
          </w:p>
        </w:tc>
      </w:tr>
      <w:tr w14:paraId="3DEB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AA58CEB">
            <w:pPr>
              <w:spacing w:line="360" w:lineRule="auto"/>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下一级环境保护行政主管部门审查意见：</w:t>
            </w:r>
          </w:p>
          <w:p w14:paraId="149DE053">
            <w:pPr>
              <w:spacing w:line="360" w:lineRule="auto"/>
              <w:ind w:firstLine="560" w:firstLineChars="200"/>
              <w:rPr>
                <w:rFonts w:ascii="Times New Roman" w:hAnsi="Times New Roman" w:eastAsia="宋体" w:cs="Times New Roman"/>
                <w:color w:val="000000" w:themeColor="text1"/>
                <w:sz w:val="28"/>
              </w:rPr>
            </w:pPr>
          </w:p>
          <w:p w14:paraId="7BB2F475">
            <w:pPr>
              <w:spacing w:line="360" w:lineRule="auto"/>
              <w:ind w:firstLine="560" w:firstLineChars="200"/>
              <w:rPr>
                <w:rFonts w:ascii="Times New Roman" w:hAnsi="Times New Roman" w:eastAsia="宋体" w:cs="Times New Roman"/>
                <w:color w:val="000000" w:themeColor="text1"/>
                <w:sz w:val="28"/>
              </w:rPr>
            </w:pPr>
          </w:p>
          <w:p w14:paraId="6BCEDDD1">
            <w:pPr>
              <w:spacing w:line="360" w:lineRule="auto"/>
              <w:ind w:firstLine="560" w:firstLineChars="200"/>
              <w:rPr>
                <w:rFonts w:ascii="Times New Roman" w:hAnsi="Times New Roman" w:eastAsia="宋体" w:cs="Times New Roman"/>
                <w:color w:val="000000" w:themeColor="text1"/>
                <w:sz w:val="28"/>
              </w:rPr>
            </w:pPr>
          </w:p>
          <w:p w14:paraId="29A2D355">
            <w:pPr>
              <w:spacing w:line="360" w:lineRule="auto"/>
              <w:ind w:firstLine="560" w:firstLineChars="200"/>
              <w:rPr>
                <w:rFonts w:ascii="Times New Roman" w:hAnsi="Times New Roman" w:eastAsia="宋体" w:cs="Times New Roman"/>
                <w:color w:val="000000" w:themeColor="text1"/>
                <w:sz w:val="28"/>
              </w:rPr>
            </w:pPr>
          </w:p>
          <w:p w14:paraId="2DF55E58">
            <w:pPr>
              <w:spacing w:line="360" w:lineRule="auto"/>
              <w:ind w:firstLine="560" w:firstLineChars="200"/>
              <w:rPr>
                <w:rFonts w:ascii="Times New Roman" w:hAnsi="Times New Roman" w:eastAsia="宋体" w:cs="Times New Roman"/>
                <w:color w:val="000000" w:themeColor="text1"/>
                <w:sz w:val="28"/>
              </w:rPr>
            </w:pPr>
          </w:p>
          <w:p w14:paraId="15E303BB">
            <w:pPr>
              <w:spacing w:line="360" w:lineRule="auto"/>
              <w:rPr>
                <w:rFonts w:ascii="Times New Roman" w:hAnsi="Times New Roman" w:eastAsia="宋体" w:cs="Times New Roman"/>
                <w:b/>
                <w:color w:val="000000" w:themeColor="text1"/>
                <w:sz w:val="24"/>
              </w:rPr>
            </w:pPr>
          </w:p>
          <w:p w14:paraId="11ADC683">
            <w:pPr>
              <w:spacing w:line="360" w:lineRule="auto"/>
              <w:ind w:firstLine="6809" w:firstLineChars="2826"/>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公  章</w:t>
            </w:r>
          </w:p>
          <w:p w14:paraId="4DE11F79">
            <w:pPr>
              <w:spacing w:line="360" w:lineRule="auto"/>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 xml:space="preserve">经办人：                                    </w:t>
            </w:r>
          </w:p>
          <w:p w14:paraId="5B6AC31F">
            <w:pPr>
              <w:spacing w:line="360" w:lineRule="auto"/>
              <w:ind w:firstLine="6211" w:firstLineChars="2578"/>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 xml:space="preserve"> 年    月    日</w:t>
            </w:r>
          </w:p>
          <w:p w14:paraId="2A592BE0">
            <w:pPr>
              <w:spacing w:line="360" w:lineRule="auto"/>
              <w:rPr>
                <w:rFonts w:ascii="Times New Roman" w:hAnsi="Times New Roman" w:eastAsia="宋体" w:cs="Times New Roman"/>
                <w:color w:val="000000" w:themeColor="text1"/>
                <w:sz w:val="24"/>
              </w:rPr>
            </w:pPr>
          </w:p>
        </w:tc>
      </w:tr>
      <w:tr w14:paraId="30DC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438F9BC">
            <w:pPr>
              <w:widowControl/>
              <w:spacing w:before="312" w:beforeLines="100" w:line="360" w:lineRule="auto"/>
              <w:jc w:val="left"/>
              <w:rPr>
                <w:rFonts w:ascii="Times New Roman" w:hAnsi="Times New Roman" w:eastAsia="宋体" w:cs="Times New Roman"/>
                <w:b/>
                <w:color w:val="000000" w:themeColor="text1"/>
                <w:sz w:val="28"/>
                <w:szCs w:val="28"/>
              </w:rPr>
            </w:pPr>
            <w:r>
              <w:rPr>
                <w:rFonts w:ascii="Times New Roman" w:hAnsi="Times New Roman" w:eastAsia="宋体" w:cs="Times New Roman"/>
                <w:b/>
                <w:color w:val="000000" w:themeColor="text1"/>
                <w:sz w:val="28"/>
                <w:szCs w:val="28"/>
              </w:rPr>
              <w:t>审批意见：</w:t>
            </w:r>
          </w:p>
          <w:p w14:paraId="27CD0E59">
            <w:pPr>
              <w:widowControl/>
              <w:spacing w:before="312" w:beforeLines="100" w:line="360" w:lineRule="auto"/>
              <w:jc w:val="left"/>
              <w:rPr>
                <w:rFonts w:ascii="Times New Roman" w:hAnsi="Times New Roman" w:eastAsia="宋体" w:cs="Times New Roman"/>
                <w:b/>
                <w:color w:val="000000" w:themeColor="text1"/>
                <w:sz w:val="28"/>
                <w:szCs w:val="28"/>
              </w:rPr>
            </w:pPr>
          </w:p>
          <w:p w14:paraId="2660F3C0">
            <w:pPr>
              <w:spacing w:line="360" w:lineRule="auto"/>
              <w:ind w:firstLine="480" w:firstLineChars="200"/>
              <w:rPr>
                <w:rFonts w:ascii="Times New Roman" w:hAnsi="Times New Roman" w:eastAsia="宋体" w:cs="Times New Roman"/>
                <w:color w:val="000000" w:themeColor="text1"/>
                <w:sz w:val="24"/>
              </w:rPr>
            </w:pPr>
          </w:p>
          <w:p w14:paraId="370A3CA3">
            <w:pPr>
              <w:spacing w:line="360" w:lineRule="auto"/>
              <w:ind w:firstLine="480" w:firstLineChars="200"/>
              <w:rPr>
                <w:rFonts w:ascii="Times New Roman" w:hAnsi="Times New Roman" w:eastAsia="宋体" w:cs="Times New Roman"/>
                <w:color w:val="000000" w:themeColor="text1"/>
                <w:sz w:val="24"/>
              </w:rPr>
            </w:pPr>
          </w:p>
          <w:p w14:paraId="09D0FCA1">
            <w:pPr>
              <w:spacing w:line="360" w:lineRule="auto"/>
              <w:ind w:firstLine="480" w:firstLineChars="200"/>
              <w:rPr>
                <w:rFonts w:ascii="Times New Roman" w:hAnsi="Times New Roman" w:eastAsia="宋体" w:cs="Times New Roman"/>
                <w:color w:val="000000" w:themeColor="text1"/>
                <w:sz w:val="24"/>
              </w:rPr>
            </w:pPr>
          </w:p>
          <w:p w14:paraId="12FF4150">
            <w:pPr>
              <w:spacing w:line="360" w:lineRule="auto"/>
              <w:ind w:firstLine="480" w:firstLineChars="200"/>
              <w:rPr>
                <w:rFonts w:ascii="Times New Roman" w:hAnsi="Times New Roman" w:eastAsia="宋体" w:cs="Times New Roman"/>
                <w:color w:val="000000" w:themeColor="text1"/>
                <w:sz w:val="24"/>
              </w:rPr>
            </w:pPr>
          </w:p>
          <w:p w14:paraId="51A5FF4C">
            <w:pPr>
              <w:spacing w:line="360" w:lineRule="auto"/>
              <w:rPr>
                <w:rFonts w:ascii="Times New Roman" w:hAnsi="Times New Roman" w:eastAsia="宋体" w:cs="Times New Roman"/>
                <w:color w:val="000000" w:themeColor="text1"/>
                <w:sz w:val="24"/>
              </w:rPr>
            </w:pPr>
          </w:p>
          <w:p w14:paraId="1F393AC2">
            <w:pPr>
              <w:spacing w:line="360" w:lineRule="auto"/>
              <w:ind w:firstLine="480" w:firstLineChars="200"/>
              <w:rPr>
                <w:rFonts w:ascii="Times New Roman" w:hAnsi="Times New Roman" w:eastAsia="宋体" w:cs="Times New Roman"/>
                <w:color w:val="000000" w:themeColor="text1"/>
                <w:sz w:val="24"/>
              </w:rPr>
            </w:pPr>
          </w:p>
          <w:p w14:paraId="4F87C366">
            <w:pPr>
              <w:spacing w:line="360" w:lineRule="auto"/>
              <w:ind w:firstLine="480" w:firstLineChars="200"/>
              <w:rPr>
                <w:rFonts w:ascii="Times New Roman" w:hAnsi="Times New Roman" w:eastAsia="宋体" w:cs="Times New Roman"/>
                <w:color w:val="000000" w:themeColor="text1"/>
                <w:sz w:val="24"/>
              </w:rPr>
            </w:pPr>
          </w:p>
          <w:p w14:paraId="5296F192">
            <w:pPr>
              <w:spacing w:line="360" w:lineRule="auto"/>
              <w:ind w:firstLine="480" w:firstLineChars="200"/>
              <w:rPr>
                <w:rFonts w:ascii="Times New Roman" w:hAnsi="Times New Roman" w:eastAsia="宋体" w:cs="Times New Roman"/>
                <w:color w:val="000000" w:themeColor="text1"/>
                <w:sz w:val="24"/>
              </w:rPr>
            </w:pPr>
          </w:p>
          <w:p w14:paraId="4DD153D7">
            <w:pPr>
              <w:spacing w:line="360" w:lineRule="auto"/>
              <w:ind w:firstLine="480" w:firstLineChars="200"/>
              <w:rPr>
                <w:rFonts w:ascii="Times New Roman" w:hAnsi="Times New Roman" w:eastAsia="宋体" w:cs="Times New Roman"/>
                <w:color w:val="000000" w:themeColor="text1"/>
                <w:sz w:val="24"/>
              </w:rPr>
            </w:pPr>
          </w:p>
          <w:p w14:paraId="06CBCAF0">
            <w:pPr>
              <w:spacing w:line="360" w:lineRule="auto"/>
              <w:ind w:firstLine="480" w:firstLineChars="200"/>
              <w:rPr>
                <w:rFonts w:ascii="Times New Roman" w:hAnsi="Times New Roman" w:eastAsia="宋体" w:cs="Times New Roman"/>
                <w:color w:val="000000" w:themeColor="text1"/>
                <w:sz w:val="24"/>
              </w:rPr>
            </w:pPr>
          </w:p>
          <w:p w14:paraId="2ACD8972">
            <w:pPr>
              <w:spacing w:line="360" w:lineRule="auto"/>
              <w:ind w:firstLine="480" w:firstLineChars="200"/>
              <w:rPr>
                <w:rFonts w:ascii="Times New Roman" w:hAnsi="Times New Roman" w:eastAsia="宋体" w:cs="Times New Roman"/>
                <w:color w:val="000000" w:themeColor="text1"/>
                <w:sz w:val="24"/>
              </w:rPr>
            </w:pPr>
          </w:p>
          <w:p w14:paraId="1AA4E6E6">
            <w:pPr>
              <w:spacing w:line="360" w:lineRule="auto"/>
              <w:ind w:firstLine="480" w:firstLineChars="200"/>
              <w:rPr>
                <w:rFonts w:ascii="Times New Roman" w:hAnsi="Times New Roman" w:eastAsia="宋体" w:cs="Times New Roman"/>
                <w:color w:val="000000" w:themeColor="text1"/>
                <w:sz w:val="24"/>
              </w:rPr>
            </w:pPr>
          </w:p>
          <w:p w14:paraId="3FE4C445">
            <w:pPr>
              <w:spacing w:line="360" w:lineRule="auto"/>
              <w:ind w:firstLine="480" w:firstLineChars="200"/>
              <w:rPr>
                <w:rFonts w:ascii="Times New Roman" w:hAnsi="Times New Roman" w:eastAsia="宋体" w:cs="Times New Roman"/>
                <w:color w:val="000000" w:themeColor="text1"/>
                <w:sz w:val="24"/>
              </w:rPr>
            </w:pPr>
          </w:p>
          <w:p w14:paraId="10658B5D">
            <w:pPr>
              <w:spacing w:line="360" w:lineRule="auto"/>
              <w:ind w:firstLine="480" w:firstLineChars="200"/>
              <w:rPr>
                <w:rFonts w:ascii="Times New Roman" w:hAnsi="Times New Roman" w:eastAsia="宋体" w:cs="Times New Roman"/>
                <w:color w:val="000000" w:themeColor="text1"/>
                <w:sz w:val="24"/>
              </w:rPr>
            </w:pPr>
          </w:p>
          <w:p w14:paraId="37AA5408">
            <w:pPr>
              <w:spacing w:line="360" w:lineRule="auto"/>
              <w:ind w:firstLine="480" w:firstLineChars="200"/>
              <w:rPr>
                <w:rFonts w:ascii="Times New Roman" w:hAnsi="Times New Roman" w:eastAsia="宋体" w:cs="Times New Roman"/>
                <w:color w:val="000000" w:themeColor="text1"/>
                <w:sz w:val="24"/>
              </w:rPr>
            </w:pPr>
          </w:p>
          <w:p w14:paraId="10023F4C">
            <w:pPr>
              <w:spacing w:line="360" w:lineRule="auto"/>
              <w:ind w:firstLine="480" w:firstLineChars="200"/>
              <w:rPr>
                <w:rFonts w:ascii="Times New Roman" w:hAnsi="Times New Roman" w:eastAsia="宋体" w:cs="Times New Roman"/>
                <w:color w:val="000000" w:themeColor="text1"/>
                <w:sz w:val="24"/>
              </w:rPr>
            </w:pPr>
          </w:p>
          <w:p w14:paraId="207F0449">
            <w:pPr>
              <w:spacing w:line="360" w:lineRule="auto"/>
              <w:ind w:firstLine="480" w:firstLineChars="200"/>
              <w:rPr>
                <w:rFonts w:ascii="Times New Roman" w:hAnsi="Times New Roman" w:eastAsia="宋体" w:cs="Times New Roman"/>
                <w:color w:val="000000" w:themeColor="text1"/>
                <w:sz w:val="24"/>
              </w:rPr>
            </w:pPr>
          </w:p>
          <w:p w14:paraId="3F0A3A9B">
            <w:pPr>
              <w:spacing w:line="360" w:lineRule="auto"/>
              <w:rPr>
                <w:rFonts w:ascii="Times New Roman" w:hAnsi="Times New Roman" w:eastAsia="宋体" w:cs="Times New Roman"/>
                <w:color w:val="000000" w:themeColor="text1"/>
                <w:sz w:val="24"/>
              </w:rPr>
            </w:pPr>
          </w:p>
          <w:p w14:paraId="6C0B3AF2">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 xml:space="preserve">                           </w:t>
            </w:r>
          </w:p>
          <w:p w14:paraId="0E724CD4">
            <w:pPr>
              <w:spacing w:line="360" w:lineRule="auto"/>
              <w:ind w:firstLine="480" w:firstLineChars="200"/>
              <w:rPr>
                <w:rFonts w:ascii="Times New Roman" w:hAnsi="Times New Roman" w:eastAsia="宋体" w:cs="Times New Roman"/>
                <w:color w:val="000000" w:themeColor="text1"/>
                <w:sz w:val="24"/>
              </w:rPr>
            </w:pPr>
            <w:r>
              <w:rPr>
                <w:rFonts w:ascii="Times New Roman" w:hAnsi="Times New Roman" w:eastAsia="宋体" w:cs="Times New Roman"/>
                <w:color w:val="000000" w:themeColor="text1"/>
                <w:sz w:val="24"/>
              </w:rPr>
              <w:t xml:space="preserve">                     </w:t>
            </w:r>
          </w:p>
          <w:p w14:paraId="7ECE1B74">
            <w:pPr>
              <w:spacing w:line="360" w:lineRule="auto"/>
              <w:ind w:firstLine="482" w:firstLineChars="200"/>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 xml:space="preserve">                                                公  章</w:t>
            </w:r>
          </w:p>
          <w:p w14:paraId="499E138A">
            <w:pPr>
              <w:spacing w:line="360" w:lineRule="auto"/>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 xml:space="preserve">经办人：                                              </w:t>
            </w:r>
          </w:p>
          <w:p w14:paraId="741227F3">
            <w:pPr>
              <w:spacing w:line="360" w:lineRule="auto"/>
              <w:ind w:firstLine="5857" w:firstLineChars="2431"/>
              <w:rPr>
                <w:rFonts w:ascii="Times New Roman" w:hAnsi="Times New Roman" w:eastAsia="宋体" w:cs="Times New Roman"/>
                <w:b/>
                <w:color w:val="000000" w:themeColor="text1"/>
                <w:sz w:val="24"/>
              </w:rPr>
            </w:pPr>
            <w:r>
              <w:rPr>
                <w:rFonts w:ascii="Times New Roman" w:hAnsi="Times New Roman" w:eastAsia="宋体" w:cs="Times New Roman"/>
                <w:b/>
                <w:color w:val="000000" w:themeColor="text1"/>
                <w:sz w:val="24"/>
              </w:rPr>
              <w:t>年    月    日</w:t>
            </w:r>
          </w:p>
          <w:p w14:paraId="134E46B3">
            <w:pPr>
              <w:spacing w:line="360" w:lineRule="auto"/>
              <w:rPr>
                <w:rFonts w:ascii="Times New Roman" w:hAnsi="Times New Roman" w:eastAsia="宋体" w:cs="Times New Roman"/>
                <w:color w:val="000000" w:themeColor="text1"/>
                <w:sz w:val="24"/>
              </w:rPr>
            </w:pPr>
          </w:p>
        </w:tc>
      </w:tr>
    </w:tbl>
    <w:p w14:paraId="298F6EAD">
      <w:pPr>
        <w:rPr>
          <w:color w:val="000000" w:themeColor="text1"/>
        </w:rPr>
      </w:pPr>
    </w:p>
    <w:p w14:paraId="6AA1FE89">
      <w:pPr>
        <w:rPr>
          <w:rFonts w:ascii="Times New Roman" w:hAnsi="Times New Roman" w:eastAsia="宋体" w:cs="Times New Roman"/>
          <w:color w:val="000000" w:themeColor="text1"/>
          <w:kern w:val="44"/>
          <w:sz w:val="28"/>
          <w:szCs w:val="2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7428732"/>
      <w:docPartObj>
        <w:docPartGallery w:val="autotext"/>
      </w:docPartObj>
    </w:sdtPr>
    <w:sdtEndPr>
      <w:rPr>
        <w:rFonts w:ascii="Times New Roman" w:hAnsi="Times New Roman" w:cs="Times New Roman"/>
      </w:rPr>
    </w:sdtEndPr>
    <w:sdtContent>
      <w:p w14:paraId="785F84CF">
        <w:pPr>
          <w:pStyle w:val="22"/>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10</w:t>
        </w:r>
        <w:r>
          <w:rPr>
            <w:rFonts w:ascii="Times New Roman" w:hAnsi="Times New Roman" w:cs="Times New Roma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1B7E41"/>
    <w:multiLevelType w:val="multilevel"/>
    <w:tmpl w:val="401B7E41"/>
    <w:lvl w:ilvl="0" w:tentative="0">
      <w:start w:val="1"/>
      <w:numFmt w:val="bullet"/>
      <w:pStyle w:val="62"/>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xYWVjZjFkYTJkNzI5ZDNmMjNjYTE4YTEwNTQ2OTUifQ=="/>
  </w:docVars>
  <w:rsids>
    <w:rsidRoot w:val="00FA0F4E"/>
    <w:rsid w:val="0001158C"/>
    <w:rsid w:val="000411EC"/>
    <w:rsid w:val="000417A8"/>
    <w:rsid w:val="0005079E"/>
    <w:rsid w:val="0005124D"/>
    <w:rsid w:val="00081042"/>
    <w:rsid w:val="00090AD3"/>
    <w:rsid w:val="000913F8"/>
    <w:rsid w:val="000945D9"/>
    <w:rsid w:val="000B59A6"/>
    <w:rsid w:val="000B610E"/>
    <w:rsid w:val="000C56D6"/>
    <w:rsid w:val="000D52FF"/>
    <w:rsid w:val="000E060F"/>
    <w:rsid w:val="000E44ED"/>
    <w:rsid w:val="001015EC"/>
    <w:rsid w:val="00113E34"/>
    <w:rsid w:val="00126525"/>
    <w:rsid w:val="001342E3"/>
    <w:rsid w:val="0014113D"/>
    <w:rsid w:val="00144FA0"/>
    <w:rsid w:val="00151FB7"/>
    <w:rsid w:val="00160810"/>
    <w:rsid w:val="0016140B"/>
    <w:rsid w:val="00180C8A"/>
    <w:rsid w:val="00185FF9"/>
    <w:rsid w:val="001D515E"/>
    <w:rsid w:val="001E286D"/>
    <w:rsid w:val="001E4C2A"/>
    <w:rsid w:val="001F2BDC"/>
    <w:rsid w:val="00211254"/>
    <w:rsid w:val="00211D8F"/>
    <w:rsid w:val="00227EBB"/>
    <w:rsid w:val="00251440"/>
    <w:rsid w:val="0027144C"/>
    <w:rsid w:val="002D6900"/>
    <w:rsid w:val="002E0C6F"/>
    <w:rsid w:val="002E1A15"/>
    <w:rsid w:val="002E71D1"/>
    <w:rsid w:val="002F56E6"/>
    <w:rsid w:val="00304220"/>
    <w:rsid w:val="00334EEE"/>
    <w:rsid w:val="00350445"/>
    <w:rsid w:val="003504F3"/>
    <w:rsid w:val="00350E11"/>
    <w:rsid w:val="003759DB"/>
    <w:rsid w:val="00380135"/>
    <w:rsid w:val="00387DB1"/>
    <w:rsid w:val="003926B1"/>
    <w:rsid w:val="003B350B"/>
    <w:rsid w:val="003C361C"/>
    <w:rsid w:val="003D0A89"/>
    <w:rsid w:val="003F5868"/>
    <w:rsid w:val="00414EF5"/>
    <w:rsid w:val="00423EFC"/>
    <w:rsid w:val="00426A4A"/>
    <w:rsid w:val="00437661"/>
    <w:rsid w:val="004524BF"/>
    <w:rsid w:val="00455540"/>
    <w:rsid w:val="00461AA0"/>
    <w:rsid w:val="00461CF5"/>
    <w:rsid w:val="0046474B"/>
    <w:rsid w:val="00467AFF"/>
    <w:rsid w:val="00480E08"/>
    <w:rsid w:val="004B2631"/>
    <w:rsid w:val="004B704B"/>
    <w:rsid w:val="004E75BA"/>
    <w:rsid w:val="004E7705"/>
    <w:rsid w:val="004F0CE7"/>
    <w:rsid w:val="004F4E89"/>
    <w:rsid w:val="0050058A"/>
    <w:rsid w:val="005057BB"/>
    <w:rsid w:val="0051004A"/>
    <w:rsid w:val="005118EB"/>
    <w:rsid w:val="0053626A"/>
    <w:rsid w:val="00546E33"/>
    <w:rsid w:val="00550964"/>
    <w:rsid w:val="005633B2"/>
    <w:rsid w:val="005A4C7C"/>
    <w:rsid w:val="005A78CA"/>
    <w:rsid w:val="005D1121"/>
    <w:rsid w:val="005D2B50"/>
    <w:rsid w:val="005F4880"/>
    <w:rsid w:val="00602F6E"/>
    <w:rsid w:val="00606C97"/>
    <w:rsid w:val="00621A71"/>
    <w:rsid w:val="00641D50"/>
    <w:rsid w:val="00673CFB"/>
    <w:rsid w:val="00677EA5"/>
    <w:rsid w:val="0068629F"/>
    <w:rsid w:val="00693780"/>
    <w:rsid w:val="00696050"/>
    <w:rsid w:val="0069763C"/>
    <w:rsid w:val="006A29A1"/>
    <w:rsid w:val="006B0D87"/>
    <w:rsid w:val="006E004D"/>
    <w:rsid w:val="006E130C"/>
    <w:rsid w:val="00703EEA"/>
    <w:rsid w:val="0070614B"/>
    <w:rsid w:val="007102B1"/>
    <w:rsid w:val="00726782"/>
    <w:rsid w:val="0077228E"/>
    <w:rsid w:val="00792B9F"/>
    <w:rsid w:val="007F2E99"/>
    <w:rsid w:val="00803601"/>
    <w:rsid w:val="00803635"/>
    <w:rsid w:val="00812438"/>
    <w:rsid w:val="00813363"/>
    <w:rsid w:val="00825DD4"/>
    <w:rsid w:val="00847467"/>
    <w:rsid w:val="00856754"/>
    <w:rsid w:val="0086777D"/>
    <w:rsid w:val="00877D68"/>
    <w:rsid w:val="00880A18"/>
    <w:rsid w:val="008B7905"/>
    <w:rsid w:val="008C2D2E"/>
    <w:rsid w:val="008D49BF"/>
    <w:rsid w:val="008D4F1F"/>
    <w:rsid w:val="008D53E5"/>
    <w:rsid w:val="008E6B45"/>
    <w:rsid w:val="008F38BF"/>
    <w:rsid w:val="00932C71"/>
    <w:rsid w:val="00933085"/>
    <w:rsid w:val="00943FC4"/>
    <w:rsid w:val="009623AA"/>
    <w:rsid w:val="00966E35"/>
    <w:rsid w:val="00994FED"/>
    <w:rsid w:val="00995483"/>
    <w:rsid w:val="00A01804"/>
    <w:rsid w:val="00A03D12"/>
    <w:rsid w:val="00A05652"/>
    <w:rsid w:val="00A133B1"/>
    <w:rsid w:val="00A22F3E"/>
    <w:rsid w:val="00A322BA"/>
    <w:rsid w:val="00A615F6"/>
    <w:rsid w:val="00A62E97"/>
    <w:rsid w:val="00A7157A"/>
    <w:rsid w:val="00A722F8"/>
    <w:rsid w:val="00A96CB6"/>
    <w:rsid w:val="00A97E91"/>
    <w:rsid w:val="00AB3337"/>
    <w:rsid w:val="00AC3730"/>
    <w:rsid w:val="00AD1BEB"/>
    <w:rsid w:val="00AF363B"/>
    <w:rsid w:val="00B01435"/>
    <w:rsid w:val="00B037D7"/>
    <w:rsid w:val="00B03E15"/>
    <w:rsid w:val="00B10B18"/>
    <w:rsid w:val="00B1306A"/>
    <w:rsid w:val="00B13333"/>
    <w:rsid w:val="00B20C4F"/>
    <w:rsid w:val="00B325A5"/>
    <w:rsid w:val="00B51A2A"/>
    <w:rsid w:val="00B74282"/>
    <w:rsid w:val="00B815F6"/>
    <w:rsid w:val="00B845E7"/>
    <w:rsid w:val="00B84A06"/>
    <w:rsid w:val="00BA3C98"/>
    <w:rsid w:val="00BC1702"/>
    <w:rsid w:val="00BD11C3"/>
    <w:rsid w:val="00BD5843"/>
    <w:rsid w:val="00BE0BA2"/>
    <w:rsid w:val="00BF42A3"/>
    <w:rsid w:val="00C07E1F"/>
    <w:rsid w:val="00C221B3"/>
    <w:rsid w:val="00C31F7D"/>
    <w:rsid w:val="00C340B3"/>
    <w:rsid w:val="00C35D4E"/>
    <w:rsid w:val="00C86DA2"/>
    <w:rsid w:val="00CC7286"/>
    <w:rsid w:val="00CE67A4"/>
    <w:rsid w:val="00CF6904"/>
    <w:rsid w:val="00D17360"/>
    <w:rsid w:val="00D429FB"/>
    <w:rsid w:val="00D46AB6"/>
    <w:rsid w:val="00D51928"/>
    <w:rsid w:val="00D827D5"/>
    <w:rsid w:val="00DC22B4"/>
    <w:rsid w:val="00DF0510"/>
    <w:rsid w:val="00DF696D"/>
    <w:rsid w:val="00E01152"/>
    <w:rsid w:val="00E1099C"/>
    <w:rsid w:val="00E127C9"/>
    <w:rsid w:val="00E15A18"/>
    <w:rsid w:val="00E15C2F"/>
    <w:rsid w:val="00E1755B"/>
    <w:rsid w:val="00E176D6"/>
    <w:rsid w:val="00E21AD4"/>
    <w:rsid w:val="00E42769"/>
    <w:rsid w:val="00E74A4A"/>
    <w:rsid w:val="00EA4884"/>
    <w:rsid w:val="00EB3802"/>
    <w:rsid w:val="00EE6471"/>
    <w:rsid w:val="00F120D0"/>
    <w:rsid w:val="00F253F2"/>
    <w:rsid w:val="00F44CDF"/>
    <w:rsid w:val="00F467BA"/>
    <w:rsid w:val="00F51773"/>
    <w:rsid w:val="00F53BFF"/>
    <w:rsid w:val="00F572C5"/>
    <w:rsid w:val="00F61590"/>
    <w:rsid w:val="00FA0F4E"/>
    <w:rsid w:val="00FB237E"/>
    <w:rsid w:val="00FB47FD"/>
    <w:rsid w:val="00FD0C15"/>
    <w:rsid w:val="00FF2883"/>
    <w:rsid w:val="24E13C04"/>
    <w:rsid w:val="35EE4259"/>
    <w:rsid w:val="4C700823"/>
    <w:rsid w:val="4EC918EF"/>
    <w:rsid w:val="61CA42B3"/>
    <w:rsid w:val="6858020F"/>
    <w:rsid w:val="72DF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箭头连接符 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uiPriority="0" w:semiHidden="0" w:name="toc 5"/>
    <w:lsdException w:qFormat="1" w:uiPriority="0" w:semiHidden="0" w:name="toc 6"/>
    <w:lsdException w:uiPriority="0" w:semiHidden="0" w:name="toc 7"/>
    <w:lsdException w:qFormat="1" w:uiPriority="0" w:semiHidden="0" w:name="toc 8"/>
    <w:lsdException w:qFormat="1" w:uiPriority="0" w:semiHidden="0" w:name="toc 9"/>
    <w:lsdException w:unhideWhenUsed="0" w:uiPriority="0" w:semiHidden="0"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nhideWhenUsed="0" w:uiPriority="0"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link w:val="53"/>
    <w:qFormat/>
    <w:uiPriority w:val="0"/>
    <w:pPr>
      <w:keepNext/>
      <w:ind w:firstLine="480" w:firstLineChars="200"/>
      <w:outlineLvl w:val="2"/>
    </w:pPr>
    <w:rPr>
      <w:rFonts w:ascii="长城仿宋体" w:hAnsi="宋体" w:eastAsia="长城仿宋体" w:cs="Times New Roman"/>
      <w:b/>
      <w:sz w:val="24"/>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macro"/>
    <w:link w:val="94"/>
    <w:semiHidden/>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0"/>
      <w:sz w:val="24"/>
      <w:szCs w:val="24"/>
      <w:lang w:val="en-US" w:eastAsia="zh-CN" w:bidi="ar-SA"/>
    </w:rPr>
  </w:style>
  <w:style w:type="paragraph" w:styleId="6">
    <w:name w:val="toc 7"/>
    <w:basedOn w:val="1"/>
    <w:next w:val="1"/>
    <w:unhideWhenUsed/>
    <w:uiPriority w:val="0"/>
    <w:pPr>
      <w:ind w:left="2520" w:leftChars="1200"/>
    </w:pPr>
    <w:rPr>
      <w:rFonts w:ascii="Calibri" w:hAnsi="Calibri" w:eastAsia="宋体" w:cs="Times New Roman"/>
      <w:szCs w:val="22"/>
    </w:rPr>
  </w:style>
  <w:style w:type="paragraph" w:styleId="7">
    <w:name w:val="Normal Indent"/>
    <w:basedOn w:val="1"/>
    <w:link w:val="58"/>
    <w:uiPriority w:val="0"/>
    <w:pPr>
      <w:ind w:firstLine="420"/>
    </w:pPr>
    <w:rPr>
      <w:rFonts w:ascii="Times New Roman" w:hAnsi="Times New Roman" w:eastAsia="宋体" w:cs="Times New Roman"/>
      <w:sz w:val="24"/>
      <w:szCs w:val="20"/>
    </w:rPr>
  </w:style>
  <w:style w:type="paragraph" w:styleId="8">
    <w:name w:val="caption"/>
    <w:basedOn w:val="1"/>
    <w:next w:val="1"/>
    <w:link w:val="108"/>
    <w:qFormat/>
    <w:uiPriority w:val="0"/>
    <w:pPr>
      <w:adjustRightInd w:val="0"/>
      <w:snapToGrid w:val="0"/>
      <w:spacing w:line="360" w:lineRule="auto"/>
      <w:jc w:val="center"/>
    </w:pPr>
    <w:rPr>
      <w:rFonts w:ascii="Times New Roman" w:hAnsi="Times New Roman" w:eastAsia="宋体" w:cs="Times New Roman"/>
      <w:b/>
      <w:szCs w:val="20"/>
    </w:rPr>
  </w:style>
  <w:style w:type="paragraph" w:styleId="9">
    <w:name w:val="Document Map"/>
    <w:basedOn w:val="1"/>
    <w:link w:val="88"/>
    <w:semiHidden/>
    <w:qFormat/>
    <w:uiPriority w:val="0"/>
    <w:pPr>
      <w:shd w:val="clear" w:color="auto" w:fill="000080"/>
    </w:pPr>
    <w:rPr>
      <w:rFonts w:ascii="Times New Roman" w:hAnsi="Times New Roman" w:eastAsia="宋体" w:cs="Times New Roman"/>
    </w:rPr>
  </w:style>
  <w:style w:type="paragraph" w:styleId="10">
    <w:name w:val="annotation text"/>
    <w:basedOn w:val="1"/>
    <w:link w:val="73"/>
    <w:uiPriority w:val="0"/>
    <w:pPr>
      <w:jc w:val="left"/>
    </w:pPr>
    <w:rPr>
      <w:rFonts w:ascii="Times New Roman" w:hAnsi="Times New Roman" w:eastAsia="宋体" w:cs="Times New Roman"/>
    </w:rPr>
  </w:style>
  <w:style w:type="paragraph" w:styleId="11">
    <w:name w:val="Body Text 3"/>
    <w:basedOn w:val="1"/>
    <w:link w:val="67"/>
    <w:uiPriority w:val="0"/>
    <w:pPr>
      <w:spacing w:after="120"/>
    </w:pPr>
    <w:rPr>
      <w:rFonts w:ascii="Times New Roman" w:hAnsi="Times New Roman" w:eastAsia="宋体" w:cs="Times New Roman"/>
      <w:sz w:val="16"/>
      <w:szCs w:val="16"/>
    </w:rPr>
  </w:style>
  <w:style w:type="paragraph" w:styleId="12">
    <w:name w:val="Body Text"/>
    <w:basedOn w:val="1"/>
    <w:link w:val="55"/>
    <w:uiPriority w:val="0"/>
    <w:pPr>
      <w:spacing w:after="120"/>
    </w:pPr>
    <w:rPr>
      <w:rFonts w:ascii="Times New Roman" w:hAnsi="Times New Roman" w:eastAsia="宋体" w:cs="Times New Roman"/>
    </w:rPr>
  </w:style>
  <w:style w:type="paragraph" w:styleId="13">
    <w:name w:val="Body Text Indent"/>
    <w:basedOn w:val="1"/>
    <w:link w:val="60"/>
    <w:uiPriority w:val="0"/>
    <w:pPr>
      <w:spacing w:after="120"/>
      <w:ind w:left="420" w:leftChars="200"/>
    </w:pPr>
    <w:rPr>
      <w:rFonts w:ascii="Times New Roman" w:hAnsi="Times New Roman" w:eastAsia="宋体" w:cs="Times New Roman"/>
    </w:rPr>
  </w:style>
  <w:style w:type="paragraph" w:styleId="14">
    <w:name w:val="Block Text"/>
    <w:basedOn w:val="1"/>
    <w:qFormat/>
    <w:uiPriority w:val="0"/>
    <w:pPr>
      <w:spacing w:after="120" w:line="360" w:lineRule="auto"/>
      <w:ind w:left="1440" w:leftChars="700" w:right="1440" w:rightChars="700" w:firstLine="200" w:firstLineChars="200"/>
    </w:pPr>
    <w:rPr>
      <w:rFonts w:ascii="Times New Roman" w:hAnsi="Times New Roman" w:eastAsia="宋体" w:cs="Times New Roman"/>
      <w:sz w:val="24"/>
    </w:rPr>
  </w:style>
  <w:style w:type="paragraph" w:styleId="15">
    <w:name w:val="toc 5"/>
    <w:basedOn w:val="1"/>
    <w:next w:val="1"/>
    <w:unhideWhenUsed/>
    <w:uiPriority w:val="0"/>
    <w:pPr>
      <w:ind w:left="1680" w:leftChars="800"/>
    </w:pPr>
    <w:rPr>
      <w:rFonts w:ascii="Calibri" w:hAnsi="Calibri" w:eastAsia="宋体" w:cs="Times New Roman"/>
      <w:szCs w:val="22"/>
    </w:rPr>
  </w:style>
  <w:style w:type="paragraph" w:styleId="16">
    <w:name w:val="toc 3"/>
    <w:basedOn w:val="1"/>
    <w:next w:val="1"/>
    <w:qFormat/>
    <w:uiPriority w:val="0"/>
    <w:pPr>
      <w:jc w:val="center"/>
    </w:pPr>
    <w:rPr>
      <w:rFonts w:ascii="Times New Roman" w:hAnsi="Times New Roman" w:eastAsia="宋体" w:cs="Times New Roman"/>
    </w:rPr>
  </w:style>
  <w:style w:type="paragraph" w:styleId="17">
    <w:name w:val="Plain Text"/>
    <w:basedOn w:val="1"/>
    <w:link w:val="56"/>
    <w:qFormat/>
    <w:uiPriority w:val="99"/>
    <w:pPr>
      <w:spacing w:line="240" w:lineRule="atLeast"/>
    </w:pPr>
    <w:rPr>
      <w:rFonts w:ascii="宋体" w:hAnsi="Courier New" w:eastAsia="宋体" w:cs="Times New Roman"/>
      <w:sz w:val="28"/>
      <w:szCs w:val="20"/>
    </w:rPr>
  </w:style>
  <w:style w:type="paragraph" w:styleId="18">
    <w:name w:val="toc 8"/>
    <w:basedOn w:val="1"/>
    <w:next w:val="1"/>
    <w:unhideWhenUsed/>
    <w:qFormat/>
    <w:uiPriority w:val="0"/>
    <w:pPr>
      <w:ind w:left="2940" w:leftChars="1400"/>
    </w:pPr>
    <w:rPr>
      <w:rFonts w:ascii="Calibri" w:hAnsi="Calibri" w:eastAsia="宋体" w:cs="Times New Roman"/>
      <w:szCs w:val="22"/>
    </w:rPr>
  </w:style>
  <w:style w:type="paragraph" w:styleId="19">
    <w:name w:val="Date"/>
    <w:basedOn w:val="1"/>
    <w:next w:val="1"/>
    <w:link w:val="148"/>
    <w:uiPriority w:val="0"/>
    <w:pPr>
      <w:spacing w:line="360" w:lineRule="auto"/>
      <w:ind w:firstLine="200" w:firstLineChars="200"/>
    </w:pPr>
    <w:rPr>
      <w:rFonts w:ascii="Times New Roman" w:hAnsi="Times New Roman" w:eastAsia="宋体" w:cs="Times New Roman"/>
      <w:sz w:val="28"/>
      <w:szCs w:val="20"/>
    </w:rPr>
  </w:style>
  <w:style w:type="paragraph" w:styleId="20">
    <w:name w:val="Body Text Indent 2"/>
    <w:basedOn w:val="1"/>
    <w:link w:val="72"/>
    <w:qFormat/>
    <w:uiPriority w:val="0"/>
    <w:pPr>
      <w:spacing w:after="120" w:line="480" w:lineRule="auto"/>
      <w:ind w:left="420" w:leftChars="200"/>
    </w:pPr>
    <w:rPr>
      <w:rFonts w:ascii="Times New Roman" w:hAnsi="Times New Roman" w:eastAsia="宋体" w:cs="Times New Roman"/>
    </w:rPr>
  </w:style>
  <w:style w:type="paragraph" w:styleId="21">
    <w:name w:val="Balloon Text"/>
    <w:basedOn w:val="1"/>
    <w:link w:val="64"/>
    <w:qFormat/>
    <w:uiPriority w:val="0"/>
    <w:rPr>
      <w:rFonts w:eastAsia="宋体"/>
      <w:b/>
      <w:bCs/>
      <w:szCs w:val="32"/>
    </w:rPr>
  </w:style>
  <w:style w:type="paragraph" w:styleId="22">
    <w:name w:val="footer"/>
    <w:basedOn w:val="1"/>
    <w:link w:val="51"/>
    <w:unhideWhenUsed/>
    <w:qFormat/>
    <w:uiPriority w:val="99"/>
    <w:pPr>
      <w:tabs>
        <w:tab w:val="center" w:pos="4153"/>
        <w:tab w:val="right" w:pos="8306"/>
      </w:tabs>
      <w:snapToGrid w:val="0"/>
      <w:jc w:val="left"/>
    </w:pPr>
    <w:rPr>
      <w:sz w:val="18"/>
      <w:szCs w:val="18"/>
    </w:rPr>
  </w:style>
  <w:style w:type="paragraph" w:styleId="23">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rPr>
      <w:rFonts w:ascii="Times New Roman" w:hAnsi="Times New Roman" w:eastAsia="宋体" w:cs="Times New Roman"/>
    </w:rPr>
  </w:style>
  <w:style w:type="paragraph" w:styleId="25">
    <w:name w:val="toc 4"/>
    <w:basedOn w:val="1"/>
    <w:next w:val="1"/>
    <w:unhideWhenUsed/>
    <w:qFormat/>
    <w:uiPriority w:val="0"/>
    <w:pPr>
      <w:ind w:left="1260" w:leftChars="600"/>
    </w:pPr>
    <w:rPr>
      <w:rFonts w:ascii="Calibri" w:hAnsi="Calibri" w:eastAsia="宋体" w:cs="Times New Roman"/>
      <w:szCs w:val="22"/>
    </w:rPr>
  </w:style>
  <w:style w:type="paragraph" w:styleId="26">
    <w:name w:val="Subtitle"/>
    <w:basedOn w:val="1"/>
    <w:next w:val="1"/>
    <w:link w:val="156"/>
    <w:qFormat/>
    <w:uiPriority w:val="0"/>
    <w:pPr>
      <w:spacing w:before="160" w:after="200" w:line="360" w:lineRule="auto"/>
      <w:ind w:firstLine="200" w:firstLineChars="200"/>
      <w:jc w:val="center"/>
      <w:outlineLvl w:val="1"/>
    </w:pPr>
    <w:rPr>
      <w:rFonts w:ascii="Cambria" w:hAnsi="Cambria" w:eastAsia="宋体" w:cs="Times New Roman"/>
      <w:b/>
      <w:bCs/>
      <w:kern w:val="28"/>
      <w:sz w:val="32"/>
      <w:szCs w:val="32"/>
    </w:rPr>
  </w:style>
  <w:style w:type="paragraph" w:styleId="27">
    <w:name w:val="List"/>
    <w:basedOn w:val="1"/>
    <w:qFormat/>
    <w:uiPriority w:val="0"/>
    <w:pPr>
      <w:ind w:left="200" w:hanging="200" w:hangingChars="200"/>
    </w:pPr>
    <w:rPr>
      <w:rFonts w:ascii="Times New Roman" w:hAnsi="Times New Roman" w:eastAsia="宋体" w:cs="Times New Roman"/>
      <w:szCs w:val="20"/>
    </w:rPr>
  </w:style>
  <w:style w:type="paragraph" w:styleId="28">
    <w:name w:val="toc 6"/>
    <w:basedOn w:val="1"/>
    <w:next w:val="1"/>
    <w:unhideWhenUsed/>
    <w:qFormat/>
    <w:uiPriority w:val="0"/>
    <w:pPr>
      <w:ind w:left="2100" w:leftChars="1000"/>
    </w:pPr>
    <w:rPr>
      <w:rFonts w:ascii="Calibri" w:hAnsi="Calibri" w:eastAsia="宋体" w:cs="Times New Roman"/>
      <w:szCs w:val="22"/>
    </w:rPr>
  </w:style>
  <w:style w:type="paragraph" w:styleId="29">
    <w:name w:val="Body Text Indent 3"/>
    <w:basedOn w:val="1"/>
    <w:link w:val="66"/>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qFormat/>
    <w:uiPriority w:val="0"/>
    <w:pPr>
      <w:ind w:left="420" w:leftChars="200"/>
    </w:pPr>
    <w:rPr>
      <w:rFonts w:ascii="Times New Roman" w:hAnsi="Times New Roman" w:eastAsia="宋体" w:cs="Times New Roman"/>
    </w:rPr>
  </w:style>
  <w:style w:type="paragraph" w:styleId="31">
    <w:name w:val="toc 9"/>
    <w:basedOn w:val="1"/>
    <w:next w:val="1"/>
    <w:unhideWhenUsed/>
    <w:qFormat/>
    <w:uiPriority w:val="0"/>
    <w:pPr>
      <w:ind w:left="3360" w:leftChars="1600"/>
    </w:pPr>
    <w:rPr>
      <w:rFonts w:ascii="Calibri" w:hAnsi="Calibri" w:eastAsia="宋体" w:cs="Times New Roman"/>
      <w:szCs w:val="22"/>
    </w:rPr>
  </w:style>
  <w:style w:type="paragraph" w:styleId="32">
    <w:name w:val="Body Text 2"/>
    <w:basedOn w:val="1"/>
    <w:link w:val="69"/>
    <w:qFormat/>
    <w:uiPriority w:val="0"/>
    <w:pPr>
      <w:spacing w:after="120" w:line="480" w:lineRule="auto"/>
    </w:pPr>
    <w:rPr>
      <w:rFonts w:ascii="Times New Roman" w:hAnsi="Times New Roman" w:eastAsia="宋体" w:cs="Times New Roman"/>
    </w:rPr>
  </w:style>
  <w:style w:type="paragraph" w:styleId="33">
    <w:name w:val="HTML Preformatted"/>
    <w:basedOn w:val="1"/>
    <w:link w:val="7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5">
    <w:name w:val="Title"/>
    <w:basedOn w:val="1"/>
    <w:next w:val="1"/>
    <w:link w:val="49"/>
    <w:qFormat/>
    <w:uiPriority w:val="0"/>
    <w:pPr>
      <w:spacing w:before="240" w:after="60"/>
      <w:jc w:val="center"/>
      <w:outlineLvl w:val="0"/>
    </w:pPr>
    <w:rPr>
      <w:rFonts w:eastAsia="宋体" w:asciiTheme="majorHAnsi" w:hAnsiTheme="majorHAnsi" w:cstheme="majorBidi"/>
      <w:b/>
      <w:bCs/>
      <w:sz w:val="32"/>
      <w:szCs w:val="32"/>
    </w:rPr>
  </w:style>
  <w:style w:type="paragraph" w:styleId="36">
    <w:name w:val="annotation subject"/>
    <w:basedOn w:val="10"/>
    <w:next w:val="10"/>
    <w:link w:val="96"/>
    <w:qFormat/>
    <w:uiPriority w:val="0"/>
    <w:rPr>
      <w:b/>
      <w:bCs/>
    </w:rPr>
  </w:style>
  <w:style w:type="paragraph" w:styleId="37">
    <w:name w:val="Body Text First Indent"/>
    <w:basedOn w:val="12"/>
    <w:link w:val="204"/>
    <w:qFormat/>
    <w:uiPriority w:val="0"/>
    <w:pPr>
      <w:spacing w:line="360" w:lineRule="auto"/>
      <w:ind w:firstLine="420" w:firstLineChars="100"/>
    </w:pPr>
    <w:rPr>
      <w:sz w:val="24"/>
    </w:rPr>
  </w:style>
  <w:style w:type="paragraph" w:styleId="38">
    <w:name w:val="Body Text First Indent 2"/>
    <w:basedOn w:val="13"/>
    <w:link w:val="61"/>
    <w:qFormat/>
    <w:uiPriority w:val="0"/>
    <w:pPr>
      <w:ind w:firstLine="420" w:firstLineChars="200"/>
    </w:pPr>
  </w:style>
  <w:style w:type="table" w:styleId="40">
    <w:name w:val="Table Grid"/>
    <w:basedOn w:val="39"/>
    <w:qFormat/>
    <w:uiPriority w:val="59"/>
    <w:pPr>
      <w:widowControl w:val="0"/>
      <w:jc w:val="both"/>
    </w:pPr>
    <w:rPr>
      <w:rFonts w:eastAsia="宋体"/>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rFonts w:eastAsia="Times New Roman"/>
      <w:iCs/>
      <w:sz w:val="24"/>
    </w:rPr>
  </w:style>
  <w:style w:type="character" w:styleId="46">
    <w:name w:val="Hyperlink"/>
    <w:qFormat/>
    <w:uiPriority w:val="99"/>
    <w:rPr>
      <w:color w:val="0000FF"/>
      <w:u w:val="single"/>
    </w:rPr>
  </w:style>
  <w:style w:type="character" w:styleId="47">
    <w:name w:val="annotation reference"/>
    <w:semiHidden/>
    <w:qFormat/>
    <w:uiPriority w:val="0"/>
    <w:rPr>
      <w:sz w:val="21"/>
      <w:szCs w:val="21"/>
    </w:rPr>
  </w:style>
  <w:style w:type="character" w:customStyle="1" w:styleId="48">
    <w:name w:val="标题 1 Char"/>
    <w:basedOn w:val="41"/>
    <w:link w:val="3"/>
    <w:qFormat/>
    <w:uiPriority w:val="0"/>
    <w:rPr>
      <w:b/>
      <w:bCs/>
      <w:kern w:val="44"/>
      <w:sz w:val="44"/>
      <w:szCs w:val="44"/>
    </w:rPr>
  </w:style>
  <w:style w:type="character" w:customStyle="1" w:styleId="49">
    <w:name w:val="标题 Char"/>
    <w:basedOn w:val="41"/>
    <w:link w:val="35"/>
    <w:qFormat/>
    <w:uiPriority w:val="0"/>
    <w:rPr>
      <w:rFonts w:eastAsia="宋体" w:asciiTheme="majorHAnsi" w:hAnsiTheme="majorHAnsi" w:cstheme="majorBidi"/>
      <w:b/>
      <w:bCs/>
      <w:sz w:val="32"/>
      <w:szCs w:val="32"/>
    </w:rPr>
  </w:style>
  <w:style w:type="character" w:customStyle="1" w:styleId="50">
    <w:name w:val="页眉 Char"/>
    <w:basedOn w:val="41"/>
    <w:link w:val="23"/>
    <w:qFormat/>
    <w:uiPriority w:val="99"/>
    <w:rPr>
      <w:sz w:val="18"/>
      <w:szCs w:val="18"/>
    </w:rPr>
  </w:style>
  <w:style w:type="character" w:customStyle="1" w:styleId="51">
    <w:name w:val="页脚 Char"/>
    <w:basedOn w:val="41"/>
    <w:link w:val="22"/>
    <w:qFormat/>
    <w:uiPriority w:val="99"/>
    <w:rPr>
      <w:sz w:val="18"/>
      <w:szCs w:val="18"/>
    </w:rPr>
  </w:style>
  <w:style w:type="character" w:customStyle="1" w:styleId="52">
    <w:name w:val="标题 2 Char"/>
    <w:basedOn w:val="41"/>
    <w:link w:val="4"/>
    <w:qFormat/>
    <w:uiPriority w:val="0"/>
    <w:rPr>
      <w:rFonts w:ascii="Arial" w:hAnsi="Arial" w:eastAsia="黑体" w:cs="Times New Roman"/>
      <w:b/>
      <w:bCs/>
      <w:sz w:val="32"/>
      <w:szCs w:val="32"/>
    </w:rPr>
  </w:style>
  <w:style w:type="character" w:customStyle="1" w:styleId="53">
    <w:name w:val="标题 3 Char"/>
    <w:basedOn w:val="41"/>
    <w:link w:val="5"/>
    <w:qFormat/>
    <w:uiPriority w:val="0"/>
    <w:rPr>
      <w:rFonts w:ascii="长城仿宋体" w:hAnsi="宋体" w:eastAsia="长城仿宋体" w:cs="Times New Roman"/>
      <w:b/>
      <w:sz w:val="24"/>
      <w:szCs w:val="28"/>
    </w:rPr>
  </w:style>
  <w:style w:type="paragraph" w:customStyle="1" w:styleId="54">
    <w:name w:val="样式 标题 2标题 2XWh2l22nd levelTitre2Header 2节标题 1.1BSH-2标题 ..."/>
    <w:basedOn w:val="4"/>
    <w:next w:val="1"/>
    <w:qFormat/>
    <w:uiPriority w:val="0"/>
    <w:pPr>
      <w:spacing w:before="480" w:after="0" w:line="360" w:lineRule="auto"/>
    </w:pPr>
    <w:rPr>
      <w:rFonts w:ascii="宋体" w:hAnsi="宋体" w:eastAsia="宋体" w:cs="宋体"/>
      <w:snapToGrid w:val="0"/>
      <w:color w:val="008000"/>
      <w:kern w:val="0"/>
      <w:sz w:val="30"/>
      <w:szCs w:val="20"/>
    </w:rPr>
  </w:style>
  <w:style w:type="character" w:customStyle="1" w:styleId="55">
    <w:name w:val="正文文本 Char"/>
    <w:basedOn w:val="41"/>
    <w:link w:val="12"/>
    <w:qFormat/>
    <w:uiPriority w:val="0"/>
    <w:rPr>
      <w:rFonts w:ascii="Times New Roman" w:hAnsi="Times New Roman" w:eastAsia="宋体" w:cs="Times New Roman"/>
      <w:szCs w:val="24"/>
    </w:rPr>
  </w:style>
  <w:style w:type="character" w:customStyle="1" w:styleId="56">
    <w:name w:val="纯文本 Char"/>
    <w:basedOn w:val="41"/>
    <w:link w:val="17"/>
    <w:qFormat/>
    <w:uiPriority w:val="99"/>
    <w:rPr>
      <w:rFonts w:ascii="宋体" w:hAnsi="Courier New" w:eastAsia="宋体" w:cs="Times New Roman"/>
      <w:sz w:val="28"/>
      <w:szCs w:val="20"/>
    </w:rPr>
  </w:style>
  <w:style w:type="character" w:customStyle="1" w:styleId="57">
    <w:name w:val="专业网格 Char"/>
    <w:qFormat/>
    <w:uiPriority w:val="59"/>
    <w:rPr>
      <w:rFonts w:eastAsia="宋体"/>
      <w:kern w:val="2"/>
      <w:sz w:val="21"/>
      <w:szCs w:val="21"/>
      <w:lang w:val="en-US" w:eastAsia="zh-CN" w:bidi="ar-SA"/>
    </w:rPr>
  </w:style>
  <w:style w:type="character" w:customStyle="1" w:styleId="58">
    <w:name w:val="正文缩进 Char1"/>
    <w:link w:val="7"/>
    <w:qFormat/>
    <w:uiPriority w:val="0"/>
    <w:rPr>
      <w:rFonts w:ascii="Times New Roman" w:hAnsi="Times New Roman" w:eastAsia="宋体" w:cs="Times New Roman"/>
      <w:sz w:val="24"/>
      <w:szCs w:val="20"/>
    </w:rPr>
  </w:style>
  <w:style w:type="paragraph" w:customStyle="1" w:styleId="59">
    <w:name w:val="样式1"/>
    <w:basedOn w:val="1"/>
    <w:qFormat/>
    <w:uiPriority w:val="0"/>
    <w:pPr>
      <w:spacing w:line="360" w:lineRule="auto"/>
      <w:ind w:firstLine="510"/>
    </w:pPr>
    <w:rPr>
      <w:rFonts w:ascii="Times New Roman" w:hAnsi="Times New Roman" w:eastAsia="宋体" w:cs="Times New Roman"/>
      <w:sz w:val="24"/>
      <w:szCs w:val="20"/>
    </w:rPr>
  </w:style>
  <w:style w:type="character" w:customStyle="1" w:styleId="60">
    <w:name w:val="正文文本缩进 Char"/>
    <w:basedOn w:val="41"/>
    <w:link w:val="13"/>
    <w:qFormat/>
    <w:uiPriority w:val="0"/>
    <w:rPr>
      <w:rFonts w:ascii="Times New Roman" w:hAnsi="Times New Roman" w:eastAsia="宋体" w:cs="Times New Roman"/>
      <w:szCs w:val="24"/>
    </w:rPr>
  </w:style>
  <w:style w:type="character" w:customStyle="1" w:styleId="61">
    <w:name w:val="正文首行缩进 2 Char"/>
    <w:basedOn w:val="60"/>
    <w:link w:val="38"/>
    <w:qFormat/>
    <w:uiPriority w:val="0"/>
    <w:rPr>
      <w:rFonts w:ascii="Times New Roman" w:hAnsi="Times New Roman" w:eastAsia="宋体" w:cs="Times New Roman"/>
      <w:szCs w:val="24"/>
    </w:rPr>
  </w:style>
  <w:style w:type="paragraph" w:customStyle="1" w:styleId="62">
    <w:name w:val="正正正文"/>
    <w:basedOn w:val="1"/>
    <w:link w:val="63"/>
    <w:qFormat/>
    <w:uiPriority w:val="0"/>
    <w:pPr>
      <w:numPr>
        <w:ilvl w:val="0"/>
        <w:numId w:val="1"/>
      </w:numPr>
      <w:snapToGrid w:val="0"/>
      <w:spacing w:line="360" w:lineRule="auto"/>
      <w:ind w:left="959"/>
      <w:jc w:val="left"/>
    </w:pPr>
    <w:rPr>
      <w:rFonts w:ascii="宋体" w:hAnsi="宋体" w:eastAsia="宋体" w:cs="Times New Roman"/>
      <w:snapToGrid w:val="0"/>
      <w:kern w:val="44"/>
      <w:sz w:val="24"/>
    </w:rPr>
  </w:style>
  <w:style w:type="character" w:customStyle="1" w:styleId="63">
    <w:name w:val="正正正文 Char"/>
    <w:link w:val="62"/>
    <w:qFormat/>
    <w:uiPriority w:val="0"/>
    <w:rPr>
      <w:rFonts w:ascii="宋体" w:hAnsi="宋体" w:eastAsia="宋体" w:cs="Times New Roman"/>
      <w:snapToGrid w:val="0"/>
      <w:kern w:val="44"/>
      <w:sz w:val="24"/>
      <w:szCs w:val="24"/>
    </w:rPr>
  </w:style>
  <w:style w:type="character" w:customStyle="1" w:styleId="64">
    <w:name w:val="批注框文本 Char"/>
    <w:link w:val="21"/>
    <w:qFormat/>
    <w:uiPriority w:val="0"/>
    <w:rPr>
      <w:rFonts w:eastAsia="宋体"/>
      <w:b/>
      <w:bCs/>
      <w:szCs w:val="32"/>
    </w:rPr>
  </w:style>
  <w:style w:type="character" w:customStyle="1" w:styleId="65">
    <w:name w:val="批注框文本 Char1"/>
    <w:basedOn w:val="41"/>
    <w:semiHidden/>
    <w:qFormat/>
    <w:uiPriority w:val="99"/>
    <w:rPr>
      <w:sz w:val="18"/>
      <w:szCs w:val="18"/>
    </w:rPr>
  </w:style>
  <w:style w:type="character" w:customStyle="1" w:styleId="66">
    <w:name w:val="正文文本缩进 3 Char"/>
    <w:basedOn w:val="41"/>
    <w:link w:val="29"/>
    <w:qFormat/>
    <w:uiPriority w:val="0"/>
    <w:rPr>
      <w:rFonts w:ascii="Times New Roman" w:hAnsi="Times New Roman" w:eastAsia="宋体" w:cs="Times New Roman"/>
      <w:sz w:val="16"/>
      <w:szCs w:val="16"/>
    </w:rPr>
  </w:style>
  <w:style w:type="character" w:customStyle="1" w:styleId="67">
    <w:name w:val="正文文本 3 Char"/>
    <w:basedOn w:val="41"/>
    <w:link w:val="11"/>
    <w:qFormat/>
    <w:uiPriority w:val="0"/>
    <w:rPr>
      <w:rFonts w:ascii="Times New Roman" w:hAnsi="Times New Roman" w:eastAsia="宋体" w:cs="Times New Roman"/>
      <w:sz w:val="16"/>
      <w:szCs w:val="16"/>
    </w:rPr>
  </w:style>
  <w:style w:type="paragraph" w:customStyle="1" w:styleId="68">
    <w:name w:val="表格文字1"/>
    <w:basedOn w:val="1"/>
    <w:qFormat/>
    <w:uiPriority w:val="0"/>
    <w:pPr>
      <w:snapToGrid w:val="0"/>
      <w:spacing w:line="360" w:lineRule="auto"/>
      <w:jc w:val="center"/>
    </w:pPr>
    <w:rPr>
      <w:rFonts w:ascii="Times New Roman" w:hAnsi="Times New Roman" w:eastAsia="宋体" w:cs="Times New Roman"/>
      <w:snapToGrid w:val="0"/>
      <w:kern w:val="0"/>
      <w:szCs w:val="21"/>
    </w:rPr>
  </w:style>
  <w:style w:type="character" w:customStyle="1" w:styleId="69">
    <w:name w:val="正文文本 2 Char"/>
    <w:basedOn w:val="41"/>
    <w:link w:val="32"/>
    <w:qFormat/>
    <w:uiPriority w:val="0"/>
    <w:rPr>
      <w:rFonts w:ascii="Times New Roman" w:hAnsi="Times New Roman" w:eastAsia="宋体" w:cs="Times New Roman"/>
      <w:szCs w:val="24"/>
    </w:rPr>
  </w:style>
  <w:style w:type="character" w:customStyle="1" w:styleId="70">
    <w:name w:val="HTML 预设格式 Char"/>
    <w:basedOn w:val="41"/>
    <w:link w:val="33"/>
    <w:qFormat/>
    <w:uiPriority w:val="99"/>
    <w:rPr>
      <w:rFonts w:ascii="Arial Unicode MS" w:hAnsi="Arial Unicode MS" w:eastAsia="Arial Unicode MS" w:cs="Arial Unicode MS"/>
      <w:kern w:val="0"/>
      <w:sz w:val="20"/>
      <w:szCs w:val="20"/>
    </w:rPr>
  </w:style>
  <w:style w:type="paragraph" w:customStyle="1" w:styleId="71">
    <w:name w:val="段"/>
    <w:basedOn w:val="1"/>
    <w:qFormat/>
    <w:uiPriority w:val="0"/>
    <w:pPr>
      <w:overflowPunct w:val="0"/>
      <w:topLinePunct/>
      <w:spacing w:line="360" w:lineRule="auto"/>
      <w:ind w:firstLine="560" w:firstLineChars="200"/>
    </w:pPr>
    <w:rPr>
      <w:rFonts w:ascii="宋体" w:hAnsi="宋体" w:eastAsia="宋体" w:cs="Times New Roman"/>
      <w:color w:val="000000"/>
      <w:sz w:val="28"/>
      <w:szCs w:val="28"/>
    </w:rPr>
  </w:style>
  <w:style w:type="character" w:customStyle="1" w:styleId="72">
    <w:name w:val="正文文本缩进 2 Char"/>
    <w:basedOn w:val="41"/>
    <w:link w:val="20"/>
    <w:qFormat/>
    <w:uiPriority w:val="0"/>
    <w:rPr>
      <w:rFonts w:ascii="Times New Roman" w:hAnsi="Times New Roman" w:eastAsia="宋体" w:cs="Times New Roman"/>
      <w:szCs w:val="24"/>
    </w:rPr>
  </w:style>
  <w:style w:type="character" w:customStyle="1" w:styleId="73">
    <w:name w:val="批注文字 Char"/>
    <w:basedOn w:val="41"/>
    <w:link w:val="10"/>
    <w:qFormat/>
    <w:uiPriority w:val="0"/>
    <w:rPr>
      <w:rFonts w:ascii="Times New Roman" w:hAnsi="Times New Roman" w:eastAsia="宋体" w:cs="Times New Roman"/>
      <w:szCs w:val="24"/>
    </w:rPr>
  </w:style>
  <w:style w:type="paragraph" w:customStyle="1" w:styleId="74">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kern w:val="0"/>
      <w:sz w:val="28"/>
      <w:szCs w:val="20"/>
      <w:lang w:val="en-US" w:eastAsia="zh-CN" w:bidi="ar-SA"/>
    </w:rPr>
  </w:style>
  <w:style w:type="paragraph" w:customStyle="1" w:styleId="75">
    <w:name w:val="样式5"/>
    <w:basedOn w:val="1"/>
    <w:qFormat/>
    <w:uiPriority w:val="0"/>
    <w:pPr>
      <w:spacing w:line="500" w:lineRule="exact"/>
      <w:ind w:firstLine="527"/>
    </w:pPr>
    <w:rPr>
      <w:rFonts w:ascii="Times New Roman" w:hAnsi="Times New Roman" w:eastAsia="仿宋_GB2312" w:cs="Times New Roman"/>
      <w:sz w:val="28"/>
      <w:szCs w:val="20"/>
    </w:rPr>
  </w:style>
  <w:style w:type="paragraph" w:customStyle="1" w:styleId="76">
    <w:name w:val="表格文字"/>
    <w:basedOn w:val="1"/>
    <w:link w:val="95"/>
    <w:qFormat/>
    <w:uiPriority w:val="0"/>
    <w:pPr>
      <w:spacing w:line="320" w:lineRule="exact"/>
      <w:jc w:val="center"/>
    </w:pPr>
    <w:rPr>
      <w:rFonts w:ascii="Times New Roman" w:hAnsi="Times New Roman" w:eastAsia="宋体" w:cs="Times New Roman"/>
      <w:sz w:val="24"/>
    </w:rPr>
  </w:style>
  <w:style w:type="character" w:customStyle="1" w:styleId="77">
    <w:name w:val="纯文本 Char Char1"/>
    <w:qFormat/>
    <w:uiPriority w:val="0"/>
    <w:rPr>
      <w:rFonts w:ascii="宋体" w:hAnsi="Courier New" w:eastAsia="宋体"/>
      <w:kern w:val="2"/>
      <w:sz w:val="21"/>
      <w:lang w:val="en-US" w:eastAsia="zh-CN" w:bidi="ar-SA"/>
    </w:rPr>
  </w:style>
  <w:style w:type="paragraph" w:styleId="7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9">
    <w:name w:val="Char Char"/>
    <w:qFormat/>
    <w:uiPriority w:val="0"/>
    <w:rPr>
      <w:rFonts w:eastAsia="宋体"/>
      <w:kern w:val="2"/>
      <w:sz w:val="21"/>
      <w:szCs w:val="21"/>
      <w:lang w:val="en-US" w:eastAsia="zh-CN" w:bidi="ar-SA"/>
    </w:rPr>
  </w:style>
  <w:style w:type="paragraph" w:customStyle="1" w:styleId="80">
    <w:name w:val="标题五"/>
    <w:basedOn w:val="1"/>
    <w:qFormat/>
    <w:uiPriority w:val="0"/>
    <w:pPr>
      <w:spacing w:line="500" w:lineRule="atLeast"/>
      <w:jc w:val="center"/>
    </w:pPr>
    <w:rPr>
      <w:rFonts w:ascii="宋体" w:hAnsi="宋体" w:eastAsia="宋体" w:cs="Times New Roman"/>
      <w:sz w:val="24"/>
    </w:rPr>
  </w:style>
  <w:style w:type="character" w:customStyle="1" w:styleId="81">
    <w:name w:val="at_6"/>
    <w:basedOn w:val="41"/>
    <w:qFormat/>
    <w:uiPriority w:val="0"/>
  </w:style>
  <w:style w:type="character" w:customStyle="1" w:styleId="82">
    <w:name w:val="headline-content2"/>
    <w:basedOn w:val="41"/>
    <w:uiPriority w:val="0"/>
  </w:style>
  <w:style w:type="paragraph" w:customStyle="1" w:styleId="83">
    <w:name w:val="表中值"/>
    <w:basedOn w:val="1"/>
    <w:qFormat/>
    <w:uiPriority w:val="0"/>
    <w:pPr>
      <w:keepLines/>
      <w:widowControl/>
      <w:spacing w:line="360" w:lineRule="exact"/>
      <w:jc w:val="center"/>
    </w:pPr>
    <w:rPr>
      <w:rFonts w:ascii="Times New Roman" w:hAnsi="Times New Roman" w:eastAsia="宋体" w:cs="Times New Roman"/>
      <w:spacing w:val="4"/>
      <w:szCs w:val="20"/>
    </w:rPr>
  </w:style>
  <w:style w:type="paragraph" w:customStyle="1" w:styleId="84">
    <w:name w:val="TOC Heading"/>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5">
    <w:name w:val="p0"/>
    <w:basedOn w:val="1"/>
    <w:uiPriority w:val="0"/>
    <w:pPr>
      <w:widowControl/>
      <w:spacing w:before="100" w:beforeAutospacing="1" w:after="100" w:afterAutospacing="1"/>
      <w:jc w:val="left"/>
    </w:pPr>
    <w:rPr>
      <w:rFonts w:ascii="宋体" w:hAnsi="宋体" w:eastAsia="宋体" w:cs="宋体"/>
      <w:kern w:val="0"/>
      <w:sz w:val="24"/>
    </w:rPr>
  </w:style>
  <w:style w:type="character" w:customStyle="1" w:styleId="86">
    <w:name w:val="bb141"/>
    <w:qFormat/>
    <w:uiPriority w:val="0"/>
    <w:rPr>
      <w:spacing w:val="360"/>
      <w:sz w:val="21"/>
      <w:szCs w:val="21"/>
    </w:rPr>
  </w:style>
  <w:style w:type="character" w:customStyle="1" w:styleId="87">
    <w:name w:val="表格 Char Char"/>
    <w:uiPriority w:val="0"/>
    <w:rPr>
      <w:rFonts w:eastAsia="宋体"/>
      <w:kern w:val="2"/>
      <w:sz w:val="21"/>
      <w:szCs w:val="21"/>
      <w:lang w:val="en-US" w:eastAsia="zh-CN" w:bidi="ar-SA"/>
    </w:rPr>
  </w:style>
  <w:style w:type="character" w:customStyle="1" w:styleId="88">
    <w:name w:val="文档结构图 Char"/>
    <w:basedOn w:val="41"/>
    <w:link w:val="9"/>
    <w:semiHidden/>
    <w:uiPriority w:val="0"/>
    <w:rPr>
      <w:rFonts w:ascii="Times New Roman" w:hAnsi="Times New Roman" w:eastAsia="宋体" w:cs="Times New Roman"/>
      <w:szCs w:val="24"/>
      <w:shd w:val="clear" w:color="auto" w:fill="000080"/>
    </w:rPr>
  </w:style>
  <w:style w:type="paragraph" w:customStyle="1" w:styleId="89">
    <w:name w:val="表标题"/>
    <w:basedOn w:val="1"/>
    <w:link w:val="90"/>
    <w:qFormat/>
    <w:uiPriority w:val="0"/>
    <w:pPr>
      <w:spacing w:beforeLines="50"/>
      <w:jc w:val="center"/>
    </w:pPr>
    <w:rPr>
      <w:rFonts w:ascii="Times New Roman" w:hAnsi="Times New Roman" w:eastAsia="宋体" w:cs="宋体"/>
      <w:b/>
      <w:sz w:val="24"/>
      <w:szCs w:val="22"/>
    </w:rPr>
  </w:style>
  <w:style w:type="character" w:customStyle="1" w:styleId="90">
    <w:name w:val="表标题 Char"/>
    <w:link w:val="89"/>
    <w:qFormat/>
    <w:uiPriority w:val="0"/>
    <w:rPr>
      <w:rFonts w:ascii="Times New Roman" w:hAnsi="Times New Roman" w:eastAsia="宋体" w:cs="宋体"/>
      <w:b/>
      <w:sz w:val="24"/>
    </w:rPr>
  </w:style>
  <w:style w:type="paragraph" w:customStyle="1" w:styleId="91">
    <w:name w:val="中文报告书样式"/>
    <w:basedOn w:val="1"/>
    <w:uiPriority w:val="0"/>
    <w:pPr>
      <w:adjustRightInd w:val="0"/>
      <w:spacing w:line="480" w:lineRule="atLeast"/>
      <w:ind w:firstLine="482"/>
      <w:textAlignment w:val="baseline"/>
    </w:pPr>
    <w:rPr>
      <w:rFonts w:ascii="Times New Roman" w:hAnsi="Times New Roman" w:eastAsia="宋体" w:cs="Times New Roman"/>
      <w:kern w:val="24"/>
      <w:sz w:val="24"/>
      <w:szCs w:val="20"/>
    </w:rPr>
  </w:style>
  <w:style w:type="paragraph" w:customStyle="1" w:styleId="92">
    <w:name w:val="报告书表格"/>
    <w:basedOn w:val="1"/>
    <w:qFormat/>
    <w:uiPriority w:val="0"/>
    <w:pPr>
      <w:adjustRightInd w:val="0"/>
      <w:spacing w:before="60" w:after="60" w:line="240" w:lineRule="atLeast"/>
      <w:jc w:val="center"/>
      <w:textAlignment w:val="baseline"/>
    </w:pPr>
    <w:rPr>
      <w:rFonts w:ascii="Times New Roman" w:hAnsi="Times New Roman" w:eastAsia="宋体" w:cs="Times New Roman"/>
      <w:kern w:val="0"/>
      <w:szCs w:val="20"/>
    </w:rPr>
  </w:style>
  <w:style w:type="paragraph" w:customStyle="1" w:styleId="93">
    <w:name w:val="中文报告书"/>
    <w:basedOn w:val="1"/>
    <w:uiPriority w:val="0"/>
    <w:pPr>
      <w:adjustRightInd w:val="0"/>
      <w:spacing w:after="80" w:line="420" w:lineRule="atLeast"/>
      <w:jc w:val="left"/>
      <w:textAlignment w:val="baseline"/>
    </w:pPr>
    <w:rPr>
      <w:rFonts w:ascii="Times New Roman" w:hAnsi="Times New Roman" w:eastAsia="宋体" w:cs="Times New Roman"/>
      <w:kern w:val="0"/>
      <w:sz w:val="24"/>
      <w:szCs w:val="20"/>
    </w:rPr>
  </w:style>
  <w:style w:type="character" w:customStyle="1" w:styleId="94">
    <w:name w:val="宏文本 Char"/>
    <w:basedOn w:val="41"/>
    <w:link w:val="2"/>
    <w:semiHidden/>
    <w:uiPriority w:val="0"/>
    <w:rPr>
      <w:rFonts w:ascii="Courier New" w:hAnsi="Courier New" w:eastAsia="宋体" w:cs="Courier New"/>
      <w:kern w:val="0"/>
      <w:sz w:val="24"/>
      <w:szCs w:val="24"/>
    </w:rPr>
  </w:style>
  <w:style w:type="character" w:customStyle="1" w:styleId="95">
    <w:name w:val="表格文字 Char"/>
    <w:link w:val="76"/>
    <w:uiPriority w:val="0"/>
    <w:rPr>
      <w:rFonts w:ascii="Times New Roman" w:hAnsi="Times New Roman" w:eastAsia="宋体" w:cs="Times New Roman"/>
      <w:sz w:val="24"/>
      <w:szCs w:val="24"/>
    </w:rPr>
  </w:style>
  <w:style w:type="character" w:customStyle="1" w:styleId="96">
    <w:name w:val="批注主题 Char"/>
    <w:basedOn w:val="73"/>
    <w:link w:val="36"/>
    <w:uiPriority w:val="0"/>
    <w:rPr>
      <w:rFonts w:ascii="Times New Roman" w:hAnsi="Times New Roman" w:eastAsia="宋体" w:cs="Times New Roman"/>
      <w:b/>
      <w:bCs/>
      <w:szCs w:val="24"/>
    </w:rPr>
  </w:style>
  <w:style w:type="paragraph" w:customStyle="1" w:styleId="97">
    <w:name w:val="晋宁路正文"/>
    <w:basedOn w:val="1"/>
    <w:qFormat/>
    <w:uiPriority w:val="0"/>
    <w:pPr>
      <w:adjustRightInd w:val="0"/>
      <w:snapToGrid w:val="0"/>
      <w:spacing w:line="360" w:lineRule="auto"/>
      <w:ind w:firstLine="480" w:firstLineChars="200"/>
    </w:pPr>
    <w:rPr>
      <w:rFonts w:ascii="Times New Roman" w:hAnsi="Times New Roman" w:eastAsia="宋体" w:cs="Times New Roman"/>
      <w:color w:val="000000"/>
      <w:kern w:val="0"/>
      <w:sz w:val="24"/>
    </w:rPr>
  </w:style>
  <w:style w:type="paragraph" w:customStyle="1" w:styleId="98">
    <w:name w:val="Char Char Char Char"/>
    <w:basedOn w:val="1"/>
    <w:semiHidden/>
    <w:qFormat/>
    <w:uiPriority w:val="0"/>
    <w:rPr>
      <w:rFonts w:ascii="Times New Roman" w:hAnsi="Times New Roman" w:eastAsia="宋体" w:cs="Times New Roman"/>
    </w:rPr>
  </w:style>
  <w:style w:type="character" w:customStyle="1" w:styleId="99">
    <w:name w:val="sdafuhsurjt1"/>
    <w:qFormat/>
    <w:uiPriority w:val="0"/>
    <w:rPr>
      <w:vanish/>
    </w:rPr>
  </w:style>
  <w:style w:type="paragraph" w:customStyle="1" w:styleId="100">
    <w:name w:val="表格头"/>
    <w:basedOn w:val="1"/>
    <w:uiPriority w:val="0"/>
    <w:pPr>
      <w:snapToGrid w:val="0"/>
      <w:ind w:left="105" w:leftChars="50" w:right="105" w:rightChars="50"/>
      <w:jc w:val="center"/>
    </w:pPr>
    <w:rPr>
      <w:rFonts w:ascii="Times New Roman" w:hAnsi="Times New Roman" w:eastAsia="宋体" w:cs="Times New Roman"/>
      <w:b/>
      <w:sz w:val="24"/>
    </w:rPr>
  </w:style>
  <w:style w:type="paragraph" w:customStyle="1" w:styleId="101">
    <w:name w:val="pic-info"/>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02">
    <w:name w:val="apple-style-span"/>
    <w:uiPriority w:val="0"/>
  </w:style>
  <w:style w:type="character" w:customStyle="1" w:styleId="103">
    <w:name w:val="表标题 Char Char"/>
    <w:qFormat/>
    <w:uiPriority w:val="0"/>
    <w:rPr>
      <w:rFonts w:ascii="华文新魏" w:eastAsia="华文新魏"/>
      <w:kern w:val="2"/>
      <w:sz w:val="24"/>
      <w:szCs w:val="24"/>
      <w:lang w:val="en-US" w:eastAsia="zh-CN" w:bidi="ar-SA"/>
    </w:rPr>
  </w:style>
  <w:style w:type="paragraph" w:customStyle="1" w:styleId="104">
    <w:name w:val="表头格式"/>
    <w:basedOn w:val="1"/>
    <w:uiPriority w:val="0"/>
    <w:pPr>
      <w:spacing w:beforeLines="50" w:line="360" w:lineRule="auto"/>
      <w:ind w:firstLine="200" w:firstLineChars="200"/>
      <w:jc w:val="center"/>
    </w:pPr>
    <w:rPr>
      <w:rFonts w:ascii="宋体" w:hAnsi="宋体" w:eastAsia="宋体" w:cs="Times New Roman"/>
      <w:b/>
      <w:color w:val="FF0000"/>
      <w:szCs w:val="21"/>
    </w:rPr>
  </w:style>
  <w:style w:type="paragraph" w:customStyle="1" w:styleId="105">
    <w:name w:val="图文"/>
    <w:basedOn w:val="1"/>
    <w:uiPriority w:val="0"/>
    <w:pPr>
      <w:spacing w:line="360" w:lineRule="auto"/>
      <w:jc w:val="center"/>
    </w:pPr>
    <w:rPr>
      <w:rFonts w:ascii="宋体" w:hAnsi="宋体" w:eastAsia="宋体" w:cs="Times New Roman"/>
      <w:color w:val="FF0000"/>
      <w:szCs w:val="21"/>
    </w:rPr>
  </w:style>
  <w:style w:type="character" w:customStyle="1" w:styleId="106">
    <w:name w:val="正文 Char Char"/>
    <w:link w:val="107"/>
    <w:uiPriority w:val="0"/>
    <w:rPr>
      <w:rFonts w:hAnsi="宋体"/>
      <w:color w:val="FF0000"/>
      <w:sz w:val="24"/>
      <w:szCs w:val="24"/>
    </w:rPr>
  </w:style>
  <w:style w:type="paragraph" w:customStyle="1" w:styleId="107">
    <w:name w:val="正文3"/>
    <w:basedOn w:val="1"/>
    <w:link w:val="106"/>
    <w:qFormat/>
    <w:uiPriority w:val="0"/>
    <w:pPr>
      <w:spacing w:line="360" w:lineRule="auto"/>
      <w:ind w:firstLine="200" w:firstLineChars="200"/>
    </w:pPr>
    <w:rPr>
      <w:rFonts w:hAnsi="宋体"/>
      <w:color w:val="FF0000"/>
      <w:sz w:val="24"/>
    </w:rPr>
  </w:style>
  <w:style w:type="character" w:customStyle="1" w:styleId="108">
    <w:name w:val="题注 Char"/>
    <w:link w:val="8"/>
    <w:qFormat/>
    <w:uiPriority w:val="0"/>
    <w:rPr>
      <w:rFonts w:ascii="Times New Roman" w:hAnsi="Times New Roman" w:eastAsia="宋体" w:cs="Times New Roman"/>
      <w:b/>
      <w:szCs w:val="20"/>
    </w:rPr>
  </w:style>
  <w:style w:type="paragraph" w:customStyle="1" w:styleId="109">
    <w:name w:val="正文01"/>
    <w:basedOn w:val="1"/>
    <w:qFormat/>
    <w:uiPriority w:val="0"/>
    <w:pPr>
      <w:spacing w:before="60" w:line="460" w:lineRule="exact"/>
      <w:ind w:firstLine="200" w:firstLineChars="200"/>
    </w:pPr>
    <w:rPr>
      <w:rFonts w:ascii="Times New Roman" w:hAnsi="Times New Roman" w:eastAsia="宋体" w:cs="Times New Roman"/>
      <w:sz w:val="24"/>
    </w:rPr>
  </w:style>
  <w:style w:type="character" w:customStyle="1" w:styleId="110">
    <w:name w:val="样式"/>
    <w:qFormat/>
    <w:uiPriority w:val="0"/>
    <w:rPr>
      <w:color w:val="auto"/>
      <w:spacing w:val="8"/>
      <w:w w:val="100"/>
      <w:position w:val="0"/>
    </w:rPr>
  </w:style>
  <w:style w:type="paragraph" w:customStyle="1" w:styleId="111">
    <w:name w:val="三级标题"/>
    <w:basedOn w:val="1"/>
    <w:qFormat/>
    <w:uiPriority w:val="0"/>
    <w:pPr>
      <w:autoSpaceDE w:val="0"/>
      <w:autoSpaceDN w:val="0"/>
      <w:adjustRightInd w:val="0"/>
      <w:spacing w:before="120" w:after="120" w:line="440" w:lineRule="exact"/>
      <w:jc w:val="left"/>
    </w:pPr>
    <w:rPr>
      <w:rFonts w:ascii="黑体" w:hAnsi="ˎ̥" w:eastAsia="黑体" w:cs="宋体"/>
      <w:sz w:val="28"/>
      <w:szCs w:val="28"/>
    </w:rPr>
  </w:style>
  <w:style w:type="character" w:customStyle="1" w:styleId="112">
    <w:name w:val="表格文字 Char Char"/>
    <w:qFormat/>
    <w:uiPriority w:val="0"/>
    <w:rPr>
      <w:rFonts w:eastAsia="宋体"/>
      <w:kern w:val="2"/>
      <w:position w:val="-28"/>
      <w:sz w:val="24"/>
      <w:lang w:val="en-US" w:eastAsia="zh-CN" w:bidi="ar-SA"/>
    </w:rPr>
  </w:style>
  <w:style w:type="paragraph" w:styleId="113">
    <w:name w:val="List Paragraph"/>
    <w:qFormat/>
    <w:uiPriority w:val="0"/>
    <w:pPr>
      <w:ind w:firstLine="420" w:firstLineChars="200"/>
    </w:pPr>
    <w:rPr>
      <w:rFonts w:ascii="Times New Roman" w:hAnsi="Times New Roman" w:eastAsia="宋体" w:cs="Times New Roman"/>
      <w:kern w:val="0"/>
      <w:sz w:val="20"/>
      <w:szCs w:val="20"/>
      <w:lang w:val="en-US" w:eastAsia="zh-CN" w:bidi="ar-SA"/>
    </w:rPr>
  </w:style>
  <w:style w:type="paragraph" w:customStyle="1" w:styleId="114">
    <w:name w:val="正文样式1"/>
    <w:basedOn w:val="1"/>
    <w:qFormat/>
    <w:uiPriority w:val="0"/>
    <w:pPr>
      <w:adjustRightInd w:val="0"/>
      <w:spacing w:line="288" w:lineRule="auto"/>
      <w:ind w:firstLine="360" w:firstLineChars="150"/>
      <w:textAlignment w:val="baseline"/>
    </w:pPr>
    <w:rPr>
      <w:rFonts w:ascii="Times New Roman" w:hAnsi="Times New Roman" w:eastAsia="宋体" w:cs="Times New Roman"/>
      <w:kern w:val="0"/>
      <w:sz w:val="24"/>
      <w:szCs w:val="20"/>
    </w:rPr>
  </w:style>
  <w:style w:type="character" w:customStyle="1" w:styleId="115">
    <w:name w:val="表格 Char"/>
    <w:qFormat/>
    <w:uiPriority w:val="0"/>
    <w:rPr>
      <w:rFonts w:ascii="Times New Roman" w:hAnsi="Times New Roman"/>
      <w:color w:val="000000"/>
      <w:spacing w:val="24"/>
      <w:sz w:val="21"/>
      <w:szCs w:val="21"/>
    </w:rPr>
  </w:style>
  <w:style w:type="paragraph" w:customStyle="1" w:styleId="116">
    <w:name w:val="Default"/>
    <w:qFormat/>
    <w:uiPriority w:val="0"/>
    <w:pPr>
      <w:widowControl w:val="0"/>
      <w:autoSpaceDE w:val="0"/>
      <w:autoSpaceDN w:val="0"/>
    </w:pPr>
    <w:rPr>
      <w:rFonts w:ascii="宋体" w:hAnsi="Times New Roman" w:eastAsia="宋体" w:cs="宋体"/>
      <w:color w:val="000000"/>
      <w:kern w:val="0"/>
      <w:sz w:val="24"/>
      <w:szCs w:val="24"/>
      <w:lang w:val="en-US" w:eastAsia="zh-CN" w:bidi="ar-SA"/>
    </w:rPr>
  </w:style>
  <w:style w:type="paragraph" w:customStyle="1" w:styleId="117">
    <w:name w:val="正文▲"/>
    <w:link w:val="118"/>
    <w:qFormat/>
    <w:uiPriority w:val="0"/>
    <w:pPr>
      <w:spacing w:line="360" w:lineRule="auto"/>
      <w:ind w:firstLine="200" w:firstLineChars="200"/>
    </w:pPr>
    <w:rPr>
      <w:rFonts w:ascii="Times New Roman" w:hAnsi="Times New Roman" w:eastAsia="宋体" w:cs="Times New Roman"/>
      <w:color w:val="000000"/>
      <w:kern w:val="2"/>
      <w:sz w:val="24"/>
      <w:szCs w:val="24"/>
      <w:lang w:val="en-US" w:eastAsia="zh-CN" w:bidi="ar-SA"/>
    </w:rPr>
  </w:style>
  <w:style w:type="character" w:customStyle="1" w:styleId="118">
    <w:name w:val="正文▲ Char"/>
    <w:link w:val="117"/>
    <w:qFormat/>
    <w:uiPriority w:val="0"/>
    <w:rPr>
      <w:rFonts w:ascii="Times New Roman" w:hAnsi="Times New Roman" w:eastAsia="宋体" w:cs="Times New Roman"/>
      <w:color w:val="000000"/>
      <w:sz w:val="24"/>
      <w:szCs w:val="24"/>
    </w:rPr>
  </w:style>
  <w:style w:type="paragraph" w:customStyle="1" w:styleId="119">
    <w:name w:val="小标题"/>
    <w:basedOn w:val="1"/>
    <w:next w:val="1"/>
    <w:link w:val="120"/>
    <w:qFormat/>
    <w:uiPriority w:val="0"/>
    <w:pPr>
      <w:spacing w:beforeLines="20" w:line="360" w:lineRule="auto"/>
      <w:ind w:firstLine="100" w:firstLineChars="100"/>
      <w:jc w:val="left"/>
    </w:pPr>
    <w:rPr>
      <w:rFonts w:ascii="Times New Roman" w:hAnsi="Times New Roman" w:eastAsia="宋体" w:cs="Times New Roman"/>
      <w:b/>
      <w:sz w:val="28"/>
    </w:rPr>
  </w:style>
  <w:style w:type="character" w:customStyle="1" w:styleId="120">
    <w:name w:val="小标题 Char"/>
    <w:link w:val="119"/>
    <w:qFormat/>
    <w:uiPriority w:val="0"/>
    <w:rPr>
      <w:rFonts w:ascii="Times New Roman" w:hAnsi="Times New Roman" w:eastAsia="宋体" w:cs="Times New Roman"/>
      <w:b/>
      <w:sz w:val="28"/>
      <w:szCs w:val="24"/>
    </w:rPr>
  </w:style>
  <w:style w:type="paragraph" w:customStyle="1" w:styleId="121">
    <w:name w:val="正文a"/>
    <w:basedOn w:val="1"/>
    <w:link w:val="122"/>
    <w:qFormat/>
    <w:uiPriority w:val="0"/>
    <w:pPr>
      <w:autoSpaceDE w:val="0"/>
      <w:spacing w:line="360" w:lineRule="auto"/>
      <w:ind w:firstLine="200" w:firstLineChars="200"/>
    </w:pPr>
    <w:rPr>
      <w:rFonts w:ascii="宋体" w:hAnsi="宋体" w:eastAsia="宋体" w:cs="Times New Roman"/>
      <w:b/>
      <w:sz w:val="24"/>
    </w:rPr>
  </w:style>
  <w:style w:type="character" w:customStyle="1" w:styleId="122">
    <w:name w:val="正文a Char"/>
    <w:link w:val="121"/>
    <w:qFormat/>
    <w:uiPriority w:val="0"/>
    <w:rPr>
      <w:rFonts w:ascii="宋体" w:hAnsi="宋体" w:eastAsia="宋体" w:cs="Times New Roman"/>
      <w:b/>
      <w:sz w:val="24"/>
      <w:szCs w:val="24"/>
    </w:rPr>
  </w:style>
  <w:style w:type="paragraph" w:customStyle="1" w:styleId="123">
    <w:name w:val="报告正文"/>
    <w:basedOn w:val="1"/>
    <w:link w:val="174"/>
    <w:qFormat/>
    <w:uiPriority w:val="0"/>
    <w:pPr>
      <w:tabs>
        <w:tab w:val="left" w:pos="0"/>
      </w:tabs>
      <w:spacing w:line="360" w:lineRule="auto"/>
      <w:ind w:hanging="360"/>
    </w:pPr>
    <w:rPr>
      <w:rFonts w:ascii="Times New Roman" w:hAnsi="宋体" w:eastAsia="宋体" w:cs="Times New Roman"/>
      <w:kern w:val="0"/>
      <w:sz w:val="24"/>
      <w:szCs w:val="20"/>
    </w:rPr>
  </w:style>
  <w:style w:type="paragraph" w:customStyle="1" w:styleId="124">
    <w:name w:val="环评正文"/>
    <w:basedOn w:val="1"/>
    <w:link w:val="125"/>
    <w:qFormat/>
    <w:uiPriority w:val="0"/>
    <w:pPr>
      <w:spacing w:line="360" w:lineRule="auto"/>
      <w:ind w:left="50" w:right="50" w:firstLine="482" w:firstLineChars="200"/>
    </w:pPr>
    <w:rPr>
      <w:rFonts w:ascii="Times New Roman" w:hAnsi="Times New Roman" w:cs="Times New Roman"/>
      <w:b/>
      <w:snapToGrid w:val="0"/>
      <w:kern w:val="0"/>
      <w:sz w:val="24"/>
      <w:szCs w:val="28"/>
    </w:rPr>
  </w:style>
  <w:style w:type="character" w:customStyle="1" w:styleId="125">
    <w:name w:val="环评正文 Char Char"/>
    <w:link w:val="124"/>
    <w:qFormat/>
    <w:uiPriority w:val="0"/>
    <w:rPr>
      <w:rFonts w:ascii="Times New Roman" w:hAnsi="Times New Roman" w:cs="Times New Roman"/>
      <w:b/>
      <w:snapToGrid w:val="0"/>
      <w:kern w:val="0"/>
      <w:sz w:val="24"/>
      <w:szCs w:val="28"/>
    </w:rPr>
  </w:style>
  <w:style w:type="paragraph" w:customStyle="1" w:styleId="126">
    <w:name w:val="南华正文"/>
    <w:basedOn w:val="1"/>
    <w:qFormat/>
    <w:uiPriority w:val="0"/>
    <w:pPr>
      <w:tabs>
        <w:tab w:val="left" w:pos="3795"/>
      </w:tabs>
      <w:adjustRightInd w:val="0"/>
      <w:snapToGrid w:val="0"/>
      <w:spacing w:line="360" w:lineRule="auto"/>
      <w:ind w:firstLine="482" w:firstLineChars="200"/>
      <w:jc w:val="left"/>
    </w:pPr>
    <w:rPr>
      <w:rFonts w:ascii="Times New Roman" w:hAnsi="Times New Roman" w:eastAsia="宋体" w:cs="Times New Roman"/>
      <w:color w:val="000000"/>
      <w:sz w:val="24"/>
      <w:szCs w:val="20"/>
    </w:rPr>
  </w:style>
  <w:style w:type="paragraph" w:customStyle="1" w:styleId="127">
    <w:name w:val="报告表格"/>
    <w:basedOn w:val="1"/>
    <w:link w:val="128"/>
    <w:qFormat/>
    <w:uiPriority w:val="0"/>
    <w:pPr>
      <w:widowControl/>
      <w:autoSpaceDE w:val="0"/>
      <w:autoSpaceDN w:val="0"/>
      <w:adjustRightInd w:val="0"/>
      <w:snapToGrid w:val="0"/>
      <w:spacing w:before="40" w:after="40" w:line="360" w:lineRule="auto"/>
      <w:ind w:firstLine="200" w:firstLineChars="200"/>
      <w:jc w:val="center"/>
    </w:pPr>
    <w:rPr>
      <w:rFonts w:ascii="Times New Roman" w:hAnsi="Times New Roman" w:eastAsia="宋体" w:cs="Times New Roman"/>
      <w:kern w:val="0"/>
      <w:sz w:val="24"/>
      <w:szCs w:val="20"/>
    </w:rPr>
  </w:style>
  <w:style w:type="character" w:customStyle="1" w:styleId="128">
    <w:name w:val="报告表格 Char"/>
    <w:link w:val="127"/>
    <w:qFormat/>
    <w:uiPriority w:val="0"/>
    <w:rPr>
      <w:rFonts w:ascii="Times New Roman" w:hAnsi="Times New Roman" w:eastAsia="宋体" w:cs="Times New Roman"/>
      <w:kern w:val="0"/>
      <w:sz w:val="24"/>
      <w:szCs w:val="20"/>
    </w:rPr>
  </w:style>
  <w:style w:type="character" w:customStyle="1" w:styleId="129">
    <w:name w:val="表的标题 Char"/>
    <w:link w:val="130"/>
    <w:qFormat/>
    <w:uiPriority w:val="0"/>
    <w:rPr>
      <w:b/>
      <w:sz w:val="24"/>
      <w:szCs w:val="24"/>
    </w:rPr>
  </w:style>
  <w:style w:type="paragraph" w:customStyle="1" w:styleId="130">
    <w:name w:val="表的标题"/>
    <w:basedOn w:val="1"/>
    <w:link w:val="129"/>
    <w:qFormat/>
    <w:uiPriority w:val="0"/>
    <w:pPr>
      <w:adjustRightInd w:val="0"/>
      <w:snapToGrid w:val="0"/>
      <w:jc w:val="center"/>
    </w:pPr>
    <w:rPr>
      <w:b/>
      <w:sz w:val="24"/>
    </w:rPr>
  </w:style>
  <w:style w:type="character" w:customStyle="1" w:styleId="131">
    <w:name w:val="南华小标题 Char"/>
    <w:link w:val="132"/>
    <w:qFormat/>
    <w:uiPriority w:val="0"/>
    <w:rPr>
      <w:rFonts w:ascii="宋体" w:hAnsi="宋体"/>
      <w:b/>
      <w:sz w:val="24"/>
    </w:rPr>
  </w:style>
  <w:style w:type="paragraph" w:customStyle="1" w:styleId="132">
    <w:name w:val="南华小标题"/>
    <w:basedOn w:val="1"/>
    <w:link w:val="131"/>
    <w:qFormat/>
    <w:uiPriority w:val="0"/>
    <w:pPr>
      <w:adjustRightInd w:val="0"/>
      <w:snapToGrid w:val="0"/>
      <w:spacing w:line="360" w:lineRule="auto"/>
      <w:ind w:firstLine="200" w:firstLineChars="200"/>
      <w:jc w:val="left"/>
    </w:pPr>
    <w:rPr>
      <w:rFonts w:ascii="宋体" w:hAnsi="宋体"/>
      <w:b/>
      <w:sz w:val="24"/>
      <w:szCs w:val="22"/>
    </w:rPr>
  </w:style>
  <w:style w:type="paragraph" w:customStyle="1" w:styleId="133">
    <w:name w:val="样式 标题 1 + 四号 段前: 0 磅 段后: 0 磅 行距: 1.5 倍行距"/>
    <w:basedOn w:val="3"/>
    <w:qFormat/>
    <w:uiPriority w:val="0"/>
    <w:pPr>
      <w:adjustRightInd w:val="0"/>
      <w:snapToGrid w:val="0"/>
      <w:spacing w:before="0" w:after="0" w:line="360" w:lineRule="auto"/>
      <w:jc w:val="center"/>
    </w:pPr>
    <w:rPr>
      <w:rFonts w:ascii="Times New Roman" w:hAnsi="Times New Roman" w:eastAsia="宋体" w:cs="Times New Roman"/>
      <w:bCs w:val="0"/>
      <w:sz w:val="28"/>
      <w:szCs w:val="20"/>
    </w:rPr>
  </w:style>
  <w:style w:type="paragraph" w:customStyle="1" w:styleId="134">
    <w:name w:val="表格字体"/>
    <w:basedOn w:val="1"/>
    <w:qFormat/>
    <w:uiPriority w:val="0"/>
    <w:pPr>
      <w:widowControl/>
      <w:jc w:val="center"/>
    </w:pPr>
    <w:rPr>
      <w:rFonts w:ascii="Times New Roman" w:hAnsi="Times New Roman" w:eastAsia="宋体" w:cs="Times New Roman"/>
    </w:rPr>
  </w:style>
  <w:style w:type="character" w:customStyle="1" w:styleId="135">
    <w:name w:val="description"/>
    <w:basedOn w:val="41"/>
    <w:qFormat/>
    <w:uiPriority w:val="0"/>
  </w:style>
  <w:style w:type="character" w:customStyle="1" w:styleId="136">
    <w:name w:val="apple-converted-space"/>
    <w:basedOn w:val="41"/>
    <w:qFormat/>
    <w:uiPriority w:val="0"/>
  </w:style>
  <w:style w:type="paragraph" w:customStyle="1" w:styleId="137">
    <w:name w:val="表格内容"/>
    <w:basedOn w:val="1"/>
    <w:link w:val="138"/>
    <w:qFormat/>
    <w:uiPriority w:val="0"/>
    <w:pPr>
      <w:jc w:val="center"/>
    </w:pPr>
    <w:rPr>
      <w:rFonts w:ascii="Times New Roman" w:hAnsi="Times New Roman" w:eastAsia="宋体" w:cs="Times New Roman"/>
      <w:szCs w:val="22"/>
    </w:rPr>
  </w:style>
  <w:style w:type="character" w:customStyle="1" w:styleId="138">
    <w:name w:val="表格内容 Char"/>
    <w:link w:val="137"/>
    <w:qFormat/>
    <w:uiPriority w:val="0"/>
    <w:rPr>
      <w:rFonts w:ascii="Times New Roman" w:hAnsi="Times New Roman" w:eastAsia="宋体" w:cs="Times New Roman"/>
    </w:rPr>
  </w:style>
  <w:style w:type="paragraph" w:customStyle="1" w:styleId="139">
    <w:name w:val="正文标1"/>
    <w:basedOn w:val="1"/>
    <w:qFormat/>
    <w:uiPriority w:val="0"/>
    <w:pPr>
      <w:adjustRightInd w:val="0"/>
      <w:snapToGrid w:val="0"/>
      <w:spacing w:line="360" w:lineRule="auto"/>
    </w:pPr>
    <w:rPr>
      <w:rFonts w:ascii="Times New Roman" w:hAnsi="Times New Roman" w:eastAsia="宋体" w:cs="Times New Roman"/>
      <w:b/>
      <w:sz w:val="28"/>
      <w:szCs w:val="20"/>
    </w:rPr>
  </w:style>
  <w:style w:type="character" w:customStyle="1" w:styleId="140">
    <w:name w:val="标题 3 Char1"/>
    <w:qFormat/>
    <w:uiPriority w:val="0"/>
    <w:rPr>
      <w:rFonts w:ascii="宋体" w:hAnsi="宋体" w:eastAsia="宋体"/>
      <w:b/>
      <w:color w:val="000000"/>
      <w:kern w:val="2"/>
      <w:sz w:val="24"/>
      <w:lang w:val="en-US" w:eastAsia="zh-CN"/>
    </w:rPr>
  </w:style>
  <w:style w:type="paragraph" w:customStyle="1" w:styleId="141">
    <w:name w:val="正文标2"/>
    <w:basedOn w:val="139"/>
    <w:next w:val="1"/>
    <w:qFormat/>
    <w:uiPriority w:val="0"/>
    <w:pPr>
      <w:ind w:firstLine="200" w:firstLineChars="200"/>
    </w:pPr>
    <w:rPr>
      <w:sz w:val="24"/>
    </w:rPr>
  </w:style>
  <w:style w:type="paragraph" w:customStyle="1" w:styleId="142">
    <w:name w:val="Char"/>
    <w:basedOn w:val="1"/>
    <w:qFormat/>
    <w:uiPriority w:val="0"/>
    <w:rPr>
      <w:rFonts w:ascii="Times New Roman" w:hAnsi="Times New Roman" w:eastAsia="宋体" w:cs="Times New Roman"/>
      <w:sz w:val="24"/>
    </w:rPr>
  </w:style>
  <w:style w:type="paragraph" w:customStyle="1" w:styleId="143">
    <w:name w:val="Char1"/>
    <w:basedOn w:val="1"/>
    <w:qFormat/>
    <w:uiPriority w:val="0"/>
    <w:rPr>
      <w:rFonts w:ascii="Times New Roman" w:hAnsi="Times New Roman" w:eastAsia="宋体" w:cs="Times New Roman"/>
      <w:sz w:val="24"/>
    </w:rPr>
  </w:style>
  <w:style w:type="character" w:customStyle="1" w:styleId="144">
    <w:name w:val="报告表  段 Char Char"/>
    <w:link w:val="145"/>
    <w:qFormat/>
    <w:uiPriority w:val="0"/>
    <w:rPr>
      <w:rFonts w:ascii="宋体" w:cs="宋体"/>
      <w:bCs/>
      <w:sz w:val="24"/>
      <w:szCs w:val="24"/>
    </w:rPr>
  </w:style>
  <w:style w:type="paragraph" w:customStyle="1" w:styleId="145">
    <w:name w:val="报告表  段"/>
    <w:basedOn w:val="1"/>
    <w:link w:val="144"/>
    <w:qFormat/>
    <w:uiPriority w:val="0"/>
    <w:pPr>
      <w:adjustRightInd w:val="0"/>
      <w:spacing w:line="360" w:lineRule="auto"/>
      <w:ind w:firstLine="505"/>
      <w:textAlignment w:val="baseline"/>
    </w:pPr>
    <w:rPr>
      <w:rFonts w:ascii="宋体" w:cs="宋体"/>
      <w:bCs/>
      <w:sz w:val="24"/>
    </w:rPr>
  </w:style>
  <w:style w:type="paragraph" w:customStyle="1" w:styleId="146">
    <w:name w:val="iceant内"/>
    <w:basedOn w:val="1"/>
    <w:link w:val="147"/>
    <w:qFormat/>
    <w:uiPriority w:val="0"/>
    <w:pPr>
      <w:jc w:val="center"/>
    </w:pPr>
    <w:rPr>
      <w:rFonts w:ascii="Times New Roman" w:hAnsi="Times New Roman" w:eastAsia="宋体" w:cs="Times New Roman"/>
      <w:szCs w:val="21"/>
    </w:rPr>
  </w:style>
  <w:style w:type="character" w:customStyle="1" w:styleId="147">
    <w:name w:val="iceant内 Char"/>
    <w:link w:val="146"/>
    <w:uiPriority w:val="0"/>
    <w:rPr>
      <w:rFonts w:ascii="Times New Roman" w:hAnsi="Times New Roman" w:eastAsia="宋体" w:cs="Times New Roman"/>
      <w:szCs w:val="21"/>
    </w:rPr>
  </w:style>
  <w:style w:type="character" w:customStyle="1" w:styleId="148">
    <w:name w:val="日期 Char"/>
    <w:basedOn w:val="41"/>
    <w:link w:val="19"/>
    <w:qFormat/>
    <w:uiPriority w:val="0"/>
    <w:rPr>
      <w:rFonts w:ascii="Times New Roman" w:hAnsi="Times New Roman" w:eastAsia="宋体" w:cs="Times New Roman"/>
      <w:sz w:val="28"/>
      <w:szCs w:val="20"/>
    </w:rPr>
  </w:style>
  <w:style w:type="paragraph" w:customStyle="1" w:styleId="149">
    <w:name w:val="表格小五"/>
    <w:basedOn w:val="1"/>
    <w:qFormat/>
    <w:uiPriority w:val="0"/>
    <w:pPr>
      <w:adjustRightInd w:val="0"/>
      <w:snapToGrid w:val="0"/>
      <w:spacing w:afterLines="30" w:line="360" w:lineRule="auto"/>
      <w:ind w:firstLine="510" w:firstLineChars="200"/>
      <w:jc w:val="left"/>
    </w:pPr>
    <w:rPr>
      <w:rFonts w:ascii="Times New Roman" w:hAnsi="Times New Roman" w:eastAsia="宋体" w:cs="Times New Roman"/>
      <w:spacing w:val="16"/>
      <w:kern w:val="0"/>
      <w:sz w:val="18"/>
      <w:szCs w:val="20"/>
    </w:rPr>
  </w:style>
  <w:style w:type="paragraph" w:customStyle="1" w:styleId="150">
    <w:name w:val="Char Char Char Char1"/>
    <w:basedOn w:val="1"/>
    <w:uiPriority w:val="0"/>
    <w:pPr>
      <w:ind w:firstLine="200" w:firstLineChars="200"/>
    </w:pPr>
    <w:rPr>
      <w:rFonts w:ascii="Times New Roman" w:hAnsi="Times New Roman" w:eastAsia="宋体" w:cs="Times New Roman"/>
      <w:sz w:val="24"/>
    </w:rPr>
  </w:style>
  <w:style w:type="table" w:customStyle="1" w:styleId="151">
    <w:name w:val="专业网格1"/>
    <w:basedOn w:val="39"/>
    <w:qFormat/>
    <w:uiPriority w:val="59"/>
    <w:pPr>
      <w:widowControl w:val="0"/>
      <w:spacing w:line="240" w:lineRule="atLeast"/>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2">
    <w:name w:val="默认段落字体 Para Char"/>
    <w:basedOn w:val="1"/>
    <w:qFormat/>
    <w:uiPriority w:val="0"/>
    <w:pPr>
      <w:spacing w:line="360" w:lineRule="auto"/>
      <w:ind w:firstLine="200" w:firstLineChars="200"/>
    </w:pPr>
    <w:rPr>
      <w:rFonts w:ascii="宋体" w:hAnsi="宋体" w:eastAsia="宋体" w:cs="宋体"/>
      <w:sz w:val="24"/>
    </w:rPr>
  </w:style>
  <w:style w:type="paragraph" w:customStyle="1" w:styleId="153">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宋体" w:hAnsi="宋体" w:eastAsia="宋体" w:cs="Times New Roman"/>
      <w:kern w:val="0"/>
      <w:sz w:val="24"/>
    </w:rPr>
  </w:style>
  <w:style w:type="paragraph" w:customStyle="1" w:styleId="154">
    <w:name w:val="1正文段落"/>
    <w:basedOn w:val="1"/>
    <w:qFormat/>
    <w:uiPriority w:val="0"/>
    <w:pPr>
      <w:spacing w:line="360" w:lineRule="auto"/>
      <w:ind w:firstLine="480" w:firstLineChars="200"/>
      <w:jc w:val="left"/>
    </w:pPr>
    <w:rPr>
      <w:rFonts w:ascii="Times New Roman" w:hAnsi="Times New Roman" w:eastAsia="宋体" w:cs="Times New Roman"/>
      <w:snapToGrid w:val="0"/>
      <w:kern w:val="0"/>
      <w:sz w:val="24"/>
    </w:rPr>
  </w:style>
  <w:style w:type="paragraph" w:customStyle="1" w:styleId="155">
    <w:name w:val="简单回函地址"/>
    <w:basedOn w:val="1"/>
    <w:qFormat/>
    <w:uiPriority w:val="0"/>
    <w:pPr>
      <w:ind w:firstLine="200" w:firstLineChars="200"/>
    </w:pPr>
    <w:rPr>
      <w:rFonts w:ascii="Times New Roman" w:hAnsi="Times New Roman" w:eastAsia="宋体" w:cs="Times New Roman"/>
      <w:sz w:val="24"/>
      <w:szCs w:val="20"/>
    </w:rPr>
  </w:style>
  <w:style w:type="character" w:customStyle="1" w:styleId="156">
    <w:name w:val="副标题 Char"/>
    <w:basedOn w:val="41"/>
    <w:link w:val="26"/>
    <w:qFormat/>
    <w:uiPriority w:val="0"/>
    <w:rPr>
      <w:rFonts w:ascii="Cambria" w:hAnsi="Cambria" w:eastAsia="宋体" w:cs="Times New Roman"/>
      <w:b/>
      <w:bCs/>
      <w:kern w:val="28"/>
      <w:sz w:val="32"/>
      <w:szCs w:val="32"/>
    </w:rPr>
  </w:style>
  <w:style w:type="paragraph" w:customStyle="1" w:styleId="157">
    <w:name w:val="无间隔1"/>
    <w:basedOn w:val="12"/>
    <w:link w:val="158"/>
    <w:qFormat/>
    <w:uiPriority w:val="0"/>
    <w:pPr>
      <w:spacing w:after="0" w:line="360" w:lineRule="auto"/>
      <w:ind w:firstLine="200" w:firstLineChars="200"/>
    </w:pPr>
    <w:rPr>
      <w:sz w:val="24"/>
    </w:rPr>
  </w:style>
  <w:style w:type="character" w:customStyle="1" w:styleId="158">
    <w:name w:val="无间隔 Char"/>
    <w:link w:val="157"/>
    <w:qFormat/>
    <w:uiPriority w:val="0"/>
    <w:rPr>
      <w:rFonts w:ascii="Times New Roman" w:hAnsi="Times New Roman" w:eastAsia="宋体" w:cs="Times New Roman"/>
      <w:sz w:val="24"/>
      <w:szCs w:val="24"/>
    </w:rPr>
  </w:style>
  <w:style w:type="character" w:customStyle="1" w:styleId="159">
    <w:name w:val="不明显强调1"/>
    <w:uiPriority w:val="19"/>
    <w:rPr>
      <w:i/>
      <w:iCs/>
      <w:color w:val="808080"/>
    </w:rPr>
  </w:style>
  <w:style w:type="paragraph" w:customStyle="1" w:styleId="160">
    <w:name w:val="明显引用1"/>
    <w:basedOn w:val="1"/>
    <w:next w:val="1"/>
    <w:link w:val="161"/>
    <w:qFormat/>
    <w:uiPriority w:val="30"/>
    <w:pPr>
      <w:pBdr>
        <w:bottom w:val="single" w:color="4F81BD" w:sz="4" w:space="4"/>
      </w:pBdr>
      <w:ind w:left="936" w:right="936" w:firstLine="200" w:firstLineChars="200"/>
    </w:pPr>
    <w:rPr>
      <w:rFonts w:ascii="Times New Roman" w:hAnsi="Times New Roman" w:eastAsia="宋体" w:cs="Times New Roman"/>
      <w:b/>
      <w:bCs/>
      <w:iCs/>
      <w:sz w:val="24"/>
    </w:rPr>
  </w:style>
  <w:style w:type="character" w:customStyle="1" w:styleId="161">
    <w:name w:val="明显引用 Char"/>
    <w:link w:val="160"/>
    <w:uiPriority w:val="30"/>
    <w:rPr>
      <w:rFonts w:ascii="Times New Roman" w:hAnsi="Times New Roman" w:eastAsia="宋体" w:cs="Times New Roman"/>
      <w:b/>
      <w:bCs/>
      <w:iCs/>
      <w:sz w:val="24"/>
      <w:szCs w:val="24"/>
    </w:rPr>
  </w:style>
  <w:style w:type="paragraph" w:customStyle="1" w:styleId="162">
    <w:name w:val="正文(B)"/>
    <w:basedOn w:val="12"/>
    <w:link w:val="163"/>
    <w:qFormat/>
    <w:uiPriority w:val="0"/>
    <w:pPr>
      <w:spacing w:line="360" w:lineRule="auto"/>
      <w:ind w:firstLine="200" w:firstLineChars="200"/>
    </w:pPr>
    <w:rPr>
      <w:rFonts w:ascii="宋体" w:hAnsi="宋体"/>
      <w:sz w:val="24"/>
    </w:rPr>
  </w:style>
  <w:style w:type="character" w:customStyle="1" w:styleId="163">
    <w:name w:val="正文(B) Char"/>
    <w:link w:val="162"/>
    <w:qFormat/>
    <w:uiPriority w:val="0"/>
    <w:rPr>
      <w:rFonts w:ascii="宋体" w:hAnsi="宋体" w:eastAsia="宋体" w:cs="Times New Roman"/>
      <w:sz w:val="24"/>
      <w:szCs w:val="24"/>
    </w:rPr>
  </w:style>
  <w:style w:type="paragraph" w:customStyle="1" w:styleId="164">
    <w:name w:val="着重强调"/>
    <w:link w:val="167"/>
    <w:qFormat/>
    <w:uiPriority w:val="0"/>
    <w:pPr>
      <w:spacing w:beforeLines="30" w:afterLines="20"/>
      <w:jc w:val="center"/>
    </w:pPr>
    <w:rPr>
      <w:rFonts w:ascii="Times New Roman" w:hAnsi="Times New Roman" w:eastAsia="宋体" w:cs="Times New Roman"/>
      <w:b/>
      <w:kern w:val="2"/>
      <w:sz w:val="24"/>
      <w:szCs w:val="22"/>
      <w:lang w:val="en-US" w:eastAsia="zh-CN" w:bidi="ar-SA"/>
    </w:rPr>
  </w:style>
  <w:style w:type="character" w:customStyle="1" w:styleId="165">
    <w:name w:val="样式 Char"/>
    <w:basedOn w:val="122"/>
    <w:qFormat/>
    <w:uiPriority w:val="0"/>
    <w:rPr>
      <w:rFonts w:ascii="宋体" w:hAnsi="宋体" w:eastAsia="宋体" w:cs="Times New Roman"/>
      <w:kern w:val="2"/>
      <w:sz w:val="24"/>
      <w:szCs w:val="24"/>
    </w:rPr>
  </w:style>
  <w:style w:type="paragraph" w:customStyle="1" w:styleId="166">
    <w:name w:val="突出强调"/>
    <w:basedOn w:val="164"/>
    <w:next w:val="1"/>
    <w:link w:val="168"/>
    <w:qFormat/>
    <w:uiPriority w:val="0"/>
    <w:pPr>
      <w:spacing w:before="30" w:afterLines="10"/>
      <w:ind w:firstLine="20" w:firstLineChars="20"/>
    </w:pPr>
    <w:rPr>
      <w:rFonts w:ascii="宋体" w:hAnsi="宋体"/>
      <w:sz w:val="28"/>
    </w:rPr>
  </w:style>
  <w:style w:type="character" w:customStyle="1" w:styleId="167">
    <w:name w:val="着重强调 Char"/>
    <w:basedOn w:val="165"/>
    <w:link w:val="164"/>
    <w:qFormat/>
    <w:uiPriority w:val="0"/>
    <w:rPr>
      <w:rFonts w:ascii="Times New Roman" w:hAnsi="Times New Roman" w:eastAsia="宋体" w:cs="Times New Roman"/>
      <w:kern w:val="2"/>
      <w:sz w:val="24"/>
      <w:szCs w:val="24"/>
    </w:rPr>
  </w:style>
  <w:style w:type="character" w:customStyle="1" w:styleId="168">
    <w:name w:val="突出强调 Char"/>
    <w:link w:val="166"/>
    <w:qFormat/>
    <w:uiPriority w:val="0"/>
    <w:rPr>
      <w:rFonts w:ascii="宋体" w:hAnsi="宋体" w:eastAsia="宋体" w:cs="Times New Roman"/>
      <w:b/>
      <w:sz w:val="28"/>
      <w:szCs w:val="24"/>
    </w:rPr>
  </w:style>
  <w:style w:type="character" w:customStyle="1" w:styleId="169">
    <w:name w:val="Char Char1"/>
    <w:uiPriority w:val="0"/>
    <w:rPr>
      <w:rFonts w:eastAsia="宋体"/>
      <w:kern w:val="2"/>
      <w:sz w:val="21"/>
      <w:szCs w:val="21"/>
      <w:lang w:val="en-US" w:eastAsia="zh-CN" w:bidi="ar-SA"/>
    </w:rPr>
  </w:style>
  <w:style w:type="paragraph" w:customStyle="1" w:styleId="170">
    <w:name w:val="Char Char Char Char Char Char Char"/>
    <w:basedOn w:val="1"/>
    <w:qFormat/>
    <w:uiPriority w:val="0"/>
    <w:pPr>
      <w:ind w:firstLine="200" w:firstLineChars="200"/>
    </w:pPr>
    <w:rPr>
      <w:rFonts w:ascii="Times New Roman" w:hAnsi="Times New Roman" w:eastAsia="宋体" w:cs="Times New Roman"/>
      <w:szCs w:val="20"/>
    </w:rPr>
  </w:style>
  <w:style w:type="paragraph" w:customStyle="1" w:styleId="171">
    <w:name w:val="论文正文"/>
    <w:basedOn w:val="1"/>
    <w:qFormat/>
    <w:uiPriority w:val="0"/>
    <w:pPr>
      <w:adjustRightInd w:val="0"/>
      <w:snapToGrid w:val="0"/>
      <w:spacing w:line="360" w:lineRule="auto"/>
      <w:ind w:firstLine="480" w:firstLineChars="200"/>
    </w:pPr>
    <w:rPr>
      <w:rFonts w:ascii="Times New Roman" w:hAnsi="Times New Roman" w:eastAsia="宋体" w:cs="Times New Roman"/>
      <w:bCs/>
      <w:color w:val="000000"/>
      <w:sz w:val="24"/>
    </w:rPr>
  </w:style>
  <w:style w:type="paragraph" w:customStyle="1" w:styleId="172">
    <w:name w:val="环报告正文"/>
    <w:basedOn w:val="1"/>
    <w:link w:val="173"/>
    <w:qFormat/>
    <w:uiPriority w:val="0"/>
    <w:pPr>
      <w:spacing w:line="360" w:lineRule="auto"/>
      <w:ind w:firstLine="480" w:firstLineChars="200"/>
      <w:jc w:val="left"/>
    </w:pPr>
    <w:rPr>
      <w:rFonts w:ascii="Times New Roman" w:hAnsi="Calibri" w:eastAsia="宋体" w:cs="Times New Roman"/>
      <w:sz w:val="24"/>
    </w:rPr>
  </w:style>
  <w:style w:type="character" w:customStyle="1" w:styleId="173">
    <w:name w:val="环报告正文 Char"/>
    <w:link w:val="172"/>
    <w:qFormat/>
    <w:uiPriority w:val="0"/>
    <w:rPr>
      <w:rFonts w:ascii="Times New Roman" w:hAnsi="Calibri" w:eastAsia="宋体" w:cs="Times New Roman"/>
      <w:sz w:val="24"/>
      <w:szCs w:val="24"/>
    </w:rPr>
  </w:style>
  <w:style w:type="character" w:customStyle="1" w:styleId="174">
    <w:name w:val="报告正文 Char1"/>
    <w:link w:val="123"/>
    <w:qFormat/>
    <w:uiPriority w:val="0"/>
    <w:rPr>
      <w:rFonts w:ascii="Times New Roman" w:hAnsi="宋体" w:eastAsia="宋体" w:cs="Times New Roman"/>
      <w:kern w:val="0"/>
      <w:sz w:val="24"/>
      <w:szCs w:val="20"/>
    </w:rPr>
  </w:style>
  <w:style w:type="paragraph" w:customStyle="1" w:styleId="175">
    <w:name w:val="表格式"/>
    <w:basedOn w:val="27"/>
    <w:qFormat/>
    <w:uiPriority w:val="0"/>
    <w:pPr>
      <w:spacing w:beforeLines="50" w:afterLines="50" w:line="240" w:lineRule="exact"/>
      <w:ind w:left="0" w:firstLine="200" w:firstLineChars="200"/>
      <w:jc w:val="center"/>
    </w:pPr>
  </w:style>
  <w:style w:type="character" w:customStyle="1" w:styleId="176">
    <w:name w:val="表格内容 Char Char"/>
    <w:qFormat/>
    <w:uiPriority w:val="0"/>
    <w:rPr>
      <w:sz w:val="21"/>
      <w:lang w:val="zh-CN"/>
    </w:rPr>
  </w:style>
  <w:style w:type="paragraph" w:customStyle="1" w:styleId="177">
    <w:name w:val="环正文"/>
    <w:basedOn w:val="1"/>
    <w:qFormat/>
    <w:uiPriority w:val="0"/>
    <w:pPr>
      <w:widowControl/>
      <w:suppressAutoHyphens/>
      <w:adjustRightInd w:val="0"/>
      <w:spacing w:line="360" w:lineRule="auto"/>
      <w:ind w:firstLine="187" w:firstLineChars="187"/>
      <w:textAlignment w:val="baseline"/>
    </w:pPr>
    <w:rPr>
      <w:rFonts w:ascii="Times New Roman" w:hAnsi="Times New Roman" w:eastAsia="宋体" w:cs="Times New Roman"/>
      <w:bCs/>
      <w:color w:val="000000"/>
      <w:kern w:val="0"/>
      <w:sz w:val="24"/>
      <w:szCs w:val="21"/>
    </w:rPr>
  </w:style>
  <w:style w:type="paragraph" w:customStyle="1" w:styleId="178">
    <w:name w:val="Char Char Char"/>
    <w:basedOn w:val="1"/>
    <w:qFormat/>
    <w:uiPriority w:val="0"/>
    <w:rPr>
      <w:rFonts w:ascii="Times New Roman" w:hAnsi="Times New Roman" w:eastAsia="宋体" w:cs="Times New Roman"/>
      <w:sz w:val="24"/>
    </w:rPr>
  </w:style>
  <w:style w:type="character" w:customStyle="1" w:styleId="179">
    <w:name w:val="表内容 Char"/>
    <w:link w:val="180"/>
    <w:qFormat/>
    <w:uiPriority w:val="0"/>
    <w:rPr>
      <w:b/>
      <w:sz w:val="24"/>
      <w:szCs w:val="24"/>
    </w:rPr>
  </w:style>
  <w:style w:type="paragraph" w:customStyle="1" w:styleId="180">
    <w:name w:val="表内容"/>
    <w:basedOn w:val="1"/>
    <w:link w:val="179"/>
    <w:qFormat/>
    <w:uiPriority w:val="0"/>
    <w:pPr>
      <w:adjustRightInd w:val="0"/>
      <w:snapToGrid w:val="0"/>
      <w:jc w:val="center"/>
    </w:pPr>
    <w:rPr>
      <w:b/>
      <w:sz w:val="24"/>
    </w:rPr>
  </w:style>
  <w:style w:type="character" w:customStyle="1" w:styleId="181">
    <w:name w:val="引用 Char"/>
    <w:link w:val="182"/>
    <w:qFormat/>
    <w:uiPriority w:val="29"/>
    <w:rPr>
      <w:iCs/>
      <w:color w:val="000000"/>
    </w:rPr>
  </w:style>
  <w:style w:type="paragraph" w:styleId="182">
    <w:name w:val="Quote"/>
    <w:basedOn w:val="1"/>
    <w:next w:val="1"/>
    <w:link w:val="181"/>
    <w:qFormat/>
    <w:uiPriority w:val="29"/>
    <w:pPr>
      <w:adjustRightInd w:val="0"/>
      <w:snapToGrid w:val="0"/>
      <w:jc w:val="center"/>
    </w:pPr>
    <w:rPr>
      <w:iCs/>
      <w:color w:val="000000"/>
      <w:szCs w:val="22"/>
    </w:rPr>
  </w:style>
  <w:style w:type="character" w:customStyle="1" w:styleId="183">
    <w:name w:val="引用 Char1"/>
    <w:basedOn w:val="41"/>
    <w:qFormat/>
    <w:uiPriority w:val="29"/>
    <w:rPr>
      <w:i/>
      <w:iCs/>
      <w:color w:val="000000" w:themeColor="text1"/>
      <w:szCs w:val="24"/>
    </w:rPr>
  </w:style>
  <w:style w:type="paragraph" w:customStyle="1" w:styleId="184">
    <w:name w:val="样式 正文首行缩进:  2 字符 + 首行缩进:  2 字符"/>
    <w:basedOn w:val="1"/>
    <w:qFormat/>
    <w:uiPriority w:val="0"/>
    <w:pPr>
      <w:spacing w:line="360" w:lineRule="auto"/>
      <w:ind w:firstLine="480" w:firstLineChars="200"/>
    </w:pPr>
    <w:rPr>
      <w:rFonts w:ascii="Times New Roman" w:hAnsi="Times New Roman" w:eastAsia="宋体" w:cs="宋体"/>
      <w:sz w:val="24"/>
      <w:szCs w:val="20"/>
    </w:rPr>
  </w:style>
  <w:style w:type="paragraph" w:customStyle="1" w:styleId="185">
    <w:name w:val="F正文"/>
    <w:basedOn w:val="1"/>
    <w:link w:val="186"/>
    <w:qFormat/>
    <w:uiPriority w:val="0"/>
    <w:pPr>
      <w:framePr w:wrap="notBeside" w:vAnchor="text" w:hAnchor="text" w:y="1"/>
      <w:spacing w:line="360" w:lineRule="auto"/>
      <w:ind w:firstLine="200" w:firstLineChars="200"/>
    </w:pPr>
    <w:rPr>
      <w:rFonts w:ascii="Times New Roman" w:hAnsi="Times New Roman" w:eastAsia="宋体" w:cs="Times New Roman"/>
      <w:color w:val="000000"/>
      <w:kern w:val="0"/>
      <w:sz w:val="24"/>
    </w:rPr>
  </w:style>
  <w:style w:type="character" w:customStyle="1" w:styleId="186">
    <w:name w:val="F正文 Char"/>
    <w:link w:val="185"/>
    <w:qFormat/>
    <w:uiPriority w:val="0"/>
    <w:rPr>
      <w:rFonts w:ascii="Times New Roman" w:hAnsi="Times New Roman" w:eastAsia="宋体" w:cs="Times New Roman"/>
      <w:color w:val="000000"/>
      <w:kern w:val="0"/>
      <w:sz w:val="24"/>
      <w:szCs w:val="24"/>
    </w:rPr>
  </w:style>
  <w:style w:type="paragraph" w:customStyle="1" w:styleId="187">
    <w:name w:val="表头"/>
    <w:basedOn w:val="1"/>
    <w:link w:val="189"/>
    <w:qFormat/>
    <w:uiPriority w:val="0"/>
    <w:pPr>
      <w:jc w:val="center"/>
    </w:pPr>
    <w:rPr>
      <w:rFonts w:ascii="Times New Roman" w:hAnsi="Times New Roman" w:eastAsia="宋体" w:cs="Times New Roman"/>
      <w:b/>
      <w:color w:val="000000"/>
      <w:sz w:val="24"/>
    </w:rPr>
  </w:style>
  <w:style w:type="paragraph" w:customStyle="1" w:styleId="188">
    <w:name w:val="表格表头"/>
    <w:basedOn w:val="1"/>
    <w:link w:val="190"/>
    <w:qFormat/>
    <w:uiPriority w:val="0"/>
    <w:pPr>
      <w:widowControl/>
      <w:snapToGrid w:val="0"/>
      <w:jc w:val="center"/>
    </w:pPr>
    <w:rPr>
      <w:rFonts w:ascii="Times New Roman" w:hAnsi="Times New Roman" w:eastAsia="宋体" w:cs="Times New Roman"/>
      <w:b/>
      <w:snapToGrid w:val="0"/>
      <w:kern w:val="0"/>
      <w:sz w:val="24"/>
    </w:rPr>
  </w:style>
  <w:style w:type="character" w:customStyle="1" w:styleId="189">
    <w:name w:val="表头 Char"/>
    <w:link w:val="187"/>
    <w:qFormat/>
    <w:uiPriority w:val="0"/>
    <w:rPr>
      <w:rFonts w:ascii="Times New Roman" w:hAnsi="Times New Roman" w:eastAsia="宋体" w:cs="Times New Roman"/>
      <w:b/>
      <w:color w:val="000000"/>
      <w:sz w:val="24"/>
      <w:szCs w:val="24"/>
    </w:rPr>
  </w:style>
  <w:style w:type="character" w:customStyle="1" w:styleId="190">
    <w:name w:val="表格表头 Char"/>
    <w:link w:val="188"/>
    <w:qFormat/>
    <w:uiPriority w:val="0"/>
    <w:rPr>
      <w:rFonts w:ascii="Times New Roman" w:hAnsi="Times New Roman" w:eastAsia="宋体" w:cs="Times New Roman"/>
      <w:b/>
      <w:snapToGrid w:val="0"/>
      <w:kern w:val="0"/>
      <w:sz w:val="24"/>
      <w:szCs w:val="24"/>
    </w:rPr>
  </w:style>
  <w:style w:type="paragraph" w:customStyle="1" w:styleId="191">
    <w:name w:val="表头或表尾"/>
    <w:basedOn w:val="157"/>
    <w:next w:val="121"/>
    <w:link w:val="192"/>
    <w:qFormat/>
    <w:uiPriority w:val="0"/>
    <w:pPr>
      <w:adjustRightInd w:val="0"/>
      <w:snapToGrid w:val="0"/>
      <w:spacing w:beforeLines="20"/>
      <w:jc w:val="center"/>
    </w:pPr>
    <w:rPr>
      <w:b/>
    </w:rPr>
  </w:style>
  <w:style w:type="character" w:customStyle="1" w:styleId="192">
    <w:name w:val="表头或表尾 Char"/>
    <w:link w:val="191"/>
    <w:qFormat/>
    <w:uiPriority w:val="0"/>
    <w:rPr>
      <w:rFonts w:ascii="Times New Roman" w:hAnsi="Times New Roman" w:eastAsia="宋体" w:cs="Times New Roman"/>
      <w:b/>
      <w:sz w:val="24"/>
      <w:szCs w:val="24"/>
    </w:rPr>
  </w:style>
  <w:style w:type="paragraph" w:customStyle="1" w:styleId="193">
    <w:name w:val="副标题2"/>
    <w:basedOn w:val="1"/>
    <w:link w:val="194"/>
    <w:qFormat/>
    <w:uiPriority w:val="0"/>
    <w:pPr>
      <w:adjustRightInd w:val="0"/>
      <w:snapToGrid w:val="0"/>
      <w:spacing w:beforeLines="50" w:line="360" w:lineRule="auto"/>
    </w:pPr>
    <w:rPr>
      <w:rFonts w:ascii="Times New Roman" w:hAnsi="Times New Roman" w:eastAsia="宋体" w:cs="Times New Roman"/>
      <w:b/>
      <w:sz w:val="28"/>
      <w:szCs w:val="21"/>
    </w:rPr>
  </w:style>
  <w:style w:type="character" w:customStyle="1" w:styleId="194">
    <w:name w:val="副标题2 Char"/>
    <w:link w:val="193"/>
    <w:uiPriority w:val="0"/>
    <w:rPr>
      <w:rFonts w:ascii="Times New Roman" w:hAnsi="Times New Roman" w:eastAsia="宋体" w:cs="Times New Roman"/>
      <w:b/>
      <w:sz w:val="28"/>
      <w:szCs w:val="21"/>
    </w:rPr>
  </w:style>
  <w:style w:type="paragraph" w:customStyle="1" w:styleId="195">
    <w:name w:val="正文2"/>
    <w:basedOn w:val="1"/>
    <w:link w:val="196"/>
    <w:qFormat/>
    <w:uiPriority w:val="0"/>
    <w:pPr>
      <w:adjustRightInd w:val="0"/>
      <w:snapToGrid w:val="0"/>
      <w:spacing w:line="360" w:lineRule="auto"/>
      <w:ind w:firstLine="200" w:firstLineChars="200"/>
    </w:pPr>
    <w:rPr>
      <w:rFonts w:ascii="Times New Roman" w:hAnsi="Times New Roman" w:eastAsia="宋体" w:cs="Times New Roman"/>
      <w:sz w:val="24"/>
    </w:rPr>
  </w:style>
  <w:style w:type="character" w:customStyle="1" w:styleId="196">
    <w:name w:val="正文2 Char"/>
    <w:link w:val="195"/>
    <w:qFormat/>
    <w:uiPriority w:val="0"/>
    <w:rPr>
      <w:rFonts w:ascii="Times New Roman" w:hAnsi="Times New Roman" w:eastAsia="宋体" w:cs="Times New Roman"/>
      <w:sz w:val="24"/>
      <w:szCs w:val="24"/>
    </w:rPr>
  </w:style>
  <w:style w:type="paragraph" w:customStyle="1" w:styleId="197">
    <w:name w:val="正文0"/>
    <w:basedOn w:val="1"/>
    <w:link w:val="198"/>
    <w:qFormat/>
    <w:uiPriority w:val="0"/>
    <w:pPr>
      <w:spacing w:line="360" w:lineRule="auto"/>
      <w:ind w:firstLine="480" w:firstLineChars="200"/>
    </w:pPr>
    <w:rPr>
      <w:rFonts w:ascii="Times New Roman" w:hAnsi="Times New Roman" w:eastAsia="宋体" w:cs="Times New Roman"/>
      <w:bCs/>
      <w:color w:val="FF0000"/>
      <w:kern w:val="0"/>
      <w:sz w:val="24"/>
      <w:shd w:val="clear" w:color="auto" w:fill="FFFFFF"/>
    </w:rPr>
  </w:style>
  <w:style w:type="character" w:customStyle="1" w:styleId="198">
    <w:name w:val="正文0 Char"/>
    <w:link w:val="197"/>
    <w:qFormat/>
    <w:uiPriority w:val="0"/>
    <w:rPr>
      <w:rFonts w:ascii="Times New Roman" w:hAnsi="Times New Roman" w:eastAsia="宋体" w:cs="Times New Roman"/>
      <w:bCs/>
      <w:color w:val="FF0000"/>
      <w:kern w:val="0"/>
      <w:sz w:val="24"/>
      <w:szCs w:val="24"/>
    </w:rPr>
  </w:style>
  <w:style w:type="paragraph" w:customStyle="1" w:styleId="199">
    <w:name w:val="表后标题"/>
    <w:basedOn w:val="188"/>
    <w:qFormat/>
    <w:uiPriority w:val="0"/>
    <w:pPr>
      <w:spacing w:beforeLines="50" w:line="360" w:lineRule="auto"/>
      <w:ind w:firstLine="200" w:firstLineChars="200"/>
      <w:jc w:val="left"/>
    </w:pPr>
  </w:style>
  <w:style w:type="paragraph" w:customStyle="1" w:styleId="200">
    <w:name w:val="表头图尾"/>
    <w:basedOn w:val="1"/>
    <w:link w:val="201"/>
    <w:qFormat/>
    <w:uiPriority w:val="0"/>
    <w:pPr>
      <w:spacing w:beforeLines="50" w:afterLines="30"/>
      <w:jc w:val="center"/>
    </w:pPr>
    <w:rPr>
      <w:rFonts w:ascii="Times New Roman" w:hAnsi="Times New Roman" w:eastAsia="宋体" w:cs="Times New Roman"/>
      <w:b/>
      <w:sz w:val="24"/>
    </w:rPr>
  </w:style>
  <w:style w:type="character" w:customStyle="1" w:styleId="201">
    <w:name w:val="表头图尾 Char"/>
    <w:link w:val="200"/>
    <w:qFormat/>
    <w:uiPriority w:val="0"/>
    <w:rPr>
      <w:rFonts w:ascii="Times New Roman" w:hAnsi="Times New Roman" w:eastAsia="宋体" w:cs="Times New Roman"/>
      <w:b/>
      <w:sz w:val="24"/>
      <w:szCs w:val="24"/>
    </w:rPr>
  </w:style>
  <w:style w:type="paragraph" w:customStyle="1" w:styleId="202">
    <w:name w:val="afe"/>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203">
    <w:name w:val="表格1"/>
    <w:basedOn w:val="39"/>
    <w:qFormat/>
    <w:uiPriority w:val="59"/>
    <w:pPr>
      <w:widowControl w:val="0"/>
      <w:jc w:val="both"/>
    </w:pPr>
    <w:rPr>
      <w:rFonts w:ascii="Calibri" w:hAnsi="Calibri" w:eastAsia="宋体"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4">
    <w:name w:val="正文首行缩进 Char"/>
    <w:basedOn w:val="55"/>
    <w:link w:val="37"/>
    <w:uiPriority w:val="0"/>
    <w:rPr>
      <w:rFonts w:ascii="Times New Roman" w:hAnsi="Times New Roman" w:eastAsia="宋体" w:cs="Times New Roman"/>
      <w:sz w:val="24"/>
      <w:szCs w:val="24"/>
    </w:rPr>
  </w:style>
  <w:style w:type="paragraph" w:customStyle="1" w:styleId="205">
    <w:name w:val="样式 (西文) 宋体 小四 左侧:  0.85 厘米 行距: 1.5 倍行距"/>
    <w:basedOn w:val="1"/>
    <w:qFormat/>
    <w:uiPriority w:val="0"/>
    <w:pPr>
      <w:spacing w:line="360" w:lineRule="auto"/>
      <w:ind w:left="482"/>
    </w:pPr>
    <w:rPr>
      <w:rFonts w:ascii="宋体" w:hAnsi="宋体" w:eastAsia="宋体"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000EB0-8950-409F-9A8F-961F8FAAC7D5}">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24634</Words>
  <Characters>27375</Characters>
  <Lines>217</Lines>
  <Paragraphs>61</Paragraphs>
  <TotalTime>1821</TotalTime>
  <ScaleCrop>false</ScaleCrop>
  <LinksUpToDate>false</LinksUpToDate>
  <CharactersWithSpaces>27861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2018-06-04T09:40:00Z</dcterms:created>
  <dc:creator>ASUS</dc:creator>
  <cp:lastModifiedBy>刘变香</cp:lastModifiedBy>
  <dcterms:modified xsi:type="dcterms:W3CDTF">2024-11-18T01:36:32Z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4773B319DF3B4A4F9B2B380ED5362545</vt:lpwstr>
  </property>
</Properties>
</file>