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F33A2">
      <w:pPr>
        <w:rPr>
          <w:rStyle w:val="42"/>
          <w:color w:val="auto"/>
        </w:rPr>
      </w:pPr>
    </w:p>
    <w:p w14:paraId="4103C01C">
      <w:pPr>
        <w:rPr>
          <w:rFonts w:ascii="仿宋_GB2312" w:hAnsi="仿宋_GB2312" w:eastAsia="仿宋_GB2312" w:cs="仿宋_GB2312"/>
          <w:color w:val="auto"/>
          <w:sz w:val="36"/>
          <w:szCs w:val="36"/>
        </w:rPr>
      </w:pPr>
    </w:p>
    <w:p w14:paraId="054AF269">
      <w:pPr>
        <w:rPr>
          <w:rFonts w:ascii="仿宋_GB2312" w:hAnsi="仿宋_GB2312" w:eastAsia="仿宋_GB2312" w:cs="仿宋_GB2312"/>
          <w:color w:val="auto"/>
          <w:sz w:val="36"/>
          <w:szCs w:val="36"/>
        </w:rPr>
      </w:pPr>
    </w:p>
    <w:p w14:paraId="5EA006B8">
      <w:pPr>
        <w:rPr>
          <w:rFonts w:ascii="仿宋_GB2312" w:hAnsi="仿宋_GB2312" w:eastAsia="仿宋_GB2312" w:cs="仿宋_GB2312"/>
          <w:color w:val="auto"/>
          <w:sz w:val="36"/>
          <w:szCs w:val="36"/>
        </w:rPr>
      </w:pPr>
    </w:p>
    <w:p w14:paraId="7E652F1B">
      <w:pPr>
        <w:rPr>
          <w:rFonts w:hint="eastAsia" w:ascii="仿宋_GB2312" w:hAnsi="仿宋_GB2312" w:eastAsia="仿宋_GB2312" w:cs="仿宋_GB2312"/>
          <w:color w:val="auto"/>
          <w:sz w:val="36"/>
          <w:szCs w:val="36"/>
        </w:rPr>
      </w:pPr>
      <w:bookmarkStart w:id="0" w:name="_Toc24679"/>
    </w:p>
    <w:p w14:paraId="5F89DD1D">
      <w:pPr>
        <w:bidi w:val="0"/>
        <w:jc w:val="center"/>
        <w:rPr>
          <w:rFonts w:hint="eastAsia" w:ascii="华文宋体" w:hAnsi="华文宋体" w:eastAsia="华文宋体" w:cs="华文宋体"/>
          <w:b/>
          <w:bCs/>
          <w:color w:val="auto"/>
          <w:sz w:val="72"/>
          <w:szCs w:val="72"/>
        </w:rPr>
      </w:pPr>
      <w:r>
        <w:rPr>
          <w:rFonts w:hint="eastAsia" w:ascii="华文宋体" w:hAnsi="华文宋体" w:eastAsia="华文宋体" w:cs="华文宋体"/>
          <w:b/>
          <w:bCs/>
          <w:color w:val="auto"/>
          <w:sz w:val="72"/>
          <w:szCs w:val="72"/>
          <w:lang w:val="en-US" w:eastAsia="zh-CN"/>
        </w:rPr>
        <w:t xml:space="preserve"> </w:t>
      </w:r>
      <w:r>
        <w:rPr>
          <w:rFonts w:hint="eastAsia" w:ascii="华文宋体" w:hAnsi="华文宋体" w:eastAsia="华文宋体" w:cs="华文宋体"/>
          <w:b/>
          <w:bCs/>
          <w:color w:val="auto"/>
          <w:sz w:val="72"/>
          <w:szCs w:val="72"/>
        </w:rPr>
        <w:t>建设项目环境影响报告表</w:t>
      </w:r>
    </w:p>
    <w:p w14:paraId="577564C3">
      <w:pPr>
        <w:adjustRightInd w:val="0"/>
        <w:snapToGrid w:val="0"/>
        <w:spacing w:before="192" w:beforeLines="80"/>
        <w:jc w:val="center"/>
        <w:rPr>
          <w:rFonts w:hint="eastAsia" w:ascii="宋体" w:hAnsi="宋体" w:eastAsia="宋体" w:cs="宋体"/>
          <w:bCs/>
          <w:color w:val="auto"/>
          <w:sz w:val="48"/>
          <w:szCs w:val="48"/>
          <w:lang w:val="en-US" w:eastAsia="zh-CN"/>
        </w:rPr>
      </w:pPr>
      <w:r>
        <w:rPr>
          <w:rFonts w:hint="eastAsia" w:ascii="宋体" w:hAnsi="宋体" w:eastAsia="宋体" w:cs="宋体"/>
          <w:b/>
          <w:bCs w:val="0"/>
          <w:color w:val="auto"/>
          <w:sz w:val="48"/>
          <w:szCs w:val="48"/>
          <w:lang w:val="en-US" w:eastAsia="zh-CN"/>
        </w:rPr>
        <w:t>（污染影响类）</w:t>
      </w:r>
    </w:p>
    <w:p w14:paraId="3944B80C">
      <w:pPr>
        <w:rPr>
          <w:rFonts w:hint="default" w:eastAsia="仿宋"/>
          <w:color w:val="auto"/>
          <w:sz w:val="28"/>
          <w:szCs w:val="28"/>
          <w:lang w:val="en-US" w:eastAsia="zh-CN"/>
        </w:rPr>
      </w:pPr>
      <w:r>
        <w:rPr>
          <w:rFonts w:hint="eastAsia" w:eastAsia="仿宋"/>
          <w:color w:val="auto"/>
          <w:sz w:val="28"/>
          <w:szCs w:val="28"/>
          <w:lang w:val="en-US" w:eastAsia="zh-CN"/>
        </w:rPr>
        <w:t xml:space="preserve">                            报批稿</w:t>
      </w:r>
    </w:p>
    <w:p w14:paraId="4C8CD7EE">
      <w:pPr>
        <w:ind w:firstLine="1040"/>
        <w:rPr>
          <w:rFonts w:eastAsia="仿宋"/>
          <w:color w:val="auto"/>
          <w:sz w:val="44"/>
          <w:szCs w:val="44"/>
        </w:rPr>
      </w:pPr>
    </w:p>
    <w:p w14:paraId="33B6712C">
      <w:pPr>
        <w:ind w:firstLine="1040"/>
        <w:rPr>
          <w:rFonts w:eastAsia="仿宋"/>
          <w:color w:val="auto"/>
          <w:sz w:val="44"/>
          <w:szCs w:val="44"/>
        </w:rPr>
      </w:pPr>
    </w:p>
    <w:p w14:paraId="6F354F24">
      <w:pPr>
        <w:pStyle w:val="16"/>
        <w:rPr>
          <w:rFonts w:eastAsia="仿宋"/>
          <w:color w:val="auto"/>
          <w:sz w:val="44"/>
          <w:szCs w:val="44"/>
        </w:rPr>
      </w:pPr>
    </w:p>
    <w:p w14:paraId="656E4D0C">
      <w:pPr>
        <w:pStyle w:val="16"/>
        <w:rPr>
          <w:rFonts w:eastAsia="仿宋"/>
          <w:color w:val="auto"/>
          <w:sz w:val="44"/>
          <w:szCs w:val="44"/>
        </w:rPr>
      </w:pPr>
    </w:p>
    <w:p w14:paraId="7EC00FFD">
      <w:pPr>
        <w:ind w:firstLine="1040"/>
        <w:rPr>
          <w:rFonts w:eastAsia="仿宋"/>
          <w:color w:val="auto"/>
          <w:sz w:val="44"/>
          <w:szCs w:val="44"/>
        </w:rPr>
      </w:pPr>
    </w:p>
    <w:p w14:paraId="1F0AC14F">
      <w:pPr>
        <w:adjustRightInd w:val="0"/>
        <w:snapToGrid w:val="0"/>
        <w:spacing w:line="288" w:lineRule="auto"/>
        <w:ind w:left="2878" w:leftChars="342" w:hanging="2160" w:hangingChars="600"/>
        <w:jc w:val="both"/>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中山乡光明坚果初加工基地建设工程项目                        </w:t>
      </w:r>
    </w:p>
    <w:p w14:paraId="2735A5CD">
      <w:pPr>
        <w:adjustRightInd w:val="0"/>
        <w:snapToGrid w:val="0"/>
        <w:spacing w:line="288" w:lineRule="auto"/>
        <w:ind w:firstLine="720" w:firstLineChars="200"/>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 xml:space="preserve">芒市中山乡人民政府              </w:t>
      </w:r>
    </w:p>
    <w:p w14:paraId="05496698">
      <w:pPr>
        <w:adjustRightInd w:val="0"/>
        <w:snapToGrid w:val="0"/>
        <w:spacing w:line="288" w:lineRule="auto"/>
        <w:ind w:firstLine="720" w:firstLineChars="20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2023年05月</w:t>
      </w:r>
      <w:r>
        <w:rPr>
          <w:rFonts w:hint="eastAsia" w:ascii="仿宋" w:hAnsi="仿宋" w:eastAsia="仿宋" w:cs="仿宋"/>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1F6DF074">
      <w:pPr>
        <w:adjustRightInd w:val="0"/>
        <w:snapToGrid w:val="0"/>
        <w:spacing w:line="288" w:lineRule="auto"/>
        <w:ind w:firstLine="1040"/>
        <w:rPr>
          <w:rFonts w:ascii="仿宋_GB2312" w:eastAsia="仿宋_GB2312"/>
          <w:color w:val="auto"/>
          <w:sz w:val="36"/>
          <w:szCs w:val="36"/>
          <w:u w:val="single"/>
        </w:rPr>
      </w:pPr>
      <w:bookmarkStart w:id="1" w:name="_Hlk57884087"/>
    </w:p>
    <w:p w14:paraId="662CF5AD">
      <w:pPr>
        <w:adjustRightInd w:val="0"/>
        <w:snapToGrid w:val="0"/>
        <w:spacing w:line="288" w:lineRule="auto"/>
        <w:ind w:firstLine="1040"/>
        <w:rPr>
          <w:rFonts w:ascii="仿宋_GB2312" w:eastAsia="仿宋_GB2312"/>
          <w:color w:val="auto"/>
          <w:sz w:val="36"/>
          <w:szCs w:val="36"/>
        </w:rPr>
      </w:pPr>
    </w:p>
    <w:p w14:paraId="4D025173">
      <w:pPr>
        <w:adjustRightInd w:val="0"/>
        <w:snapToGrid w:val="0"/>
        <w:spacing w:line="288" w:lineRule="auto"/>
        <w:ind w:firstLine="1040"/>
        <w:rPr>
          <w:rFonts w:ascii="仿宋_GB2312" w:eastAsia="仿宋_GB2312"/>
          <w:color w:val="auto"/>
          <w:sz w:val="36"/>
          <w:szCs w:val="36"/>
        </w:rPr>
      </w:pPr>
    </w:p>
    <w:p w14:paraId="77CFA19B">
      <w:pPr>
        <w:adjustRightInd w:val="0"/>
        <w:snapToGrid w:val="0"/>
        <w:spacing w:line="288" w:lineRule="auto"/>
        <w:ind w:firstLine="1040"/>
        <w:rPr>
          <w:rFonts w:hint="eastAsia" w:ascii="仿宋_GB2312" w:eastAsia="仿宋_GB2312"/>
          <w:color w:val="auto"/>
          <w:sz w:val="36"/>
          <w:szCs w:val="36"/>
        </w:rPr>
      </w:pPr>
    </w:p>
    <w:bookmarkEnd w:id="1"/>
    <w:p w14:paraId="5B8CD72A">
      <w:pPr>
        <w:adjustRightInd w:val="0"/>
        <w:snapToGrid w:val="0"/>
        <w:spacing w:line="288" w:lineRule="auto"/>
        <w:jc w:val="center"/>
        <w:rPr>
          <w:rFonts w:hint="eastAsia" w:ascii="仿宋_GB2312" w:hAnsi="仿宋_GB2312" w:eastAsia="仿宋_GB2312" w:cs="仿宋_GB2312"/>
          <w:color w:val="auto"/>
          <w:sz w:val="36"/>
          <w:szCs w:val="36"/>
          <w:lang w:eastAsia="zh-CN"/>
        </w:rPr>
        <w:sectPr>
          <w:headerReference r:id="rId3" w:type="default"/>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楷体_GB2312" w:eastAsia="楷体_GB2312"/>
          <w:color w:val="auto"/>
          <w:sz w:val="36"/>
          <w:szCs w:val="36"/>
          <w:lang w:val="en-US" w:eastAsia="zh-CN"/>
        </w:rPr>
        <w:t xml:space="preserve"> </w:t>
      </w:r>
      <w:r>
        <w:rPr>
          <w:rFonts w:hint="eastAsia" w:ascii="华文楷体" w:hAnsi="华文楷体" w:eastAsia="华文楷体" w:cs="华文楷体"/>
          <w:color w:val="auto"/>
          <w:sz w:val="36"/>
          <w:szCs w:val="36"/>
        </w:rPr>
        <w:t>中华人民共和国生态环境部制</w:t>
      </w:r>
    </w:p>
    <w:p w14:paraId="15C03138">
      <w:pPr>
        <w:spacing w:line="300" w:lineRule="auto"/>
        <w:jc w:val="center"/>
        <w:rPr>
          <w:rFonts w:ascii="Times New Roman" w:hAnsi="Times New Roman" w:eastAsia="仿宋_GB2312" w:cs="Times New Roman"/>
          <w:color w:val="auto"/>
          <w:kern w:val="2"/>
          <w:sz w:val="24"/>
          <w:szCs w:val="24"/>
          <w:lang w:val="en-US" w:eastAsia="zh-CN" w:bidi="ar-SA"/>
        </w:rPr>
      </w:pPr>
      <w:r>
        <w:rPr>
          <w:rFonts w:hint="eastAsia" w:ascii="宋体" w:hAnsi="宋体" w:eastAsia="宋体" w:cs="Times New Roman"/>
          <w:b/>
          <w:color w:val="auto"/>
          <w:sz w:val="36"/>
          <w:szCs w:val="36"/>
        </w:rPr>
        <w:t>目</w:t>
      </w:r>
      <w:r>
        <w:rPr>
          <w:rFonts w:ascii="宋体" w:hAnsi="宋体" w:eastAsia="宋体" w:cs="Times New Roman"/>
          <w:b/>
          <w:color w:val="auto"/>
          <w:sz w:val="36"/>
          <w:szCs w:val="36"/>
        </w:rPr>
        <w:t xml:space="preserve"> </w:t>
      </w:r>
      <w:r>
        <w:rPr>
          <w:rFonts w:hint="eastAsia" w:ascii="宋体" w:hAnsi="宋体" w:eastAsia="宋体" w:cs="Times New Roman"/>
          <w:b/>
          <w:color w:val="auto"/>
          <w:sz w:val="36"/>
          <w:szCs w:val="36"/>
        </w:rPr>
        <w:t>录</w:t>
      </w:r>
      <w:r>
        <w:rPr>
          <w:rFonts w:ascii="Times New Roman" w:hAnsi="Times New Roman" w:eastAsia="仿宋_GB2312" w:cs="Times New Roman"/>
          <w:color w:val="auto"/>
          <w:sz w:val="24"/>
          <w:szCs w:val="24"/>
        </w:rPr>
        <w:fldChar w:fldCharType="begin"/>
      </w:r>
      <w:r>
        <w:rPr>
          <w:rFonts w:ascii="Times New Roman" w:hAnsi="Times New Roman" w:eastAsia="仿宋_GB2312" w:cs="Times New Roman"/>
          <w:color w:val="auto"/>
          <w:sz w:val="24"/>
          <w:szCs w:val="24"/>
        </w:rPr>
        <w:instrText xml:space="preserve"> TOC \o "1-1" \h \z \u </w:instrText>
      </w:r>
      <w:r>
        <w:rPr>
          <w:rFonts w:ascii="Times New Roman" w:hAnsi="Times New Roman" w:eastAsia="仿宋_GB2312" w:cs="Times New Roman"/>
          <w:color w:val="auto"/>
          <w:sz w:val="24"/>
          <w:szCs w:val="24"/>
        </w:rPr>
        <w:fldChar w:fldCharType="separate"/>
      </w:r>
    </w:p>
    <w:p w14:paraId="30C26C2D">
      <w:pPr>
        <w:tabs>
          <w:tab w:val="right" w:leader="dot" w:pos="9175"/>
        </w:tabs>
        <w:spacing w:line="360" w:lineRule="auto"/>
        <w:rPr>
          <w:rFonts w:hint="default" w:ascii="Times New Roman" w:hAnsi="Times New Roman" w:cs="Times New Roman"/>
          <w:b/>
          <w:color w:val="auto"/>
          <w:sz w:val="24"/>
          <w:szCs w:val="24"/>
        </w:rPr>
      </w:pPr>
      <w:r>
        <w:rPr>
          <w:rFonts w:eastAsia="仿宋_GB2312"/>
          <w:b/>
          <w:color w:val="auto"/>
          <w:sz w:val="24"/>
          <w:szCs w:val="24"/>
        </w:rPr>
        <w:fldChar w:fldCharType="begin"/>
      </w:r>
      <w:r>
        <w:rPr>
          <w:rFonts w:eastAsia="仿宋_GB2312"/>
          <w:b/>
          <w:color w:val="auto"/>
          <w:sz w:val="24"/>
          <w:szCs w:val="24"/>
        </w:rPr>
        <w:instrText xml:space="preserve"> TOC \o "1-1" \h \z \u </w:instrText>
      </w:r>
      <w:r>
        <w:rPr>
          <w:rFonts w:eastAsia="仿宋_GB2312"/>
          <w:b/>
          <w:color w:val="auto"/>
          <w:sz w:val="24"/>
          <w:szCs w:val="24"/>
        </w:rPr>
        <w:fldChar w:fldCharType="separate"/>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"_Toc290536118" </w:instrText>
      </w:r>
      <w:r>
        <w:rPr>
          <w:rFonts w:hint="default" w:ascii="Times New Roman" w:hAnsi="Times New Roman" w:cs="Times New Roman"/>
          <w:color w:val="auto"/>
          <w:sz w:val="24"/>
          <w:szCs w:val="24"/>
        </w:rPr>
        <w:fldChar w:fldCharType="separate"/>
      </w:r>
      <w:r>
        <w:rPr>
          <w:rFonts w:hint="default" w:ascii="Times New Roman" w:hAnsi="Times New Roman" w:cs="Times New Roman"/>
          <w:b/>
          <w:color w:val="auto"/>
          <w:sz w:val="24"/>
          <w:szCs w:val="24"/>
        </w:rPr>
        <w:t>一</w:t>
      </w:r>
      <w:r>
        <w:rPr>
          <w:rFonts w:hint="default" w:ascii="Times New Roman" w:hAnsi="Times New Roman" w:eastAsia="宋体" w:cs="Times New Roman"/>
          <w:b/>
          <w:color w:val="auto"/>
          <w:sz w:val="24"/>
          <w:szCs w:val="24"/>
          <w:lang w:eastAsia="zh-CN"/>
        </w:rPr>
        <w:t>、</w:t>
      </w:r>
      <w:r>
        <w:rPr>
          <w:rFonts w:hint="default" w:ascii="Times New Roman" w:hAnsi="Times New Roman" w:cs="Times New Roman"/>
          <w:b/>
          <w:color w:val="auto"/>
          <w:sz w:val="24"/>
          <w:szCs w:val="24"/>
        </w:rPr>
        <w:t xml:space="preserve"> 建设项目基本情况</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t>1</w:t>
      </w:r>
    </w:p>
    <w:p w14:paraId="3379FA37">
      <w:pPr>
        <w:tabs>
          <w:tab w:val="right" w:leader="dot" w:pos="9175"/>
        </w:tabs>
        <w:spacing w:line="360" w:lineRule="auto"/>
        <w:rPr>
          <w:rFonts w:hint="eastAsia" w:ascii="Times New Roman" w:hAnsi="Times New Roman" w:eastAsia="宋体" w:cs="Times New Roman"/>
          <w:b/>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"_Toc290536119" </w:instrText>
      </w:r>
      <w:r>
        <w:rPr>
          <w:rFonts w:hint="default" w:ascii="Times New Roman" w:hAnsi="Times New Roman" w:cs="Times New Roman"/>
          <w:color w:val="auto"/>
          <w:sz w:val="24"/>
          <w:szCs w:val="24"/>
        </w:rPr>
        <w:fldChar w:fldCharType="separate"/>
      </w:r>
      <w:r>
        <w:rPr>
          <w:rFonts w:hint="default" w:ascii="Times New Roman" w:hAnsi="Times New Roman" w:cs="Times New Roman"/>
          <w:b/>
          <w:color w:val="auto"/>
          <w:sz w:val="24"/>
          <w:szCs w:val="24"/>
        </w:rPr>
        <w:t>二</w:t>
      </w:r>
      <w:r>
        <w:rPr>
          <w:rFonts w:hint="default" w:ascii="Times New Roman" w:hAnsi="Times New Roman" w:eastAsia="宋体" w:cs="Times New Roman"/>
          <w:b/>
          <w:color w:val="auto"/>
          <w:sz w:val="24"/>
          <w:szCs w:val="24"/>
          <w:lang w:eastAsia="zh-CN"/>
        </w:rPr>
        <w:t>、</w:t>
      </w:r>
      <w:r>
        <w:rPr>
          <w:rFonts w:hint="default" w:ascii="Times New Roman" w:hAnsi="Times New Roman" w:cs="Times New Roman"/>
          <w:b/>
          <w:color w:val="auto"/>
          <w:sz w:val="24"/>
          <w:szCs w:val="24"/>
        </w:rPr>
        <w:t xml:space="preserve"> 建设项目工程分析</w:t>
      </w:r>
      <w:r>
        <w:rPr>
          <w:rFonts w:hint="default" w:ascii="Times New Roman" w:hAnsi="Times New Roman" w:cs="Times New Roman"/>
          <w:b/>
          <w:color w:val="auto"/>
          <w:sz w:val="24"/>
          <w:szCs w:val="24"/>
        </w:rPr>
        <w:tab/>
      </w:r>
      <w:r>
        <w:rPr>
          <w:rFonts w:hint="eastAsia"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fldChar w:fldCharType="end"/>
      </w:r>
      <w:r>
        <w:rPr>
          <w:rFonts w:hint="eastAsia" w:ascii="Times New Roman" w:hAnsi="Times New Roman" w:cs="Times New Roman"/>
          <w:b/>
          <w:color w:val="auto"/>
          <w:sz w:val="24"/>
          <w:szCs w:val="24"/>
          <w:lang w:val="en-US" w:eastAsia="zh-CN"/>
        </w:rPr>
        <w:t>5</w:t>
      </w:r>
    </w:p>
    <w:p w14:paraId="4D047DB4">
      <w:pPr>
        <w:tabs>
          <w:tab w:val="right" w:leader="dot" w:pos="9175"/>
        </w:tabs>
        <w:spacing w:line="360" w:lineRule="auto"/>
        <w:rPr>
          <w:rFonts w:hint="eastAsia" w:ascii="Times New Roman" w:hAnsi="Times New Roman" w:eastAsia="宋体" w:cs="Times New Roman"/>
          <w:b/>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"_Toc290536119" </w:instrText>
      </w:r>
      <w:r>
        <w:rPr>
          <w:rFonts w:hint="default" w:ascii="Times New Roman" w:hAnsi="Times New Roman" w:cs="Times New Roman"/>
          <w:color w:val="auto"/>
          <w:sz w:val="24"/>
          <w:szCs w:val="24"/>
        </w:rPr>
        <w:fldChar w:fldCharType="separate"/>
      </w:r>
      <w:r>
        <w:rPr>
          <w:rFonts w:hint="default" w:ascii="Times New Roman" w:hAnsi="Times New Roman" w:cs="Times New Roman"/>
          <w:b/>
          <w:color w:val="auto"/>
          <w:sz w:val="24"/>
          <w:szCs w:val="24"/>
        </w:rPr>
        <w:t>三</w:t>
      </w:r>
      <w:r>
        <w:rPr>
          <w:rFonts w:hint="default" w:ascii="Times New Roman" w:hAnsi="Times New Roman" w:eastAsia="宋体" w:cs="Times New Roman"/>
          <w:b/>
          <w:color w:val="auto"/>
          <w:sz w:val="24"/>
          <w:szCs w:val="24"/>
          <w:lang w:eastAsia="zh-CN"/>
        </w:rPr>
        <w:t>、</w:t>
      </w:r>
      <w:r>
        <w:rPr>
          <w:rFonts w:hint="default" w:ascii="Times New Roman" w:hAnsi="Times New Roman" w:cs="Times New Roman"/>
          <w:b/>
          <w:color w:val="auto"/>
          <w:sz w:val="24"/>
          <w:szCs w:val="24"/>
        </w:rPr>
        <w:t xml:space="preserve"> 区域环境质量现状、环境保护目标及评价标准</w:t>
      </w:r>
      <w:r>
        <w:rPr>
          <w:rFonts w:hint="default" w:ascii="Times New Roman" w:hAnsi="Times New Roman" w:cs="Times New Roman"/>
          <w:b/>
          <w:color w:val="auto"/>
          <w:sz w:val="24"/>
          <w:szCs w:val="24"/>
        </w:rPr>
        <w:tab/>
      </w:r>
      <w:r>
        <w:rPr>
          <w:rFonts w:hint="eastAsia"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fldChar w:fldCharType="end"/>
      </w:r>
      <w:r>
        <w:rPr>
          <w:rFonts w:hint="eastAsia" w:ascii="Times New Roman" w:hAnsi="Times New Roman" w:cs="Times New Roman"/>
          <w:b/>
          <w:color w:val="auto"/>
          <w:sz w:val="24"/>
          <w:szCs w:val="24"/>
          <w:lang w:val="en-US" w:eastAsia="zh-CN"/>
        </w:rPr>
        <w:t>1</w:t>
      </w:r>
    </w:p>
    <w:p w14:paraId="19B871A8">
      <w:pPr>
        <w:tabs>
          <w:tab w:val="right" w:leader="dot" w:pos="9175"/>
        </w:tabs>
        <w:spacing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"_Toc290536119" </w:instrText>
      </w:r>
      <w:r>
        <w:rPr>
          <w:rFonts w:hint="default" w:ascii="Times New Roman" w:hAnsi="Times New Roman" w:cs="Times New Roman"/>
          <w:color w:val="auto"/>
          <w:sz w:val="24"/>
          <w:szCs w:val="24"/>
        </w:rPr>
        <w:fldChar w:fldCharType="separate"/>
      </w:r>
      <w:r>
        <w:rPr>
          <w:rFonts w:hint="default" w:ascii="Times New Roman" w:hAnsi="Times New Roman" w:cs="Times New Roman"/>
          <w:b/>
          <w:color w:val="auto"/>
          <w:sz w:val="24"/>
          <w:szCs w:val="24"/>
        </w:rPr>
        <w:t>四</w:t>
      </w:r>
      <w:r>
        <w:rPr>
          <w:rFonts w:hint="default" w:ascii="Times New Roman" w:hAnsi="Times New Roman" w:eastAsia="宋体" w:cs="Times New Roman"/>
          <w:b/>
          <w:color w:val="auto"/>
          <w:sz w:val="24"/>
          <w:szCs w:val="24"/>
          <w:lang w:eastAsia="zh-CN"/>
        </w:rPr>
        <w:t>、</w:t>
      </w:r>
      <w:r>
        <w:rPr>
          <w:rFonts w:hint="default" w:ascii="Times New Roman" w:hAnsi="Times New Roman" w:cs="Times New Roman"/>
          <w:b/>
          <w:color w:val="auto"/>
          <w:sz w:val="24"/>
          <w:szCs w:val="24"/>
        </w:rPr>
        <w:t xml:space="preserve"> 主要环境影响和保护措施</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end"/>
      </w:r>
      <w:r>
        <w:rPr>
          <w:rFonts w:hint="eastAsia" w:ascii="Times New Roman" w:hAnsi="Times New Roman" w:cs="Times New Roman"/>
          <w:b/>
          <w:color w:val="auto"/>
          <w:sz w:val="24"/>
          <w:szCs w:val="24"/>
          <w:lang w:val="en-US" w:eastAsia="zh-CN"/>
        </w:rPr>
        <w:t>43</w:t>
      </w:r>
    </w:p>
    <w:p w14:paraId="50AE6422">
      <w:pPr>
        <w:tabs>
          <w:tab w:val="right" w:leader="dot" w:pos="9175"/>
        </w:tabs>
        <w:spacing w:line="360" w:lineRule="auto"/>
        <w:rPr>
          <w:rFonts w:hint="eastAsia" w:ascii="Times New Roman" w:hAnsi="Times New Roman" w:eastAsia="宋体" w:cs="Times New Roman"/>
          <w:b/>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"_Toc290536122" </w:instrText>
      </w:r>
      <w:r>
        <w:rPr>
          <w:rFonts w:hint="default" w:ascii="Times New Roman" w:hAnsi="Times New Roman" w:cs="Times New Roman"/>
          <w:color w:val="auto"/>
          <w:sz w:val="24"/>
          <w:szCs w:val="24"/>
        </w:rPr>
        <w:fldChar w:fldCharType="separate"/>
      </w:r>
      <w:r>
        <w:rPr>
          <w:rFonts w:hint="default" w:ascii="Times New Roman" w:hAnsi="Times New Roman" w:cs="Times New Roman"/>
          <w:b/>
          <w:color w:val="auto"/>
          <w:sz w:val="24"/>
          <w:szCs w:val="24"/>
        </w:rPr>
        <w:t xml:space="preserve">五 </w:t>
      </w:r>
      <w:r>
        <w:rPr>
          <w:rFonts w:hint="default" w:ascii="Times New Roman" w:hAnsi="Times New Roman" w:eastAsia="宋体" w:cs="Times New Roman"/>
          <w:b/>
          <w:color w:val="auto"/>
          <w:sz w:val="24"/>
          <w:szCs w:val="24"/>
          <w:lang w:eastAsia="zh-CN"/>
        </w:rPr>
        <w:t>、</w:t>
      </w:r>
      <w:r>
        <w:rPr>
          <w:rFonts w:hint="default" w:ascii="Times New Roman" w:hAnsi="Times New Roman" w:cs="Times New Roman"/>
          <w:b/>
          <w:color w:val="auto"/>
          <w:sz w:val="24"/>
          <w:szCs w:val="24"/>
        </w:rPr>
        <w:t>环境保护措施监督检查清单</w:t>
      </w:r>
      <w:r>
        <w:rPr>
          <w:rFonts w:hint="default" w:ascii="Times New Roman" w:hAnsi="Times New Roman" w:cs="Times New Roman"/>
          <w:b/>
          <w:color w:val="auto"/>
          <w:sz w:val="24"/>
          <w:szCs w:val="24"/>
        </w:rPr>
        <w:tab/>
      </w:r>
      <w:r>
        <w:rPr>
          <w:rFonts w:hint="eastAsia" w:ascii="Times New Roman" w:hAnsi="Times New Roman" w:cs="Times New Roman"/>
          <w:b/>
          <w:color w:val="auto"/>
          <w:sz w:val="24"/>
          <w:szCs w:val="24"/>
          <w:lang w:val="en-US" w:eastAsia="zh-CN"/>
        </w:rPr>
        <w:t>75</w:t>
      </w:r>
      <w:r>
        <w:rPr>
          <w:rFonts w:hint="default" w:ascii="Times New Roman" w:hAnsi="Times New Roman" w:cs="Times New Roman"/>
          <w:b/>
          <w:color w:val="auto"/>
          <w:sz w:val="24"/>
          <w:szCs w:val="24"/>
        </w:rPr>
        <w:fldChar w:fldCharType="end"/>
      </w:r>
    </w:p>
    <w:p w14:paraId="5DBCC0AC">
      <w:pPr>
        <w:tabs>
          <w:tab w:val="right" w:leader="dot" w:pos="9175"/>
        </w:tabs>
        <w:spacing w:line="360" w:lineRule="auto"/>
        <w:rPr>
          <w:rFonts w:hint="default" w:eastAsia="仿宋_GB2312"/>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"_Toc290536122" </w:instrText>
      </w:r>
      <w:r>
        <w:rPr>
          <w:rFonts w:hint="default" w:ascii="Times New Roman" w:hAnsi="Times New Roman" w:cs="Times New Roman"/>
          <w:color w:val="auto"/>
          <w:sz w:val="24"/>
          <w:szCs w:val="24"/>
        </w:rPr>
        <w:fldChar w:fldCharType="separate"/>
      </w:r>
      <w:r>
        <w:rPr>
          <w:rFonts w:hint="default" w:ascii="Times New Roman" w:hAnsi="Times New Roman" w:cs="Times New Roman"/>
          <w:b/>
          <w:color w:val="auto"/>
          <w:sz w:val="24"/>
          <w:szCs w:val="24"/>
        </w:rPr>
        <w:t>六</w:t>
      </w:r>
      <w:r>
        <w:rPr>
          <w:rFonts w:hint="default" w:ascii="Times New Roman" w:hAnsi="Times New Roman" w:eastAsia="宋体" w:cs="Times New Roman"/>
          <w:b/>
          <w:color w:val="auto"/>
          <w:sz w:val="24"/>
          <w:szCs w:val="24"/>
          <w:lang w:eastAsia="zh-CN"/>
        </w:rPr>
        <w:t>、</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结论</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end"/>
      </w:r>
      <w:r>
        <w:rPr>
          <w:rFonts w:eastAsia="仿宋_GB2312"/>
          <w:b/>
          <w:color w:val="auto"/>
          <w:sz w:val="24"/>
          <w:szCs w:val="24"/>
        </w:rPr>
        <w:fldChar w:fldCharType="end"/>
      </w:r>
      <w:r>
        <w:rPr>
          <w:rFonts w:hint="eastAsia" w:eastAsia="仿宋_GB2312"/>
          <w:b/>
          <w:color w:val="auto"/>
          <w:sz w:val="24"/>
          <w:szCs w:val="24"/>
          <w:lang w:val="en-US" w:eastAsia="zh-CN"/>
        </w:rPr>
        <w:t>78</w:t>
      </w:r>
    </w:p>
    <w:p w14:paraId="5403CC36">
      <w:pPr>
        <w:spacing w:line="30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fldChar w:fldCharType="end"/>
      </w:r>
    </w:p>
    <w:p w14:paraId="413D7ADD">
      <w:pPr>
        <w:keepNext w:val="0"/>
        <w:keepLines w:val="0"/>
        <w:pageBreakBefore w:val="0"/>
        <w:widowControl w:val="0"/>
        <w:kinsoku/>
        <w:wordWrap/>
        <w:overflowPunct/>
        <w:topLinePunct w:val="0"/>
        <w:autoSpaceDE/>
        <w:autoSpaceDN/>
        <w:bidi w:val="0"/>
        <w:spacing w:line="360" w:lineRule="auto"/>
        <w:jc w:val="left"/>
        <w:textAlignment w:val="auto"/>
        <w:outlineLvl w:val="0"/>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color w:val="auto"/>
          <w:sz w:val="24"/>
        </w:rPr>
        <w:t>附表：</w:t>
      </w:r>
      <w:r>
        <w:rPr>
          <w:rFonts w:hint="default" w:ascii="Times New Roman" w:hAnsi="Times New Roman" w:eastAsia="宋体" w:cs="Times New Roman"/>
          <w:b w:val="0"/>
          <w:bCs/>
          <w:color w:val="auto"/>
          <w:sz w:val="24"/>
        </w:rPr>
        <w:t>建设项目污染物排放量汇总表</w:t>
      </w:r>
      <w:r>
        <w:rPr>
          <w:rFonts w:hint="default" w:ascii="Times New Roman" w:hAnsi="Times New Roman" w:eastAsia="宋体" w:cs="Times New Roman"/>
          <w:b w:val="0"/>
          <w:bCs/>
          <w:color w:val="auto"/>
          <w:sz w:val="24"/>
          <w:lang w:val="en-US" w:eastAsia="zh-CN"/>
        </w:rPr>
        <w:t xml:space="preserve"> </w:t>
      </w:r>
    </w:p>
    <w:p w14:paraId="63BE36E5">
      <w:pPr>
        <w:keepNext w:val="0"/>
        <w:keepLines w:val="0"/>
        <w:pageBreakBefore w:val="0"/>
        <w:widowControl w:val="0"/>
        <w:kinsoku/>
        <w:wordWrap/>
        <w:overflowPunct/>
        <w:topLinePunct w:val="0"/>
        <w:autoSpaceDE/>
        <w:autoSpaceDN/>
        <w:bidi w:val="0"/>
        <w:spacing w:line="360" w:lineRule="auto"/>
        <w:ind w:left="853" w:hanging="853" w:hangingChars="354"/>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b/>
          <w:iCs/>
          <w:color w:val="auto"/>
          <w:sz w:val="24"/>
        </w:rPr>
        <w:t>附图：</w:t>
      </w:r>
      <w:r>
        <w:rPr>
          <w:rFonts w:hint="default" w:ascii="Times New Roman" w:hAnsi="Times New Roman" w:eastAsia="宋体" w:cs="Times New Roman"/>
          <w:color w:val="auto"/>
          <w:sz w:val="24"/>
        </w:rPr>
        <w:t xml:space="preserve"> </w:t>
      </w:r>
    </w:p>
    <w:p w14:paraId="73CB8D3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default" w:ascii="Times New Roman" w:hAnsi="Times New Roman" w:eastAsia="宋体" w:cs="Times New Roman"/>
          <w:iCs/>
          <w:color w:val="auto"/>
          <w:sz w:val="24"/>
        </w:rPr>
      </w:pPr>
      <w:r>
        <w:rPr>
          <w:rFonts w:hint="default" w:ascii="Times New Roman" w:hAnsi="Times New Roman" w:eastAsia="宋体" w:cs="Times New Roman"/>
          <w:iCs/>
          <w:color w:val="auto"/>
          <w:sz w:val="24"/>
        </w:rPr>
        <w:t>附图1：</w:t>
      </w:r>
      <w:r>
        <w:rPr>
          <w:rFonts w:hint="default" w:ascii="Times New Roman" w:hAnsi="Times New Roman" w:eastAsia="宋体" w:cs="Times New Roman"/>
          <w:color w:val="auto"/>
          <w:sz w:val="24"/>
        </w:rPr>
        <w:t>项目</w:t>
      </w:r>
      <w:r>
        <w:rPr>
          <w:rFonts w:hint="default" w:ascii="Times New Roman" w:hAnsi="Times New Roman" w:eastAsia="宋体" w:cs="Times New Roman"/>
          <w:iCs/>
          <w:color w:val="auto"/>
          <w:sz w:val="24"/>
        </w:rPr>
        <w:t>地理位置图；</w:t>
      </w:r>
    </w:p>
    <w:p w14:paraId="35CF76C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default" w:ascii="Times New Roman" w:hAnsi="Times New Roman" w:eastAsia="宋体" w:cs="Times New Roman"/>
          <w:iCs/>
          <w:color w:val="auto"/>
          <w:sz w:val="24"/>
          <w:lang w:val="en-US" w:eastAsia="zh-CN"/>
        </w:rPr>
      </w:pPr>
      <w:r>
        <w:rPr>
          <w:rFonts w:hint="default" w:ascii="Times New Roman" w:hAnsi="Times New Roman" w:eastAsia="宋体" w:cs="Times New Roman"/>
          <w:iCs/>
          <w:color w:val="auto"/>
          <w:sz w:val="24"/>
          <w:lang w:val="en-US" w:eastAsia="zh-CN"/>
        </w:rPr>
        <w:t>附图</w:t>
      </w:r>
      <w:r>
        <w:rPr>
          <w:rFonts w:hint="eastAsia" w:ascii="Times New Roman" w:hAnsi="Times New Roman" w:eastAsia="宋体" w:cs="Times New Roman"/>
          <w:iCs/>
          <w:color w:val="auto"/>
          <w:sz w:val="24"/>
          <w:lang w:val="en-US" w:eastAsia="zh-CN"/>
        </w:rPr>
        <w:t>2</w:t>
      </w:r>
      <w:r>
        <w:rPr>
          <w:rFonts w:hint="default" w:ascii="Times New Roman" w:hAnsi="Times New Roman" w:eastAsia="宋体" w:cs="Times New Roman"/>
          <w:iCs/>
          <w:color w:val="auto"/>
          <w:sz w:val="24"/>
          <w:lang w:val="en-US" w:eastAsia="zh-CN"/>
        </w:rPr>
        <w:t>：</w:t>
      </w:r>
      <w:r>
        <w:rPr>
          <w:rFonts w:hint="eastAsia" w:ascii="Times New Roman" w:hAnsi="Times New Roman" w:eastAsia="宋体" w:cs="Times New Roman"/>
          <w:iCs/>
          <w:color w:val="auto"/>
          <w:sz w:val="24"/>
          <w:lang w:val="en-US" w:eastAsia="zh-CN"/>
        </w:rPr>
        <w:t>项目总平面布置图；</w:t>
      </w:r>
    </w:p>
    <w:p w14:paraId="7977ED32">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eastAsia" w:ascii="Times New Roman" w:hAnsi="Times New Roman" w:eastAsia="宋体" w:cs="Times New Roman"/>
          <w:iCs/>
          <w:color w:val="auto"/>
          <w:sz w:val="24"/>
          <w:lang w:val="en-US" w:eastAsia="zh-CN"/>
        </w:rPr>
      </w:pPr>
      <w:r>
        <w:rPr>
          <w:rFonts w:hint="eastAsia" w:ascii="Times New Roman" w:hAnsi="Times New Roman" w:eastAsia="宋体" w:cs="Times New Roman"/>
          <w:iCs/>
          <w:color w:val="auto"/>
          <w:sz w:val="24"/>
          <w:lang w:val="en-US" w:eastAsia="zh-CN"/>
        </w:rPr>
        <w:t>附图3：项目</w:t>
      </w:r>
      <w:r>
        <w:rPr>
          <w:rFonts w:hint="default" w:ascii="Times New Roman" w:hAnsi="Times New Roman" w:eastAsia="宋体" w:cs="Times New Roman"/>
          <w:iCs/>
          <w:color w:val="auto"/>
          <w:sz w:val="24"/>
          <w:lang w:val="en-US" w:eastAsia="zh-CN"/>
        </w:rPr>
        <w:t>环境保护目标分布图</w:t>
      </w:r>
      <w:r>
        <w:rPr>
          <w:rFonts w:hint="eastAsia" w:ascii="Times New Roman" w:hAnsi="Times New Roman" w:eastAsia="宋体" w:cs="Times New Roman"/>
          <w:iCs/>
          <w:color w:val="auto"/>
          <w:sz w:val="24"/>
          <w:lang w:val="en-US" w:eastAsia="zh-CN"/>
        </w:rPr>
        <w:t>；</w:t>
      </w:r>
    </w:p>
    <w:p w14:paraId="1001CEC0">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eastAsia" w:ascii="Times New Roman" w:hAnsi="Times New Roman" w:eastAsia="宋体" w:cs="Times New Roman"/>
          <w:iCs/>
          <w:color w:val="auto"/>
          <w:sz w:val="24"/>
          <w:lang w:val="en-US" w:eastAsia="zh-CN"/>
        </w:rPr>
      </w:pPr>
      <w:r>
        <w:rPr>
          <w:rFonts w:hint="default" w:ascii="Times New Roman" w:hAnsi="Times New Roman" w:eastAsia="宋体" w:cs="Times New Roman"/>
          <w:iCs/>
          <w:color w:val="auto"/>
          <w:sz w:val="24"/>
          <w:lang w:val="en-US" w:eastAsia="zh-CN"/>
        </w:rPr>
        <w:t>附图</w:t>
      </w:r>
      <w:r>
        <w:rPr>
          <w:rFonts w:hint="eastAsia" w:ascii="Times New Roman" w:hAnsi="Times New Roman" w:eastAsia="宋体" w:cs="Times New Roman"/>
          <w:iCs/>
          <w:color w:val="auto"/>
          <w:sz w:val="24"/>
          <w:lang w:val="en-US" w:eastAsia="zh-CN"/>
        </w:rPr>
        <w:t>4</w:t>
      </w:r>
      <w:r>
        <w:rPr>
          <w:rFonts w:hint="default" w:ascii="Times New Roman" w:hAnsi="Times New Roman" w:eastAsia="宋体" w:cs="Times New Roman"/>
          <w:iCs/>
          <w:color w:val="auto"/>
          <w:sz w:val="24"/>
          <w:lang w:val="en-US" w:eastAsia="zh-CN"/>
        </w:rPr>
        <w:t>：项目环境</w:t>
      </w:r>
      <w:r>
        <w:rPr>
          <w:rFonts w:hint="eastAsia" w:ascii="Times New Roman" w:hAnsi="Times New Roman" w:eastAsia="宋体" w:cs="Times New Roman"/>
          <w:iCs/>
          <w:color w:val="auto"/>
          <w:sz w:val="24"/>
          <w:lang w:val="en-US" w:eastAsia="zh-CN"/>
        </w:rPr>
        <w:t>质量</w:t>
      </w:r>
      <w:r>
        <w:rPr>
          <w:rFonts w:hint="default" w:ascii="Times New Roman" w:hAnsi="Times New Roman" w:eastAsia="宋体" w:cs="Times New Roman"/>
          <w:iCs/>
          <w:color w:val="auto"/>
          <w:sz w:val="24"/>
          <w:lang w:val="en-US" w:eastAsia="zh-CN"/>
        </w:rPr>
        <w:t>现状监测布点图</w:t>
      </w:r>
      <w:r>
        <w:rPr>
          <w:rFonts w:hint="eastAsia" w:ascii="Times New Roman" w:hAnsi="Times New Roman" w:eastAsia="宋体" w:cs="Times New Roman"/>
          <w:iCs/>
          <w:color w:val="auto"/>
          <w:sz w:val="24"/>
          <w:lang w:val="en-US" w:eastAsia="zh-CN"/>
        </w:rPr>
        <w:t>；</w:t>
      </w:r>
    </w:p>
    <w:p w14:paraId="07CCEA3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outlineLvl w:val="0"/>
        <w:rPr>
          <w:rFonts w:hint="eastAsia" w:ascii="Times New Roman" w:hAnsi="Times New Roman" w:eastAsia="宋体" w:cs="Times New Roman"/>
          <w:iCs/>
          <w:color w:val="auto"/>
          <w:sz w:val="24"/>
          <w:lang w:val="en-US" w:eastAsia="zh-CN"/>
        </w:rPr>
      </w:pPr>
      <w:r>
        <w:rPr>
          <w:rFonts w:hint="eastAsia" w:ascii="Times New Roman" w:hAnsi="Times New Roman" w:eastAsia="宋体" w:cs="Times New Roman"/>
          <w:iCs/>
          <w:color w:val="auto"/>
          <w:sz w:val="24"/>
          <w:lang w:val="en-US" w:eastAsia="zh-CN"/>
        </w:rPr>
        <w:t>附图5：项目区水系图。</w:t>
      </w:r>
    </w:p>
    <w:p w14:paraId="35D7813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附件：</w:t>
      </w:r>
    </w:p>
    <w:p w14:paraId="55A7A7F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rPr>
      </w:pPr>
      <w:r>
        <w:rPr>
          <w:rFonts w:hint="default" w:ascii="Times New Roman" w:hAnsi="Times New Roman" w:eastAsia="宋体" w:cs="Times New Roman"/>
          <w:iCs/>
          <w:color w:val="auto"/>
          <w:sz w:val="24"/>
          <w:szCs w:val="22"/>
        </w:rPr>
        <w:t>附件1：委托书；</w:t>
      </w:r>
    </w:p>
    <w:p w14:paraId="42108FC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附件2：芒市中山乡人民政府统一社会信用代码证书；</w:t>
      </w:r>
    </w:p>
    <w:p w14:paraId="5A0059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附件3：芒市发展和改革局关于中山乡光明坚果初加工基地建设工程项目建议书的批复</w:t>
      </w:r>
      <w:r>
        <w:rPr>
          <w:rFonts w:hint="default" w:ascii="Times New Roman" w:hAnsi="Times New Roman" w:eastAsia="宋体" w:cs="Times New Roman"/>
          <w:iCs/>
          <w:color w:val="auto"/>
          <w:sz w:val="24"/>
          <w:szCs w:val="22"/>
          <w:lang w:val="en-US" w:eastAsia="zh-CN"/>
        </w:rPr>
        <w:t>，批复文号：</w:t>
      </w:r>
      <w:r>
        <w:rPr>
          <w:rFonts w:hint="eastAsia" w:ascii="Times New Roman" w:hAnsi="Times New Roman" w:eastAsia="宋体" w:cs="Times New Roman"/>
          <w:iCs/>
          <w:color w:val="auto"/>
          <w:sz w:val="24"/>
          <w:szCs w:val="22"/>
          <w:lang w:val="en-US" w:eastAsia="zh-CN"/>
        </w:rPr>
        <w:t>芒发改字</w:t>
      </w:r>
      <w:r>
        <w:rPr>
          <w:rFonts w:hint="default" w:ascii="Times New Roman" w:hAnsi="Times New Roman" w:eastAsia="宋体" w:cs="Times New Roman"/>
          <w:iCs/>
          <w:color w:val="auto"/>
          <w:sz w:val="24"/>
          <w:szCs w:val="22"/>
          <w:lang w:val="en-US" w:eastAsia="zh-CN"/>
        </w:rPr>
        <w:t>﹝2022﹞</w:t>
      </w:r>
      <w:r>
        <w:rPr>
          <w:rFonts w:hint="eastAsia" w:ascii="Times New Roman" w:hAnsi="Times New Roman" w:eastAsia="宋体" w:cs="Times New Roman"/>
          <w:iCs/>
          <w:color w:val="auto"/>
          <w:sz w:val="24"/>
          <w:szCs w:val="22"/>
          <w:lang w:val="en-US" w:eastAsia="zh-CN"/>
        </w:rPr>
        <w:t>49</w:t>
      </w:r>
      <w:r>
        <w:rPr>
          <w:rFonts w:hint="default" w:ascii="Times New Roman" w:hAnsi="Times New Roman" w:eastAsia="宋体" w:cs="Times New Roman"/>
          <w:iCs/>
          <w:color w:val="auto"/>
          <w:sz w:val="24"/>
          <w:szCs w:val="22"/>
          <w:lang w:val="en-US" w:eastAsia="zh-CN"/>
        </w:rPr>
        <w:t>号；</w:t>
      </w:r>
    </w:p>
    <w:p w14:paraId="525CE99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附件4：芒市福多乐商贸有限公司营业执照；</w:t>
      </w:r>
    </w:p>
    <w:p w14:paraId="220C792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default" w:ascii="Times New Roman" w:hAnsi="Times New Roman" w:eastAsia="宋体" w:cs="Times New Roman"/>
          <w:iCs/>
          <w:color w:val="auto"/>
          <w:sz w:val="24"/>
          <w:szCs w:val="22"/>
          <w:lang w:val="en-US" w:eastAsia="zh-CN"/>
        </w:rPr>
        <w:t>附件</w:t>
      </w:r>
      <w:r>
        <w:rPr>
          <w:rFonts w:hint="eastAsia" w:ascii="Times New Roman" w:hAnsi="Times New Roman" w:eastAsia="宋体" w:cs="Times New Roman"/>
          <w:iCs/>
          <w:color w:val="auto"/>
          <w:sz w:val="24"/>
          <w:szCs w:val="22"/>
          <w:lang w:val="en-US" w:eastAsia="zh-CN"/>
        </w:rPr>
        <w:t>5：中山乡坚果加工厂租赁合同</w:t>
      </w:r>
      <w:r>
        <w:rPr>
          <w:rFonts w:hint="default" w:ascii="Times New Roman" w:hAnsi="Times New Roman" w:eastAsia="宋体" w:cs="Times New Roman"/>
          <w:iCs/>
          <w:color w:val="auto"/>
          <w:sz w:val="24"/>
          <w:szCs w:val="22"/>
          <w:lang w:val="en-US" w:eastAsia="zh-CN"/>
        </w:rPr>
        <w:t>；</w:t>
      </w:r>
    </w:p>
    <w:p w14:paraId="447C87F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附件6：德宏州人民政府关于芒市2022年度第八批次村庄建设农用地转用的批复（德政复</w:t>
      </w:r>
      <w:r>
        <w:rPr>
          <w:rFonts w:hint="default" w:ascii="Times New Roman" w:hAnsi="Times New Roman" w:eastAsia="宋体" w:cs="Times New Roman"/>
          <w:iCs/>
          <w:color w:val="auto"/>
          <w:sz w:val="24"/>
          <w:szCs w:val="22"/>
          <w:lang w:val="en-US" w:eastAsia="zh-CN"/>
        </w:rPr>
        <w:t>﹝2022﹞</w:t>
      </w:r>
      <w:r>
        <w:rPr>
          <w:rFonts w:hint="eastAsia" w:ascii="Times New Roman" w:hAnsi="Times New Roman" w:eastAsia="宋体" w:cs="Times New Roman"/>
          <w:iCs/>
          <w:color w:val="auto"/>
          <w:sz w:val="24"/>
          <w:szCs w:val="22"/>
          <w:lang w:val="en-US" w:eastAsia="zh-CN"/>
        </w:rPr>
        <w:t>46</w:t>
      </w:r>
      <w:r>
        <w:rPr>
          <w:rFonts w:hint="default" w:ascii="Times New Roman" w:hAnsi="Times New Roman" w:eastAsia="宋体" w:cs="Times New Roman"/>
          <w:iCs/>
          <w:color w:val="auto"/>
          <w:sz w:val="24"/>
          <w:szCs w:val="22"/>
          <w:lang w:val="en-US" w:eastAsia="zh-CN"/>
        </w:rPr>
        <w:t>号</w:t>
      </w:r>
      <w:r>
        <w:rPr>
          <w:rFonts w:hint="eastAsia" w:ascii="Times New Roman" w:hAnsi="Times New Roman" w:eastAsia="宋体" w:cs="Times New Roman"/>
          <w:iCs/>
          <w:color w:val="auto"/>
          <w:sz w:val="24"/>
          <w:szCs w:val="22"/>
          <w:lang w:val="en-US" w:eastAsia="zh-CN"/>
        </w:rPr>
        <w:t>）</w:t>
      </w:r>
      <w:r>
        <w:rPr>
          <w:rFonts w:hint="default" w:ascii="Times New Roman" w:hAnsi="Times New Roman" w:eastAsia="宋体" w:cs="Times New Roman"/>
          <w:iCs/>
          <w:color w:val="auto"/>
          <w:sz w:val="24"/>
          <w:szCs w:val="22"/>
          <w:lang w:val="en-US" w:eastAsia="zh-CN"/>
        </w:rPr>
        <w:t>；</w:t>
      </w:r>
    </w:p>
    <w:p w14:paraId="6F646C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default" w:ascii="Times New Roman" w:hAnsi="Times New Roman" w:eastAsia="宋体" w:cs="Times New Roman"/>
          <w:iCs/>
          <w:color w:val="auto"/>
          <w:sz w:val="24"/>
          <w:szCs w:val="22"/>
          <w:lang w:val="en-US" w:eastAsia="zh-CN"/>
        </w:rPr>
        <w:t>附件</w:t>
      </w:r>
      <w:r>
        <w:rPr>
          <w:rFonts w:hint="eastAsia" w:ascii="Times New Roman" w:hAnsi="Times New Roman" w:eastAsia="宋体" w:cs="Times New Roman"/>
          <w:iCs/>
          <w:color w:val="auto"/>
          <w:sz w:val="24"/>
          <w:szCs w:val="22"/>
          <w:lang w:val="en-US" w:eastAsia="zh-CN"/>
        </w:rPr>
        <w:t>7</w:t>
      </w:r>
      <w:r>
        <w:rPr>
          <w:rFonts w:hint="default" w:ascii="Times New Roman" w:hAnsi="Times New Roman" w:eastAsia="宋体" w:cs="Times New Roman"/>
          <w:iCs/>
          <w:color w:val="auto"/>
          <w:sz w:val="24"/>
          <w:szCs w:val="22"/>
          <w:lang w:val="en-US" w:eastAsia="zh-CN"/>
        </w:rPr>
        <w:t>：</w:t>
      </w:r>
      <w:r>
        <w:rPr>
          <w:rFonts w:hint="eastAsia" w:ascii="Times New Roman" w:hAnsi="Times New Roman" w:eastAsia="宋体" w:cs="Times New Roman"/>
          <w:iCs/>
          <w:color w:val="auto"/>
          <w:sz w:val="24"/>
          <w:szCs w:val="22"/>
          <w:lang w:val="en-US" w:eastAsia="zh-CN"/>
        </w:rPr>
        <w:t>芒市自然资源局关于中山乡人民政府申请查询坚果初加工基地建设项目用地规划、性质的复函；</w:t>
      </w:r>
    </w:p>
    <w:p w14:paraId="22C6485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default" w:ascii="Times New Roman" w:hAnsi="Times New Roman" w:eastAsia="宋体" w:cs="Times New Roman"/>
          <w:iCs/>
          <w:color w:val="auto"/>
          <w:sz w:val="24"/>
          <w:szCs w:val="22"/>
          <w:lang w:val="en-US" w:eastAsia="zh-CN"/>
        </w:rPr>
        <w:t>附件</w:t>
      </w:r>
      <w:r>
        <w:rPr>
          <w:rFonts w:hint="eastAsia" w:ascii="Times New Roman" w:hAnsi="Times New Roman" w:eastAsia="宋体" w:cs="Times New Roman"/>
          <w:iCs/>
          <w:color w:val="auto"/>
          <w:sz w:val="24"/>
          <w:szCs w:val="22"/>
          <w:lang w:val="en-US" w:eastAsia="zh-CN"/>
        </w:rPr>
        <w:t>8：废水灌溉协议；</w:t>
      </w:r>
    </w:p>
    <w:p w14:paraId="4662C5D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附件9：环境质量现状检测报告（H202303032、H202305076）；</w:t>
      </w:r>
    </w:p>
    <w:p w14:paraId="4704417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附件10：环评技术服务合同；</w:t>
      </w:r>
    </w:p>
    <w:p w14:paraId="598F865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附件11：项目环评质量管理流程表及校审记录表；</w:t>
      </w:r>
    </w:p>
    <w:p w14:paraId="1750743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附件12：报告表评审会会议纪要；</w:t>
      </w:r>
    </w:p>
    <w:p w14:paraId="0EBAFFD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Cs/>
          <w:color w:val="auto"/>
          <w:sz w:val="24"/>
          <w:szCs w:val="22"/>
          <w:lang w:val="en-US" w:eastAsia="zh-CN"/>
        </w:rPr>
      </w:pPr>
      <w:r>
        <w:rPr>
          <w:rFonts w:hint="eastAsia" w:ascii="Times New Roman" w:hAnsi="Times New Roman" w:eastAsia="宋体" w:cs="Times New Roman"/>
          <w:iCs/>
          <w:color w:val="auto"/>
          <w:sz w:val="24"/>
          <w:szCs w:val="22"/>
          <w:lang w:val="en-US" w:eastAsia="zh-CN"/>
        </w:rPr>
        <w:t>附件13：修改说明。</w:t>
      </w:r>
    </w:p>
    <w:p w14:paraId="1DDE6352">
      <w:pPr>
        <w:rPr>
          <w:rFonts w:hint="eastAsia"/>
          <w:color w:val="auto"/>
          <w:lang w:eastAsia="zh-CN"/>
        </w:rPr>
      </w:pPr>
    </w:p>
    <w:p w14:paraId="29C75707">
      <w:pPr>
        <w:pStyle w:val="16"/>
        <w:rPr>
          <w:rFonts w:hint="eastAsia"/>
          <w:color w:val="auto"/>
          <w:lang w:eastAsia="zh-CN"/>
        </w:rPr>
      </w:pPr>
    </w:p>
    <w:p w14:paraId="0FCE9789">
      <w:pPr>
        <w:pStyle w:val="16"/>
        <w:rPr>
          <w:rFonts w:hint="eastAsia"/>
          <w:color w:val="auto"/>
        </w:rPr>
        <w:sectPr>
          <w:headerReference r:id="rId5" w:type="default"/>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73AF7517">
      <w:pPr>
        <w:pStyle w:val="3"/>
        <w:bidi w:val="0"/>
        <w:jc w:val="center"/>
        <w:rPr>
          <w:rFonts w:hint="eastAsia"/>
          <w:color w:val="auto"/>
        </w:rPr>
      </w:pPr>
      <w:bookmarkStart w:id="2" w:name="_Toc6372"/>
      <w:bookmarkStart w:id="3" w:name="_Toc29160"/>
      <w:bookmarkStart w:id="4" w:name="_Toc28529"/>
      <w:bookmarkStart w:id="5" w:name="_Toc32725"/>
      <w:r>
        <w:rPr>
          <w:rFonts w:hint="eastAsia"/>
          <w:color w:val="auto"/>
        </w:rPr>
        <w:t>一、建设项目基本情况</w:t>
      </w:r>
      <w:bookmarkEnd w:id="0"/>
      <w:bookmarkEnd w:id="2"/>
      <w:bookmarkEnd w:id="3"/>
      <w:bookmarkEnd w:id="4"/>
      <w:bookmarkEnd w:id="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05"/>
        <w:gridCol w:w="2354"/>
        <w:gridCol w:w="1979"/>
        <w:gridCol w:w="3232"/>
      </w:tblGrid>
      <w:tr w14:paraId="742EA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9" w:type="dxa"/>
            <w:noWrap w:val="0"/>
            <w:tcMar>
              <w:top w:w="16" w:type="dxa"/>
              <w:left w:w="16" w:type="dxa"/>
              <w:right w:w="16" w:type="dxa"/>
            </w:tcMar>
            <w:vAlign w:val="center"/>
          </w:tcPr>
          <w:p w14:paraId="5E35F99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建设项目名称</w:t>
            </w:r>
          </w:p>
        </w:tc>
        <w:tc>
          <w:tcPr>
            <w:tcW w:w="6831" w:type="dxa"/>
            <w:gridSpan w:val="3"/>
            <w:noWrap w:val="0"/>
            <w:vAlign w:val="center"/>
          </w:tcPr>
          <w:p w14:paraId="37F077EC">
            <w:pPr>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中山乡光明坚果初加工基地建设工程项目</w:t>
            </w:r>
          </w:p>
        </w:tc>
      </w:tr>
      <w:tr w14:paraId="5F23B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9" w:type="dxa"/>
            <w:noWrap w:val="0"/>
            <w:tcMar>
              <w:top w:w="16" w:type="dxa"/>
              <w:left w:w="16" w:type="dxa"/>
              <w:right w:w="16" w:type="dxa"/>
            </w:tcMar>
            <w:vAlign w:val="center"/>
          </w:tcPr>
          <w:p w14:paraId="71509A0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项目代码</w:t>
            </w:r>
          </w:p>
        </w:tc>
        <w:tc>
          <w:tcPr>
            <w:tcW w:w="6831" w:type="dxa"/>
            <w:gridSpan w:val="3"/>
            <w:noWrap w:val="0"/>
            <w:vAlign w:val="center"/>
          </w:tcPr>
          <w:p w14:paraId="0D87AFA9">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220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-5331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3-04-01-</w:t>
            </w:r>
            <w:r>
              <w:rPr>
                <w:rFonts w:hint="eastAsia" w:ascii="Times New Roman" w:hAnsi="Times New Roman" w:eastAsia="宋体" w:cs="Times New Roman"/>
                <w:color w:val="auto"/>
                <w:sz w:val="24"/>
                <w:szCs w:val="24"/>
                <w:lang w:val="en-US" w:eastAsia="zh-CN"/>
              </w:rPr>
              <w:t>960786</w:t>
            </w:r>
          </w:p>
        </w:tc>
      </w:tr>
      <w:tr w14:paraId="7D541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9" w:type="dxa"/>
            <w:noWrap w:val="0"/>
            <w:tcMar>
              <w:top w:w="16" w:type="dxa"/>
              <w:left w:w="16" w:type="dxa"/>
              <w:right w:w="16" w:type="dxa"/>
            </w:tcMar>
            <w:vAlign w:val="center"/>
          </w:tcPr>
          <w:p w14:paraId="4F7E933F">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建设单位联系人</w:t>
            </w:r>
          </w:p>
        </w:tc>
        <w:tc>
          <w:tcPr>
            <w:tcW w:w="2250" w:type="dxa"/>
            <w:noWrap w:val="0"/>
            <w:vAlign w:val="center"/>
          </w:tcPr>
          <w:p w14:paraId="6EF527EC">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郑文</w:t>
            </w:r>
          </w:p>
        </w:tc>
        <w:tc>
          <w:tcPr>
            <w:tcW w:w="1859" w:type="dxa"/>
            <w:noWrap w:val="0"/>
            <w:vAlign w:val="center"/>
          </w:tcPr>
          <w:p w14:paraId="3592B60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联系方式</w:t>
            </w:r>
          </w:p>
        </w:tc>
        <w:tc>
          <w:tcPr>
            <w:tcW w:w="2722" w:type="dxa"/>
            <w:noWrap w:val="0"/>
            <w:vAlign w:val="center"/>
          </w:tcPr>
          <w:p w14:paraId="1A3F106E">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180*****73</w:t>
            </w:r>
          </w:p>
        </w:tc>
      </w:tr>
      <w:tr w14:paraId="75BF0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9" w:type="dxa"/>
            <w:noWrap w:val="0"/>
            <w:tcMar>
              <w:top w:w="16" w:type="dxa"/>
              <w:left w:w="16" w:type="dxa"/>
              <w:right w:w="16" w:type="dxa"/>
            </w:tcMar>
            <w:vAlign w:val="center"/>
          </w:tcPr>
          <w:p w14:paraId="31D5140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建设地点</w:t>
            </w:r>
          </w:p>
        </w:tc>
        <w:tc>
          <w:tcPr>
            <w:tcW w:w="6831" w:type="dxa"/>
            <w:gridSpan w:val="3"/>
            <w:noWrap w:val="0"/>
            <w:vAlign w:val="center"/>
          </w:tcPr>
          <w:p w14:paraId="07126EC2">
            <w:pPr>
              <w:adjustRightInd w:val="0"/>
              <w:snapToGrid w:val="0"/>
              <w:jc w:val="center"/>
              <w:rPr>
                <w:rFonts w:hint="default" w:ascii="宋体" w:hAnsi="宋体" w:eastAsia="宋体" w:cs="宋体"/>
                <w:color w:val="auto"/>
                <w:sz w:val="24"/>
                <w:szCs w:val="24"/>
                <w:lang w:val="en-US"/>
              </w:rPr>
            </w:pPr>
            <w:r>
              <w:rPr>
                <w:rFonts w:hint="eastAsia" w:ascii="宋体" w:hAnsi="宋体" w:eastAsia="宋体" w:cs="宋体"/>
                <w:color w:val="auto"/>
                <w:sz w:val="24"/>
                <w:szCs w:val="24"/>
                <w:u w:val="single"/>
                <w:lang w:eastAsia="zh-CN"/>
              </w:rPr>
              <w:t>云南</w:t>
            </w:r>
            <w:r>
              <w:rPr>
                <w:rFonts w:hint="eastAsia" w:ascii="宋体" w:hAnsi="宋体" w:eastAsia="宋体" w:cs="宋体"/>
                <w:color w:val="auto"/>
                <w:sz w:val="24"/>
                <w:szCs w:val="24"/>
              </w:rPr>
              <w:t>省（自治区）</w:t>
            </w:r>
            <w:r>
              <w:rPr>
                <w:rFonts w:hint="eastAsia" w:ascii="宋体" w:hAnsi="宋体" w:eastAsia="宋体" w:cs="宋体"/>
                <w:color w:val="auto"/>
                <w:sz w:val="24"/>
                <w:szCs w:val="24"/>
                <w:u w:val="single"/>
                <w:lang w:val="en-US" w:eastAsia="zh-CN"/>
              </w:rPr>
              <w:t>德宏</w:t>
            </w:r>
            <w:r>
              <w:rPr>
                <w:rFonts w:hint="eastAsia" w:ascii="宋体" w:hAnsi="宋体" w:eastAsia="宋体" w:cs="宋体"/>
                <w:color w:val="auto"/>
                <w:sz w:val="24"/>
                <w:szCs w:val="24"/>
                <w:u w:val="none"/>
                <w:lang w:val="en-US" w:eastAsia="zh-CN"/>
              </w:rPr>
              <w:t>州</w:t>
            </w:r>
            <w:r>
              <w:rPr>
                <w:rFonts w:hint="eastAsia" w:ascii="宋体" w:hAnsi="宋体" w:eastAsia="宋体" w:cs="宋体"/>
                <w:color w:val="auto"/>
                <w:sz w:val="24"/>
                <w:szCs w:val="24"/>
                <w:u w:val="single"/>
                <w:lang w:val="en-US" w:eastAsia="zh-CN"/>
              </w:rPr>
              <w:t>芒市</w:t>
            </w:r>
            <w:r>
              <w:rPr>
                <w:rFonts w:hint="eastAsia" w:ascii="宋体" w:hAnsi="宋体" w:eastAsia="宋体" w:cs="宋体"/>
                <w:color w:val="auto"/>
                <w:sz w:val="24"/>
                <w:szCs w:val="24"/>
              </w:rPr>
              <w:t>县（区）</w:t>
            </w:r>
            <w:r>
              <w:rPr>
                <w:rFonts w:hint="eastAsia" w:ascii="宋体" w:hAnsi="宋体" w:eastAsia="宋体" w:cs="宋体"/>
                <w:color w:val="auto"/>
                <w:sz w:val="24"/>
                <w:szCs w:val="24"/>
                <w:u w:val="single"/>
                <w:lang w:val="en-US" w:eastAsia="zh-CN"/>
              </w:rPr>
              <w:t>中山</w:t>
            </w:r>
            <w:r>
              <w:rPr>
                <w:rFonts w:hint="eastAsia" w:ascii="宋体" w:hAnsi="宋体" w:eastAsia="宋体" w:cs="宋体"/>
                <w:color w:val="auto"/>
                <w:sz w:val="24"/>
                <w:szCs w:val="24"/>
                <w:u w:val="none"/>
                <w:lang w:val="en-US" w:eastAsia="zh-CN"/>
              </w:rPr>
              <w:t>乡</w:t>
            </w:r>
            <w:r>
              <w:rPr>
                <w:rFonts w:hint="eastAsia" w:ascii="宋体" w:hAnsi="宋体" w:eastAsia="宋体" w:cs="宋体"/>
                <w:color w:val="auto"/>
                <w:sz w:val="24"/>
                <w:szCs w:val="24"/>
                <w:u w:val="single"/>
                <w:lang w:val="en-US" w:eastAsia="zh-CN"/>
              </w:rPr>
              <w:t>芒丙村罗胡山</w:t>
            </w:r>
          </w:p>
        </w:tc>
      </w:tr>
      <w:tr w14:paraId="62B32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9" w:type="dxa"/>
            <w:noWrap w:val="0"/>
            <w:tcMar>
              <w:top w:w="16" w:type="dxa"/>
              <w:left w:w="16" w:type="dxa"/>
              <w:right w:w="16" w:type="dxa"/>
            </w:tcMar>
            <w:vAlign w:val="center"/>
          </w:tcPr>
          <w:p w14:paraId="311D782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地理坐标</w:t>
            </w:r>
          </w:p>
        </w:tc>
        <w:tc>
          <w:tcPr>
            <w:tcW w:w="6831" w:type="dxa"/>
            <w:gridSpan w:val="3"/>
            <w:noWrap w:val="0"/>
            <w:vAlign w:val="center"/>
          </w:tcPr>
          <w:p w14:paraId="1D891BC3">
            <w:pPr>
              <w:jc w:val="center"/>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u w:val="single"/>
                <w:lang w:val="en-US" w:eastAsia="zh-CN"/>
              </w:rPr>
              <w:t>98</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34</w:t>
            </w:r>
            <w:r>
              <w:rPr>
                <w:rFonts w:hint="default" w:ascii="Times New Roman" w:hAnsi="Times New Roman" w:eastAsia="宋体" w:cs="Times New Roman"/>
                <w:color w:val="auto"/>
                <w:sz w:val="24"/>
                <w:szCs w:val="24"/>
              </w:rPr>
              <w:t>分</w:t>
            </w:r>
            <w:r>
              <w:rPr>
                <w:rFonts w:hint="eastAsia" w:ascii="Times New Roman" w:hAnsi="Times New Roman" w:eastAsia="宋体" w:cs="Times New Roman"/>
                <w:color w:val="auto"/>
                <w:sz w:val="24"/>
                <w:szCs w:val="24"/>
                <w:u w:val="single"/>
                <w:lang w:val="en-US" w:eastAsia="zh-CN"/>
              </w:rPr>
              <w:t>16.686</w:t>
            </w:r>
            <w:r>
              <w:rPr>
                <w:rFonts w:hint="default" w:ascii="Times New Roman" w:hAnsi="Times New Roman" w:eastAsia="宋体" w:cs="Times New Roman"/>
                <w:color w:val="auto"/>
                <w:sz w:val="24"/>
                <w:szCs w:val="24"/>
              </w:rPr>
              <w:t>秒，</w:t>
            </w:r>
            <w:r>
              <w:rPr>
                <w:rFonts w:hint="eastAsia" w:ascii="Times New Roman" w:hAnsi="Times New Roman" w:eastAsia="宋体" w:cs="Times New Roman"/>
                <w:color w:val="auto"/>
                <w:sz w:val="24"/>
                <w:szCs w:val="24"/>
                <w:u w:val="single"/>
                <w:lang w:val="en-US" w:eastAsia="zh-CN"/>
              </w:rPr>
              <w:t>24</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度</w:t>
            </w:r>
            <w:r>
              <w:rPr>
                <w:rFonts w:hint="eastAsia" w:ascii="Times New Roman" w:hAnsi="Times New Roman" w:eastAsia="宋体" w:cs="Times New Roman"/>
                <w:color w:val="auto"/>
                <w:sz w:val="24"/>
                <w:szCs w:val="24"/>
                <w:u w:val="single"/>
                <w:lang w:val="en-US" w:eastAsia="zh-CN"/>
              </w:rPr>
              <w:t>7</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30.339</w:t>
            </w:r>
            <w:r>
              <w:rPr>
                <w:rFonts w:hint="default" w:ascii="Times New Roman" w:hAnsi="Times New Roman" w:eastAsia="宋体" w:cs="Times New Roman"/>
                <w:color w:val="auto"/>
                <w:sz w:val="24"/>
                <w:szCs w:val="24"/>
              </w:rPr>
              <w:t>秒）</w:t>
            </w:r>
          </w:p>
        </w:tc>
      </w:tr>
      <w:tr w14:paraId="7FA3D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39" w:type="dxa"/>
            <w:noWrap w:val="0"/>
            <w:tcMar>
              <w:top w:w="16" w:type="dxa"/>
              <w:left w:w="16" w:type="dxa"/>
              <w:right w:w="16" w:type="dxa"/>
            </w:tcMar>
            <w:vAlign w:val="center"/>
          </w:tcPr>
          <w:p w14:paraId="7F845383">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国民经济</w:t>
            </w:r>
          </w:p>
          <w:p w14:paraId="2147E55A">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行业类别</w:t>
            </w:r>
          </w:p>
        </w:tc>
        <w:tc>
          <w:tcPr>
            <w:tcW w:w="2250" w:type="dxa"/>
            <w:noWrap w:val="0"/>
            <w:vAlign w:val="center"/>
          </w:tcPr>
          <w:p w14:paraId="1B6AE6C5">
            <w:pPr>
              <w:adjustRightInd w:val="0"/>
              <w:snapToGrid w:val="0"/>
              <w:jc w:val="center"/>
              <w:rPr>
                <w:rFonts w:hint="default" w:ascii="宋体" w:hAnsi="宋体" w:eastAsia="宋体" w:cs="宋体"/>
                <w:color w:val="auto"/>
                <w:sz w:val="24"/>
                <w:szCs w:val="24"/>
                <w:lang w:val="en-US" w:eastAsia="zh-CN"/>
              </w:rPr>
            </w:pPr>
            <w:r>
              <w:rPr>
                <w:rFonts w:hint="default"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en-US" w:eastAsia="zh-CN"/>
              </w:rPr>
              <w:t>1373水果和坚果加工</w:t>
            </w:r>
          </w:p>
        </w:tc>
        <w:tc>
          <w:tcPr>
            <w:tcW w:w="1859" w:type="dxa"/>
            <w:noWrap w:val="0"/>
            <w:vAlign w:val="center"/>
          </w:tcPr>
          <w:p w14:paraId="7443E8C4">
            <w:pPr>
              <w:adjustRightInd w:val="0"/>
              <w:snapToGrid w:val="0"/>
              <w:jc w:val="center"/>
              <w:rPr>
                <w:rFonts w:hint="eastAsia" w:ascii="宋体" w:hAnsi="宋体" w:eastAsia="宋体" w:cs="宋体"/>
                <w:color w:val="auto"/>
                <w:sz w:val="24"/>
                <w:szCs w:val="24"/>
              </w:rPr>
            </w:pPr>
            <w:bookmarkStart w:id="6" w:name="_Hlk49843745"/>
            <w:r>
              <w:rPr>
                <w:rFonts w:hint="eastAsia" w:ascii="宋体" w:hAnsi="宋体" w:eastAsia="宋体" w:cs="宋体"/>
                <w:color w:val="auto"/>
                <w:sz w:val="24"/>
                <w:szCs w:val="24"/>
              </w:rPr>
              <w:t>建设项目</w:t>
            </w:r>
          </w:p>
          <w:p w14:paraId="13572956">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行业类别</w:t>
            </w:r>
            <w:bookmarkEnd w:id="6"/>
          </w:p>
        </w:tc>
        <w:tc>
          <w:tcPr>
            <w:tcW w:w="2722" w:type="dxa"/>
            <w:noWrap w:val="0"/>
            <w:vAlign w:val="center"/>
          </w:tcPr>
          <w:p w14:paraId="400D349C">
            <w:pPr>
              <w:adjustRightInd w:val="0"/>
              <w:snapToGrid w:val="0"/>
              <w:jc w:val="center"/>
              <w:rPr>
                <w:rFonts w:hint="default" w:ascii="宋体" w:hAnsi="宋体" w:eastAsia="宋体" w:cs="宋体"/>
                <w:color w:val="auto"/>
                <w:sz w:val="24"/>
                <w:szCs w:val="24"/>
                <w:lang w:val="en-US"/>
              </w:rPr>
            </w:pP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24其他食品制造149*</w:t>
            </w:r>
          </w:p>
        </w:tc>
      </w:tr>
      <w:tr w14:paraId="4746E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12" w:hRule="atLeast"/>
          <w:jc w:val="center"/>
        </w:trPr>
        <w:tc>
          <w:tcPr>
            <w:tcW w:w="2039" w:type="dxa"/>
            <w:noWrap w:val="0"/>
            <w:tcMar>
              <w:top w:w="16" w:type="dxa"/>
              <w:left w:w="16" w:type="dxa"/>
              <w:right w:w="16" w:type="dxa"/>
            </w:tcMar>
            <w:vAlign w:val="center"/>
          </w:tcPr>
          <w:p w14:paraId="50249FC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建设性质</w:t>
            </w:r>
          </w:p>
        </w:tc>
        <w:tc>
          <w:tcPr>
            <w:tcW w:w="2250" w:type="dxa"/>
            <w:noWrap w:val="0"/>
            <w:vAlign w:val="center"/>
          </w:tcPr>
          <w:p w14:paraId="1D00A879">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新建（迁建）</w:t>
            </w:r>
          </w:p>
          <w:p w14:paraId="52CD96EC">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改建</w:t>
            </w:r>
          </w:p>
          <w:p w14:paraId="31A8DB9A">
            <w:pPr>
              <w:jc w:val="left"/>
              <w:rPr>
                <w:rFonts w:hint="eastAsia" w:ascii="宋体" w:hAnsi="宋体" w:eastAsia="宋体" w:cs="宋体"/>
                <w:color w:val="auto"/>
                <w:sz w:val="24"/>
                <w:szCs w:val="24"/>
              </w:rPr>
            </w:pPr>
            <w:r>
              <w:rPr>
                <w:rFonts w:hint="eastAsia" w:ascii="宋体" w:hAnsi="宋体" w:eastAsia="宋体" w:cs="宋体"/>
                <w:color w:val="auto"/>
                <w:sz w:val="24"/>
                <w:szCs w:val="24"/>
              </w:rPr>
              <w:t>□扩建</w:t>
            </w:r>
          </w:p>
          <w:p w14:paraId="7B7CE06D">
            <w:pPr>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□技术改造</w:t>
            </w:r>
          </w:p>
        </w:tc>
        <w:tc>
          <w:tcPr>
            <w:tcW w:w="1859" w:type="dxa"/>
            <w:noWrap w:val="0"/>
            <w:vAlign w:val="center"/>
          </w:tcPr>
          <w:p w14:paraId="4AAAAA3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w:t>
            </w:r>
          </w:p>
          <w:p w14:paraId="0342EEE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申报情形</w:t>
            </w:r>
          </w:p>
        </w:tc>
        <w:tc>
          <w:tcPr>
            <w:tcW w:w="2722" w:type="dxa"/>
            <w:noWrap w:val="0"/>
            <w:vAlign w:val="center"/>
          </w:tcPr>
          <w:p w14:paraId="172A099D">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 xml:space="preserve">首次申报项目             </w:t>
            </w:r>
          </w:p>
          <w:p w14:paraId="3CA0A5B6">
            <w:pPr>
              <w:jc w:val="left"/>
              <w:rPr>
                <w:rFonts w:hint="eastAsia" w:ascii="宋体" w:hAnsi="宋体" w:eastAsia="宋体" w:cs="宋体"/>
                <w:color w:val="auto"/>
                <w:sz w:val="24"/>
                <w:szCs w:val="24"/>
              </w:rPr>
            </w:pPr>
            <w:r>
              <w:rPr>
                <w:rFonts w:hint="eastAsia" w:ascii="宋体" w:hAnsi="宋体" w:eastAsia="宋体" w:cs="宋体"/>
                <w:color w:val="auto"/>
                <w:sz w:val="24"/>
                <w:szCs w:val="24"/>
              </w:rPr>
              <w:t>□不予批准后再次申报项目</w:t>
            </w:r>
          </w:p>
          <w:p w14:paraId="1CD8BA2F">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 xml:space="preserve">超五年重新审核项目     </w:t>
            </w:r>
          </w:p>
          <w:p w14:paraId="1138FE90">
            <w:pPr>
              <w:jc w:val="left"/>
              <w:rPr>
                <w:rFonts w:hint="eastAsia" w:ascii="宋体" w:hAnsi="宋体" w:eastAsia="宋体" w:cs="宋体"/>
                <w:color w:val="auto"/>
                <w:sz w:val="24"/>
                <w:szCs w:val="24"/>
              </w:rPr>
            </w:pPr>
            <w:r>
              <w:rPr>
                <w:rFonts w:hint="eastAsia" w:ascii="宋体" w:hAnsi="宋体" w:eastAsia="宋体" w:cs="宋体"/>
                <w:color w:val="auto"/>
                <w:sz w:val="24"/>
                <w:szCs w:val="24"/>
              </w:rPr>
              <w:t>□重大变动重新报批项目</w:t>
            </w:r>
          </w:p>
        </w:tc>
      </w:tr>
      <w:tr w14:paraId="393BF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2039" w:type="dxa"/>
            <w:noWrap w:val="0"/>
            <w:tcMar>
              <w:top w:w="16" w:type="dxa"/>
              <w:left w:w="16" w:type="dxa"/>
              <w:right w:w="16" w:type="dxa"/>
            </w:tcMar>
            <w:vAlign w:val="center"/>
          </w:tcPr>
          <w:p w14:paraId="3E4377F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项目审批（核准/</w:t>
            </w:r>
          </w:p>
          <w:p w14:paraId="04C3F446">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备案）部门（选填）</w:t>
            </w:r>
          </w:p>
        </w:tc>
        <w:tc>
          <w:tcPr>
            <w:tcW w:w="2250" w:type="dxa"/>
            <w:noWrap w:val="0"/>
            <w:vAlign w:val="center"/>
          </w:tcPr>
          <w:p w14:paraId="72449541">
            <w:pPr>
              <w:adjustRightInd w:val="0"/>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芒市发展和改革局</w:t>
            </w:r>
          </w:p>
        </w:tc>
        <w:tc>
          <w:tcPr>
            <w:tcW w:w="1859" w:type="dxa"/>
            <w:noWrap w:val="0"/>
            <w:vAlign w:val="center"/>
          </w:tcPr>
          <w:p w14:paraId="31F4B21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项目审批（核准/</w:t>
            </w:r>
          </w:p>
          <w:p w14:paraId="6C1DE8E3">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备案）文号（选填）</w:t>
            </w:r>
          </w:p>
        </w:tc>
        <w:tc>
          <w:tcPr>
            <w:tcW w:w="2722" w:type="dxa"/>
            <w:noWrap w:val="0"/>
            <w:vAlign w:val="center"/>
          </w:tcPr>
          <w:p w14:paraId="07F6FAAB">
            <w:pPr>
              <w:adjustRightInd w:val="0"/>
              <w:snapToGrid w:val="0"/>
              <w:jc w:val="center"/>
              <w:rPr>
                <w:rFonts w:hint="default" w:ascii="宋体" w:hAnsi="宋体" w:eastAsia="宋体" w:cs="宋体"/>
                <w:color w:val="auto"/>
                <w:sz w:val="24"/>
                <w:szCs w:val="24"/>
                <w:lang w:val="en-US" w:eastAsia="zh-CN"/>
              </w:rPr>
            </w:pPr>
            <w:r>
              <w:rPr>
                <w:rFonts w:hint="default" w:ascii="Times New Roman" w:hAnsi="Times New Roman" w:eastAsia="宋体" w:cs="Times New Roman"/>
                <w:color w:val="auto"/>
                <w:sz w:val="24"/>
                <w:szCs w:val="24"/>
                <w:lang w:val="en-US" w:eastAsia="zh-CN"/>
              </w:rPr>
              <w:t>芒发改字﹝2022﹞49号</w:t>
            </w:r>
          </w:p>
        </w:tc>
      </w:tr>
      <w:tr w14:paraId="3B426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2039" w:type="dxa"/>
            <w:noWrap w:val="0"/>
            <w:tcMar>
              <w:top w:w="16" w:type="dxa"/>
              <w:left w:w="16" w:type="dxa"/>
              <w:right w:w="16" w:type="dxa"/>
            </w:tcMar>
            <w:vAlign w:val="center"/>
          </w:tcPr>
          <w:p w14:paraId="10F50F3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总投资（万元）</w:t>
            </w:r>
          </w:p>
        </w:tc>
        <w:tc>
          <w:tcPr>
            <w:tcW w:w="2250" w:type="dxa"/>
            <w:noWrap w:val="0"/>
            <w:vAlign w:val="center"/>
          </w:tcPr>
          <w:p w14:paraId="6C9ABC7B">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400</w:t>
            </w:r>
          </w:p>
        </w:tc>
        <w:tc>
          <w:tcPr>
            <w:tcW w:w="1859" w:type="dxa"/>
            <w:noWrap w:val="0"/>
            <w:tcMar>
              <w:top w:w="16" w:type="dxa"/>
              <w:left w:w="16" w:type="dxa"/>
              <w:right w:w="16" w:type="dxa"/>
            </w:tcMar>
            <w:vAlign w:val="center"/>
          </w:tcPr>
          <w:p w14:paraId="31822F4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2722" w:type="dxa"/>
            <w:noWrap w:val="0"/>
            <w:vAlign w:val="center"/>
          </w:tcPr>
          <w:p w14:paraId="1ABE00AC">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22.4</w:t>
            </w:r>
          </w:p>
        </w:tc>
      </w:tr>
      <w:tr w14:paraId="4DA00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2039" w:type="dxa"/>
            <w:noWrap w:val="0"/>
            <w:tcMar>
              <w:top w:w="16" w:type="dxa"/>
              <w:left w:w="16" w:type="dxa"/>
              <w:right w:w="16" w:type="dxa"/>
            </w:tcMar>
            <w:vAlign w:val="center"/>
          </w:tcPr>
          <w:p w14:paraId="3E37AB5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环保投资占比（%）</w:t>
            </w:r>
          </w:p>
        </w:tc>
        <w:tc>
          <w:tcPr>
            <w:tcW w:w="2250" w:type="dxa"/>
            <w:noWrap w:val="0"/>
            <w:vAlign w:val="center"/>
          </w:tcPr>
          <w:p w14:paraId="35D4B1D3">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5.6</w:t>
            </w:r>
          </w:p>
        </w:tc>
        <w:tc>
          <w:tcPr>
            <w:tcW w:w="1859" w:type="dxa"/>
            <w:noWrap w:val="0"/>
            <w:tcMar>
              <w:top w:w="16" w:type="dxa"/>
              <w:left w:w="16" w:type="dxa"/>
              <w:right w:w="16" w:type="dxa"/>
            </w:tcMar>
            <w:vAlign w:val="center"/>
          </w:tcPr>
          <w:p w14:paraId="1DC58704">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722" w:type="dxa"/>
            <w:noWrap w:val="0"/>
            <w:vAlign w:val="center"/>
          </w:tcPr>
          <w:p w14:paraId="7C457236">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3个月（2023年5月-2023年7月）</w:t>
            </w:r>
          </w:p>
        </w:tc>
      </w:tr>
      <w:tr w14:paraId="03735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2039" w:type="dxa"/>
            <w:noWrap w:val="0"/>
            <w:tcMar>
              <w:top w:w="16" w:type="dxa"/>
              <w:left w:w="16" w:type="dxa"/>
              <w:right w:w="16" w:type="dxa"/>
            </w:tcMar>
            <w:vAlign w:val="center"/>
          </w:tcPr>
          <w:p w14:paraId="0499FA8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是否开工建设</w:t>
            </w:r>
          </w:p>
        </w:tc>
        <w:tc>
          <w:tcPr>
            <w:tcW w:w="2250" w:type="dxa"/>
            <w:noWrap w:val="0"/>
            <w:vAlign w:val="center"/>
          </w:tcPr>
          <w:p w14:paraId="18950DA4">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否</w:t>
            </w:r>
          </w:p>
          <w:p w14:paraId="71C82E24">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是</w:t>
            </w:r>
            <w:r>
              <w:rPr>
                <w:rFonts w:hint="eastAsia" w:ascii="Times New Roman" w:hAnsi="Times New Roman" w:cs="Times New Roman"/>
                <w:b w:val="0"/>
                <w:bCs w:val="0"/>
                <w:color w:val="auto"/>
                <w:sz w:val="24"/>
                <w:szCs w:val="24"/>
                <w:u w:val="single"/>
                <w:lang w:val="en-US" w:eastAsia="zh-CN"/>
              </w:rPr>
              <w:t xml:space="preserve">         </w:t>
            </w:r>
            <w:r>
              <w:rPr>
                <w:rFonts w:hint="eastAsia" w:ascii="Times New Roman" w:hAnsi="Times New Roman" w:cs="Times New Roman"/>
                <w:b w:val="0"/>
                <w:bCs w:val="0"/>
                <w:color w:val="auto"/>
                <w:sz w:val="24"/>
                <w:szCs w:val="24"/>
                <w:lang w:val="en-US" w:eastAsia="zh-CN"/>
              </w:rPr>
              <w:t xml:space="preserve"> </w:t>
            </w:r>
          </w:p>
        </w:tc>
        <w:tc>
          <w:tcPr>
            <w:tcW w:w="1859" w:type="dxa"/>
            <w:noWrap w:val="0"/>
            <w:tcMar>
              <w:top w:w="16" w:type="dxa"/>
              <w:left w:w="16" w:type="dxa"/>
              <w:right w:w="16" w:type="dxa"/>
            </w:tcMar>
            <w:vAlign w:val="center"/>
          </w:tcPr>
          <w:p w14:paraId="0C8A1D2F">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用地（用海）</w:t>
            </w:r>
          </w:p>
          <w:p w14:paraId="766CC83F">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面积（m</w:t>
            </w:r>
            <w:r>
              <w:rPr>
                <w:rFonts w:hint="default" w:ascii="宋体" w:hAnsi="宋体" w:eastAsia="宋体" w:cs="宋体"/>
                <w:color w:val="auto"/>
                <w:sz w:val="24"/>
                <w:szCs w:val="24"/>
                <w:vertAlign w:val="superscript"/>
                <w:lang w:val="en-US" w:eastAsia="zh-CN"/>
              </w:rPr>
              <w:t>2</w:t>
            </w:r>
            <w:r>
              <w:rPr>
                <w:rFonts w:hint="eastAsia" w:ascii="宋体" w:hAnsi="宋体" w:eastAsia="宋体" w:cs="宋体"/>
                <w:color w:val="auto"/>
                <w:sz w:val="24"/>
                <w:szCs w:val="24"/>
                <w:lang w:val="en-US" w:eastAsia="zh-CN"/>
              </w:rPr>
              <w:t>）</w:t>
            </w:r>
          </w:p>
        </w:tc>
        <w:tc>
          <w:tcPr>
            <w:tcW w:w="2722" w:type="dxa"/>
            <w:noWrap w:val="0"/>
            <w:vAlign w:val="center"/>
          </w:tcPr>
          <w:p w14:paraId="5B931ACA">
            <w:pPr>
              <w:adjustRightInd w:val="0"/>
              <w:snapToGrid w:val="0"/>
              <w:jc w:val="center"/>
              <w:rPr>
                <w:rFonts w:hint="default" w:ascii="宋体" w:hAnsi="宋体" w:eastAsia="宋体" w:cs="宋体"/>
                <w:color w:val="auto"/>
                <w:sz w:val="24"/>
                <w:szCs w:val="24"/>
                <w:lang w:val="en-US" w:eastAsia="zh-CN"/>
              </w:rPr>
            </w:pPr>
            <w:r>
              <w:rPr>
                <w:rFonts w:hint="eastAsia" w:ascii="Times New Roman" w:hAnsi="Times New Roman" w:eastAsia="宋体" w:cs="Times New Roman"/>
                <w:color w:val="auto"/>
                <w:sz w:val="24"/>
                <w:szCs w:val="24"/>
                <w:lang w:val="en-US" w:eastAsia="zh-CN"/>
              </w:rPr>
              <w:t>8350m</w:t>
            </w:r>
            <w:r>
              <w:rPr>
                <w:rFonts w:hint="eastAsia" w:ascii="Times New Roman" w:hAnsi="Times New Roman" w:eastAsia="宋体" w:cs="Times New Roman"/>
                <w:color w:val="auto"/>
                <w:sz w:val="24"/>
                <w:szCs w:val="24"/>
                <w:vertAlign w:val="superscript"/>
                <w:lang w:val="en-US" w:eastAsia="zh-CN"/>
              </w:rPr>
              <w:t>2</w:t>
            </w:r>
          </w:p>
        </w:tc>
      </w:tr>
      <w:tr w14:paraId="543C8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9" w:type="dxa"/>
            <w:noWrap w:val="0"/>
            <w:vAlign w:val="center"/>
          </w:tcPr>
          <w:p w14:paraId="27EB6978">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专项评价设置情况</w:t>
            </w:r>
          </w:p>
        </w:tc>
        <w:tc>
          <w:tcPr>
            <w:tcW w:w="6831" w:type="dxa"/>
            <w:gridSpan w:val="3"/>
            <w:noWrap w:val="0"/>
            <w:vAlign w:val="center"/>
          </w:tcPr>
          <w:p w14:paraId="048DECB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color w:val="auto"/>
                <w:lang w:eastAsia="zh-CN"/>
              </w:rPr>
            </w:pPr>
            <w:r>
              <w:rPr>
                <w:rFonts w:hint="eastAsia"/>
                <w:color w:val="auto"/>
                <w:sz w:val="24"/>
                <w:szCs w:val="24"/>
              </w:rPr>
              <w:t>根据《建设项目环境影响报告表编制技术指南（</w:t>
            </w:r>
            <w:r>
              <w:rPr>
                <w:rFonts w:hint="eastAsia"/>
                <w:color w:val="auto"/>
                <w:sz w:val="24"/>
                <w:szCs w:val="24"/>
                <w:lang w:val="en-US" w:eastAsia="zh-CN"/>
              </w:rPr>
              <w:t>污染</w:t>
            </w:r>
            <w:r>
              <w:rPr>
                <w:rFonts w:hint="eastAsia"/>
                <w:color w:val="auto"/>
                <w:sz w:val="24"/>
                <w:szCs w:val="24"/>
              </w:rPr>
              <w:t>影响类）（试行）》，本项目不设置专项评价</w:t>
            </w:r>
            <w:r>
              <w:rPr>
                <w:rFonts w:hint="eastAsia"/>
                <w:color w:val="auto"/>
                <w:sz w:val="24"/>
                <w:szCs w:val="24"/>
                <w:lang w:eastAsia="zh-CN"/>
              </w:rPr>
              <w:t>。具体专项评价设置原则及本项目判定情况见下表。</w:t>
            </w:r>
          </w:p>
          <w:p w14:paraId="2D437726">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b/>
                <w:bCs/>
                <w:color w:val="auto"/>
                <w:sz w:val="24"/>
                <w:szCs w:val="24"/>
                <w:lang w:eastAsia="zh-CN"/>
              </w:rPr>
            </w:pPr>
            <w:r>
              <w:rPr>
                <w:rFonts w:hint="eastAsia"/>
                <w:b/>
                <w:bCs/>
                <w:color w:val="auto"/>
                <w:sz w:val="24"/>
                <w:szCs w:val="24"/>
                <w:lang w:eastAsia="zh-CN"/>
              </w:rPr>
              <w:t>表1-1 专项评价设置原则与本项目判定情况对照表</w:t>
            </w:r>
          </w:p>
          <w:tbl>
            <w:tblPr>
              <w:tblStyle w:val="33"/>
              <w:tblW w:w="6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2263"/>
              <w:gridCol w:w="2659"/>
              <w:gridCol w:w="992"/>
            </w:tblGrid>
            <w:tr w14:paraId="1E85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noWrap w:val="0"/>
                  <w:vAlign w:val="center"/>
                </w:tcPr>
                <w:p w14:paraId="22D7449B">
                  <w:pPr>
                    <w:autoSpaceDE w:val="0"/>
                    <w:autoSpaceDN w:val="0"/>
                    <w:adjustRightInd w:val="0"/>
                    <w:snapToGrid w:val="0"/>
                    <w:jc w:val="center"/>
                    <w:rPr>
                      <w:rFonts w:hint="eastAsia"/>
                      <w:color w:val="auto"/>
                      <w:szCs w:val="21"/>
                    </w:rPr>
                  </w:pPr>
                  <w:r>
                    <w:rPr>
                      <w:rFonts w:hint="eastAsia"/>
                      <w:color w:val="auto"/>
                      <w:szCs w:val="21"/>
                    </w:rPr>
                    <w:t>专项评价的类别</w:t>
                  </w:r>
                </w:p>
              </w:tc>
              <w:tc>
                <w:tcPr>
                  <w:tcW w:w="2263" w:type="dxa"/>
                  <w:noWrap w:val="0"/>
                  <w:vAlign w:val="center"/>
                </w:tcPr>
                <w:p w14:paraId="50948823">
                  <w:pPr>
                    <w:autoSpaceDE w:val="0"/>
                    <w:autoSpaceDN w:val="0"/>
                    <w:adjustRightInd w:val="0"/>
                    <w:snapToGrid w:val="0"/>
                    <w:jc w:val="center"/>
                    <w:rPr>
                      <w:rFonts w:hint="eastAsia"/>
                      <w:color w:val="auto"/>
                      <w:szCs w:val="21"/>
                    </w:rPr>
                  </w:pPr>
                  <w:r>
                    <w:rPr>
                      <w:rFonts w:hint="eastAsia"/>
                      <w:color w:val="auto"/>
                      <w:szCs w:val="21"/>
                    </w:rPr>
                    <w:t>设置原则</w:t>
                  </w:r>
                </w:p>
              </w:tc>
              <w:tc>
                <w:tcPr>
                  <w:tcW w:w="2659" w:type="dxa"/>
                  <w:noWrap w:val="0"/>
                  <w:vAlign w:val="center"/>
                </w:tcPr>
                <w:p w14:paraId="33836394">
                  <w:pPr>
                    <w:autoSpaceDE w:val="0"/>
                    <w:autoSpaceDN w:val="0"/>
                    <w:adjustRightInd w:val="0"/>
                    <w:snapToGrid w:val="0"/>
                    <w:jc w:val="center"/>
                    <w:rPr>
                      <w:rFonts w:hint="eastAsia"/>
                      <w:color w:val="auto"/>
                      <w:szCs w:val="21"/>
                    </w:rPr>
                  </w:pPr>
                  <w:r>
                    <w:rPr>
                      <w:rFonts w:hint="eastAsia"/>
                      <w:color w:val="auto"/>
                      <w:szCs w:val="21"/>
                    </w:rPr>
                    <w:t>项目判定情况</w:t>
                  </w:r>
                </w:p>
              </w:tc>
              <w:tc>
                <w:tcPr>
                  <w:tcW w:w="992" w:type="dxa"/>
                  <w:noWrap w:val="0"/>
                  <w:vAlign w:val="center"/>
                </w:tcPr>
                <w:p w14:paraId="7E8DDDA4">
                  <w:pPr>
                    <w:autoSpaceDE w:val="0"/>
                    <w:autoSpaceDN w:val="0"/>
                    <w:adjustRightInd w:val="0"/>
                    <w:snapToGrid w:val="0"/>
                    <w:jc w:val="center"/>
                    <w:rPr>
                      <w:rFonts w:hint="eastAsia"/>
                      <w:color w:val="auto"/>
                      <w:szCs w:val="21"/>
                    </w:rPr>
                  </w:pPr>
                  <w:r>
                    <w:rPr>
                      <w:rFonts w:hint="eastAsia"/>
                      <w:color w:val="auto"/>
                      <w:szCs w:val="21"/>
                    </w:rPr>
                    <w:t>本项目是否设置专项</w:t>
                  </w:r>
                </w:p>
              </w:tc>
            </w:tr>
            <w:tr w14:paraId="4BE7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4B355E91">
                  <w:pPr>
                    <w:autoSpaceDE w:val="0"/>
                    <w:autoSpaceDN w:val="0"/>
                    <w:adjustRightInd w:val="0"/>
                    <w:snapToGrid w:val="0"/>
                    <w:jc w:val="center"/>
                    <w:rPr>
                      <w:rFonts w:hint="eastAsia"/>
                      <w:color w:val="auto"/>
                      <w:szCs w:val="21"/>
                    </w:rPr>
                  </w:pPr>
                  <w:r>
                    <w:rPr>
                      <w:rFonts w:hint="eastAsia"/>
                      <w:color w:val="auto"/>
                      <w:szCs w:val="21"/>
                    </w:rPr>
                    <w:t>大气</w:t>
                  </w:r>
                </w:p>
              </w:tc>
              <w:tc>
                <w:tcPr>
                  <w:tcW w:w="2263" w:type="dxa"/>
                  <w:noWrap w:val="0"/>
                  <w:vAlign w:val="center"/>
                </w:tcPr>
                <w:p w14:paraId="183AE889">
                  <w:pPr>
                    <w:autoSpaceDE w:val="0"/>
                    <w:autoSpaceDN w:val="0"/>
                    <w:adjustRightInd w:val="0"/>
                    <w:snapToGrid w:val="0"/>
                    <w:jc w:val="center"/>
                    <w:rPr>
                      <w:rFonts w:hint="eastAsia"/>
                      <w:color w:val="auto"/>
                      <w:szCs w:val="21"/>
                    </w:rPr>
                  </w:pPr>
                  <w:r>
                    <w:rPr>
                      <w:rFonts w:hint="eastAsia"/>
                      <w:color w:val="auto"/>
                      <w:szCs w:val="21"/>
                    </w:rPr>
                    <w:t>排放废气含有毒有害污染物</w:t>
                  </w:r>
                  <w:r>
                    <w:rPr>
                      <w:rFonts w:hint="eastAsia"/>
                      <w:color w:val="auto"/>
                      <w:szCs w:val="21"/>
                      <w:vertAlign w:val="superscript"/>
                    </w:rPr>
                    <w:t>1</w:t>
                  </w:r>
                  <w:r>
                    <w:rPr>
                      <w:rFonts w:hint="eastAsia"/>
                      <w:color w:val="auto"/>
                      <w:szCs w:val="21"/>
                    </w:rPr>
                    <w:t>、二噁英、苯并[a]芘、氰化物、氯气且厂界外500米范围内有环境空气保护目标</w:t>
                  </w:r>
                  <w:r>
                    <w:rPr>
                      <w:rFonts w:hint="eastAsia"/>
                      <w:color w:val="auto"/>
                      <w:szCs w:val="21"/>
                      <w:vertAlign w:val="superscript"/>
                    </w:rPr>
                    <w:t>2</w:t>
                  </w:r>
                  <w:r>
                    <w:rPr>
                      <w:rFonts w:hint="eastAsia"/>
                      <w:color w:val="auto"/>
                      <w:szCs w:val="21"/>
                    </w:rPr>
                    <w:t>的建设项目</w:t>
                  </w:r>
                </w:p>
              </w:tc>
              <w:tc>
                <w:tcPr>
                  <w:tcW w:w="2659" w:type="dxa"/>
                  <w:noWrap w:val="0"/>
                  <w:vAlign w:val="center"/>
                </w:tcPr>
                <w:p w14:paraId="28272687">
                  <w:pPr>
                    <w:autoSpaceDE w:val="0"/>
                    <w:autoSpaceDN w:val="0"/>
                    <w:adjustRightInd w:val="0"/>
                    <w:snapToGrid w:val="0"/>
                    <w:jc w:val="center"/>
                    <w:rPr>
                      <w:rFonts w:hint="eastAsia"/>
                      <w:color w:val="auto"/>
                      <w:szCs w:val="21"/>
                    </w:rPr>
                  </w:pPr>
                  <w:r>
                    <w:rPr>
                      <w:rFonts w:hint="eastAsia"/>
                      <w:color w:val="auto"/>
                      <w:szCs w:val="21"/>
                    </w:rPr>
                    <w:t>本项目废气</w:t>
                  </w:r>
                  <w:r>
                    <w:rPr>
                      <w:rFonts w:hint="eastAsia"/>
                      <w:color w:val="auto"/>
                      <w:szCs w:val="21"/>
                      <w:lang w:val="en-US" w:eastAsia="zh-CN"/>
                    </w:rPr>
                    <w:t>污染物</w:t>
                  </w:r>
                  <w:r>
                    <w:rPr>
                      <w:rFonts w:hint="eastAsia"/>
                      <w:color w:val="auto"/>
                      <w:szCs w:val="21"/>
                    </w:rPr>
                    <w:t>排放主要为颗粒物，不涉及排放《有毒有害大气污染物名录》中确定的有毒有害污染物及二噁英、苯并[a]芘、氰化物、氯气等污染物</w:t>
                  </w:r>
                </w:p>
              </w:tc>
              <w:tc>
                <w:tcPr>
                  <w:tcW w:w="992" w:type="dxa"/>
                  <w:noWrap w:val="0"/>
                  <w:vAlign w:val="center"/>
                </w:tcPr>
                <w:p w14:paraId="5EDB3718">
                  <w:pPr>
                    <w:autoSpaceDE w:val="0"/>
                    <w:autoSpaceDN w:val="0"/>
                    <w:adjustRightInd w:val="0"/>
                    <w:snapToGrid w:val="0"/>
                    <w:jc w:val="center"/>
                    <w:rPr>
                      <w:rFonts w:hint="eastAsia"/>
                      <w:color w:val="auto"/>
                      <w:szCs w:val="21"/>
                    </w:rPr>
                  </w:pPr>
                  <w:r>
                    <w:rPr>
                      <w:rFonts w:hint="eastAsia"/>
                      <w:color w:val="auto"/>
                      <w:szCs w:val="21"/>
                    </w:rPr>
                    <w:t>否</w:t>
                  </w:r>
                </w:p>
              </w:tc>
            </w:tr>
            <w:tr w14:paraId="079B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562E878F">
                  <w:pPr>
                    <w:autoSpaceDE w:val="0"/>
                    <w:autoSpaceDN w:val="0"/>
                    <w:adjustRightInd w:val="0"/>
                    <w:snapToGrid w:val="0"/>
                    <w:jc w:val="center"/>
                    <w:rPr>
                      <w:rFonts w:hint="eastAsia"/>
                      <w:color w:val="auto"/>
                      <w:szCs w:val="21"/>
                    </w:rPr>
                  </w:pPr>
                  <w:r>
                    <w:rPr>
                      <w:rFonts w:hint="eastAsia"/>
                      <w:color w:val="auto"/>
                      <w:szCs w:val="21"/>
                    </w:rPr>
                    <w:t>地表水</w:t>
                  </w:r>
                </w:p>
              </w:tc>
              <w:tc>
                <w:tcPr>
                  <w:tcW w:w="2263" w:type="dxa"/>
                  <w:noWrap w:val="0"/>
                  <w:vAlign w:val="center"/>
                </w:tcPr>
                <w:p w14:paraId="4283B645">
                  <w:pPr>
                    <w:autoSpaceDE w:val="0"/>
                    <w:autoSpaceDN w:val="0"/>
                    <w:adjustRightInd w:val="0"/>
                    <w:snapToGrid w:val="0"/>
                    <w:jc w:val="center"/>
                    <w:rPr>
                      <w:rFonts w:hint="eastAsia"/>
                      <w:color w:val="auto"/>
                      <w:szCs w:val="21"/>
                    </w:rPr>
                  </w:pPr>
                  <w:r>
                    <w:rPr>
                      <w:rFonts w:hint="eastAsia"/>
                      <w:color w:val="auto"/>
                      <w:szCs w:val="21"/>
                    </w:rPr>
                    <w:t>新增工业废水直排建设项目（槽罐车外送污水处理厂的除外）；新增废水直排的污水集中处理厂</w:t>
                  </w:r>
                </w:p>
              </w:tc>
              <w:tc>
                <w:tcPr>
                  <w:tcW w:w="2659" w:type="dxa"/>
                  <w:noWrap w:val="0"/>
                  <w:vAlign w:val="center"/>
                </w:tcPr>
                <w:p w14:paraId="2A090B77">
                  <w:pPr>
                    <w:autoSpaceDE w:val="0"/>
                    <w:autoSpaceDN w:val="0"/>
                    <w:adjustRightInd w:val="0"/>
                    <w:snapToGrid w:val="0"/>
                    <w:jc w:val="center"/>
                    <w:rPr>
                      <w:rFonts w:hint="default" w:eastAsia="宋体"/>
                      <w:color w:val="auto"/>
                      <w:szCs w:val="21"/>
                      <w:lang w:val="en-US" w:eastAsia="zh-CN"/>
                    </w:rPr>
                  </w:pPr>
                  <w:r>
                    <w:rPr>
                      <w:rFonts w:hint="eastAsia" w:eastAsia="宋体"/>
                      <w:color w:val="auto"/>
                      <w:szCs w:val="21"/>
                      <w:lang w:val="en-US" w:eastAsia="zh-CN"/>
                    </w:rPr>
                    <w:t>本项目无工业废水直排</w:t>
                  </w:r>
                </w:p>
              </w:tc>
              <w:tc>
                <w:tcPr>
                  <w:tcW w:w="992" w:type="dxa"/>
                  <w:noWrap w:val="0"/>
                  <w:vAlign w:val="center"/>
                </w:tcPr>
                <w:p w14:paraId="5F1B4F06">
                  <w:pPr>
                    <w:autoSpaceDE w:val="0"/>
                    <w:autoSpaceDN w:val="0"/>
                    <w:adjustRightInd w:val="0"/>
                    <w:snapToGrid w:val="0"/>
                    <w:jc w:val="center"/>
                    <w:rPr>
                      <w:rFonts w:hint="eastAsia"/>
                      <w:color w:val="auto"/>
                      <w:szCs w:val="21"/>
                    </w:rPr>
                  </w:pPr>
                  <w:r>
                    <w:rPr>
                      <w:rFonts w:hint="eastAsia"/>
                      <w:color w:val="auto"/>
                      <w:szCs w:val="21"/>
                    </w:rPr>
                    <w:t>否</w:t>
                  </w:r>
                </w:p>
              </w:tc>
            </w:tr>
            <w:tr w14:paraId="3662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13F52D85">
                  <w:pPr>
                    <w:autoSpaceDE w:val="0"/>
                    <w:autoSpaceDN w:val="0"/>
                    <w:adjustRightInd w:val="0"/>
                    <w:snapToGrid w:val="0"/>
                    <w:jc w:val="center"/>
                    <w:rPr>
                      <w:rFonts w:hint="eastAsia"/>
                      <w:color w:val="auto"/>
                      <w:szCs w:val="21"/>
                    </w:rPr>
                  </w:pPr>
                  <w:r>
                    <w:rPr>
                      <w:rFonts w:hint="eastAsia"/>
                      <w:color w:val="auto"/>
                      <w:szCs w:val="21"/>
                      <w:lang w:val="en-US" w:eastAsia="zh-CN"/>
                    </w:rPr>
                    <w:t>地下水</w:t>
                  </w:r>
                </w:p>
              </w:tc>
              <w:tc>
                <w:tcPr>
                  <w:tcW w:w="2263" w:type="dxa"/>
                  <w:noWrap w:val="0"/>
                  <w:vAlign w:val="center"/>
                </w:tcPr>
                <w:p w14:paraId="6710021F">
                  <w:pPr>
                    <w:autoSpaceDE w:val="0"/>
                    <w:autoSpaceDN w:val="0"/>
                    <w:adjustRightInd w:val="0"/>
                    <w:snapToGrid w:val="0"/>
                    <w:jc w:val="center"/>
                    <w:rPr>
                      <w:rFonts w:hint="eastAsia"/>
                      <w:color w:val="auto"/>
                      <w:szCs w:val="21"/>
                    </w:rPr>
                  </w:pPr>
                  <w:r>
                    <w:rPr>
                      <w:rFonts w:hint="eastAsia"/>
                      <w:color w:val="auto"/>
                      <w:szCs w:val="21"/>
                      <w:lang w:val="en-US" w:eastAsia="zh-CN"/>
                    </w:rPr>
                    <w:t>涉及集中式饮用水源和热水、矿泉水、温泉等特殊地下水资源保护区的开展地下水专项评价工作。</w:t>
                  </w:r>
                </w:p>
              </w:tc>
              <w:tc>
                <w:tcPr>
                  <w:tcW w:w="2659" w:type="dxa"/>
                  <w:noWrap w:val="0"/>
                  <w:vAlign w:val="center"/>
                </w:tcPr>
                <w:p w14:paraId="1F243AB2">
                  <w:pPr>
                    <w:autoSpaceDE w:val="0"/>
                    <w:autoSpaceDN w:val="0"/>
                    <w:adjustRightInd w:val="0"/>
                    <w:snapToGrid w:val="0"/>
                    <w:jc w:val="center"/>
                    <w:rPr>
                      <w:rFonts w:hint="eastAsia"/>
                      <w:color w:val="auto"/>
                      <w:szCs w:val="21"/>
                    </w:rPr>
                  </w:pPr>
                  <w:r>
                    <w:rPr>
                      <w:rFonts w:hint="eastAsia"/>
                      <w:color w:val="auto"/>
                      <w:szCs w:val="21"/>
                      <w:lang w:val="en-US" w:eastAsia="zh-CN"/>
                    </w:rPr>
                    <w:t>本项目所在区域不涉及集中式饮用水源和热水、矿泉水、温泉等特殊地下水资源保护区</w:t>
                  </w:r>
                </w:p>
              </w:tc>
              <w:tc>
                <w:tcPr>
                  <w:tcW w:w="992" w:type="dxa"/>
                  <w:noWrap w:val="0"/>
                  <w:vAlign w:val="center"/>
                </w:tcPr>
                <w:p w14:paraId="13707C69">
                  <w:pPr>
                    <w:autoSpaceDE w:val="0"/>
                    <w:autoSpaceDN w:val="0"/>
                    <w:adjustRightInd w:val="0"/>
                    <w:snapToGrid w:val="0"/>
                    <w:jc w:val="center"/>
                    <w:rPr>
                      <w:rFonts w:hint="eastAsia"/>
                      <w:color w:val="auto"/>
                      <w:szCs w:val="21"/>
                    </w:rPr>
                  </w:pPr>
                  <w:r>
                    <w:rPr>
                      <w:rFonts w:hint="eastAsia"/>
                      <w:color w:val="auto"/>
                      <w:szCs w:val="21"/>
                      <w:lang w:val="en-US" w:eastAsia="zh-CN"/>
                    </w:rPr>
                    <w:t>否</w:t>
                  </w:r>
                </w:p>
              </w:tc>
            </w:tr>
            <w:tr w14:paraId="5FCA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7887F0BB">
                  <w:pPr>
                    <w:autoSpaceDE w:val="0"/>
                    <w:autoSpaceDN w:val="0"/>
                    <w:adjustRightInd w:val="0"/>
                    <w:snapToGrid w:val="0"/>
                    <w:jc w:val="center"/>
                    <w:rPr>
                      <w:rFonts w:hint="eastAsia"/>
                      <w:color w:val="auto"/>
                      <w:szCs w:val="21"/>
                    </w:rPr>
                  </w:pPr>
                  <w:r>
                    <w:rPr>
                      <w:rFonts w:hint="eastAsia"/>
                      <w:color w:val="auto"/>
                      <w:szCs w:val="21"/>
                    </w:rPr>
                    <w:t>环境风险</w:t>
                  </w:r>
                </w:p>
              </w:tc>
              <w:tc>
                <w:tcPr>
                  <w:tcW w:w="2263" w:type="dxa"/>
                  <w:noWrap w:val="0"/>
                  <w:vAlign w:val="center"/>
                </w:tcPr>
                <w:p w14:paraId="56C9C982">
                  <w:pPr>
                    <w:autoSpaceDE w:val="0"/>
                    <w:autoSpaceDN w:val="0"/>
                    <w:adjustRightInd w:val="0"/>
                    <w:snapToGrid w:val="0"/>
                    <w:jc w:val="center"/>
                    <w:rPr>
                      <w:rFonts w:hint="eastAsia"/>
                      <w:color w:val="auto"/>
                      <w:szCs w:val="21"/>
                    </w:rPr>
                  </w:pPr>
                  <w:r>
                    <w:rPr>
                      <w:rFonts w:hint="eastAsia"/>
                      <w:color w:val="auto"/>
                      <w:szCs w:val="21"/>
                    </w:rPr>
                    <w:t>有毒有害和易燃易爆危险物质存储量超过临界量</w:t>
                  </w:r>
                  <w:r>
                    <w:rPr>
                      <w:rFonts w:hint="eastAsia"/>
                      <w:color w:val="auto"/>
                      <w:szCs w:val="21"/>
                      <w:vertAlign w:val="superscript"/>
                    </w:rPr>
                    <w:t>3</w:t>
                  </w:r>
                  <w:r>
                    <w:rPr>
                      <w:rFonts w:hint="eastAsia"/>
                      <w:color w:val="auto"/>
                      <w:szCs w:val="21"/>
                    </w:rPr>
                    <w:t>的建设项目</w:t>
                  </w:r>
                </w:p>
              </w:tc>
              <w:tc>
                <w:tcPr>
                  <w:tcW w:w="2659" w:type="dxa"/>
                  <w:noWrap w:val="0"/>
                  <w:vAlign w:val="center"/>
                </w:tcPr>
                <w:p w14:paraId="7D9A69BC">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本项目不涉及有毒有害和易燃易爆危险物质</w:t>
                  </w:r>
                </w:p>
              </w:tc>
              <w:tc>
                <w:tcPr>
                  <w:tcW w:w="992" w:type="dxa"/>
                  <w:noWrap w:val="0"/>
                  <w:vAlign w:val="center"/>
                </w:tcPr>
                <w:p w14:paraId="7DB2C0B6">
                  <w:pPr>
                    <w:autoSpaceDE w:val="0"/>
                    <w:autoSpaceDN w:val="0"/>
                    <w:adjustRightInd w:val="0"/>
                    <w:snapToGrid w:val="0"/>
                    <w:jc w:val="center"/>
                    <w:rPr>
                      <w:rFonts w:hint="eastAsia"/>
                      <w:color w:val="auto"/>
                      <w:szCs w:val="21"/>
                    </w:rPr>
                  </w:pPr>
                  <w:r>
                    <w:rPr>
                      <w:rFonts w:hint="eastAsia"/>
                      <w:color w:val="auto"/>
                      <w:szCs w:val="21"/>
                    </w:rPr>
                    <w:t>否</w:t>
                  </w:r>
                </w:p>
              </w:tc>
            </w:tr>
            <w:tr w14:paraId="2A29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46ED06A5">
                  <w:pPr>
                    <w:autoSpaceDE w:val="0"/>
                    <w:autoSpaceDN w:val="0"/>
                    <w:adjustRightInd w:val="0"/>
                    <w:snapToGrid w:val="0"/>
                    <w:jc w:val="center"/>
                    <w:rPr>
                      <w:rFonts w:hint="eastAsia"/>
                      <w:color w:val="auto"/>
                      <w:szCs w:val="21"/>
                    </w:rPr>
                  </w:pPr>
                  <w:r>
                    <w:rPr>
                      <w:rFonts w:hint="eastAsia"/>
                      <w:color w:val="auto"/>
                      <w:szCs w:val="21"/>
                    </w:rPr>
                    <w:t>生态</w:t>
                  </w:r>
                </w:p>
              </w:tc>
              <w:tc>
                <w:tcPr>
                  <w:tcW w:w="2263" w:type="dxa"/>
                  <w:noWrap w:val="0"/>
                  <w:vAlign w:val="center"/>
                </w:tcPr>
                <w:p w14:paraId="187DC318">
                  <w:pPr>
                    <w:autoSpaceDE w:val="0"/>
                    <w:autoSpaceDN w:val="0"/>
                    <w:adjustRightInd w:val="0"/>
                    <w:snapToGrid w:val="0"/>
                    <w:jc w:val="center"/>
                    <w:rPr>
                      <w:rFonts w:hint="eastAsia"/>
                      <w:color w:val="auto"/>
                      <w:szCs w:val="21"/>
                    </w:rPr>
                  </w:pPr>
                  <w:r>
                    <w:rPr>
                      <w:rFonts w:hint="eastAsia"/>
                      <w:color w:val="auto"/>
                      <w:szCs w:val="21"/>
                    </w:rPr>
                    <w:t>取水口下游500米范围内有重要水生生物的自然产卵场、索饵场、越冬场和洄游通道的新增河道取水的污染类建设项目</w:t>
                  </w:r>
                </w:p>
              </w:tc>
              <w:tc>
                <w:tcPr>
                  <w:tcW w:w="2659" w:type="dxa"/>
                  <w:noWrap w:val="0"/>
                  <w:vAlign w:val="center"/>
                </w:tcPr>
                <w:p w14:paraId="49941393">
                  <w:pPr>
                    <w:pStyle w:val="1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本项目不涉及取水工程</w:t>
                  </w:r>
                </w:p>
              </w:tc>
              <w:tc>
                <w:tcPr>
                  <w:tcW w:w="992" w:type="dxa"/>
                  <w:noWrap w:val="0"/>
                  <w:vAlign w:val="center"/>
                </w:tcPr>
                <w:p w14:paraId="245ECB7A">
                  <w:pPr>
                    <w:autoSpaceDE w:val="0"/>
                    <w:autoSpaceDN w:val="0"/>
                    <w:adjustRightInd w:val="0"/>
                    <w:snapToGrid w:val="0"/>
                    <w:jc w:val="center"/>
                    <w:rPr>
                      <w:rFonts w:hint="eastAsia"/>
                      <w:color w:val="auto"/>
                      <w:szCs w:val="21"/>
                    </w:rPr>
                  </w:pPr>
                  <w:r>
                    <w:rPr>
                      <w:rFonts w:hint="eastAsia"/>
                      <w:color w:val="auto"/>
                      <w:szCs w:val="21"/>
                    </w:rPr>
                    <w:t>否</w:t>
                  </w:r>
                </w:p>
              </w:tc>
            </w:tr>
            <w:tr w14:paraId="1475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5CCCF8EE">
                  <w:pPr>
                    <w:autoSpaceDE w:val="0"/>
                    <w:autoSpaceDN w:val="0"/>
                    <w:adjustRightInd w:val="0"/>
                    <w:snapToGrid w:val="0"/>
                    <w:jc w:val="center"/>
                    <w:rPr>
                      <w:rFonts w:hint="eastAsia"/>
                      <w:color w:val="auto"/>
                      <w:szCs w:val="21"/>
                    </w:rPr>
                  </w:pPr>
                  <w:r>
                    <w:rPr>
                      <w:rFonts w:hint="eastAsia"/>
                      <w:color w:val="auto"/>
                      <w:szCs w:val="21"/>
                    </w:rPr>
                    <w:t>海洋</w:t>
                  </w:r>
                </w:p>
              </w:tc>
              <w:tc>
                <w:tcPr>
                  <w:tcW w:w="2263" w:type="dxa"/>
                  <w:noWrap w:val="0"/>
                  <w:vAlign w:val="center"/>
                </w:tcPr>
                <w:p w14:paraId="6C265C01">
                  <w:pPr>
                    <w:autoSpaceDE w:val="0"/>
                    <w:autoSpaceDN w:val="0"/>
                    <w:adjustRightInd w:val="0"/>
                    <w:snapToGrid w:val="0"/>
                    <w:jc w:val="center"/>
                    <w:rPr>
                      <w:rFonts w:hint="eastAsia"/>
                      <w:color w:val="auto"/>
                      <w:szCs w:val="21"/>
                    </w:rPr>
                  </w:pPr>
                  <w:r>
                    <w:rPr>
                      <w:rFonts w:hint="eastAsia"/>
                      <w:color w:val="auto"/>
                      <w:szCs w:val="21"/>
                    </w:rPr>
                    <w:t>直接向海排放污染物的海洋工程建设项目</w:t>
                  </w:r>
                </w:p>
              </w:tc>
              <w:tc>
                <w:tcPr>
                  <w:tcW w:w="2659" w:type="dxa"/>
                  <w:noWrap w:val="0"/>
                  <w:vAlign w:val="center"/>
                </w:tcPr>
                <w:p w14:paraId="05B78D1C">
                  <w:pPr>
                    <w:pStyle w:val="1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本项目不涉及向海洋排放污染物</w:t>
                  </w:r>
                </w:p>
              </w:tc>
              <w:tc>
                <w:tcPr>
                  <w:tcW w:w="992" w:type="dxa"/>
                  <w:noWrap w:val="0"/>
                  <w:vAlign w:val="center"/>
                </w:tcPr>
                <w:p w14:paraId="17E43D2C">
                  <w:pPr>
                    <w:autoSpaceDE w:val="0"/>
                    <w:autoSpaceDN w:val="0"/>
                    <w:adjustRightInd w:val="0"/>
                    <w:snapToGrid w:val="0"/>
                    <w:jc w:val="center"/>
                    <w:rPr>
                      <w:rFonts w:hint="eastAsia"/>
                      <w:color w:val="auto"/>
                      <w:szCs w:val="21"/>
                    </w:rPr>
                  </w:pPr>
                  <w:r>
                    <w:rPr>
                      <w:rFonts w:hint="eastAsia"/>
                      <w:color w:val="auto"/>
                      <w:szCs w:val="21"/>
                    </w:rPr>
                    <w:t>否</w:t>
                  </w:r>
                </w:p>
              </w:tc>
            </w:tr>
            <w:tr w14:paraId="54EE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3" w:type="dxa"/>
                  <w:gridSpan w:val="4"/>
                  <w:noWrap w:val="0"/>
                  <w:vAlign w:val="center"/>
                </w:tcPr>
                <w:p w14:paraId="0F65C86F">
                  <w:pPr>
                    <w:autoSpaceDE w:val="0"/>
                    <w:autoSpaceDN w:val="0"/>
                    <w:adjustRightInd w:val="0"/>
                    <w:snapToGrid w:val="0"/>
                    <w:rPr>
                      <w:rFonts w:hint="eastAsia"/>
                      <w:color w:val="auto"/>
                      <w:szCs w:val="21"/>
                    </w:rPr>
                  </w:pPr>
                  <w:r>
                    <w:rPr>
                      <w:rFonts w:hint="eastAsia"/>
                      <w:color w:val="auto"/>
                      <w:szCs w:val="21"/>
                    </w:rPr>
                    <w:t>注：1.废气中有毒有害污染物指纳入《有毒有害大气污染物名录》的污染物（不包括无排放标准的污染物）。</w:t>
                  </w:r>
                </w:p>
                <w:p w14:paraId="6E5C109A">
                  <w:pPr>
                    <w:autoSpaceDE w:val="0"/>
                    <w:autoSpaceDN w:val="0"/>
                    <w:adjustRightInd w:val="0"/>
                    <w:snapToGrid w:val="0"/>
                    <w:rPr>
                      <w:rFonts w:hint="eastAsia"/>
                      <w:color w:val="auto"/>
                      <w:szCs w:val="21"/>
                    </w:rPr>
                  </w:pPr>
                  <w:r>
                    <w:rPr>
                      <w:rFonts w:hint="eastAsia"/>
                      <w:color w:val="auto"/>
                      <w:szCs w:val="21"/>
                    </w:rPr>
                    <w:t>2.环境空气保护目标指自然保护区、风景名胜区、居住区、文化区和农村地区中人群较集中的区域。</w:t>
                  </w:r>
                </w:p>
                <w:p w14:paraId="6BEA2EA1">
                  <w:pPr>
                    <w:autoSpaceDE w:val="0"/>
                    <w:autoSpaceDN w:val="0"/>
                    <w:adjustRightInd w:val="0"/>
                    <w:snapToGrid w:val="0"/>
                    <w:rPr>
                      <w:rFonts w:hint="eastAsia"/>
                      <w:color w:val="auto"/>
                      <w:szCs w:val="21"/>
                    </w:rPr>
                  </w:pPr>
                  <w:r>
                    <w:rPr>
                      <w:rFonts w:hint="eastAsia"/>
                      <w:color w:val="auto"/>
                      <w:szCs w:val="21"/>
                    </w:rPr>
                    <w:t>3.临界量及其计算方法可参考《建设项目环境风险评价技术导则》（</w:t>
                  </w:r>
                  <w:r>
                    <w:rPr>
                      <w:rFonts w:hint="eastAsia"/>
                      <w:color w:val="auto"/>
                      <w:szCs w:val="21"/>
                      <w:lang w:eastAsia="zh-CN"/>
                    </w:rPr>
                    <w:t>HJ 169-2018</w:t>
                  </w:r>
                  <w:r>
                    <w:rPr>
                      <w:rFonts w:hint="eastAsia"/>
                      <w:color w:val="auto"/>
                      <w:szCs w:val="21"/>
                    </w:rPr>
                    <w:t>）附录B、附录C。</w:t>
                  </w:r>
                </w:p>
              </w:tc>
            </w:tr>
          </w:tbl>
          <w:p w14:paraId="4157F1D7">
            <w:pPr>
              <w:autoSpaceDE w:val="0"/>
              <w:autoSpaceDN w:val="0"/>
              <w:adjustRightInd w:val="0"/>
              <w:snapToGrid w:val="0"/>
              <w:jc w:val="center"/>
              <w:rPr>
                <w:rFonts w:hint="default" w:ascii="宋体" w:hAnsi="宋体" w:eastAsia="宋体" w:cs="宋体"/>
                <w:color w:val="auto"/>
                <w:kern w:val="0"/>
                <w:sz w:val="24"/>
                <w:szCs w:val="24"/>
                <w:lang w:val="en-US" w:eastAsia="zh-CN"/>
              </w:rPr>
            </w:pPr>
          </w:p>
        </w:tc>
      </w:tr>
      <w:tr w14:paraId="7B33E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039" w:type="dxa"/>
            <w:noWrap w:val="0"/>
            <w:vAlign w:val="center"/>
          </w:tcPr>
          <w:p w14:paraId="43550F2C">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规划情况</w:t>
            </w:r>
          </w:p>
        </w:tc>
        <w:tc>
          <w:tcPr>
            <w:tcW w:w="6831" w:type="dxa"/>
            <w:gridSpan w:val="3"/>
            <w:noWrap w:val="0"/>
            <w:vAlign w:val="center"/>
          </w:tcPr>
          <w:p w14:paraId="4CB19D27">
            <w:pPr>
              <w:numPr>
                <w:ilvl w:val="0"/>
                <w:numId w:val="0"/>
              </w:numPr>
              <w:autoSpaceDE w:val="0"/>
              <w:autoSpaceDN w:val="0"/>
              <w:adjustRightInd w:val="0"/>
              <w:snapToGrid w:val="0"/>
              <w:spacing w:line="360" w:lineRule="auto"/>
              <w:ind w:left="0" w:leftChars="0" w:firstLine="0" w:firstLineChars="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无</w:t>
            </w:r>
          </w:p>
        </w:tc>
      </w:tr>
      <w:tr w14:paraId="26F21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039" w:type="dxa"/>
            <w:noWrap w:val="0"/>
            <w:vAlign w:val="center"/>
          </w:tcPr>
          <w:p w14:paraId="50D6D69A">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规划环境影响</w:t>
            </w:r>
          </w:p>
          <w:p w14:paraId="0033EA4E">
            <w:pPr>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评价情况</w:t>
            </w:r>
          </w:p>
        </w:tc>
        <w:tc>
          <w:tcPr>
            <w:tcW w:w="6831" w:type="dxa"/>
            <w:gridSpan w:val="3"/>
            <w:noWrap w:val="0"/>
            <w:vAlign w:val="center"/>
          </w:tcPr>
          <w:p w14:paraId="0DD363DC">
            <w:pPr>
              <w:pStyle w:val="116"/>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bidi="ar-SA"/>
              </w:rPr>
              <w:t>无</w:t>
            </w:r>
          </w:p>
        </w:tc>
      </w:tr>
      <w:tr w14:paraId="1087F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9" w:type="dxa"/>
            <w:noWrap w:val="0"/>
            <w:vAlign w:val="center"/>
          </w:tcPr>
          <w:p w14:paraId="3324CBE6">
            <w:pPr>
              <w:pStyle w:val="4"/>
              <w:bidi w:val="0"/>
              <w:spacing w:line="240" w:lineRule="auto"/>
              <w:jc w:val="center"/>
              <w:rPr>
                <w:rFonts w:hint="eastAsia" w:ascii="宋体" w:hAnsi="宋体" w:eastAsia="宋体" w:cs="宋体"/>
                <w:color w:val="auto"/>
                <w:kern w:val="0"/>
                <w:szCs w:val="24"/>
              </w:rPr>
            </w:pPr>
            <w:r>
              <w:rPr>
                <w:rFonts w:hint="eastAsia" w:ascii="宋体" w:hAnsi="宋体" w:eastAsia="宋体" w:cs="宋体"/>
                <w:b w:val="0"/>
                <w:bCs/>
                <w:color w:val="auto"/>
                <w:sz w:val="24"/>
                <w:szCs w:val="24"/>
              </w:rPr>
              <w:t>规划及规划环境影响评价符合性分析</w:t>
            </w:r>
          </w:p>
        </w:tc>
        <w:tc>
          <w:tcPr>
            <w:tcW w:w="6831" w:type="dxa"/>
            <w:gridSpan w:val="3"/>
            <w:noWrap w:val="0"/>
            <w:vAlign w:val="center"/>
          </w:tcPr>
          <w:p w14:paraId="73D504AA">
            <w:pPr>
              <w:pStyle w:val="13"/>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1"/>
                <w:szCs w:val="21"/>
                <w:lang w:val="en-US" w:eastAsia="zh-CN" w:bidi="ar-SA"/>
              </w:rPr>
              <w:t>无</w:t>
            </w:r>
          </w:p>
        </w:tc>
      </w:tr>
      <w:tr w14:paraId="641D8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9" w:type="dxa"/>
            <w:noWrap w:val="0"/>
            <w:vAlign w:val="center"/>
          </w:tcPr>
          <w:p w14:paraId="6E92A651">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b/>
                <w:bCs w:val="0"/>
                <w:color w:val="auto"/>
                <w:kern w:val="2"/>
                <w:sz w:val="24"/>
                <w:szCs w:val="24"/>
                <w:lang w:val="en-US" w:eastAsia="zh-CN" w:bidi="ar-SA"/>
              </w:rPr>
              <w:t>其他符合性分析</w:t>
            </w:r>
          </w:p>
        </w:tc>
        <w:tc>
          <w:tcPr>
            <w:tcW w:w="6831" w:type="dxa"/>
            <w:gridSpan w:val="3"/>
            <w:noWrap w:val="0"/>
            <w:vAlign w:val="center"/>
          </w:tcPr>
          <w:p w14:paraId="1674A7BE">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产业政策相符性分析</w:t>
            </w:r>
          </w:p>
          <w:p w14:paraId="171E7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本项目属《国民经济行业分类》（GB/T4754-2017）中的“C-</w:t>
            </w:r>
            <w:r>
              <w:rPr>
                <w:rFonts w:hint="eastAsia" w:ascii="Times New Roman" w:hAnsi="Times New Roman" w:eastAsia="宋体" w:cs="Times New Roman"/>
                <w:color w:val="auto"/>
                <w:sz w:val="24"/>
                <w:szCs w:val="24"/>
                <w:lang w:val="en-US" w:eastAsia="zh-CN"/>
              </w:rPr>
              <w:t>1373水果和坚果加工</w:t>
            </w:r>
            <w:r>
              <w:rPr>
                <w:rFonts w:hint="default" w:ascii="Times New Roman" w:hAnsi="Times New Roman" w:eastAsia="宋体" w:cs="Times New Roman"/>
                <w:color w:val="auto"/>
                <w:sz w:val="24"/>
                <w:szCs w:val="24"/>
                <w:lang w:val="en-US" w:eastAsia="zh-CN"/>
              </w:rPr>
              <w:t>”。经查阅《产业结构调整指导目录（2019年本）》，</w:t>
            </w:r>
            <w:r>
              <w:rPr>
                <w:rFonts w:hint="default" w:ascii="Times New Roman" w:hAnsi="Times New Roman" w:cs="Times New Roman"/>
                <w:color w:val="auto"/>
                <w:sz w:val="24"/>
                <w:szCs w:val="24"/>
                <w:highlight w:val="none"/>
              </w:rPr>
              <w:t>本项目生产规模、</w:t>
            </w:r>
            <w:r>
              <w:rPr>
                <w:rFonts w:hint="default" w:ascii="Times New Roman" w:hAnsi="Times New Roman" w:eastAsia="Times New Roman" w:cs="Times New Roman"/>
                <w:color w:val="auto"/>
                <w:sz w:val="24"/>
                <w:szCs w:val="24"/>
                <w:highlight w:val="none"/>
                <w:lang w:eastAsia="zh-CN"/>
              </w:rPr>
              <w:t>设备、</w:t>
            </w:r>
            <w:r>
              <w:rPr>
                <w:rFonts w:hint="default" w:ascii="Times New Roman" w:hAnsi="Times New Roman" w:cs="Times New Roman"/>
                <w:color w:val="auto"/>
                <w:sz w:val="24"/>
                <w:szCs w:val="24"/>
                <w:highlight w:val="none"/>
              </w:rPr>
              <w:t>生产工艺和产品等均不在</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限制类</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和</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淘汰类</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之列，属于允许类。</w:t>
            </w:r>
            <w:r>
              <w:rPr>
                <w:rFonts w:hint="default" w:ascii="Times New Roman" w:hAnsi="Times New Roman" w:eastAsia="宋体" w:cs="Times New Roman"/>
                <w:color w:val="auto"/>
                <w:sz w:val="24"/>
                <w:szCs w:val="24"/>
                <w:lang w:val="en-US" w:eastAsia="zh-CN"/>
              </w:rPr>
              <w:t xml:space="preserve"> </w:t>
            </w:r>
          </w:p>
          <w:p w14:paraId="54147C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芒市中山乡人民政府</w:t>
            </w:r>
            <w:r>
              <w:rPr>
                <w:rFonts w:hint="default" w:ascii="Times New Roman" w:hAnsi="Times New Roman" w:eastAsia="宋体" w:cs="Times New Roman"/>
                <w:color w:val="auto"/>
                <w:sz w:val="24"/>
                <w:szCs w:val="24"/>
                <w:lang w:val="en-US" w:eastAsia="zh-CN"/>
              </w:rPr>
              <w:t>于2022年</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日已取得</w:t>
            </w:r>
            <w:r>
              <w:rPr>
                <w:rFonts w:hint="eastAsia" w:ascii="Times New Roman" w:hAnsi="Times New Roman" w:eastAsia="宋体" w:cs="Times New Roman"/>
                <w:color w:val="auto"/>
                <w:sz w:val="24"/>
                <w:szCs w:val="24"/>
                <w:lang w:val="en-US" w:eastAsia="zh-CN"/>
              </w:rPr>
              <w:t>芒市发展和改革局</w:t>
            </w:r>
            <w:r>
              <w:rPr>
                <w:rFonts w:hint="default" w:ascii="Times New Roman" w:hAnsi="Times New Roman" w:eastAsia="宋体" w:cs="Times New Roman"/>
                <w:color w:val="auto"/>
                <w:sz w:val="24"/>
                <w:szCs w:val="24"/>
                <w:lang w:val="en-US" w:eastAsia="zh-CN"/>
              </w:rPr>
              <w:t>关于</w:t>
            </w:r>
            <w:r>
              <w:rPr>
                <w:rFonts w:hint="eastAsia" w:ascii="Times New Roman" w:hAnsi="Times New Roman" w:eastAsia="宋体" w:cs="Times New Roman"/>
                <w:color w:val="auto"/>
                <w:sz w:val="24"/>
                <w:szCs w:val="24"/>
                <w:lang w:val="en-US" w:eastAsia="zh-CN"/>
              </w:rPr>
              <w:t>中山乡光明坚果初加工基地建设工程项目建议书</w:t>
            </w:r>
            <w:r>
              <w:rPr>
                <w:rFonts w:hint="default" w:ascii="Times New Roman" w:hAnsi="Times New Roman" w:eastAsia="宋体" w:cs="Times New Roman"/>
                <w:color w:val="auto"/>
                <w:sz w:val="24"/>
                <w:szCs w:val="24"/>
                <w:lang w:val="en-US" w:eastAsia="zh-CN"/>
              </w:rPr>
              <w:t>的批复，</w:t>
            </w:r>
            <w:r>
              <w:rPr>
                <w:rFonts w:hint="eastAsia" w:ascii="Times New Roman" w:hAnsi="Times New Roman" w:eastAsia="宋体" w:cs="Times New Roman"/>
                <w:color w:val="auto"/>
                <w:sz w:val="24"/>
                <w:szCs w:val="24"/>
                <w:lang w:val="en-US" w:eastAsia="zh-CN"/>
              </w:rPr>
              <w:t>芒</w:t>
            </w:r>
            <w:r>
              <w:rPr>
                <w:rFonts w:hint="default" w:ascii="Times New Roman" w:hAnsi="Times New Roman" w:eastAsia="宋体" w:cs="Times New Roman"/>
                <w:color w:val="auto"/>
                <w:sz w:val="24"/>
                <w:szCs w:val="24"/>
                <w:lang w:val="en-US" w:eastAsia="zh-CN"/>
              </w:rPr>
              <w:t>发改</w:t>
            </w:r>
            <w:r>
              <w:rPr>
                <w:rFonts w:hint="eastAsia" w:ascii="Times New Roman" w:hAnsi="Times New Roman" w:eastAsia="宋体" w:cs="Times New Roman"/>
                <w:color w:val="auto"/>
                <w:sz w:val="24"/>
                <w:szCs w:val="24"/>
                <w:lang w:val="en-US" w:eastAsia="zh-CN"/>
              </w:rPr>
              <w:t>字</w:t>
            </w:r>
            <w:r>
              <w:rPr>
                <w:rFonts w:hint="default" w:ascii="Times New Roman" w:hAnsi="Times New Roman" w:eastAsia="宋体" w:cs="Times New Roman"/>
                <w:color w:val="auto"/>
                <w:sz w:val="24"/>
                <w:szCs w:val="24"/>
                <w:lang w:val="en-US" w:eastAsia="zh-CN"/>
              </w:rPr>
              <w:t>﹝2022﹞</w:t>
            </w:r>
            <w:r>
              <w:rPr>
                <w:rFonts w:hint="eastAsia"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lang w:val="zh-CN" w:eastAsia="zh-CN"/>
              </w:rPr>
              <w:t>同意项目建设。</w:t>
            </w: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见附件3</w:t>
            </w:r>
            <w:r>
              <w:rPr>
                <w:rFonts w:hint="eastAsia" w:ascii="Times New Roman" w:hAnsi="Times New Roman" w:eastAsia="宋体" w:cs="Times New Roman"/>
                <w:color w:val="auto"/>
                <w:sz w:val="24"/>
                <w:szCs w:val="24"/>
                <w:lang w:val="zh-CN" w:eastAsia="zh-CN"/>
              </w:rPr>
              <w:t>）</w:t>
            </w:r>
          </w:p>
          <w:p w14:paraId="466528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kern w:val="0"/>
                <w:sz w:val="24"/>
                <w:szCs w:val="24"/>
                <w:lang w:val="en-US" w:eastAsia="zh-CN"/>
              </w:rPr>
            </w:pPr>
            <w:r>
              <w:rPr>
                <w:rFonts w:hint="default" w:ascii="Times New Roman" w:hAnsi="Times New Roman" w:eastAsia="宋体" w:cs="Times New Roman"/>
                <w:color w:val="auto"/>
                <w:sz w:val="24"/>
                <w:szCs w:val="24"/>
                <w:lang w:val="en-US" w:eastAsia="zh-CN"/>
              </w:rPr>
              <w:t>综上所述，项目符合国家和云南省的产业政</w:t>
            </w:r>
            <w:r>
              <w:rPr>
                <w:rFonts w:hint="default" w:ascii="Times New Roman" w:hAnsi="Times New Roman" w:cs="Times New Roman"/>
                <w:color w:val="auto"/>
                <w:sz w:val="24"/>
                <w:szCs w:val="24"/>
              </w:rPr>
              <w:t>策。</w:t>
            </w:r>
          </w:p>
          <w:p w14:paraId="1FBBE95F">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项目选址合理性分析</w:t>
            </w:r>
          </w:p>
          <w:p w14:paraId="09C3616B">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本项目位于云南省德宏州芒市中山乡芒丙村罗胡山，项目用地面积为8350m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（12.52亩），该项目前期工作手续由芒市中山乡人民政府办理，后期具体实施单位为芒市福多乐商贸有限公司。</w:t>
            </w:r>
          </w:p>
          <w:p w14:paraId="5292AEF0">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目前地块已建1栋标准化厂房，属于中山乡小水井村民委员会政府性投资的现代化边境小康项目，中山乡小水井村民委员与“</w:t>
            </w:r>
            <w:r>
              <w:rPr>
                <w:rFonts w:hint="eastAsia" w:ascii="宋体" w:hAnsi="宋体" w:eastAsia="宋体" w:cs="宋体"/>
                <w:color w:val="auto"/>
                <w:sz w:val="24"/>
                <w:szCs w:val="24"/>
                <w:lang w:val="en-US" w:eastAsia="zh-CN"/>
              </w:rPr>
              <w:t>中山乡光明坚果初加工基地建设工程项目</w:t>
            </w:r>
            <w:r>
              <w:rPr>
                <w:rFonts w:hint="eastAsia" w:ascii="Times New Roman" w:hAnsi="Times New Roman" w:eastAsia="宋体" w:cs="Times New Roman"/>
                <w:color w:val="auto"/>
                <w:sz w:val="24"/>
                <w:szCs w:val="24"/>
                <w:lang w:val="en-US" w:eastAsia="zh-CN"/>
              </w:rPr>
              <w:t>”具体的实施单位“芒市福多乐商贸有限公司”会签订了中山乡坚果加工厂租赁合同。（附件5）</w:t>
            </w:r>
          </w:p>
          <w:p w14:paraId="12898BA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用地已经于2022年11月1日取得了德宏州人民政府关于芒市2022年度第八批次村庄建设农用地专用的批复，同意将农民集体所有农用地转为集体建设用地。（见附件6）根据芒市自然资源局关于中山乡人民政府申请查询坚果初加工基地建设项目用地规划、性质的复函，项目用地位于中山乡芒丙村罗胡山集体土地，经核对芒市“三区三线”方案（部下发封库版）数据，该地块不涉及永久基本农田、生态保护红线、耕地保护目标。（见附件7）</w:t>
            </w:r>
          </w:p>
          <w:p w14:paraId="1C3088C6">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sz w:val="24"/>
                <w:szCs w:val="24"/>
                <w:lang w:val="en-US" w:eastAsia="zh-CN"/>
              </w:rPr>
              <w:t>地块北侧有一条道路，交通便利。根据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2021年德宏州环境状况公报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及</w:t>
            </w:r>
            <w:r>
              <w:rPr>
                <w:rFonts w:hint="eastAsia"/>
                <w:color w:val="auto"/>
                <w:sz w:val="24"/>
                <w:szCs w:val="24"/>
                <w:lang w:val="en-US" w:eastAsia="zh-CN"/>
              </w:rPr>
              <w:t>现状补充监测可知，项目评价范围内有一定的环境容量和承载力，</w:t>
            </w:r>
            <w:r>
              <w:rPr>
                <w:rFonts w:hint="eastAsia" w:ascii="Times New Roman" w:hAnsi="Times New Roman" w:eastAsia="宋体" w:cs="Times New Roman"/>
                <w:color w:val="auto"/>
                <w:kern w:val="2"/>
                <w:sz w:val="24"/>
                <w:szCs w:val="24"/>
                <w:lang w:val="en-US" w:eastAsia="zh-CN" w:bidi="ar-SA"/>
              </w:rPr>
              <w:t>项目</w:t>
            </w:r>
            <w:r>
              <w:rPr>
                <w:rFonts w:hint="eastAsia"/>
                <w:color w:val="auto"/>
                <w:sz w:val="24"/>
                <w:szCs w:val="24"/>
                <w:lang w:val="en-US" w:eastAsia="zh-CN"/>
              </w:rPr>
              <w:t>无</w:t>
            </w:r>
            <w:r>
              <w:rPr>
                <w:rFonts w:hint="eastAsia" w:ascii="Times New Roman" w:hAnsi="Times New Roman" w:eastAsia="宋体" w:cs="Times New Roman"/>
                <w:color w:val="auto"/>
                <w:kern w:val="2"/>
                <w:sz w:val="24"/>
                <w:szCs w:val="24"/>
                <w:lang w:val="en-US" w:eastAsia="zh-CN" w:bidi="ar-SA"/>
              </w:rPr>
              <w:t>自然保护区、风景名胜区</w:t>
            </w:r>
            <w:r>
              <w:rPr>
                <w:rFonts w:hint="eastAsia"/>
                <w:color w:val="auto"/>
                <w:sz w:val="24"/>
                <w:szCs w:val="24"/>
                <w:lang w:val="en-US" w:eastAsia="zh-CN"/>
              </w:rPr>
              <w:t>、生态功能保护区等需特殊保护的环境敏感区。项目建设及运营过程中采取相应环保措施后，污染物能够达标排放，无废水外排，对周围环境影响较小。</w:t>
            </w:r>
          </w:p>
          <w:p w14:paraId="1CED6B7F">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项目建成后拉动中山乡坚果产业发展，促进村集体经济增收。且厂区布局合理，交通方便，水电供应稳定，与周边环境相容，据实地调查，项目所在区域周围无文物保护、风景名胜等环境敏感目标，外环境相对较简单，不存在明显的环境制约因素。因此，项目选址合理。</w:t>
            </w:r>
          </w:p>
          <w:p w14:paraId="70362C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三、</w:t>
            </w:r>
            <w:r>
              <w:rPr>
                <w:rFonts w:hint="default" w:ascii="宋体" w:hAnsi="宋体" w:eastAsia="宋体" w:cs="宋体"/>
                <w:b/>
                <w:bCs/>
                <w:color w:val="auto"/>
                <w:kern w:val="0"/>
                <w:sz w:val="24"/>
                <w:szCs w:val="24"/>
                <w:lang w:val="en-US" w:eastAsia="zh-CN"/>
              </w:rPr>
              <w:t>“三线一单”符合性分析</w:t>
            </w:r>
          </w:p>
          <w:p w14:paraId="13A7F59B">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2"/>
              <w:textAlignment w:val="auto"/>
              <w:rPr>
                <w:color w:val="auto"/>
                <w:sz w:val="24"/>
                <w:szCs w:val="24"/>
              </w:rPr>
            </w:pPr>
            <w:r>
              <w:rPr>
                <w:rFonts w:hint="eastAsia"/>
                <w:color w:val="auto"/>
                <w:sz w:val="24"/>
                <w:szCs w:val="24"/>
              </w:rPr>
              <w:t>（1）</w:t>
            </w:r>
            <w:r>
              <w:rPr>
                <w:color w:val="auto"/>
                <w:sz w:val="24"/>
                <w:szCs w:val="24"/>
              </w:rPr>
              <w:t>与《云南省人民政府关于实施“三线一单”生态环境分区管控的意见》的符合性分析</w:t>
            </w:r>
          </w:p>
          <w:p w14:paraId="20AB58F5">
            <w:pPr>
              <w:pStyle w:val="118"/>
              <w:keepNext w:val="0"/>
              <w:keepLines w:val="0"/>
              <w:pageBreakBefore w:val="0"/>
              <w:widowControl/>
              <w:kinsoku/>
              <w:wordWrap w:val="0"/>
              <w:overflowPunct/>
              <w:topLinePunct w:val="0"/>
              <w:autoSpaceDE/>
              <w:autoSpaceDN/>
              <w:bidi w:val="0"/>
              <w:adjustRightInd w:val="0"/>
              <w:snapToGrid w:val="0"/>
              <w:spacing w:before="0" w:after="0"/>
              <w:ind w:left="0" w:right="0" w:firstLine="0" w:firstLineChars="0"/>
              <w:jc w:val="center"/>
              <w:textAlignment w:val="auto"/>
              <w:rPr>
                <w:rFonts w:eastAsia="宋体"/>
                <w:b/>
                <w:bCs w:val="0"/>
                <w:i w:val="0"/>
                <w:iCs/>
                <w:color w:val="auto"/>
                <w:sz w:val="24"/>
                <w:szCs w:val="24"/>
              </w:rPr>
            </w:pPr>
            <w:r>
              <w:rPr>
                <w:rFonts w:hint="eastAsia" w:eastAsia="宋体"/>
                <w:b/>
                <w:bCs w:val="0"/>
                <w:i w:val="0"/>
                <w:iCs/>
                <w:color w:val="auto"/>
                <w:sz w:val="24"/>
                <w:szCs w:val="24"/>
                <w:lang w:val="en-US" w:eastAsia="zh-CN"/>
              </w:rPr>
              <w:t>表</w:t>
            </w:r>
            <w:r>
              <w:rPr>
                <w:rFonts w:hint="eastAsia" w:eastAsia="宋体"/>
                <w:b/>
                <w:bCs w:val="0"/>
                <w:i w:val="0"/>
                <w:iCs/>
                <w:color w:val="auto"/>
                <w:sz w:val="24"/>
                <w:szCs w:val="24"/>
              </w:rPr>
              <w:t>1-</w:t>
            </w:r>
            <w:r>
              <w:rPr>
                <w:rFonts w:hint="eastAsia"/>
                <w:b/>
                <w:bCs w:val="0"/>
                <w:i w:val="0"/>
                <w:iCs/>
                <w:color w:val="auto"/>
                <w:sz w:val="24"/>
                <w:szCs w:val="24"/>
                <w:lang w:val="en-US" w:eastAsia="zh-CN"/>
              </w:rPr>
              <w:t>2</w:t>
            </w:r>
            <w:r>
              <w:rPr>
                <w:rFonts w:hint="eastAsia" w:eastAsia="宋体"/>
                <w:b/>
                <w:bCs w:val="0"/>
                <w:i w:val="0"/>
                <w:iCs/>
                <w:color w:val="auto"/>
                <w:sz w:val="24"/>
                <w:szCs w:val="24"/>
              </w:rPr>
              <w:t>“三线一单”生态环境分区管控的意见符合性分析</w:t>
            </w:r>
          </w:p>
          <w:tbl>
            <w:tblPr>
              <w:tblStyle w:val="34"/>
              <w:tblW w:w="7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72"/>
              <w:gridCol w:w="3137"/>
              <w:gridCol w:w="1838"/>
              <w:gridCol w:w="656"/>
            </w:tblGrid>
            <w:tr w14:paraId="3CEB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990" w:type="dxa"/>
                  <w:gridSpan w:val="3"/>
                  <w:noWrap w:val="0"/>
                  <w:vAlign w:val="center"/>
                </w:tcPr>
                <w:p w14:paraId="4090CF7E">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7" w:name="_Toc31906"/>
                  <w:bookmarkStart w:id="8" w:name="_Toc1455"/>
                  <w:bookmarkStart w:id="9" w:name="_Toc18076"/>
                  <w:bookmarkStart w:id="10" w:name="_Toc26161"/>
                  <w:bookmarkStart w:id="11" w:name="_Toc25265"/>
                  <w:r>
                    <w:rPr>
                      <w:rFonts w:ascii="Times New Roman" w:hAnsi="Times New Roman" w:eastAsia="宋体"/>
                      <w:b w:val="0"/>
                      <w:bCs w:val="0"/>
                      <w:color w:val="auto"/>
                      <w:sz w:val="21"/>
                      <w:szCs w:val="21"/>
                    </w:rPr>
                    <w:t>文件要求</w:t>
                  </w:r>
                  <w:bookmarkEnd w:id="7"/>
                  <w:bookmarkEnd w:id="8"/>
                  <w:bookmarkEnd w:id="9"/>
                  <w:bookmarkEnd w:id="10"/>
                  <w:bookmarkEnd w:id="11"/>
                </w:p>
              </w:tc>
              <w:tc>
                <w:tcPr>
                  <w:tcW w:w="1677" w:type="dxa"/>
                  <w:noWrap w:val="0"/>
                  <w:vAlign w:val="center"/>
                </w:tcPr>
                <w:p w14:paraId="0C09C5CB">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2" w:name="_Toc7714"/>
                  <w:bookmarkStart w:id="13" w:name="_Toc26104"/>
                  <w:bookmarkStart w:id="14" w:name="_Toc3569"/>
                  <w:bookmarkStart w:id="15" w:name="_Toc1430"/>
                  <w:bookmarkStart w:id="16" w:name="_Toc16385"/>
                  <w:r>
                    <w:rPr>
                      <w:rFonts w:ascii="Times New Roman" w:hAnsi="Times New Roman" w:eastAsia="宋体"/>
                      <w:b w:val="0"/>
                      <w:bCs w:val="0"/>
                      <w:color w:val="auto"/>
                      <w:sz w:val="21"/>
                      <w:szCs w:val="21"/>
                    </w:rPr>
                    <w:t>项目情况</w:t>
                  </w:r>
                  <w:bookmarkEnd w:id="12"/>
                  <w:bookmarkEnd w:id="13"/>
                  <w:bookmarkEnd w:id="14"/>
                  <w:bookmarkEnd w:id="15"/>
                  <w:bookmarkEnd w:id="16"/>
                </w:p>
              </w:tc>
              <w:tc>
                <w:tcPr>
                  <w:tcW w:w="672" w:type="dxa"/>
                  <w:noWrap w:val="0"/>
                  <w:vAlign w:val="center"/>
                </w:tcPr>
                <w:p w14:paraId="7CA0194E">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7" w:name="_Toc24013"/>
                  <w:bookmarkStart w:id="18" w:name="_Toc2575"/>
                  <w:bookmarkStart w:id="19" w:name="_Toc30797"/>
                  <w:bookmarkStart w:id="20" w:name="_Toc9413"/>
                  <w:bookmarkStart w:id="21" w:name="_Toc9108"/>
                  <w:r>
                    <w:rPr>
                      <w:rFonts w:ascii="Times New Roman" w:hAnsi="Times New Roman" w:eastAsia="宋体"/>
                      <w:b w:val="0"/>
                      <w:bCs w:val="0"/>
                      <w:color w:val="auto"/>
                      <w:sz w:val="21"/>
                      <w:szCs w:val="21"/>
                    </w:rPr>
                    <w:t>是否符合</w:t>
                  </w:r>
                  <w:bookmarkEnd w:id="17"/>
                  <w:bookmarkEnd w:id="18"/>
                  <w:bookmarkEnd w:id="19"/>
                  <w:bookmarkEnd w:id="20"/>
                  <w:bookmarkEnd w:id="21"/>
                </w:p>
              </w:tc>
            </w:tr>
            <w:tr w14:paraId="7401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vMerge w:val="restart"/>
                  <w:noWrap w:val="0"/>
                  <w:vAlign w:val="center"/>
                </w:tcPr>
                <w:p w14:paraId="2CFBD667">
                  <w:pPr>
                    <w:pStyle w:val="4"/>
                    <w:keepNext w:val="0"/>
                    <w:keepLines w:val="0"/>
                    <w:kinsoku w:val="0"/>
                    <w:overflowPunct w:val="0"/>
                    <w:autoSpaceDE w:val="0"/>
                    <w:autoSpaceDN w:val="0"/>
                    <w:adjustRightInd w:val="0"/>
                    <w:snapToGrid w:val="0"/>
                    <w:spacing w:before="0" w:after="0" w:line="240" w:lineRule="auto"/>
                    <w:ind w:firstLine="0" w:firstLineChars="0"/>
                    <w:jc w:val="both"/>
                    <w:outlineLvl w:val="1"/>
                    <w:rPr>
                      <w:rFonts w:ascii="Times New Roman" w:hAnsi="Times New Roman" w:eastAsia="宋体"/>
                      <w:b w:val="0"/>
                      <w:bCs w:val="0"/>
                      <w:color w:val="auto"/>
                      <w:sz w:val="21"/>
                      <w:szCs w:val="21"/>
                    </w:rPr>
                  </w:pPr>
                  <w:bookmarkStart w:id="22" w:name="_Toc9896"/>
                  <w:bookmarkStart w:id="23" w:name="_Toc4329"/>
                  <w:bookmarkStart w:id="24" w:name="_Toc3601"/>
                  <w:bookmarkStart w:id="25" w:name="_Toc19569"/>
                  <w:bookmarkStart w:id="26" w:name="_Toc8698"/>
                  <w:r>
                    <w:rPr>
                      <w:rFonts w:ascii="Times New Roman" w:hAnsi="Times New Roman" w:eastAsia="宋体"/>
                      <w:b w:val="0"/>
                      <w:bCs w:val="0"/>
                      <w:color w:val="auto"/>
                      <w:sz w:val="21"/>
                      <w:szCs w:val="21"/>
                    </w:rPr>
                    <w:t>明确生态保护红线、环境质量底线和资源利用上线</w:t>
                  </w:r>
                  <w:bookmarkEnd w:id="22"/>
                  <w:bookmarkEnd w:id="23"/>
                  <w:bookmarkEnd w:id="24"/>
                  <w:bookmarkEnd w:id="25"/>
                  <w:bookmarkEnd w:id="26"/>
                </w:p>
              </w:tc>
              <w:tc>
                <w:tcPr>
                  <w:tcW w:w="1089" w:type="dxa"/>
                  <w:noWrap w:val="0"/>
                  <w:vAlign w:val="center"/>
                </w:tcPr>
                <w:p w14:paraId="06A99C5A">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default" w:ascii="Times New Roman" w:hAnsi="Times New Roman" w:eastAsia="宋体" w:cs="Times New Roman"/>
                      <w:b w:val="0"/>
                      <w:bCs w:val="0"/>
                      <w:color w:val="auto"/>
                      <w:sz w:val="21"/>
                      <w:szCs w:val="21"/>
                      <w:lang w:val="en-US" w:eastAsia="zh-CN"/>
                    </w:rPr>
                  </w:pPr>
                  <w:bookmarkStart w:id="27" w:name="_Toc15369"/>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生态保护红线</w:t>
                  </w:r>
                  <w:bookmarkEnd w:id="27"/>
                </w:p>
              </w:tc>
              <w:tc>
                <w:tcPr>
                  <w:tcW w:w="3279" w:type="dxa"/>
                  <w:noWrap w:val="0"/>
                  <w:vAlign w:val="center"/>
                </w:tcPr>
                <w:p w14:paraId="36185560">
                  <w:pPr>
                    <w:kinsoku w:val="0"/>
                    <w:overflowPunct w:val="0"/>
                    <w:autoSpaceDE w:val="0"/>
                    <w:autoSpaceDN w:val="0"/>
                    <w:adjustRightInd w:val="0"/>
                    <w:snapToGrid w:val="0"/>
                    <w:spacing w:line="240" w:lineRule="auto"/>
                    <w:jc w:val="center"/>
                    <w:rPr>
                      <w:color w:val="auto"/>
                      <w:sz w:val="21"/>
                      <w:szCs w:val="21"/>
                    </w:rPr>
                  </w:pPr>
                  <w:r>
                    <w:rPr>
                      <w:color w:val="auto"/>
                      <w:sz w:val="21"/>
                      <w:szCs w:val="21"/>
                    </w:rPr>
                    <w:t>（一）生态保护红线和一般生态空间。执行省人民政府发布的《云南省生态保护红线》，将未划入生态保护红线的自然保护地、饮用水水源保护区、重要湿地、基本草原、生态公益林、天然林等生态功能重要、生态环境敏感区域划为一般生态空间。</w:t>
                  </w:r>
                </w:p>
              </w:tc>
              <w:tc>
                <w:tcPr>
                  <w:tcW w:w="1677" w:type="dxa"/>
                  <w:noWrap w:val="0"/>
                  <w:vAlign w:val="center"/>
                </w:tcPr>
                <w:p w14:paraId="76F3F937">
                  <w:pPr>
                    <w:pStyle w:val="10"/>
                    <w:jc w:val="center"/>
                    <w:rPr>
                      <w:rFonts w:hint="eastAsia" w:ascii="Times New Roman" w:hAnsi="Times New Roman" w:eastAsia="宋体"/>
                      <w:b w:val="0"/>
                      <w:bCs w:val="0"/>
                      <w:color w:val="auto"/>
                      <w:sz w:val="21"/>
                      <w:szCs w:val="21"/>
                      <w:lang w:eastAsia="zh-CN"/>
                    </w:rPr>
                  </w:pPr>
                  <w:bookmarkStart w:id="28" w:name="_Toc32459"/>
                  <w:bookmarkStart w:id="29" w:name="_Toc29653"/>
                  <w:bookmarkStart w:id="30" w:name="_Toc16838"/>
                  <w:bookmarkStart w:id="31" w:name="_Toc4191"/>
                  <w:bookmarkStart w:id="32" w:name="_Toc21879"/>
                  <w:r>
                    <w:rPr>
                      <w:rFonts w:hint="default"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b w:val="0"/>
                      <w:bCs w:val="0"/>
                      <w:color w:val="auto"/>
                      <w:sz w:val="21"/>
                      <w:szCs w:val="21"/>
                      <w:lang w:val="en-US" w:eastAsia="zh-CN"/>
                    </w:rPr>
                    <w:t>芒市自然资源局出具的用地规划、性质的复函</w:t>
                  </w:r>
                  <w:r>
                    <w:rPr>
                      <w:rFonts w:hint="default" w:ascii="Times New Roman" w:hAnsi="Times New Roman" w:eastAsia="宋体" w:cs="Times New Roman"/>
                      <w:b w:val="0"/>
                      <w:bCs w:val="0"/>
                      <w:color w:val="auto"/>
                      <w:sz w:val="21"/>
                      <w:szCs w:val="21"/>
                      <w:lang w:val="en-US" w:eastAsia="zh-CN"/>
                    </w:rPr>
                    <w:t>，项目用地</w:t>
                  </w:r>
                  <w:r>
                    <w:rPr>
                      <w:rFonts w:hint="default" w:ascii="Times New Roman" w:hAnsi="Times New Roman" w:eastAsia="宋体" w:cs="Times New Roman"/>
                      <w:b w:val="0"/>
                      <w:bCs w:val="0"/>
                      <w:color w:val="auto"/>
                      <w:sz w:val="21"/>
                      <w:szCs w:val="21"/>
                    </w:rPr>
                    <w:t>不涉及占用</w:t>
                  </w:r>
                  <w:r>
                    <w:rPr>
                      <w:rFonts w:hint="default" w:ascii="Times New Roman" w:hAnsi="Times New Roman" w:eastAsia="宋体" w:cs="Times New Roman"/>
                      <w:b w:val="0"/>
                      <w:bCs w:val="0"/>
                      <w:color w:val="auto"/>
                      <w:sz w:val="21"/>
                      <w:szCs w:val="21"/>
                      <w:lang w:val="en-US" w:eastAsia="zh-CN"/>
                    </w:rPr>
                    <w:t>生态红线</w:t>
                  </w:r>
                  <w:bookmarkEnd w:id="28"/>
                  <w:bookmarkEnd w:id="29"/>
                  <w:bookmarkEnd w:id="30"/>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（见附件</w:t>
                  </w:r>
                  <w:r>
                    <w:rPr>
                      <w:rFonts w:hint="eastAsia" w:ascii="Times New Roman" w:hAnsi="Times New Roman" w:eastAsia="宋体" w:cs="Times New Roman"/>
                      <w:b w:val="0"/>
                      <w:bCs w:val="0"/>
                      <w:color w:val="auto"/>
                      <w:sz w:val="21"/>
                      <w:szCs w:val="21"/>
                      <w:lang w:val="en-US" w:eastAsia="zh-CN"/>
                    </w:rPr>
                    <w:t>7</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根据调查，项目</w:t>
                  </w:r>
                  <w:bookmarkEnd w:id="31"/>
                  <w:bookmarkEnd w:id="32"/>
                  <w:r>
                    <w:rPr>
                      <w:rFonts w:hint="eastAsia" w:ascii="Times New Roman" w:hAnsi="Times New Roman" w:eastAsia="宋体" w:cs="Times New Roman"/>
                      <w:b w:val="0"/>
                      <w:bCs w:val="0"/>
                      <w:color w:val="auto"/>
                      <w:sz w:val="21"/>
                      <w:szCs w:val="21"/>
                      <w:lang w:val="en-US" w:eastAsia="zh-CN"/>
                    </w:rPr>
                    <w:t>所在区域不在饮用水源保护区、重要湿地、基本草原、生态公益林、天然林等区域，不涉及一般生态空间。</w:t>
                  </w:r>
                </w:p>
              </w:tc>
              <w:tc>
                <w:tcPr>
                  <w:tcW w:w="672" w:type="dxa"/>
                  <w:noWrap w:val="0"/>
                  <w:vAlign w:val="center"/>
                </w:tcPr>
                <w:p w14:paraId="6AA3555C">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33" w:name="_Toc15470"/>
                  <w:bookmarkStart w:id="34" w:name="_Toc20480"/>
                  <w:bookmarkStart w:id="35" w:name="_Toc21497"/>
                  <w:bookmarkStart w:id="36" w:name="_Toc7705"/>
                  <w:bookmarkStart w:id="37" w:name="_Toc28823"/>
                  <w:r>
                    <w:rPr>
                      <w:rFonts w:ascii="Times New Roman" w:hAnsi="Times New Roman" w:eastAsia="宋体"/>
                      <w:b w:val="0"/>
                      <w:bCs w:val="0"/>
                      <w:color w:val="auto"/>
                      <w:sz w:val="21"/>
                      <w:szCs w:val="21"/>
                    </w:rPr>
                    <w:t>符合</w:t>
                  </w:r>
                  <w:bookmarkEnd w:id="33"/>
                  <w:bookmarkEnd w:id="34"/>
                  <w:bookmarkEnd w:id="35"/>
                  <w:bookmarkEnd w:id="36"/>
                  <w:bookmarkEnd w:id="37"/>
                </w:p>
              </w:tc>
            </w:tr>
            <w:tr w14:paraId="2D52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vMerge w:val="continue"/>
                  <w:noWrap w:val="0"/>
                  <w:vAlign w:val="center"/>
                </w:tcPr>
                <w:p w14:paraId="39C47C0C">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restart"/>
                  <w:noWrap w:val="0"/>
                  <w:vAlign w:val="center"/>
                </w:tcPr>
                <w:p w14:paraId="30E5076E">
                  <w:pPr>
                    <w:kinsoku w:val="0"/>
                    <w:overflowPunct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（二）环境质量底线</w:t>
                  </w:r>
                </w:p>
                <w:p w14:paraId="51A8A6D4">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hint="default" w:ascii="Times New Roman" w:hAnsi="Times New Roman" w:eastAsia="宋体" w:cs="Times New Roman"/>
                      <w:b w:val="0"/>
                      <w:bCs w:val="0"/>
                      <w:color w:val="auto"/>
                      <w:sz w:val="21"/>
                      <w:szCs w:val="21"/>
                    </w:rPr>
                  </w:pPr>
                </w:p>
              </w:tc>
              <w:tc>
                <w:tcPr>
                  <w:tcW w:w="3279" w:type="dxa"/>
                  <w:noWrap w:val="0"/>
                  <w:vAlign w:val="center"/>
                </w:tcPr>
                <w:p w14:paraId="5FB26753">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38" w:name="_Toc14886"/>
                  <w:bookmarkStart w:id="39" w:name="_Toc28146"/>
                  <w:bookmarkStart w:id="40" w:name="_Toc19278"/>
                  <w:bookmarkStart w:id="41" w:name="_Toc5906"/>
                  <w:bookmarkStart w:id="42" w:name="_Toc25059"/>
                  <w:r>
                    <w:rPr>
                      <w:rFonts w:ascii="Times New Roman" w:hAnsi="Times New Roman" w:eastAsia="宋体"/>
                      <w:b w:val="0"/>
                      <w:bCs w:val="0"/>
                      <w:color w:val="auto"/>
                      <w:sz w:val="21"/>
                      <w:szCs w:val="21"/>
                    </w:rPr>
                    <w:t>1.水环境质量底线。到2020年底，全省水环境质量总体良好，纳入国家考核的100个地表水监测断面水质优良（达到或优于Ⅲ类）的比例达到73%以上、劣于Ⅴ类的比例控制在6%以内，省级考核的50个地表水监测断面水质达到水环境功能要求；九大高原湖泊水质稳定改善，达到考核目标；珠江、长江和西南诸河流域优良水体比例分别达到68.7%、50%和91.7%以上；州市级、县级集中式饮用水水源</w:t>
                  </w:r>
                  <w:r>
                    <w:rPr>
                      <w:rFonts w:hint="eastAsia" w:ascii="Times New Roman" w:hAnsi="Times New Roman" w:eastAsia="宋体"/>
                      <w:b w:val="0"/>
                      <w:bCs w:val="0"/>
                      <w:color w:val="auto"/>
                      <w:sz w:val="21"/>
                      <w:szCs w:val="21"/>
                    </w:rPr>
                    <w:t>水</w:t>
                  </w:r>
                  <w:r>
                    <w:rPr>
                      <w:rFonts w:ascii="Times New Roman" w:hAnsi="Times New Roman" w:eastAsia="宋体"/>
                      <w:b w:val="0"/>
                      <w:bCs w:val="0"/>
                      <w:color w:val="auto"/>
                      <w:sz w:val="21"/>
                      <w:szCs w:val="21"/>
                    </w:rPr>
                    <w:t>质达到或优于Ⅲ类的比例分别达到97.2%、95%以上；地级城市建成区黑臭水体消除比例达到95%以上。到2025年，纳入国家和省级考核的地表水监测断面水质优良率稳步提升，重点区域、流域水环境质量进一步改善，基本消除劣Ⅴ类水体，集中式饮用水水源水质巩固改善。到2035年，地表水体水质优良率全面提升，各监测断面水质达到水环境功能要求，消除劣Ⅴ类水体，集中式饮用水水源水质稳定达标。</w:t>
                  </w:r>
                  <w:bookmarkEnd w:id="38"/>
                  <w:bookmarkEnd w:id="39"/>
                  <w:bookmarkEnd w:id="40"/>
                  <w:bookmarkEnd w:id="41"/>
                  <w:bookmarkEnd w:id="42"/>
                </w:p>
              </w:tc>
              <w:tc>
                <w:tcPr>
                  <w:tcW w:w="1677" w:type="dxa"/>
                  <w:noWrap w:val="0"/>
                  <w:vAlign w:val="center"/>
                </w:tcPr>
                <w:p w14:paraId="5C13164E">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bookmarkStart w:id="43" w:name="_Toc1505"/>
                  <w:bookmarkStart w:id="44" w:name="_Toc14051"/>
                  <w:bookmarkStart w:id="45" w:name="_Toc1735"/>
                  <w:bookmarkStart w:id="46" w:name="_Toc2905"/>
                  <w:bookmarkStart w:id="47" w:name="_Toc26010"/>
                  <w:r>
                    <w:rPr>
                      <w:rFonts w:hint="default"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b w:val="0"/>
                      <w:bCs w:val="0"/>
                      <w:color w:val="auto"/>
                      <w:sz w:val="21"/>
                      <w:szCs w:val="21"/>
                      <w:lang w:val="en-US" w:eastAsia="zh-CN"/>
                    </w:rPr>
                    <w:t>地表水环境现状补充监测</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地表水水质能够</w:t>
                  </w:r>
                  <w:r>
                    <w:rPr>
                      <w:rFonts w:hint="default" w:ascii="Times New Roman" w:hAnsi="Times New Roman" w:eastAsia="宋体" w:cs="Times New Roman"/>
                      <w:b w:val="0"/>
                      <w:bCs w:val="0"/>
                      <w:color w:val="auto"/>
                      <w:sz w:val="21"/>
                      <w:szCs w:val="21"/>
                      <w:lang w:val="en-GB" w:eastAsia="zh-CN"/>
                    </w:rPr>
                    <w:t>满足《地表水环境质量标准》（GB3838-2002）中Ⅲ类水质标准要求</w:t>
                  </w:r>
                  <w:r>
                    <w:rPr>
                      <w:rFonts w:hint="eastAsia" w:ascii="Times New Roman" w:hAnsi="Times New Roman" w:eastAsia="宋体" w:cs="Times New Roman"/>
                      <w:b w:val="0"/>
                      <w:bCs w:val="0"/>
                      <w:color w:val="auto"/>
                      <w:sz w:val="21"/>
                      <w:szCs w:val="21"/>
                      <w:lang w:val="en-GB" w:eastAsia="zh-CN"/>
                    </w:rPr>
                    <w:t>，</w:t>
                  </w:r>
                  <w:r>
                    <w:rPr>
                      <w:rFonts w:hint="eastAsia" w:ascii="Times New Roman" w:hAnsi="Times New Roman" w:eastAsia="宋体" w:cs="Times New Roman"/>
                      <w:b w:val="0"/>
                      <w:bCs w:val="0"/>
                      <w:color w:val="auto"/>
                      <w:sz w:val="21"/>
                      <w:szCs w:val="21"/>
                      <w:lang w:val="en-US" w:eastAsia="zh-CN"/>
                    </w:rPr>
                    <w:t>同时本项目无废水外排，不会影响地表水环境质量。</w:t>
                  </w:r>
                  <w:r>
                    <w:rPr>
                      <w:rFonts w:hint="eastAsia" w:ascii="Times New Roman" w:hAnsi="Times New Roman" w:eastAsia="宋体" w:cs="Times New Roman"/>
                      <w:b w:val="0"/>
                      <w:bCs w:val="0"/>
                      <w:color w:val="auto"/>
                      <w:sz w:val="21"/>
                      <w:szCs w:val="21"/>
                    </w:rPr>
                    <w:t>项目</w:t>
                  </w:r>
                  <w:r>
                    <w:rPr>
                      <w:rFonts w:hint="eastAsia" w:ascii="Times New Roman" w:hAnsi="Times New Roman" w:eastAsia="宋体" w:cs="Times New Roman"/>
                      <w:b w:val="0"/>
                      <w:bCs w:val="0"/>
                      <w:color w:val="auto"/>
                      <w:sz w:val="21"/>
                      <w:szCs w:val="21"/>
                      <w:lang w:val="en-US" w:eastAsia="zh-CN"/>
                    </w:rPr>
                    <w:t>所在区域</w:t>
                  </w:r>
                  <w:r>
                    <w:rPr>
                      <w:rFonts w:hint="eastAsia" w:ascii="Times New Roman" w:hAnsi="Times New Roman" w:eastAsia="宋体" w:cs="Times New Roman"/>
                      <w:b w:val="0"/>
                      <w:bCs w:val="0"/>
                      <w:color w:val="auto"/>
                      <w:sz w:val="21"/>
                      <w:szCs w:val="21"/>
                    </w:rPr>
                    <w:t>不涉及集中式饮用水水源</w:t>
                  </w:r>
                  <w:bookmarkEnd w:id="43"/>
                  <w:bookmarkEnd w:id="44"/>
                  <w:bookmarkEnd w:id="45"/>
                  <w:r>
                    <w:rPr>
                      <w:rFonts w:hint="eastAsia" w:ascii="Times New Roman" w:hAnsi="Times New Roman" w:eastAsia="宋体" w:cs="Times New Roman"/>
                      <w:b w:val="0"/>
                      <w:bCs w:val="0"/>
                      <w:color w:val="auto"/>
                      <w:sz w:val="21"/>
                      <w:szCs w:val="21"/>
                      <w:lang w:eastAsia="zh-CN"/>
                    </w:rPr>
                    <w:t>。</w:t>
                  </w:r>
                  <w:bookmarkEnd w:id="46"/>
                  <w:bookmarkEnd w:id="47"/>
                </w:p>
              </w:tc>
              <w:tc>
                <w:tcPr>
                  <w:tcW w:w="672" w:type="dxa"/>
                  <w:noWrap w:val="0"/>
                  <w:vAlign w:val="center"/>
                </w:tcPr>
                <w:p w14:paraId="7E152D73">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48" w:name="_Toc23146"/>
                  <w:bookmarkStart w:id="49" w:name="_Toc10674"/>
                  <w:bookmarkStart w:id="50" w:name="_Toc15689"/>
                  <w:bookmarkStart w:id="51" w:name="_Toc23477"/>
                  <w:bookmarkStart w:id="52" w:name="_Toc9444"/>
                  <w:r>
                    <w:rPr>
                      <w:rFonts w:ascii="Times New Roman" w:hAnsi="Times New Roman" w:eastAsia="宋体"/>
                      <w:b w:val="0"/>
                      <w:bCs w:val="0"/>
                      <w:color w:val="auto"/>
                      <w:sz w:val="21"/>
                      <w:szCs w:val="21"/>
                    </w:rPr>
                    <w:t>符合</w:t>
                  </w:r>
                  <w:bookmarkEnd w:id="48"/>
                  <w:bookmarkEnd w:id="49"/>
                  <w:bookmarkEnd w:id="50"/>
                  <w:bookmarkEnd w:id="51"/>
                  <w:bookmarkEnd w:id="52"/>
                </w:p>
              </w:tc>
            </w:tr>
            <w:tr w14:paraId="0286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4" w:hRule="atLeast"/>
              </w:trPr>
              <w:tc>
                <w:tcPr>
                  <w:tcW w:w="622" w:type="dxa"/>
                  <w:vMerge w:val="continue"/>
                  <w:noWrap w:val="0"/>
                  <w:vAlign w:val="center"/>
                </w:tcPr>
                <w:p w14:paraId="358F57E9">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continue"/>
                  <w:noWrap w:val="0"/>
                  <w:vAlign w:val="center"/>
                </w:tcPr>
                <w:p w14:paraId="27A794AA">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6B898267">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53" w:name="_Toc7455"/>
                  <w:bookmarkStart w:id="54" w:name="_Toc31089"/>
                  <w:bookmarkStart w:id="55" w:name="_Toc17186"/>
                  <w:bookmarkStart w:id="56" w:name="_Toc21167"/>
                  <w:bookmarkStart w:id="57" w:name="_Toc2646"/>
                  <w:r>
                    <w:rPr>
                      <w:rFonts w:ascii="Times New Roman" w:hAnsi="Times New Roman" w:eastAsia="宋体"/>
                      <w:b w:val="0"/>
                      <w:bCs w:val="0"/>
                      <w:color w:val="auto"/>
                      <w:sz w:val="21"/>
                      <w:szCs w:val="21"/>
                    </w:rPr>
                    <w:t>2.大气环境质量底线。到2020年底，全省环境空气质量总体保持优良，二氧化硫、氮氧化物排放总量较2015年下降1%；细颗粒物（PM2.5）和可吸入颗粒物（PM10）等主要污染指标得到有效控制；州市级城市环境空气质量达到国家二级标准，优良天数比率达到97.2%以上。到2025年，环境空气质量稳中向好，州市级城市环境空气质量稳定达到国家二级标准。到2035年，环境空气质量全面改善，州市级、县级城市环境空气质量稳定达到国家二级标准。</w:t>
                  </w:r>
                  <w:bookmarkEnd w:id="53"/>
                  <w:bookmarkEnd w:id="54"/>
                  <w:bookmarkEnd w:id="55"/>
                  <w:bookmarkEnd w:id="56"/>
                  <w:bookmarkEnd w:id="57"/>
                </w:p>
              </w:tc>
              <w:tc>
                <w:tcPr>
                  <w:tcW w:w="1677" w:type="dxa"/>
                  <w:noWrap w:val="0"/>
                  <w:vAlign w:val="center"/>
                </w:tcPr>
                <w:p w14:paraId="5ED2C391">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default" w:ascii="Times New Roman" w:hAnsi="Times New Roman" w:eastAsia="宋体"/>
                      <w:b w:val="0"/>
                      <w:bCs w:val="0"/>
                      <w:color w:val="auto"/>
                      <w:sz w:val="21"/>
                      <w:szCs w:val="21"/>
                      <w:lang w:val="en-US" w:eastAsia="zh-CN"/>
                    </w:rPr>
                  </w:pPr>
                  <w:bookmarkStart w:id="58" w:name="_Toc18045"/>
                  <w:bookmarkStart w:id="59" w:name="_Toc15875"/>
                  <w:bookmarkStart w:id="60" w:name="_Toc30783"/>
                  <w:bookmarkStart w:id="61" w:name="_Toc23148"/>
                  <w:bookmarkStart w:id="62" w:name="_Toc31971"/>
                  <w:r>
                    <w:rPr>
                      <w:rFonts w:ascii="Times New Roman" w:hAnsi="Times New Roman" w:eastAsia="宋体"/>
                      <w:b w:val="0"/>
                      <w:bCs w:val="0"/>
                      <w:color w:val="auto"/>
                      <w:sz w:val="21"/>
                      <w:szCs w:val="21"/>
                    </w:rPr>
                    <w:t>项目所在地环境空气质量能达到国家二级标准。</w:t>
                  </w:r>
                  <w:bookmarkEnd w:id="58"/>
                  <w:bookmarkEnd w:id="59"/>
                  <w:bookmarkEnd w:id="60"/>
                  <w:bookmarkEnd w:id="61"/>
                  <w:bookmarkEnd w:id="62"/>
                  <w:r>
                    <w:rPr>
                      <w:rFonts w:hint="eastAsia" w:ascii="Times New Roman" w:hAnsi="Times New Roman" w:eastAsia="宋体"/>
                      <w:b w:val="0"/>
                      <w:bCs w:val="0"/>
                      <w:color w:val="auto"/>
                      <w:sz w:val="21"/>
                      <w:szCs w:val="21"/>
                      <w:lang w:val="en-US" w:eastAsia="zh-CN"/>
                    </w:rPr>
                    <w:t>项目建成后，</w:t>
                  </w:r>
                  <w:r>
                    <w:rPr>
                      <w:rFonts w:hint="eastAsia" w:ascii="宋体" w:hAnsi="宋体" w:eastAsia="宋体" w:cs="宋体"/>
                      <w:b w:val="0"/>
                      <w:bCs w:val="0"/>
                      <w:color w:val="auto"/>
                      <w:sz w:val="21"/>
                      <w:szCs w:val="21"/>
                      <w:lang w:val="en-US" w:eastAsia="zh-CN"/>
                    </w:rPr>
                    <w:t>废气污染物主要为颗粒物，采取相应的环保措施，可做到达标排放，不会影响所在区域的大气环境质量。</w:t>
                  </w:r>
                </w:p>
              </w:tc>
              <w:tc>
                <w:tcPr>
                  <w:tcW w:w="672" w:type="dxa"/>
                  <w:noWrap w:val="0"/>
                  <w:vAlign w:val="center"/>
                </w:tcPr>
                <w:p w14:paraId="0A4FBE75">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63" w:name="_Toc9841"/>
                  <w:bookmarkStart w:id="64" w:name="_Toc1026"/>
                  <w:bookmarkStart w:id="65" w:name="_Toc28870"/>
                  <w:bookmarkStart w:id="66" w:name="_Toc32302"/>
                  <w:bookmarkStart w:id="67" w:name="_Toc13971"/>
                  <w:r>
                    <w:rPr>
                      <w:rFonts w:ascii="Times New Roman" w:hAnsi="Times New Roman" w:eastAsia="宋体"/>
                      <w:b w:val="0"/>
                      <w:bCs w:val="0"/>
                      <w:color w:val="auto"/>
                      <w:sz w:val="21"/>
                      <w:szCs w:val="21"/>
                    </w:rPr>
                    <w:t>符合</w:t>
                  </w:r>
                  <w:bookmarkEnd w:id="63"/>
                  <w:bookmarkEnd w:id="64"/>
                  <w:bookmarkEnd w:id="65"/>
                  <w:bookmarkEnd w:id="66"/>
                  <w:bookmarkEnd w:id="67"/>
                </w:p>
              </w:tc>
            </w:tr>
            <w:tr w14:paraId="1FC3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1" w:hRule="atLeast"/>
              </w:trPr>
              <w:tc>
                <w:tcPr>
                  <w:tcW w:w="622" w:type="dxa"/>
                  <w:vMerge w:val="continue"/>
                  <w:noWrap w:val="0"/>
                  <w:vAlign w:val="center"/>
                </w:tcPr>
                <w:p w14:paraId="0A4AF4EF">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continue"/>
                  <w:noWrap w:val="0"/>
                  <w:vAlign w:val="center"/>
                </w:tcPr>
                <w:p w14:paraId="623B2D99">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079C484C">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68" w:name="_Toc14443"/>
                  <w:bookmarkStart w:id="69" w:name="_Toc1046"/>
                  <w:bookmarkStart w:id="70" w:name="_Toc10528"/>
                  <w:bookmarkStart w:id="71" w:name="_Toc22709"/>
                  <w:bookmarkStart w:id="72" w:name="_Toc3764"/>
                  <w:r>
                    <w:rPr>
                      <w:rFonts w:ascii="Times New Roman" w:hAnsi="Times New Roman" w:eastAsia="宋体"/>
                      <w:b w:val="0"/>
                      <w:bCs w:val="0"/>
                      <w:color w:val="auto"/>
                      <w:sz w:val="21"/>
                      <w:szCs w:val="21"/>
                    </w:rPr>
                    <w:t>3.土壤环境风险防控底线。到2020年底，全省土壤环境质量总体保持稳定，农用地和建设用地土壤环境安全得到基本保障，土壤环境风险得到基本管控；受污染耕地安全利用率达到80%左右，污染地块安全利用率不低于90%。到2025年，土壤环境风险防范体系进一步完善，受污染耕地安全利用率和污染地块安全利用率进一步提高。到2035年，土壤环境质量稳中向好，农用地和建设用地土壤环境安全得到有效保障，土壤环境风险得到全面管控。</w:t>
                  </w:r>
                  <w:bookmarkEnd w:id="68"/>
                  <w:bookmarkEnd w:id="69"/>
                  <w:bookmarkEnd w:id="70"/>
                  <w:bookmarkEnd w:id="71"/>
                  <w:bookmarkEnd w:id="72"/>
                </w:p>
              </w:tc>
              <w:tc>
                <w:tcPr>
                  <w:tcW w:w="1677" w:type="dxa"/>
                  <w:noWrap w:val="0"/>
                  <w:vAlign w:val="center"/>
                </w:tcPr>
                <w:p w14:paraId="205823ED">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本项目厂区及车间均进行地面硬化防渗。</w:t>
                  </w:r>
                  <w:r>
                    <w:rPr>
                      <w:rFonts w:hint="default" w:ascii="Times New Roman" w:hAnsi="Times New Roman" w:eastAsia="宋体" w:cs="Times New Roman"/>
                      <w:b w:val="0"/>
                      <w:bCs w:val="0"/>
                      <w:color w:val="auto"/>
                      <w:sz w:val="21"/>
                      <w:szCs w:val="21"/>
                      <w:lang w:val="en-US" w:eastAsia="zh-CN"/>
                    </w:rPr>
                    <w:t>定期检查消除污染隐患，发现有污染物泄漏或渗漏，及时修补</w:t>
                  </w:r>
                  <w:r>
                    <w:rPr>
                      <w:rFonts w:hint="eastAsia" w:ascii="Times New Roman" w:hAnsi="Times New Roman" w:eastAsia="宋体" w:cs="Times New Roman"/>
                      <w:b w:val="0"/>
                      <w:bCs w:val="0"/>
                      <w:color w:val="auto"/>
                      <w:sz w:val="21"/>
                      <w:szCs w:val="21"/>
                      <w:lang w:val="en-US" w:eastAsia="zh-CN"/>
                    </w:rPr>
                    <w:t>，可避免对土壤及地下水环境造成影响。</w:t>
                  </w:r>
                </w:p>
              </w:tc>
              <w:tc>
                <w:tcPr>
                  <w:tcW w:w="672" w:type="dxa"/>
                  <w:noWrap w:val="0"/>
                  <w:vAlign w:val="center"/>
                </w:tcPr>
                <w:p w14:paraId="64885D19">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73" w:name="_Toc22187"/>
                  <w:bookmarkStart w:id="74" w:name="_Toc15233"/>
                  <w:bookmarkStart w:id="75" w:name="_Toc23810"/>
                  <w:bookmarkStart w:id="76" w:name="_Toc18916"/>
                  <w:bookmarkStart w:id="77" w:name="_Toc3939"/>
                  <w:r>
                    <w:rPr>
                      <w:rFonts w:ascii="Times New Roman" w:hAnsi="Times New Roman" w:eastAsia="宋体"/>
                      <w:b w:val="0"/>
                      <w:bCs w:val="0"/>
                      <w:color w:val="auto"/>
                      <w:sz w:val="21"/>
                      <w:szCs w:val="21"/>
                    </w:rPr>
                    <w:t>符合</w:t>
                  </w:r>
                  <w:bookmarkEnd w:id="73"/>
                  <w:bookmarkEnd w:id="74"/>
                  <w:bookmarkEnd w:id="75"/>
                  <w:bookmarkEnd w:id="76"/>
                  <w:bookmarkEnd w:id="77"/>
                </w:p>
              </w:tc>
            </w:tr>
            <w:tr w14:paraId="6BF6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22" w:type="dxa"/>
                  <w:vMerge w:val="continue"/>
                  <w:noWrap w:val="0"/>
                  <w:vAlign w:val="center"/>
                </w:tcPr>
                <w:p w14:paraId="2667B943">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restart"/>
                  <w:noWrap w:val="0"/>
                  <w:vAlign w:val="center"/>
                </w:tcPr>
                <w:p w14:paraId="7239FC5D">
                  <w:pPr>
                    <w:pStyle w:val="29"/>
                    <w:widowControl w:val="0"/>
                    <w:kinsoku w:val="0"/>
                    <w:overflowPunct w:val="0"/>
                    <w:autoSpaceDE w:val="0"/>
                    <w:autoSpaceDN w:val="0"/>
                    <w:adjustRightInd w:val="0"/>
                    <w:snapToGrid w:val="0"/>
                    <w:spacing w:beforeAutospacing="0" w:after="0" w:afterAutospacing="0" w:line="240" w:lineRule="auto"/>
                    <w:ind w:firstLine="0" w:firstLineChars="0"/>
                    <w:jc w:val="center"/>
                    <w:rPr>
                      <w:rFonts w:ascii="Times New Roman" w:hAnsi="Times New Roman" w:cs="Times New Roman"/>
                      <w:color w:val="auto"/>
                      <w:sz w:val="21"/>
                      <w:szCs w:val="21"/>
                      <w:lang w:eastAsia="zh-CN" w:bidi="ar-SA"/>
                    </w:rPr>
                  </w:pPr>
                  <w:r>
                    <w:rPr>
                      <w:rFonts w:ascii="Times New Roman" w:hAnsi="Times New Roman" w:cs="Times New Roman"/>
                      <w:color w:val="auto"/>
                      <w:sz w:val="21"/>
                      <w:szCs w:val="21"/>
                      <w:lang w:eastAsia="zh-CN" w:bidi="ar-SA"/>
                    </w:rPr>
                    <w:t>（三）资源利用上线</w:t>
                  </w:r>
                </w:p>
                <w:p w14:paraId="17F9A88A">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19BC93FD">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78" w:name="_Toc28805"/>
                  <w:bookmarkStart w:id="79" w:name="_Toc14818"/>
                  <w:bookmarkStart w:id="80" w:name="_Toc4992"/>
                  <w:bookmarkStart w:id="81" w:name="_Toc3194"/>
                  <w:bookmarkStart w:id="82" w:name="_Toc21074"/>
                  <w:r>
                    <w:rPr>
                      <w:rFonts w:ascii="Times New Roman" w:hAnsi="Times New Roman" w:eastAsia="宋体"/>
                      <w:b w:val="0"/>
                      <w:bCs w:val="0"/>
                      <w:color w:val="auto"/>
                      <w:sz w:val="21"/>
                      <w:szCs w:val="21"/>
                    </w:rPr>
                    <w:t>1.水资源利用上线。到2020年底，全省年用水总量控制在214.6亿立方米以内。</w:t>
                  </w:r>
                  <w:bookmarkEnd w:id="78"/>
                  <w:bookmarkEnd w:id="79"/>
                  <w:bookmarkEnd w:id="80"/>
                  <w:bookmarkEnd w:id="81"/>
                  <w:bookmarkEnd w:id="82"/>
                </w:p>
              </w:tc>
              <w:tc>
                <w:tcPr>
                  <w:tcW w:w="1677" w:type="dxa"/>
                  <w:noWrap w:val="0"/>
                  <w:vAlign w:val="center"/>
                </w:tcPr>
                <w:p w14:paraId="2B75DD1D">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本项目不属于高耗水企业，用水量不触及资源利用上线，符合资源利用上线要求。</w:t>
                  </w:r>
                </w:p>
              </w:tc>
              <w:tc>
                <w:tcPr>
                  <w:tcW w:w="672" w:type="dxa"/>
                  <w:noWrap w:val="0"/>
                  <w:vAlign w:val="center"/>
                </w:tcPr>
                <w:p w14:paraId="30EADADF">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83" w:name="_Toc31836"/>
                  <w:bookmarkStart w:id="84" w:name="_Toc11208"/>
                  <w:bookmarkStart w:id="85" w:name="_Toc19131"/>
                  <w:bookmarkStart w:id="86" w:name="_Toc32305"/>
                  <w:bookmarkStart w:id="87" w:name="_Toc306"/>
                  <w:r>
                    <w:rPr>
                      <w:rFonts w:ascii="Times New Roman" w:hAnsi="Times New Roman" w:eastAsia="宋体"/>
                      <w:b w:val="0"/>
                      <w:bCs w:val="0"/>
                      <w:color w:val="auto"/>
                      <w:sz w:val="21"/>
                      <w:szCs w:val="21"/>
                    </w:rPr>
                    <w:t>符合</w:t>
                  </w:r>
                  <w:bookmarkEnd w:id="83"/>
                  <w:bookmarkEnd w:id="84"/>
                  <w:bookmarkEnd w:id="85"/>
                  <w:bookmarkEnd w:id="86"/>
                  <w:bookmarkEnd w:id="87"/>
                </w:p>
              </w:tc>
            </w:tr>
            <w:tr w14:paraId="136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22" w:type="dxa"/>
                  <w:vMerge w:val="continue"/>
                  <w:noWrap w:val="0"/>
                  <w:vAlign w:val="center"/>
                </w:tcPr>
                <w:p w14:paraId="14E95E39">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continue"/>
                  <w:noWrap w:val="0"/>
                  <w:vAlign w:val="center"/>
                </w:tcPr>
                <w:p w14:paraId="716F9453">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3D31BB81">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88" w:name="_Toc5729"/>
                  <w:bookmarkStart w:id="89" w:name="_Toc7445"/>
                  <w:bookmarkStart w:id="90" w:name="_Toc25688"/>
                  <w:bookmarkStart w:id="91" w:name="_Toc27205"/>
                  <w:bookmarkStart w:id="92" w:name="_Toc5668"/>
                  <w:r>
                    <w:rPr>
                      <w:rFonts w:ascii="Times New Roman" w:hAnsi="Times New Roman" w:eastAsia="宋体"/>
                      <w:b w:val="0"/>
                      <w:bCs w:val="0"/>
                      <w:color w:val="auto"/>
                      <w:sz w:val="21"/>
                      <w:szCs w:val="21"/>
                    </w:rPr>
                    <w:t>2.土地资源利用上线。到2020年底，全省耕地保有量不低于584.53万公顷，基本农田保护面积不低于489.4万公顷，建设用地总规模控制在115.4万公顷以内。</w:t>
                  </w:r>
                  <w:bookmarkEnd w:id="88"/>
                  <w:bookmarkEnd w:id="89"/>
                  <w:bookmarkEnd w:id="90"/>
                  <w:bookmarkEnd w:id="91"/>
                  <w:bookmarkEnd w:id="92"/>
                </w:p>
              </w:tc>
              <w:tc>
                <w:tcPr>
                  <w:tcW w:w="1677" w:type="dxa"/>
                  <w:noWrap w:val="0"/>
                  <w:vAlign w:val="center"/>
                </w:tcPr>
                <w:p w14:paraId="364C1D60">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本项目用地范围8350m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，根据德宏州人民政府文件，项目用地为集体建设用地。根据芒市自然资源局出具关于项目用地规划、性质的复函，项目选址不涉及永久基本农田、生态红线、耕地保护目标。（见附件6、7）</w:t>
                  </w:r>
                </w:p>
              </w:tc>
              <w:tc>
                <w:tcPr>
                  <w:tcW w:w="672" w:type="dxa"/>
                  <w:noWrap w:val="0"/>
                  <w:vAlign w:val="center"/>
                </w:tcPr>
                <w:p w14:paraId="78FC931D">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93" w:name="_Toc3720"/>
                  <w:bookmarkStart w:id="94" w:name="_Toc26198"/>
                  <w:bookmarkStart w:id="95" w:name="_Toc28412"/>
                  <w:bookmarkStart w:id="96" w:name="_Toc23874"/>
                  <w:bookmarkStart w:id="97" w:name="_Toc13100"/>
                  <w:r>
                    <w:rPr>
                      <w:rFonts w:ascii="Times New Roman" w:hAnsi="Times New Roman" w:eastAsia="宋体"/>
                      <w:b w:val="0"/>
                      <w:bCs w:val="0"/>
                      <w:color w:val="auto"/>
                      <w:sz w:val="21"/>
                      <w:szCs w:val="21"/>
                    </w:rPr>
                    <w:t>符合</w:t>
                  </w:r>
                  <w:bookmarkEnd w:id="93"/>
                  <w:bookmarkEnd w:id="94"/>
                  <w:bookmarkEnd w:id="95"/>
                  <w:bookmarkEnd w:id="96"/>
                  <w:bookmarkEnd w:id="97"/>
                </w:p>
              </w:tc>
            </w:tr>
            <w:tr w14:paraId="7AE0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622" w:type="dxa"/>
                  <w:vMerge w:val="continue"/>
                  <w:noWrap w:val="0"/>
                  <w:vAlign w:val="center"/>
                </w:tcPr>
                <w:p w14:paraId="1BCA586A">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continue"/>
                  <w:noWrap w:val="0"/>
                  <w:vAlign w:val="center"/>
                </w:tcPr>
                <w:p w14:paraId="113AF73F">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6983AE83">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98" w:name="_Toc2999"/>
                  <w:bookmarkStart w:id="99" w:name="_Toc29282"/>
                  <w:bookmarkStart w:id="100" w:name="_Toc22183"/>
                  <w:bookmarkStart w:id="101" w:name="_Toc2300"/>
                  <w:bookmarkStart w:id="102" w:name="_Toc27690"/>
                  <w:r>
                    <w:rPr>
                      <w:rFonts w:ascii="Times New Roman" w:hAnsi="Times New Roman" w:eastAsia="宋体"/>
                      <w:b w:val="0"/>
                      <w:bCs w:val="0"/>
                      <w:color w:val="auto"/>
                      <w:sz w:val="21"/>
                      <w:szCs w:val="21"/>
                    </w:rPr>
                    <w:t>3.能源利用上线。到2020年底，全省万元地区生产总值能耗较2015年下降14%，能源消费总量控制在国家下达目标以内，非化石能源消费量占能源消费总量比重达到42%。</w:t>
                  </w:r>
                  <w:bookmarkEnd w:id="98"/>
                  <w:bookmarkEnd w:id="99"/>
                  <w:bookmarkEnd w:id="100"/>
                  <w:bookmarkEnd w:id="101"/>
                  <w:bookmarkEnd w:id="102"/>
                </w:p>
              </w:tc>
              <w:tc>
                <w:tcPr>
                  <w:tcW w:w="1677" w:type="dxa"/>
                  <w:noWrap w:val="0"/>
                  <w:vAlign w:val="center"/>
                </w:tcPr>
                <w:p w14:paraId="1F49733F">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bookmarkStart w:id="103" w:name="_Toc13572"/>
                  <w:bookmarkStart w:id="104" w:name="_Toc28275"/>
                  <w:bookmarkStart w:id="105" w:name="_Toc22350"/>
                  <w:bookmarkStart w:id="106" w:name="_Toc32364"/>
                  <w:bookmarkStart w:id="107" w:name="_Toc22617"/>
                  <w:r>
                    <w:rPr>
                      <w:rFonts w:hint="eastAsia" w:ascii="Times New Roman" w:hAnsi="Times New Roman" w:eastAsia="宋体" w:cs="Times New Roman"/>
                      <w:b w:val="0"/>
                      <w:bCs w:val="0"/>
                      <w:color w:val="auto"/>
                      <w:sz w:val="21"/>
                      <w:szCs w:val="21"/>
                      <w:lang w:val="en-US" w:eastAsia="zh-CN"/>
                    </w:rPr>
                    <w:t>本项目采用电烘干，不使用煤等高能耗资源。</w:t>
                  </w:r>
                  <w:bookmarkEnd w:id="103"/>
                  <w:bookmarkEnd w:id="104"/>
                  <w:bookmarkEnd w:id="105"/>
                  <w:bookmarkEnd w:id="106"/>
                  <w:bookmarkEnd w:id="107"/>
                </w:p>
              </w:tc>
              <w:tc>
                <w:tcPr>
                  <w:tcW w:w="672" w:type="dxa"/>
                  <w:noWrap w:val="0"/>
                  <w:vAlign w:val="center"/>
                </w:tcPr>
                <w:p w14:paraId="6AABE947">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08" w:name="_Toc21366"/>
                  <w:bookmarkStart w:id="109" w:name="_Toc17491"/>
                  <w:bookmarkStart w:id="110" w:name="_Toc21114"/>
                  <w:bookmarkStart w:id="111" w:name="_Toc4496"/>
                  <w:bookmarkStart w:id="112" w:name="_Toc22266"/>
                  <w:r>
                    <w:rPr>
                      <w:rFonts w:ascii="Times New Roman" w:hAnsi="Times New Roman" w:eastAsia="宋体"/>
                      <w:b w:val="0"/>
                      <w:bCs w:val="0"/>
                      <w:color w:val="auto"/>
                      <w:sz w:val="21"/>
                      <w:szCs w:val="21"/>
                    </w:rPr>
                    <w:t>符合</w:t>
                  </w:r>
                  <w:bookmarkEnd w:id="108"/>
                  <w:bookmarkEnd w:id="109"/>
                  <w:bookmarkEnd w:id="110"/>
                  <w:bookmarkEnd w:id="111"/>
                  <w:bookmarkEnd w:id="112"/>
                </w:p>
              </w:tc>
            </w:tr>
            <w:tr w14:paraId="06CE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22" w:type="dxa"/>
                  <w:vMerge w:val="restart"/>
                  <w:noWrap w:val="0"/>
                  <w:vAlign w:val="center"/>
                </w:tcPr>
                <w:p w14:paraId="4FDEADB6">
                  <w:pPr>
                    <w:pStyle w:val="4"/>
                    <w:keepNext w:val="0"/>
                    <w:keepLines w:val="0"/>
                    <w:kinsoku w:val="0"/>
                    <w:overflowPunct w:val="0"/>
                    <w:autoSpaceDE w:val="0"/>
                    <w:autoSpaceDN w:val="0"/>
                    <w:adjustRightInd w:val="0"/>
                    <w:snapToGrid w:val="0"/>
                    <w:spacing w:before="0" w:after="0" w:line="240" w:lineRule="auto"/>
                    <w:ind w:firstLine="0" w:firstLineChars="0"/>
                    <w:jc w:val="both"/>
                    <w:outlineLvl w:val="1"/>
                    <w:rPr>
                      <w:rFonts w:ascii="Times New Roman" w:hAnsi="Times New Roman" w:eastAsia="宋体"/>
                      <w:b w:val="0"/>
                      <w:bCs w:val="0"/>
                      <w:color w:val="auto"/>
                      <w:sz w:val="21"/>
                      <w:szCs w:val="21"/>
                    </w:rPr>
                  </w:pPr>
                  <w:bookmarkStart w:id="113" w:name="_Toc11837"/>
                  <w:bookmarkStart w:id="114" w:name="_Toc12223"/>
                  <w:bookmarkStart w:id="115" w:name="_Toc21302"/>
                  <w:bookmarkStart w:id="116" w:name="_Toc6070"/>
                  <w:bookmarkStart w:id="117" w:name="_Toc26756"/>
                  <w:r>
                    <w:rPr>
                      <w:rFonts w:ascii="Times New Roman" w:hAnsi="Times New Roman" w:eastAsia="宋体"/>
                      <w:b w:val="0"/>
                      <w:bCs w:val="0"/>
                      <w:color w:val="auto"/>
                      <w:sz w:val="21"/>
                      <w:szCs w:val="21"/>
                    </w:rPr>
                    <w:t>构建生态环境分区管控体</w:t>
                  </w:r>
                  <w:bookmarkEnd w:id="113"/>
                  <w:bookmarkEnd w:id="114"/>
                  <w:bookmarkEnd w:id="115"/>
                  <w:bookmarkEnd w:id="116"/>
                  <w:bookmarkEnd w:id="117"/>
                </w:p>
              </w:tc>
              <w:tc>
                <w:tcPr>
                  <w:tcW w:w="1089" w:type="dxa"/>
                  <w:vMerge w:val="restart"/>
                  <w:noWrap w:val="0"/>
                  <w:vAlign w:val="center"/>
                </w:tcPr>
                <w:p w14:paraId="522E5D92">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18" w:name="_Toc3540"/>
                  <w:bookmarkStart w:id="119" w:name="_Toc1547"/>
                  <w:bookmarkStart w:id="120" w:name="_Toc15843"/>
                  <w:bookmarkStart w:id="121" w:name="_Toc17608"/>
                  <w:bookmarkStart w:id="122" w:name="_Toc5891"/>
                  <w:r>
                    <w:rPr>
                      <w:rFonts w:ascii="Times New Roman" w:hAnsi="Times New Roman" w:eastAsia="宋体"/>
                      <w:b w:val="0"/>
                      <w:bCs w:val="0"/>
                      <w:color w:val="auto"/>
                      <w:sz w:val="21"/>
                      <w:szCs w:val="21"/>
                    </w:rPr>
                    <w:t>（一）生态环境管控单元划分。</w:t>
                  </w:r>
                  <w:bookmarkEnd w:id="118"/>
                  <w:bookmarkEnd w:id="119"/>
                  <w:bookmarkEnd w:id="120"/>
                  <w:bookmarkEnd w:id="121"/>
                  <w:bookmarkEnd w:id="122"/>
                </w:p>
              </w:tc>
              <w:tc>
                <w:tcPr>
                  <w:tcW w:w="3279" w:type="dxa"/>
                  <w:noWrap w:val="0"/>
                  <w:vAlign w:val="center"/>
                </w:tcPr>
                <w:p w14:paraId="3893F166">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123" w:name="_Toc1611"/>
                  <w:bookmarkStart w:id="124" w:name="_Toc18684"/>
                  <w:bookmarkStart w:id="125" w:name="_Toc26131"/>
                  <w:bookmarkStart w:id="126" w:name="_Toc25006"/>
                  <w:bookmarkStart w:id="127" w:name="_Toc23702"/>
                  <w:r>
                    <w:rPr>
                      <w:rFonts w:ascii="Times New Roman" w:hAnsi="Times New Roman" w:eastAsia="宋体"/>
                      <w:b w:val="0"/>
                      <w:bCs w:val="0"/>
                      <w:color w:val="auto"/>
                      <w:sz w:val="21"/>
                      <w:szCs w:val="21"/>
                    </w:rPr>
                    <w:t>1.优先保护单元。共383个，包含生态保护红线和一般生态空间，主要分布在滇西北山区、南部边境山区、哀牢山和无量山、滇东南喀斯特石漠化防治区、金沙江干热河谷、高原湖泊湖区等重点生态功能区域。</w:t>
                  </w:r>
                  <w:bookmarkEnd w:id="123"/>
                  <w:bookmarkEnd w:id="124"/>
                  <w:bookmarkEnd w:id="125"/>
                  <w:bookmarkEnd w:id="126"/>
                  <w:bookmarkEnd w:id="127"/>
                </w:p>
              </w:tc>
              <w:tc>
                <w:tcPr>
                  <w:tcW w:w="1677" w:type="dxa"/>
                  <w:noWrap w:val="0"/>
                  <w:vAlign w:val="center"/>
                </w:tcPr>
                <w:p w14:paraId="5DBDB9AA">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bookmarkStart w:id="128" w:name="_Toc16573"/>
                  <w:bookmarkStart w:id="129" w:name="_Toc22888"/>
                  <w:bookmarkStart w:id="130" w:name="_Toc26699"/>
                  <w:bookmarkStart w:id="131" w:name="_Toc27718"/>
                  <w:bookmarkStart w:id="132" w:name="_Toc15360"/>
                  <w:r>
                    <w:rPr>
                      <w:rFonts w:ascii="Times New Roman" w:hAnsi="Times New Roman" w:eastAsia="宋体"/>
                      <w:b w:val="0"/>
                      <w:bCs w:val="0"/>
                      <w:color w:val="auto"/>
                      <w:sz w:val="21"/>
                      <w:szCs w:val="21"/>
                    </w:rPr>
                    <w:t>项目不涉及优先保护单元</w:t>
                  </w:r>
                  <w:bookmarkEnd w:id="128"/>
                  <w:bookmarkEnd w:id="129"/>
                  <w:bookmarkEnd w:id="130"/>
                  <w:r>
                    <w:rPr>
                      <w:rFonts w:hint="eastAsia" w:ascii="Times New Roman" w:hAnsi="Times New Roman"/>
                      <w:b w:val="0"/>
                      <w:bCs w:val="0"/>
                      <w:color w:val="auto"/>
                      <w:sz w:val="21"/>
                      <w:szCs w:val="21"/>
                      <w:lang w:eastAsia="zh-CN"/>
                    </w:rPr>
                    <w:t>。</w:t>
                  </w:r>
                  <w:bookmarkEnd w:id="131"/>
                  <w:bookmarkEnd w:id="132"/>
                </w:p>
              </w:tc>
              <w:tc>
                <w:tcPr>
                  <w:tcW w:w="672" w:type="dxa"/>
                  <w:noWrap w:val="0"/>
                  <w:vAlign w:val="center"/>
                </w:tcPr>
                <w:p w14:paraId="0DB3CB2B">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33" w:name="_Toc27835"/>
                  <w:bookmarkStart w:id="134" w:name="_Toc25871"/>
                  <w:bookmarkStart w:id="135" w:name="_Toc25424"/>
                  <w:bookmarkStart w:id="136" w:name="_Toc12473"/>
                  <w:bookmarkStart w:id="137" w:name="_Toc6569"/>
                  <w:r>
                    <w:rPr>
                      <w:rFonts w:ascii="Times New Roman" w:hAnsi="Times New Roman" w:eastAsia="宋体"/>
                      <w:b w:val="0"/>
                      <w:bCs w:val="0"/>
                      <w:color w:val="auto"/>
                      <w:sz w:val="21"/>
                      <w:szCs w:val="21"/>
                    </w:rPr>
                    <w:t>符合</w:t>
                  </w:r>
                  <w:bookmarkEnd w:id="133"/>
                  <w:bookmarkEnd w:id="134"/>
                  <w:bookmarkEnd w:id="135"/>
                  <w:bookmarkEnd w:id="136"/>
                  <w:bookmarkEnd w:id="137"/>
                </w:p>
              </w:tc>
            </w:tr>
            <w:tr w14:paraId="6F4A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622" w:type="dxa"/>
                  <w:vMerge w:val="continue"/>
                  <w:noWrap w:val="0"/>
                  <w:vAlign w:val="center"/>
                </w:tcPr>
                <w:p w14:paraId="6C71B1E1">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continue"/>
                  <w:noWrap w:val="0"/>
                  <w:vAlign w:val="center"/>
                </w:tcPr>
                <w:p w14:paraId="78D944BE">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3361E540">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138" w:name="_Toc7881"/>
                  <w:bookmarkStart w:id="139" w:name="_Toc32351"/>
                  <w:bookmarkStart w:id="140" w:name="_Toc30601"/>
                  <w:bookmarkStart w:id="141" w:name="_Toc4265"/>
                  <w:bookmarkStart w:id="142" w:name="_Toc27617"/>
                  <w:r>
                    <w:rPr>
                      <w:rFonts w:ascii="Times New Roman" w:hAnsi="Times New Roman" w:eastAsia="宋体"/>
                      <w:b w:val="0"/>
                      <w:bCs w:val="0"/>
                      <w:color w:val="auto"/>
                      <w:sz w:val="21"/>
                      <w:szCs w:val="21"/>
                    </w:rPr>
                    <w:t>2.重点管控单元。共652个，包含开发强度高、污染物排放强度大、环境问题相对集中的区域和大气环境布局敏感、弱扩散区等，主要分布在滇中城市群、九大高原湖泊流域、各类开发区和工业集中区、城镇规划区及环境质量改善压力较大的区域。</w:t>
                  </w:r>
                  <w:bookmarkEnd w:id="138"/>
                  <w:bookmarkEnd w:id="139"/>
                  <w:bookmarkEnd w:id="140"/>
                  <w:bookmarkEnd w:id="141"/>
                  <w:bookmarkEnd w:id="142"/>
                </w:p>
              </w:tc>
              <w:tc>
                <w:tcPr>
                  <w:tcW w:w="1677" w:type="dxa"/>
                  <w:noWrap w:val="0"/>
                  <w:vAlign w:val="center"/>
                </w:tcPr>
                <w:p w14:paraId="793B349F">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default" w:ascii="Times New Roman" w:hAnsi="Times New Roman" w:eastAsia="宋体"/>
                      <w:b w:val="0"/>
                      <w:bCs w:val="0"/>
                      <w:color w:val="auto"/>
                      <w:sz w:val="21"/>
                      <w:szCs w:val="21"/>
                      <w:lang w:val="en-US" w:eastAsia="zh-CN"/>
                    </w:rPr>
                  </w:pPr>
                  <w:bookmarkStart w:id="143" w:name="_Toc13820"/>
                  <w:bookmarkStart w:id="144" w:name="_Toc20956"/>
                  <w:bookmarkStart w:id="145" w:name="_Toc11884"/>
                  <w:bookmarkStart w:id="146" w:name="_Toc749"/>
                  <w:bookmarkStart w:id="147" w:name="_Toc14340"/>
                  <w:r>
                    <w:rPr>
                      <w:rFonts w:hint="eastAsia" w:ascii="Times New Roman" w:hAnsi="Times New Roman" w:eastAsia="宋体" w:cs="Times New Roman"/>
                      <w:b w:val="0"/>
                      <w:bCs w:val="0"/>
                      <w:color w:val="auto"/>
                      <w:sz w:val="21"/>
                      <w:szCs w:val="21"/>
                      <w:lang w:val="en-US" w:eastAsia="zh-CN"/>
                    </w:rPr>
                    <w:t>根据三线一单管控单元查询，</w:t>
                  </w:r>
                  <w:r>
                    <w:rPr>
                      <w:rFonts w:hint="default" w:ascii="Times New Roman" w:hAnsi="Times New Roman" w:eastAsia="宋体" w:cs="Times New Roman"/>
                      <w:b w:val="0"/>
                      <w:bCs w:val="0"/>
                      <w:color w:val="auto"/>
                      <w:sz w:val="21"/>
                      <w:szCs w:val="21"/>
                      <w:lang w:val="en-US" w:eastAsia="zh-CN"/>
                    </w:rPr>
                    <w:t>项目属于</w:t>
                  </w:r>
                  <w:r>
                    <w:rPr>
                      <w:rFonts w:hint="eastAsia" w:ascii="Times New Roman" w:hAnsi="Times New Roman" w:eastAsia="宋体" w:cs="Times New Roman"/>
                      <w:b w:val="0"/>
                      <w:bCs w:val="0"/>
                      <w:color w:val="auto"/>
                      <w:sz w:val="21"/>
                      <w:szCs w:val="21"/>
                      <w:lang w:val="en-US" w:eastAsia="zh-CN"/>
                    </w:rPr>
                    <w:t>其他区域，不涉及重点管控单元。</w:t>
                  </w:r>
                  <w:bookmarkEnd w:id="143"/>
                  <w:bookmarkEnd w:id="144"/>
                  <w:bookmarkEnd w:id="145"/>
                  <w:bookmarkEnd w:id="146"/>
                  <w:bookmarkEnd w:id="147"/>
                </w:p>
              </w:tc>
              <w:tc>
                <w:tcPr>
                  <w:tcW w:w="672" w:type="dxa"/>
                  <w:noWrap w:val="0"/>
                  <w:vAlign w:val="center"/>
                </w:tcPr>
                <w:p w14:paraId="238D5DD7">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48" w:name="_Toc31853"/>
                  <w:bookmarkStart w:id="149" w:name="_Toc14805"/>
                  <w:bookmarkStart w:id="150" w:name="_Toc27132"/>
                  <w:bookmarkStart w:id="151" w:name="_Toc4204"/>
                  <w:bookmarkStart w:id="152" w:name="_Toc20646"/>
                  <w:r>
                    <w:rPr>
                      <w:rFonts w:ascii="Times New Roman" w:hAnsi="Times New Roman" w:eastAsia="宋体"/>
                      <w:b w:val="0"/>
                      <w:bCs w:val="0"/>
                      <w:color w:val="auto"/>
                      <w:sz w:val="21"/>
                      <w:szCs w:val="21"/>
                    </w:rPr>
                    <w:t>符合</w:t>
                  </w:r>
                  <w:bookmarkEnd w:id="148"/>
                  <w:bookmarkEnd w:id="149"/>
                  <w:bookmarkEnd w:id="150"/>
                  <w:bookmarkEnd w:id="151"/>
                  <w:bookmarkEnd w:id="152"/>
                </w:p>
              </w:tc>
            </w:tr>
            <w:tr w14:paraId="02E2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22" w:type="dxa"/>
                  <w:vMerge w:val="continue"/>
                  <w:noWrap w:val="0"/>
                  <w:vAlign w:val="center"/>
                </w:tcPr>
                <w:p w14:paraId="602CD714">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vMerge w:val="continue"/>
                  <w:noWrap w:val="0"/>
                  <w:vAlign w:val="center"/>
                </w:tcPr>
                <w:p w14:paraId="16D88F95">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46717EDD">
                  <w:pPr>
                    <w:kinsoku w:val="0"/>
                    <w:overflowPunct w:val="0"/>
                    <w:autoSpaceDE w:val="0"/>
                    <w:autoSpaceDN w:val="0"/>
                    <w:adjustRightInd w:val="0"/>
                    <w:snapToGrid w:val="0"/>
                    <w:spacing w:line="240" w:lineRule="auto"/>
                    <w:ind w:firstLine="420"/>
                    <w:jc w:val="center"/>
                    <w:rPr>
                      <w:color w:val="auto"/>
                      <w:sz w:val="21"/>
                      <w:szCs w:val="21"/>
                    </w:rPr>
                  </w:pPr>
                  <w:r>
                    <w:rPr>
                      <w:color w:val="auto"/>
                      <w:sz w:val="21"/>
                      <w:szCs w:val="21"/>
                    </w:rPr>
                    <w:t>3.一般管控单元。共129个，为优先保护、重点管控单元之外的区域。</w:t>
                  </w:r>
                </w:p>
              </w:tc>
              <w:tc>
                <w:tcPr>
                  <w:tcW w:w="1677" w:type="dxa"/>
                  <w:noWrap w:val="0"/>
                  <w:vAlign w:val="center"/>
                </w:tcPr>
                <w:p w14:paraId="7F01CE2D">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bookmarkStart w:id="153" w:name="_Toc11749"/>
                  <w:bookmarkStart w:id="154" w:name="_Toc14700"/>
                  <w:bookmarkStart w:id="155" w:name="_Toc9053"/>
                  <w:bookmarkStart w:id="156" w:name="_Toc10126"/>
                  <w:bookmarkStart w:id="157" w:name="_Toc32666"/>
                  <w:r>
                    <w:rPr>
                      <w:rFonts w:ascii="Times New Roman" w:hAnsi="Times New Roman" w:eastAsia="宋体"/>
                      <w:b w:val="0"/>
                      <w:bCs w:val="0"/>
                      <w:color w:val="auto"/>
                      <w:sz w:val="21"/>
                      <w:szCs w:val="21"/>
                    </w:rPr>
                    <w:t>项目</w:t>
                  </w:r>
                  <w:r>
                    <w:rPr>
                      <w:rFonts w:hint="eastAsia" w:ascii="Times New Roman" w:hAnsi="Times New Roman" w:eastAsia="宋体"/>
                      <w:b w:val="0"/>
                      <w:bCs w:val="0"/>
                      <w:color w:val="auto"/>
                      <w:sz w:val="21"/>
                      <w:szCs w:val="21"/>
                      <w:lang w:val="en-US" w:eastAsia="zh-CN"/>
                    </w:rPr>
                    <w:t>不</w:t>
                  </w:r>
                  <w:r>
                    <w:rPr>
                      <w:rFonts w:ascii="Times New Roman" w:hAnsi="Times New Roman" w:eastAsia="宋体"/>
                      <w:b w:val="0"/>
                      <w:bCs w:val="0"/>
                      <w:color w:val="auto"/>
                      <w:sz w:val="21"/>
                      <w:szCs w:val="21"/>
                    </w:rPr>
                    <w:t>属于一般管控单元</w:t>
                  </w:r>
                  <w:bookmarkEnd w:id="153"/>
                  <w:bookmarkEnd w:id="154"/>
                  <w:bookmarkEnd w:id="155"/>
                  <w:r>
                    <w:rPr>
                      <w:rFonts w:hint="eastAsia" w:ascii="Times New Roman" w:hAnsi="Times New Roman"/>
                      <w:b w:val="0"/>
                      <w:bCs w:val="0"/>
                      <w:color w:val="auto"/>
                      <w:sz w:val="21"/>
                      <w:szCs w:val="21"/>
                      <w:lang w:eastAsia="zh-CN"/>
                    </w:rPr>
                    <w:t>。</w:t>
                  </w:r>
                  <w:bookmarkEnd w:id="156"/>
                  <w:bookmarkEnd w:id="157"/>
                </w:p>
              </w:tc>
              <w:tc>
                <w:tcPr>
                  <w:tcW w:w="672" w:type="dxa"/>
                  <w:noWrap w:val="0"/>
                  <w:vAlign w:val="center"/>
                </w:tcPr>
                <w:p w14:paraId="6FF7745A">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58" w:name="_Toc20584"/>
                  <w:bookmarkStart w:id="159" w:name="_Toc4620"/>
                  <w:bookmarkStart w:id="160" w:name="_Toc26752"/>
                  <w:bookmarkStart w:id="161" w:name="_Toc18085"/>
                  <w:bookmarkStart w:id="162" w:name="_Toc22866"/>
                  <w:r>
                    <w:rPr>
                      <w:rFonts w:ascii="Times New Roman" w:hAnsi="Times New Roman" w:eastAsia="宋体"/>
                      <w:b w:val="0"/>
                      <w:bCs w:val="0"/>
                      <w:color w:val="auto"/>
                      <w:sz w:val="21"/>
                      <w:szCs w:val="21"/>
                    </w:rPr>
                    <w:t>符合</w:t>
                  </w:r>
                  <w:bookmarkEnd w:id="158"/>
                  <w:bookmarkEnd w:id="159"/>
                  <w:bookmarkEnd w:id="160"/>
                  <w:bookmarkEnd w:id="161"/>
                  <w:bookmarkEnd w:id="162"/>
                </w:p>
              </w:tc>
            </w:tr>
            <w:tr w14:paraId="6FE3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vMerge w:val="continue"/>
                  <w:noWrap w:val="0"/>
                  <w:vAlign w:val="center"/>
                </w:tcPr>
                <w:p w14:paraId="2A4FD619">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noWrap w:val="0"/>
                  <w:vAlign w:val="center"/>
                </w:tcPr>
                <w:p w14:paraId="4ED90818">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63" w:name="_Toc10059"/>
                  <w:bookmarkStart w:id="164" w:name="_Toc25865"/>
                  <w:bookmarkStart w:id="165" w:name="_Toc25789"/>
                  <w:bookmarkStart w:id="166" w:name="_Toc19360"/>
                  <w:bookmarkStart w:id="167" w:name="_Toc7037"/>
                  <w:r>
                    <w:rPr>
                      <w:rFonts w:ascii="Times New Roman" w:hAnsi="Times New Roman" w:eastAsia="宋体"/>
                      <w:b w:val="0"/>
                      <w:bCs w:val="0"/>
                      <w:color w:val="auto"/>
                      <w:sz w:val="21"/>
                      <w:szCs w:val="21"/>
                    </w:rPr>
                    <w:t>（二）总体管控要求。</w:t>
                  </w:r>
                  <w:bookmarkEnd w:id="163"/>
                  <w:bookmarkEnd w:id="164"/>
                  <w:bookmarkEnd w:id="165"/>
                  <w:bookmarkEnd w:id="166"/>
                  <w:bookmarkEnd w:id="167"/>
                </w:p>
              </w:tc>
              <w:tc>
                <w:tcPr>
                  <w:tcW w:w="3279" w:type="dxa"/>
                  <w:noWrap w:val="0"/>
                  <w:vAlign w:val="center"/>
                </w:tcPr>
                <w:p w14:paraId="12192096">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168" w:name="_Toc7362"/>
                  <w:bookmarkStart w:id="169" w:name="_Toc19680"/>
                  <w:bookmarkStart w:id="170" w:name="_Toc4686"/>
                  <w:bookmarkStart w:id="171" w:name="_Toc14739"/>
                  <w:bookmarkStart w:id="172" w:name="_Toc26627"/>
                  <w:r>
                    <w:rPr>
                      <w:rFonts w:ascii="Times New Roman" w:hAnsi="Times New Roman" w:eastAsia="宋体"/>
                      <w:b w:val="0"/>
                      <w:bCs w:val="0"/>
                      <w:color w:val="auto"/>
                      <w:sz w:val="21"/>
                      <w:szCs w:val="21"/>
                    </w:rPr>
                    <w:t>严格落实生态环境保护法律法规标准和有关政策，强化污染防治和自然生态系统保护修复，改善区域生态环境质量。按照区域环境承载能力，优化产业空间布局，加快产业结构调整，严格环境准入，强化污染物排放管控，实现固定污染源排污许可全覆盖。充分考虑水资源、水环境承载力，坚持以水定城、以水定地、以水定人、以水定产。保护优良水体和饮用水源，整治不达标水体，统筹推进水污染防治、水生态保护和水资源管理，全面改善水环境质量。巩固提高环境空气质量，调整优化产业、能源、运输和用地结构，加快城市建成区重污染企业搬迁改造或关闭退出，加强“散乱污”企业综合整治。深化工业污染治理，加大机动车污染防治和扬尘综合治理力度，加强秸秆综合利用，强化大气污染联防联控。加强土壤污染防治，对农用地实施分类管理，对建设用地实行准入管理，确定土壤环境重点监管企业名单，实施土壤污染风险管控和修复名录制度，对污染地块开发利用实行联动监管。严守资源利用上线，实行能源和水资源消耗、建设用地等总量和强度双控，实施工业节能增效，加快发展清洁能源和新能源。</w:t>
                  </w:r>
                  <w:bookmarkEnd w:id="168"/>
                  <w:bookmarkEnd w:id="169"/>
                  <w:bookmarkEnd w:id="170"/>
                  <w:bookmarkEnd w:id="171"/>
                  <w:bookmarkEnd w:id="172"/>
                </w:p>
              </w:tc>
              <w:tc>
                <w:tcPr>
                  <w:tcW w:w="1677" w:type="dxa"/>
                  <w:noWrap w:val="0"/>
                  <w:vAlign w:val="center"/>
                </w:tcPr>
                <w:p w14:paraId="2AEBA6AD">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bookmarkStart w:id="173" w:name="_Toc1220"/>
                  <w:bookmarkStart w:id="174" w:name="_Toc5060"/>
                  <w:bookmarkStart w:id="175" w:name="_Toc9476"/>
                  <w:bookmarkStart w:id="176" w:name="_Toc9884"/>
                  <w:bookmarkStart w:id="177" w:name="_Toc32234"/>
                  <w:r>
                    <w:rPr>
                      <w:rFonts w:hint="eastAsia" w:ascii="Times New Roman" w:hAnsi="Times New Roman" w:eastAsia="宋体"/>
                      <w:b w:val="0"/>
                      <w:bCs w:val="0"/>
                      <w:color w:val="auto"/>
                      <w:sz w:val="21"/>
                      <w:szCs w:val="21"/>
                      <w:lang w:val="en-US" w:eastAsia="zh-CN"/>
                    </w:rPr>
                    <w:t>本项目建成后，将采取污染治理措施</w:t>
                  </w:r>
                  <w:r>
                    <w:rPr>
                      <w:rFonts w:hint="eastAsia" w:ascii="Times New Roman" w:hAnsi="Times New Roman" w:eastAsia="宋体"/>
                      <w:b w:val="0"/>
                      <w:bCs w:val="0"/>
                      <w:color w:val="auto"/>
                      <w:sz w:val="21"/>
                      <w:szCs w:val="21"/>
                    </w:rPr>
                    <w:t>，降低项目污染物对周边环境的污染，通过分区防渗，降低土壤和地下水</w:t>
                  </w:r>
                  <w:r>
                    <w:rPr>
                      <w:rFonts w:hint="eastAsia" w:ascii="Times New Roman" w:hAnsi="Times New Roman" w:eastAsia="宋体"/>
                      <w:b w:val="0"/>
                      <w:bCs w:val="0"/>
                      <w:color w:val="auto"/>
                      <w:sz w:val="21"/>
                      <w:szCs w:val="21"/>
                      <w:lang w:val="en-US" w:eastAsia="zh-CN"/>
                    </w:rPr>
                    <w:t>污染</w:t>
                  </w:r>
                  <w:r>
                    <w:rPr>
                      <w:rFonts w:hint="eastAsia" w:ascii="Times New Roman" w:hAnsi="Times New Roman" w:eastAsia="宋体"/>
                      <w:b w:val="0"/>
                      <w:bCs w:val="0"/>
                      <w:color w:val="auto"/>
                      <w:sz w:val="21"/>
                      <w:szCs w:val="21"/>
                    </w:rPr>
                    <w:t>风险</w:t>
                  </w:r>
                  <w:bookmarkEnd w:id="173"/>
                  <w:bookmarkEnd w:id="174"/>
                  <w:bookmarkEnd w:id="175"/>
                  <w:bookmarkEnd w:id="176"/>
                  <w:bookmarkEnd w:id="177"/>
                  <w:r>
                    <w:rPr>
                      <w:rFonts w:hint="eastAsia" w:ascii="Times New Roman" w:hAnsi="Times New Roman" w:eastAsia="宋体"/>
                      <w:b w:val="0"/>
                      <w:bCs w:val="0"/>
                      <w:color w:val="auto"/>
                      <w:sz w:val="21"/>
                      <w:szCs w:val="21"/>
                      <w:lang w:eastAsia="zh-CN"/>
                    </w:rPr>
                    <w:t>。</w:t>
                  </w:r>
                </w:p>
              </w:tc>
              <w:tc>
                <w:tcPr>
                  <w:tcW w:w="672" w:type="dxa"/>
                  <w:noWrap w:val="0"/>
                  <w:vAlign w:val="center"/>
                </w:tcPr>
                <w:p w14:paraId="00FF7561">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78" w:name="_Toc15519"/>
                  <w:bookmarkStart w:id="179" w:name="_Toc14009"/>
                  <w:bookmarkStart w:id="180" w:name="_Toc5985"/>
                  <w:bookmarkStart w:id="181" w:name="_Toc22326"/>
                  <w:bookmarkStart w:id="182" w:name="_Toc241"/>
                  <w:r>
                    <w:rPr>
                      <w:rFonts w:ascii="Times New Roman" w:hAnsi="Times New Roman" w:eastAsia="宋体"/>
                      <w:b w:val="0"/>
                      <w:bCs w:val="0"/>
                      <w:color w:val="auto"/>
                      <w:sz w:val="21"/>
                      <w:szCs w:val="21"/>
                    </w:rPr>
                    <w:t>符合</w:t>
                  </w:r>
                  <w:bookmarkEnd w:id="178"/>
                  <w:bookmarkEnd w:id="179"/>
                  <w:bookmarkEnd w:id="180"/>
                  <w:bookmarkEnd w:id="181"/>
                  <w:bookmarkEnd w:id="182"/>
                </w:p>
              </w:tc>
            </w:tr>
            <w:tr w14:paraId="5528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4" w:hRule="atLeast"/>
              </w:trPr>
              <w:tc>
                <w:tcPr>
                  <w:tcW w:w="622" w:type="dxa"/>
                  <w:vMerge w:val="continue"/>
                  <w:noWrap w:val="0"/>
                  <w:vAlign w:val="center"/>
                </w:tcPr>
                <w:p w14:paraId="1C250819">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noWrap w:val="0"/>
                  <w:vAlign w:val="center"/>
                </w:tcPr>
                <w:p w14:paraId="64ADFBC6">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7DEF68A3">
                  <w:pPr>
                    <w:kinsoku w:val="0"/>
                    <w:overflowPunct w:val="0"/>
                    <w:autoSpaceDE w:val="0"/>
                    <w:autoSpaceDN w:val="0"/>
                    <w:adjustRightInd w:val="0"/>
                    <w:snapToGrid w:val="0"/>
                    <w:spacing w:line="240" w:lineRule="auto"/>
                    <w:ind w:firstLine="420"/>
                    <w:jc w:val="center"/>
                    <w:rPr>
                      <w:color w:val="auto"/>
                      <w:sz w:val="21"/>
                      <w:szCs w:val="21"/>
                    </w:rPr>
                  </w:pPr>
                  <w:r>
                    <w:rPr>
                      <w:color w:val="auto"/>
                      <w:sz w:val="21"/>
                      <w:szCs w:val="21"/>
                    </w:rPr>
                    <w:t>1.优先保护单元</w:t>
                  </w:r>
                </w:p>
                <w:p w14:paraId="1986187C">
                  <w:pPr>
                    <w:kinsoku w:val="0"/>
                    <w:overflowPunct w:val="0"/>
                    <w:autoSpaceDE w:val="0"/>
                    <w:autoSpaceDN w:val="0"/>
                    <w:adjustRightInd w:val="0"/>
                    <w:snapToGrid w:val="0"/>
                    <w:spacing w:line="240" w:lineRule="auto"/>
                    <w:ind w:firstLine="420"/>
                    <w:jc w:val="center"/>
                    <w:rPr>
                      <w:color w:val="auto"/>
                      <w:sz w:val="21"/>
                      <w:szCs w:val="21"/>
                    </w:rPr>
                  </w:pPr>
                  <w:r>
                    <w:rPr>
                      <w:color w:val="auto"/>
                      <w:sz w:val="21"/>
                      <w:szCs w:val="21"/>
                    </w:rPr>
                    <w:t>生态保护红线优先保护单元按照国家生态保护红线有关要求进行管控。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法律法规规定，没有明确规定的，加强论证和管理。</w:t>
                  </w:r>
                </w:p>
              </w:tc>
              <w:tc>
                <w:tcPr>
                  <w:tcW w:w="1677" w:type="dxa"/>
                  <w:noWrap w:val="0"/>
                  <w:vAlign w:val="center"/>
                </w:tcPr>
                <w:p w14:paraId="06AFEADE">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eastAsia" w:ascii="Times New Roman" w:hAnsi="Times New Roman" w:eastAsia="宋体"/>
                      <w:b w:val="0"/>
                      <w:bCs w:val="0"/>
                      <w:color w:val="auto"/>
                      <w:sz w:val="21"/>
                      <w:szCs w:val="21"/>
                      <w:lang w:eastAsia="zh-CN"/>
                    </w:rPr>
                  </w:pPr>
                  <w:bookmarkStart w:id="183" w:name="_Toc18290"/>
                  <w:bookmarkStart w:id="184" w:name="_Toc17413"/>
                  <w:bookmarkStart w:id="185" w:name="_Toc20696"/>
                  <w:bookmarkStart w:id="186" w:name="_Toc10663"/>
                  <w:bookmarkStart w:id="187" w:name="_Toc2717"/>
                  <w:r>
                    <w:rPr>
                      <w:rFonts w:ascii="Times New Roman" w:hAnsi="Times New Roman" w:eastAsia="宋体"/>
                      <w:b w:val="0"/>
                      <w:bCs w:val="0"/>
                      <w:color w:val="auto"/>
                      <w:sz w:val="21"/>
                      <w:szCs w:val="21"/>
                    </w:rPr>
                    <w:t>不涉及</w:t>
                  </w:r>
                  <w:bookmarkEnd w:id="183"/>
                  <w:bookmarkEnd w:id="184"/>
                  <w:bookmarkEnd w:id="185"/>
                  <w:r>
                    <w:rPr>
                      <w:rFonts w:hint="eastAsia" w:ascii="Times New Roman" w:hAnsi="Times New Roman"/>
                      <w:b w:val="0"/>
                      <w:bCs w:val="0"/>
                      <w:color w:val="auto"/>
                      <w:sz w:val="21"/>
                      <w:szCs w:val="21"/>
                      <w:lang w:eastAsia="zh-CN"/>
                    </w:rPr>
                    <w:t>。</w:t>
                  </w:r>
                  <w:bookmarkEnd w:id="186"/>
                  <w:bookmarkEnd w:id="187"/>
                </w:p>
              </w:tc>
              <w:tc>
                <w:tcPr>
                  <w:tcW w:w="672" w:type="dxa"/>
                  <w:noWrap w:val="0"/>
                  <w:vAlign w:val="center"/>
                </w:tcPr>
                <w:p w14:paraId="444C4179">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188" w:name="_Toc12282"/>
                  <w:bookmarkStart w:id="189" w:name="_Toc23282"/>
                  <w:bookmarkStart w:id="190" w:name="_Toc27824"/>
                  <w:bookmarkStart w:id="191" w:name="_Toc19187"/>
                  <w:bookmarkStart w:id="192" w:name="_Toc8761"/>
                  <w:r>
                    <w:rPr>
                      <w:rFonts w:ascii="Times New Roman" w:hAnsi="Times New Roman" w:eastAsia="宋体"/>
                      <w:b w:val="0"/>
                      <w:bCs w:val="0"/>
                      <w:color w:val="auto"/>
                      <w:sz w:val="21"/>
                      <w:szCs w:val="21"/>
                    </w:rPr>
                    <w:t>符合</w:t>
                  </w:r>
                  <w:bookmarkEnd w:id="188"/>
                  <w:bookmarkEnd w:id="189"/>
                  <w:bookmarkEnd w:id="190"/>
                  <w:bookmarkEnd w:id="191"/>
                  <w:bookmarkEnd w:id="192"/>
                </w:p>
              </w:tc>
            </w:tr>
            <w:tr w14:paraId="28D6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8" w:hRule="atLeast"/>
              </w:trPr>
              <w:tc>
                <w:tcPr>
                  <w:tcW w:w="622" w:type="dxa"/>
                  <w:vMerge w:val="continue"/>
                  <w:noWrap w:val="0"/>
                  <w:vAlign w:val="center"/>
                </w:tcPr>
                <w:p w14:paraId="474B342D">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noWrap w:val="0"/>
                  <w:vAlign w:val="center"/>
                </w:tcPr>
                <w:p w14:paraId="3DE4CE61">
                  <w:pPr>
                    <w:kinsoku w:val="0"/>
                    <w:overflowPunct w:val="0"/>
                    <w:autoSpaceDE w:val="0"/>
                    <w:autoSpaceDN w:val="0"/>
                    <w:adjustRightInd w:val="0"/>
                    <w:snapToGrid w:val="0"/>
                    <w:spacing w:line="240" w:lineRule="auto"/>
                    <w:ind w:firstLine="420"/>
                    <w:jc w:val="center"/>
                    <w:rPr>
                      <w:rFonts w:ascii="Times New Roman" w:hAnsi="Times New Roman" w:eastAsia="宋体" w:cs="Times New Roman"/>
                      <w:color w:val="auto"/>
                      <w:sz w:val="21"/>
                      <w:szCs w:val="21"/>
                    </w:rPr>
                  </w:pPr>
                </w:p>
              </w:tc>
              <w:tc>
                <w:tcPr>
                  <w:tcW w:w="3279" w:type="dxa"/>
                  <w:noWrap w:val="0"/>
                  <w:vAlign w:val="center"/>
                </w:tcPr>
                <w:p w14:paraId="4EEBBC20">
                  <w:pPr>
                    <w:kinsoku w:val="0"/>
                    <w:overflowPunct w:val="0"/>
                    <w:autoSpaceDE w:val="0"/>
                    <w:autoSpaceDN w:val="0"/>
                    <w:adjustRightInd w:val="0"/>
                    <w:snapToGrid w:val="0"/>
                    <w:spacing w:line="240" w:lineRule="auto"/>
                    <w:ind w:firstLine="42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2.重点管控单元</w:t>
                  </w:r>
                </w:p>
                <w:p w14:paraId="213C6FAB">
                  <w:pPr>
                    <w:kinsoku w:val="0"/>
                    <w:overflowPunct w:val="0"/>
                    <w:autoSpaceDE w:val="0"/>
                    <w:autoSpaceDN w:val="0"/>
                    <w:adjustRightInd w:val="0"/>
                    <w:snapToGrid w:val="0"/>
                    <w:spacing w:line="240" w:lineRule="auto"/>
                    <w:ind w:firstLine="42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开发区及工业集中区重点管控单元。合理规划产业分区和功能定位，禁止不符合开发区规划要求的项目入区；合理规划居住区与工业功能区，在居住小区和工业区、工业企业之间按照要求设置环境防护距离及生态隔离带。加强污染防治，在实现稳定达标排放基础上，根据区域环境质量改善目标，实施污染物排放总量控制，降低排放强度。开发区及区内企业实现“雨污分流”、“清污分流”，开发区按照规定建成污水集中处理设施并确保稳定运行，加强土壤和地下水污染防治。强化企业环境风险防范设施设备建设和运行监管，制定突发环境事件应急预案，建立企业隐患排查整治常态化监管机制。推进开发区生态化、循环化改造，提高资源能源利用效率。</w:t>
                  </w:r>
                </w:p>
                <w:p w14:paraId="474F991B">
                  <w:pPr>
                    <w:kinsoku w:val="0"/>
                    <w:overflowPunct w:val="0"/>
                    <w:autoSpaceDE w:val="0"/>
                    <w:autoSpaceDN w:val="0"/>
                    <w:adjustRightInd w:val="0"/>
                    <w:snapToGrid w:val="0"/>
                    <w:spacing w:line="240" w:lineRule="auto"/>
                    <w:ind w:firstLine="42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城镇生活污染重点管控单元。完善城镇污水收集管网，强化城中村、老旧城区和城乡结合部污水截流、收集，取缔城市建成区内生活污水直排口，加快污水处理设施建设与提标改造，加强污泥资源化利用处置能力建设。推动州、市人民政府所在地城市建成区现有重污染企业搬迁改造或关闭退出。县级及以上城市划定高污染燃料禁燃区，严格建筑工地施工扬尘监管，加强噪声、臭气异味、油烟、挥发性有机物等污染防治。遵循减量化、资源化、无害化原则，加快完善城市垃圾分类收集、分类投放、分类运输、分类处置设施。深入推进节水型社会和节水型城市建设，加强非常规水资源开发利用和节水产品推广普及，严控高耗水服务业用水。</w:t>
                  </w:r>
                </w:p>
                <w:p w14:paraId="022F4F96">
                  <w:pPr>
                    <w:kinsoku w:val="0"/>
                    <w:overflowPunct w:val="0"/>
                    <w:autoSpaceDE w:val="0"/>
                    <w:autoSpaceDN w:val="0"/>
                    <w:adjustRightInd w:val="0"/>
                    <w:snapToGrid w:val="0"/>
                    <w:spacing w:line="240" w:lineRule="auto"/>
                    <w:ind w:firstLine="42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土壤污染重点管控单元。制定土壤污染风险管控与修复方案，开展土壤和农产品协同监测与评价。加强涉镉等重金属重点行业企业污染源排查整治，强化监督检查，严格排放管控，实行重金属污染物排放浓度和排放总量双控。矿产资源开发活动集中区域按照要求执行重点污染物特别排放限值。加快处理历史遗留冶炼废渣，全面整治固体废物堆存场所，完善防扬散、防流失、防渗漏等设施。</w:t>
                  </w:r>
                </w:p>
                <w:p w14:paraId="251C783A">
                  <w:pPr>
                    <w:kinsoku w:val="0"/>
                    <w:overflowPunct w:val="0"/>
                    <w:autoSpaceDE w:val="0"/>
                    <w:autoSpaceDN w:val="0"/>
                    <w:adjustRightInd w:val="0"/>
                    <w:snapToGrid w:val="0"/>
                    <w:spacing w:line="240" w:lineRule="auto"/>
                    <w:ind w:firstLine="42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农业面源污染重点管控单元。围绕环境质量改善目标，加强农业农村污染防治，推进农村环境综合整治和农村环保基础设施建设。加快开展九大高原湖泊流域农田径流污染防治，优化农业种植结构，推行生态种植模式，推广使用测土配方施肥、生物防治、精细农业等技术，严格控制高耗水、高耗肥作物种植，实现化肥农药减量增效。</w:t>
                  </w:r>
                </w:p>
                <w:p w14:paraId="5F7CB178">
                  <w:pPr>
                    <w:kinsoku w:val="0"/>
                    <w:overflowPunct w:val="0"/>
                    <w:autoSpaceDE w:val="0"/>
                    <w:autoSpaceDN w:val="0"/>
                    <w:adjustRightInd w:val="0"/>
                    <w:snapToGrid w:val="0"/>
                    <w:spacing w:line="240" w:lineRule="auto"/>
                    <w:ind w:firstLine="42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矿产资源重点管控单元。推进矿产资源开发规模化、集约化和转型升级，推动绿色矿山建设，严格执行矿山最低开采规模标准，加强矿产资源绿色勘查开发。强化矿产资源开发污染综合治理，降低污染物产生量和排放量。加强矿山生态修复和环境治理，严格采矿选矿废渣环境管理，加强固体废物综合利用，提高矿产资源回收利用率。</w:t>
                  </w:r>
                </w:p>
                <w:p w14:paraId="4F1CA0DF">
                  <w:pPr>
                    <w:kinsoku w:val="0"/>
                    <w:overflowPunct w:val="0"/>
                    <w:autoSpaceDE w:val="0"/>
                    <w:autoSpaceDN w:val="0"/>
                    <w:adjustRightInd w:val="0"/>
                    <w:snapToGrid w:val="0"/>
                    <w:spacing w:line="240" w:lineRule="auto"/>
                    <w:ind w:firstLine="420"/>
                    <w:jc w:val="left"/>
                    <w:rPr>
                      <w:rFonts w:ascii="Times New Roman" w:hAnsi="Times New Roman" w:eastAsia="宋体" w:cs="Times New Roman"/>
                      <w:color w:val="auto"/>
                      <w:sz w:val="21"/>
                      <w:szCs w:val="21"/>
                    </w:rPr>
                  </w:pPr>
                  <w:bookmarkStart w:id="193" w:name="_Toc30730"/>
                  <w:bookmarkStart w:id="194" w:name="_Toc12919"/>
                  <w:bookmarkStart w:id="195" w:name="_Toc30830"/>
                  <w:bookmarkStart w:id="196" w:name="_Toc2077"/>
                  <w:bookmarkStart w:id="197" w:name="_Toc7201"/>
                  <w:r>
                    <w:rPr>
                      <w:rFonts w:ascii="Times New Roman" w:hAnsi="Times New Roman" w:eastAsia="宋体" w:cs="Times New Roman"/>
                      <w:color w:val="auto"/>
                      <w:sz w:val="21"/>
                      <w:szCs w:val="21"/>
                    </w:rPr>
                    <w:t>大气环境布局敏感、弱扩散重点管控单元。优化产业布局，加强大气污染排放管控，严格论证新建、扩建钢铁、石化、化工、焦化、建材、有色冶炼等高污染项目，确保大气环境质量达标。</w:t>
                  </w:r>
                  <w:bookmarkEnd w:id="193"/>
                  <w:bookmarkEnd w:id="194"/>
                  <w:bookmarkEnd w:id="195"/>
                  <w:bookmarkEnd w:id="196"/>
                  <w:bookmarkEnd w:id="197"/>
                </w:p>
              </w:tc>
              <w:tc>
                <w:tcPr>
                  <w:tcW w:w="1677" w:type="dxa"/>
                  <w:noWrap w:val="0"/>
                  <w:vAlign w:val="center"/>
                </w:tcPr>
                <w:p w14:paraId="082BB7F2">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hint="default" w:ascii="Times New Roman" w:hAnsi="Times New Roman" w:eastAsia="宋体"/>
                      <w:b w:val="0"/>
                      <w:bCs w:val="0"/>
                      <w:color w:val="auto"/>
                      <w:sz w:val="21"/>
                      <w:szCs w:val="21"/>
                      <w:lang w:val="en-US" w:eastAsia="zh-CN"/>
                    </w:rPr>
                  </w:pPr>
                  <w:bookmarkStart w:id="198" w:name="_Toc23705"/>
                  <w:bookmarkStart w:id="199" w:name="_Toc21509"/>
                  <w:bookmarkStart w:id="200" w:name="_Toc19823"/>
                  <w:bookmarkStart w:id="201" w:name="_Toc5172"/>
                  <w:bookmarkStart w:id="202" w:name="_Toc19444"/>
                  <w:r>
                    <w:rPr>
                      <w:rFonts w:hint="default" w:ascii="Times New Roman" w:hAnsi="Times New Roman" w:eastAsia="宋体" w:cs="Times New Roman"/>
                      <w:b w:val="0"/>
                      <w:bCs w:val="0"/>
                      <w:color w:val="auto"/>
                      <w:sz w:val="21"/>
                      <w:szCs w:val="21"/>
                    </w:rPr>
                    <w:t>项目</w:t>
                  </w:r>
                  <w:r>
                    <w:rPr>
                      <w:rFonts w:hint="eastAsia" w:ascii="Times New Roman" w:hAnsi="Times New Roman" w:eastAsia="宋体" w:cs="Times New Roman"/>
                      <w:b w:val="0"/>
                      <w:bCs w:val="0"/>
                      <w:color w:val="auto"/>
                      <w:sz w:val="21"/>
                      <w:szCs w:val="21"/>
                      <w:lang w:val="en-US" w:eastAsia="zh-CN"/>
                    </w:rPr>
                    <w:t>所在区域属于其他区域，不属于</w:t>
                  </w:r>
                  <w:r>
                    <w:rPr>
                      <w:rFonts w:hint="default" w:ascii="Times New Roman" w:hAnsi="Times New Roman" w:eastAsia="宋体" w:cs="Times New Roman"/>
                      <w:b w:val="0"/>
                      <w:bCs w:val="0"/>
                      <w:color w:val="auto"/>
                      <w:sz w:val="21"/>
                      <w:szCs w:val="21"/>
                      <w:lang w:val="en-US" w:eastAsia="zh-CN"/>
                    </w:rPr>
                    <w:t>重点管</w:t>
                  </w:r>
                  <w:bookmarkEnd w:id="198"/>
                  <w:bookmarkEnd w:id="199"/>
                  <w:bookmarkEnd w:id="200"/>
                  <w:bookmarkEnd w:id="201"/>
                  <w:bookmarkEnd w:id="202"/>
                  <w:r>
                    <w:rPr>
                      <w:rFonts w:hint="eastAsia" w:ascii="Times New Roman" w:hAnsi="Times New Roman" w:eastAsia="宋体" w:cs="Times New Roman"/>
                      <w:b w:val="0"/>
                      <w:bCs w:val="0"/>
                      <w:color w:val="auto"/>
                      <w:sz w:val="21"/>
                      <w:szCs w:val="21"/>
                      <w:lang w:val="en-US" w:eastAsia="zh-CN"/>
                    </w:rPr>
                    <w:t>单元</w:t>
                  </w:r>
                  <w:r>
                    <w:rPr>
                      <w:rFonts w:hint="default" w:ascii="Times New Roman" w:hAnsi="Times New Roman" w:eastAsia="宋体" w:cs="Times New Roman"/>
                      <w:b w:val="0"/>
                      <w:bCs w:val="0"/>
                      <w:color w:val="auto"/>
                      <w:sz w:val="21"/>
                      <w:szCs w:val="21"/>
                      <w:lang w:val="en-US" w:eastAsia="zh-CN"/>
                    </w:rPr>
                    <w:t>。</w:t>
                  </w:r>
                </w:p>
              </w:tc>
              <w:tc>
                <w:tcPr>
                  <w:tcW w:w="672" w:type="dxa"/>
                  <w:noWrap w:val="0"/>
                  <w:vAlign w:val="center"/>
                </w:tcPr>
                <w:p w14:paraId="129ABAFA">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203" w:name="_Toc11627"/>
                  <w:bookmarkStart w:id="204" w:name="_Toc27878"/>
                  <w:bookmarkStart w:id="205" w:name="_Toc11744"/>
                  <w:bookmarkStart w:id="206" w:name="_Toc17440"/>
                  <w:bookmarkStart w:id="207" w:name="_Toc142"/>
                  <w:r>
                    <w:rPr>
                      <w:rFonts w:ascii="Times New Roman" w:hAnsi="Times New Roman" w:eastAsia="宋体"/>
                      <w:b w:val="0"/>
                      <w:bCs w:val="0"/>
                      <w:color w:val="auto"/>
                      <w:sz w:val="21"/>
                      <w:szCs w:val="21"/>
                    </w:rPr>
                    <w:t>符合</w:t>
                  </w:r>
                  <w:bookmarkEnd w:id="203"/>
                  <w:bookmarkEnd w:id="204"/>
                  <w:bookmarkEnd w:id="205"/>
                  <w:bookmarkEnd w:id="206"/>
                  <w:bookmarkEnd w:id="207"/>
                </w:p>
              </w:tc>
            </w:tr>
            <w:tr w14:paraId="7DBA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trPr>
              <w:tc>
                <w:tcPr>
                  <w:tcW w:w="622" w:type="dxa"/>
                  <w:vMerge w:val="continue"/>
                  <w:noWrap w:val="0"/>
                  <w:vAlign w:val="center"/>
                </w:tcPr>
                <w:p w14:paraId="596E57A1">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1089" w:type="dxa"/>
                  <w:noWrap w:val="0"/>
                  <w:vAlign w:val="center"/>
                </w:tcPr>
                <w:p w14:paraId="2C672FA5">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p>
              </w:tc>
              <w:tc>
                <w:tcPr>
                  <w:tcW w:w="3279" w:type="dxa"/>
                  <w:noWrap w:val="0"/>
                  <w:vAlign w:val="center"/>
                </w:tcPr>
                <w:p w14:paraId="7E7A2F54">
                  <w:pPr>
                    <w:kinsoku w:val="0"/>
                    <w:overflowPunct w:val="0"/>
                    <w:autoSpaceDE w:val="0"/>
                    <w:autoSpaceDN w:val="0"/>
                    <w:adjustRightInd w:val="0"/>
                    <w:snapToGrid w:val="0"/>
                    <w:spacing w:line="240" w:lineRule="auto"/>
                    <w:ind w:firstLine="420"/>
                    <w:jc w:val="center"/>
                    <w:rPr>
                      <w:color w:val="auto"/>
                      <w:sz w:val="21"/>
                      <w:szCs w:val="21"/>
                    </w:rPr>
                  </w:pPr>
                  <w:r>
                    <w:rPr>
                      <w:color w:val="auto"/>
                      <w:sz w:val="21"/>
                      <w:szCs w:val="21"/>
                    </w:rPr>
                    <w:t>3.一般管控单元</w:t>
                  </w:r>
                </w:p>
                <w:p w14:paraId="21979EB9">
                  <w:pPr>
                    <w:pStyle w:val="4"/>
                    <w:keepNext w:val="0"/>
                    <w:keepLines w:val="0"/>
                    <w:kinsoku w:val="0"/>
                    <w:overflowPunct w:val="0"/>
                    <w:autoSpaceDE w:val="0"/>
                    <w:autoSpaceDN w:val="0"/>
                    <w:adjustRightInd w:val="0"/>
                    <w:snapToGrid w:val="0"/>
                    <w:spacing w:before="0" w:after="0" w:line="240" w:lineRule="auto"/>
                    <w:ind w:firstLine="420"/>
                    <w:jc w:val="center"/>
                    <w:outlineLvl w:val="1"/>
                    <w:rPr>
                      <w:rFonts w:ascii="Times New Roman" w:hAnsi="Times New Roman" w:eastAsia="宋体"/>
                      <w:b w:val="0"/>
                      <w:bCs w:val="0"/>
                      <w:color w:val="auto"/>
                      <w:sz w:val="21"/>
                      <w:szCs w:val="21"/>
                    </w:rPr>
                  </w:pPr>
                  <w:bookmarkStart w:id="208" w:name="_Toc32381"/>
                  <w:bookmarkStart w:id="209" w:name="_Toc19456"/>
                  <w:bookmarkStart w:id="210" w:name="_Toc11559"/>
                  <w:bookmarkStart w:id="211" w:name="_Toc27206"/>
                  <w:bookmarkStart w:id="212" w:name="_Toc30811"/>
                  <w:r>
                    <w:rPr>
                      <w:rFonts w:ascii="Times New Roman" w:hAnsi="Times New Roman" w:eastAsia="宋体"/>
                      <w:b w:val="0"/>
                      <w:bCs w:val="0"/>
                      <w:color w:val="auto"/>
                      <w:sz w:val="21"/>
                      <w:szCs w:val="21"/>
                    </w:rPr>
                    <w:t>落实生态环境保护基本要求，项目建设和运行应满足产业准入、总量控制、排放标准等管理规定。</w:t>
                  </w:r>
                  <w:bookmarkEnd w:id="208"/>
                  <w:bookmarkEnd w:id="209"/>
                  <w:bookmarkEnd w:id="210"/>
                  <w:bookmarkEnd w:id="211"/>
                  <w:bookmarkEnd w:id="212"/>
                </w:p>
              </w:tc>
              <w:tc>
                <w:tcPr>
                  <w:tcW w:w="1677" w:type="dxa"/>
                  <w:noWrap w:val="0"/>
                  <w:vAlign w:val="center"/>
                </w:tcPr>
                <w:p w14:paraId="049AB854">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213" w:name="_Toc10396"/>
                  <w:bookmarkStart w:id="214" w:name="_Toc1022"/>
                  <w:bookmarkStart w:id="215" w:name="_Toc3860"/>
                  <w:bookmarkStart w:id="216" w:name="_Toc32577"/>
                  <w:bookmarkStart w:id="217" w:name="_Toc19703"/>
                  <w:r>
                    <w:rPr>
                      <w:rFonts w:ascii="Times New Roman" w:hAnsi="Times New Roman" w:eastAsia="宋体"/>
                      <w:b w:val="0"/>
                      <w:bCs w:val="0"/>
                      <w:color w:val="auto"/>
                      <w:sz w:val="21"/>
                      <w:szCs w:val="21"/>
                    </w:rPr>
                    <w:t>项目符合生态环境保护基本要求，符合国家产业政策</w:t>
                  </w:r>
                  <w:r>
                    <w:rPr>
                      <w:rFonts w:hint="eastAsia" w:ascii="Times New Roman" w:hAnsi="Times New Roman" w:eastAsia="宋体"/>
                      <w:b w:val="0"/>
                      <w:bCs w:val="0"/>
                      <w:color w:val="auto"/>
                      <w:sz w:val="21"/>
                      <w:szCs w:val="21"/>
                      <w:lang w:eastAsia="zh-CN"/>
                    </w:rPr>
                    <w:t>。</w:t>
                  </w:r>
                  <w:r>
                    <w:rPr>
                      <w:rFonts w:hint="eastAsia" w:ascii="Times New Roman" w:hAnsi="Times New Roman" w:eastAsia="宋体"/>
                      <w:b w:val="0"/>
                      <w:bCs w:val="0"/>
                      <w:color w:val="auto"/>
                      <w:sz w:val="21"/>
                      <w:szCs w:val="21"/>
                      <w:lang w:val="en-US" w:eastAsia="zh-CN"/>
                    </w:rPr>
                    <w:t>本项目落实了环保措施，污染物可做到达标排放</w:t>
                  </w:r>
                  <w:bookmarkEnd w:id="213"/>
                  <w:bookmarkEnd w:id="214"/>
                  <w:bookmarkEnd w:id="215"/>
                  <w:bookmarkEnd w:id="216"/>
                  <w:bookmarkEnd w:id="217"/>
                  <w:r>
                    <w:rPr>
                      <w:rFonts w:hint="eastAsia" w:ascii="Times New Roman" w:hAnsi="Times New Roman" w:eastAsia="宋体"/>
                      <w:b w:val="0"/>
                      <w:bCs w:val="0"/>
                      <w:color w:val="auto"/>
                      <w:sz w:val="21"/>
                      <w:szCs w:val="21"/>
                      <w:lang w:val="en-US" w:eastAsia="zh-CN"/>
                    </w:rPr>
                    <w:t>。</w:t>
                  </w:r>
                </w:p>
              </w:tc>
              <w:tc>
                <w:tcPr>
                  <w:tcW w:w="672" w:type="dxa"/>
                  <w:noWrap w:val="0"/>
                  <w:vAlign w:val="center"/>
                </w:tcPr>
                <w:p w14:paraId="6A798ACC">
                  <w:pPr>
                    <w:pStyle w:val="4"/>
                    <w:keepNext w:val="0"/>
                    <w:keepLines w:val="0"/>
                    <w:kinsoku w:val="0"/>
                    <w:overflowPunct w:val="0"/>
                    <w:autoSpaceDE w:val="0"/>
                    <w:autoSpaceDN w:val="0"/>
                    <w:adjustRightInd w:val="0"/>
                    <w:snapToGrid w:val="0"/>
                    <w:spacing w:before="0" w:after="0" w:line="240" w:lineRule="auto"/>
                    <w:ind w:firstLine="0" w:firstLineChars="0"/>
                    <w:jc w:val="center"/>
                    <w:outlineLvl w:val="1"/>
                    <w:rPr>
                      <w:rFonts w:ascii="Times New Roman" w:hAnsi="Times New Roman" w:eastAsia="宋体"/>
                      <w:b w:val="0"/>
                      <w:bCs w:val="0"/>
                      <w:color w:val="auto"/>
                      <w:sz w:val="21"/>
                      <w:szCs w:val="21"/>
                    </w:rPr>
                  </w:pPr>
                  <w:bookmarkStart w:id="218" w:name="_Toc9694"/>
                  <w:bookmarkStart w:id="219" w:name="_Toc28963"/>
                  <w:bookmarkStart w:id="220" w:name="_Toc7738"/>
                  <w:bookmarkStart w:id="221" w:name="_Toc4763"/>
                  <w:bookmarkStart w:id="222" w:name="_Toc20454"/>
                  <w:r>
                    <w:rPr>
                      <w:rFonts w:ascii="Times New Roman" w:hAnsi="Times New Roman" w:eastAsia="宋体"/>
                      <w:b w:val="0"/>
                      <w:bCs w:val="0"/>
                      <w:color w:val="auto"/>
                      <w:sz w:val="21"/>
                      <w:szCs w:val="21"/>
                    </w:rPr>
                    <w:t>符合</w:t>
                  </w:r>
                  <w:bookmarkEnd w:id="218"/>
                  <w:bookmarkEnd w:id="219"/>
                  <w:bookmarkEnd w:id="220"/>
                  <w:bookmarkEnd w:id="221"/>
                  <w:bookmarkEnd w:id="222"/>
                </w:p>
              </w:tc>
            </w:tr>
          </w:tbl>
          <w:p w14:paraId="13BCBC54">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（2）与《</w:t>
            </w:r>
            <w:r>
              <w:rPr>
                <w:rFonts w:hint="eastAsia" w:ascii="Times New Roman" w:hAnsi="Times New Roman" w:eastAsia="宋体" w:cs="Times New Roman"/>
                <w:color w:val="auto"/>
                <w:sz w:val="24"/>
                <w:szCs w:val="24"/>
                <w:lang w:val="en-US" w:eastAsia="zh-CN"/>
              </w:rPr>
              <w:t>德宏州</w:t>
            </w:r>
            <w:r>
              <w:rPr>
                <w:rFonts w:hint="eastAsia" w:ascii="Times New Roman" w:hAnsi="Times New Roman" w:eastAsia="宋体" w:cs="Times New Roman"/>
                <w:color w:val="auto"/>
                <w:sz w:val="24"/>
                <w:szCs w:val="24"/>
              </w:rPr>
              <w:t>“三线一单”生态环境分区管控实施意见》符合性</w:t>
            </w:r>
            <w:r>
              <w:rPr>
                <w:rFonts w:hint="eastAsia" w:ascii="Times New Roman" w:hAnsi="Times New Roman" w:eastAsia="宋体" w:cs="Times New Roman"/>
                <w:color w:val="auto"/>
                <w:sz w:val="24"/>
                <w:szCs w:val="24"/>
                <w:lang w:val="en-US" w:eastAsia="zh-CN"/>
              </w:rPr>
              <w:t>分析</w:t>
            </w:r>
          </w:p>
          <w:p w14:paraId="438BC622">
            <w:pPr>
              <w:keepNext w:val="0"/>
              <w:keepLines w:val="0"/>
              <w:pageBreakBefore w:val="0"/>
              <w:widowControl w:val="0"/>
              <w:kinsoku/>
              <w:wordWrap/>
              <w:overflowPunct/>
              <w:topLinePunct w:val="0"/>
              <w:autoSpaceDE/>
              <w:autoSpaceDN/>
              <w:bidi w:val="0"/>
              <w:adjustRightInd w:val="0"/>
              <w:snapToGrid w:val="0"/>
              <w:spacing w:line="360" w:lineRule="auto"/>
              <w:ind w:firstLine="42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项目位于云南省德宏州芒市中山乡芒丙村罗胡山，根据《德宏州“三线一单</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生态环境分区管控实施方案》，根据“</w:t>
            </w:r>
            <w:r>
              <w:rPr>
                <w:rFonts w:hint="eastAsia" w:ascii="Times New Roman" w:hAnsi="Times New Roman" w:eastAsia="宋体" w:cs="Times New Roman"/>
                <w:iCs/>
                <w:color w:val="auto"/>
                <w:sz w:val="24"/>
                <w:szCs w:val="22"/>
                <w:lang w:val="en-US" w:eastAsia="zh-CN"/>
              </w:rPr>
              <w:t>三线一单管控单元</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iCs/>
                <w:color w:val="auto"/>
                <w:sz w:val="24"/>
                <w:szCs w:val="22"/>
                <w:lang w:val="en-US" w:eastAsia="zh-CN"/>
              </w:rPr>
              <w:t>查询</w:t>
            </w:r>
            <w:r>
              <w:rPr>
                <w:rFonts w:hint="eastAsia" w:ascii="Times New Roman" w:hAnsi="Times New Roman" w:eastAsia="宋体" w:cs="Times New Roman"/>
                <w:color w:val="auto"/>
                <w:sz w:val="24"/>
                <w:szCs w:val="24"/>
                <w:lang w:val="en-US" w:eastAsia="zh-CN"/>
              </w:rPr>
              <w:t>，项目所在区域属于其他区域，不属于优先保护单元及重点管控单元。</w:t>
            </w:r>
          </w:p>
          <w:p w14:paraId="1A5A7BEF">
            <w:pPr>
              <w:keepNext w:val="0"/>
              <w:keepLines w:val="0"/>
              <w:pageBreakBefore w:val="0"/>
              <w:widowControl w:val="0"/>
              <w:kinsoku/>
              <w:wordWrap/>
              <w:overflowPunct/>
              <w:topLinePunct w:val="0"/>
              <w:bidi w:val="0"/>
              <w:adjustRightInd/>
              <w:snapToGrid/>
              <w:spacing w:line="360" w:lineRule="auto"/>
              <w:ind w:firstLine="422"/>
              <w:jc w:val="left"/>
              <w:textAlignment w:val="auto"/>
              <w:rPr>
                <w:rFonts w:hint="eastAsia"/>
                <w:color w:val="auto"/>
                <w:sz w:val="24"/>
                <w:szCs w:val="24"/>
              </w:rPr>
            </w:pPr>
            <w:r>
              <w:rPr>
                <w:rFonts w:hint="eastAsia" w:ascii="宋体" w:hAnsi="宋体" w:eastAsia="宋体" w:cs="宋体"/>
                <w:b w:val="0"/>
                <w:bCs w:val="0"/>
                <w:color w:val="auto"/>
                <w:sz w:val="24"/>
                <w:szCs w:val="24"/>
                <w:lang w:val="en-US" w:eastAsia="zh-CN"/>
              </w:rPr>
              <w:t>项目用地范围及评价范围内不涉及云南省生态保护红线及一般生态空间，不在当地风景区、自然保护区等生态保护区内，也不在当地饮用水源、风景区、自然保护区等生态保护区内，各项情况均符合《德宏州“三线一单</w:t>
            </w:r>
            <w:r>
              <w:rPr>
                <w:rFonts w:hint="default"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生态环境分区管控实施方案》中的要求。</w:t>
            </w:r>
          </w:p>
          <w:p w14:paraId="5E16DD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四、与《云南省长江经济带发展负面清单指南实施细则（试行，2022年版）》相符性分析</w:t>
            </w:r>
          </w:p>
          <w:p w14:paraId="38ABDB0A">
            <w:pPr>
              <w:keepNext w:val="0"/>
              <w:keepLines w:val="0"/>
              <w:pageBreakBefore w:val="0"/>
              <w:widowControl w:val="0"/>
              <w:kinsoku/>
              <w:wordWrap/>
              <w:overflowPunct/>
              <w:topLinePunct w:val="0"/>
              <w:bidi w:val="0"/>
              <w:adjustRightInd/>
              <w:snapToGrid/>
              <w:spacing w:line="360" w:lineRule="auto"/>
              <w:ind w:firstLine="422"/>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云南省长江经济带发展负面清单指南实施细则（试行，2022年版）</w:t>
            </w:r>
            <w:r>
              <w:rPr>
                <w:rFonts w:hint="eastAsia" w:ascii="Times New Roman" w:hAnsi="Times New Roman" w:eastAsia="宋体" w:cs="Times New Roman"/>
                <w:color w:val="auto"/>
                <w:sz w:val="24"/>
                <w:szCs w:val="24"/>
                <w:lang w:val="en-US" w:eastAsia="zh-CN"/>
              </w:rPr>
              <w:t>》分析如下：</w:t>
            </w:r>
          </w:p>
          <w:p w14:paraId="69243442">
            <w:pPr>
              <w:pStyle w:val="13"/>
              <w:spacing w:before="0" w:after="0" w:line="360" w:lineRule="auto"/>
              <w:ind w:right="0"/>
              <w:jc w:val="center"/>
              <w:rPr>
                <w:b/>
                <w:bCs/>
                <w:color w:val="auto"/>
                <w:sz w:val="24"/>
                <w:szCs w:val="24"/>
              </w:rPr>
            </w:pPr>
            <w:r>
              <w:rPr>
                <w:b/>
                <w:bCs/>
                <w:color w:val="auto"/>
                <w:sz w:val="24"/>
                <w:szCs w:val="24"/>
              </w:rPr>
              <w:t>表1-</w:t>
            </w:r>
            <w:r>
              <w:rPr>
                <w:rFonts w:hint="eastAsia"/>
                <w:b/>
                <w:bCs/>
                <w:color w:val="auto"/>
                <w:sz w:val="24"/>
                <w:szCs w:val="24"/>
                <w:lang w:val="en-US" w:eastAsia="zh-CN"/>
              </w:rPr>
              <w:t xml:space="preserve">3 </w:t>
            </w:r>
            <w:r>
              <w:rPr>
                <w:b/>
                <w:bCs/>
                <w:color w:val="auto"/>
                <w:sz w:val="24"/>
                <w:szCs w:val="24"/>
              </w:rPr>
              <w:t xml:space="preserve"> 与“负面清单”相符性分析</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686"/>
              <w:gridCol w:w="3004"/>
              <w:gridCol w:w="644"/>
            </w:tblGrid>
            <w:tr w14:paraId="76C65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60" w:type="dxa"/>
                  <w:tcBorders>
                    <w:tl2br w:val="nil"/>
                    <w:tr2bl w:val="nil"/>
                  </w:tcBorders>
                  <w:noWrap w:val="0"/>
                  <w:vAlign w:val="center"/>
                </w:tcPr>
                <w:p w14:paraId="6C05972D">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相关内容</w:t>
                  </w:r>
                </w:p>
              </w:tc>
              <w:tc>
                <w:tcPr>
                  <w:tcW w:w="3087" w:type="dxa"/>
                  <w:tcBorders>
                    <w:tl2br w:val="nil"/>
                    <w:tr2bl w:val="nil"/>
                  </w:tcBorders>
                  <w:noWrap w:val="0"/>
                  <w:vAlign w:val="center"/>
                </w:tcPr>
                <w:p w14:paraId="41628D87">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项目建设情况</w:t>
                  </w:r>
                </w:p>
              </w:tc>
              <w:tc>
                <w:tcPr>
                  <w:tcW w:w="652" w:type="dxa"/>
                  <w:tcBorders>
                    <w:tl2br w:val="nil"/>
                    <w:tr2bl w:val="nil"/>
                  </w:tcBorders>
                  <w:noWrap w:val="0"/>
                  <w:vAlign w:val="center"/>
                </w:tcPr>
                <w:p w14:paraId="7FC72857">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是否符合</w:t>
                  </w:r>
                </w:p>
              </w:tc>
            </w:tr>
            <w:tr w14:paraId="5F4CD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3760" w:type="dxa"/>
                  <w:tcBorders>
                    <w:tl2br w:val="nil"/>
                    <w:tr2bl w:val="nil"/>
                  </w:tcBorders>
                  <w:noWrap w:val="0"/>
                  <w:vAlign w:val="center"/>
                </w:tcPr>
                <w:p w14:paraId="4BE20988">
                  <w:pPr>
                    <w:pStyle w:val="13"/>
                    <w:spacing w:before="0" w:after="0" w:line="240" w:lineRule="auto"/>
                    <w:ind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禁止建设不符合全国和省级港口布局规划以及港口总体规划的码头项目</w:t>
                  </w:r>
                  <w:r>
                    <w:rPr>
                      <w:rFonts w:hint="default" w:ascii="Times New Roman" w:hAnsi="Times New Roman" w:eastAsia="宋体" w:cs="Times New Roman"/>
                      <w:color w:val="auto"/>
                      <w:sz w:val="21"/>
                      <w:szCs w:val="21"/>
                    </w:rPr>
                    <w:t>。</w:t>
                  </w:r>
                </w:p>
              </w:tc>
              <w:tc>
                <w:tcPr>
                  <w:tcW w:w="3087" w:type="dxa"/>
                  <w:tcBorders>
                    <w:tl2br w:val="nil"/>
                    <w:tr2bl w:val="nil"/>
                  </w:tcBorders>
                  <w:noWrap w:val="0"/>
                  <w:vAlign w:val="center"/>
                </w:tcPr>
                <w:p w14:paraId="78976ADE">
                  <w:pPr>
                    <w:pStyle w:val="13"/>
                    <w:spacing w:before="0" w:after="0" w:line="240" w:lineRule="auto"/>
                    <w:ind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本项目不属于港口建设项目。</w:t>
                  </w:r>
                </w:p>
              </w:tc>
              <w:tc>
                <w:tcPr>
                  <w:tcW w:w="652" w:type="dxa"/>
                  <w:tcBorders>
                    <w:tl2br w:val="nil"/>
                    <w:tr2bl w:val="nil"/>
                  </w:tcBorders>
                  <w:noWrap w:val="0"/>
                  <w:vAlign w:val="center"/>
                </w:tcPr>
                <w:p w14:paraId="215AFF26">
                  <w:pPr>
                    <w:pStyle w:val="13"/>
                    <w:spacing w:before="0" w:after="0" w:line="240" w:lineRule="auto"/>
                    <w:ind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不涉及</w:t>
                  </w:r>
                </w:p>
              </w:tc>
            </w:tr>
            <w:tr w14:paraId="59659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5" w:hRule="atLeast"/>
                <w:jc w:val="center"/>
              </w:trPr>
              <w:tc>
                <w:tcPr>
                  <w:tcW w:w="3760" w:type="dxa"/>
                  <w:tcBorders>
                    <w:tl2br w:val="nil"/>
                    <w:tr2bl w:val="nil"/>
                  </w:tcBorders>
                  <w:noWrap w:val="0"/>
                  <w:vAlign w:val="center"/>
                </w:tcPr>
                <w:p w14:paraId="122689EB">
                  <w:pPr>
                    <w:pStyle w:val="13"/>
                    <w:spacing w:before="0" w:after="0" w:line="240" w:lineRule="auto"/>
                    <w:ind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禁止在生态保护红线范围内投资建设</w:t>
                  </w:r>
                  <w:r>
                    <w:rPr>
                      <w:rFonts w:hint="eastAsia" w:ascii="Times New Roman" w:hAnsi="Times New Roman" w:eastAsia="宋体" w:cs="Times New Roman"/>
                      <w:color w:val="auto"/>
                      <w:sz w:val="21"/>
                      <w:szCs w:val="21"/>
                      <w:lang w:val="en-US" w:eastAsia="zh-CN"/>
                    </w:rPr>
                    <w:t>项目，生态保护红线内、自然保护地核心保护区原则上禁止人为活动；其他区域严格禁止开发性、生产性建设活动。</w:t>
                  </w:r>
                  <w:r>
                    <w:rPr>
                      <w:rFonts w:hint="default" w:ascii="Times New Roman" w:hAnsi="Times New Roman" w:eastAsia="宋体" w:cs="Times New Roman"/>
                      <w:color w:val="auto"/>
                      <w:sz w:val="21"/>
                      <w:szCs w:val="21"/>
                      <w:lang w:val="en-US" w:eastAsia="zh-CN"/>
                    </w:rPr>
                    <w:t>除国家重大战略资源勘查项目、生态保护修复和环境治理项目、重大基础设施项目、军事国防项目以及农牧民基本生产生活等必要的民生项目以外的项目。生态保护红线原则上按禁止开发区域的要求进行管理</w:t>
                  </w:r>
                  <w:r>
                    <w:rPr>
                      <w:rFonts w:hint="eastAsia" w:ascii="Times New Roman" w:hAnsi="Times New Roman" w:eastAsia="宋体" w:cs="Times New Roman"/>
                      <w:color w:val="auto"/>
                      <w:sz w:val="21"/>
                      <w:szCs w:val="21"/>
                      <w:lang w:val="en-US" w:eastAsia="zh-CN"/>
                    </w:rPr>
                    <w:t>外，仅允许对生态功能不造成破坏的有限人为活动</w:t>
                  </w:r>
                  <w:r>
                    <w:rPr>
                      <w:rFonts w:hint="default" w:ascii="Times New Roman" w:hAnsi="Times New Roman" w:eastAsia="宋体" w:cs="Times New Roman"/>
                      <w:color w:val="auto"/>
                      <w:sz w:val="21"/>
                      <w:szCs w:val="21"/>
                      <w:lang w:val="en-US" w:eastAsia="zh-CN"/>
                    </w:rPr>
                    <w:t>。</w:t>
                  </w:r>
                </w:p>
              </w:tc>
              <w:tc>
                <w:tcPr>
                  <w:tcW w:w="3087" w:type="dxa"/>
                  <w:tcBorders>
                    <w:tl2br w:val="nil"/>
                    <w:tr2bl w:val="nil"/>
                  </w:tcBorders>
                  <w:noWrap w:val="0"/>
                  <w:vAlign w:val="center"/>
                </w:tcPr>
                <w:p w14:paraId="0134AEDE">
                  <w:pPr>
                    <w:pStyle w:val="13"/>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根据芒市自然资源局出具的项目用地规划、性质复函</w:t>
                  </w:r>
                  <w:r>
                    <w:rPr>
                      <w:rFonts w:hint="default" w:ascii="Times New Roman" w:hAnsi="Times New Roman" w:eastAsia="宋体" w:cs="Times New Roman"/>
                      <w:color w:val="auto"/>
                      <w:sz w:val="21"/>
                      <w:szCs w:val="21"/>
                    </w:rPr>
                    <w:t>，项目不涉及生态</w:t>
                  </w:r>
                  <w:r>
                    <w:rPr>
                      <w:rFonts w:hint="eastAsia" w:ascii="Times New Roman" w:hAnsi="Times New Roman" w:eastAsia="宋体" w:cs="Times New Roman"/>
                      <w:color w:val="auto"/>
                      <w:sz w:val="21"/>
                      <w:szCs w:val="21"/>
                      <w:lang w:val="en-US" w:eastAsia="zh-CN"/>
                    </w:rPr>
                    <w:t>保护红线及其他禁止建设区</w:t>
                  </w:r>
                  <w:r>
                    <w:rPr>
                      <w:rFonts w:hint="default" w:ascii="Times New Roman" w:hAnsi="Times New Roman" w:eastAsia="宋体" w:cs="Times New Roman"/>
                      <w:color w:val="auto"/>
                      <w:sz w:val="21"/>
                      <w:szCs w:val="21"/>
                    </w:rPr>
                    <w:t>。</w:t>
                  </w:r>
                </w:p>
              </w:tc>
              <w:tc>
                <w:tcPr>
                  <w:tcW w:w="652" w:type="dxa"/>
                  <w:tcBorders>
                    <w:tl2br w:val="nil"/>
                    <w:tr2bl w:val="nil"/>
                  </w:tcBorders>
                  <w:noWrap w:val="0"/>
                  <w:vAlign w:val="center"/>
                </w:tcPr>
                <w:p w14:paraId="6BDF8AB3">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0AFD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1" w:hRule="atLeast"/>
                <w:jc w:val="center"/>
              </w:trPr>
              <w:tc>
                <w:tcPr>
                  <w:tcW w:w="3760" w:type="dxa"/>
                  <w:tcBorders>
                    <w:tl2br w:val="nil"/>
                    <w:tr2bl w:val="nil"/>
                  </w:tcBorders>
                  <w:noWrap w:val="0"/>
                  <w:vAlign w:val="center"/>
                </w:tcPr>
                <w:p w14:paraId="04E87BE1">
                  <w:pPr>
                    <w:pStyle w:val="13"/>
                    <w:spacing w:before="0" w:after="0" w:line="240" w:lineRule="auto"/>
                    <w:ind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禁止在自然保护区</w:t>
                  </w:r>
                  <w:r>
                    <w:rPr>
                      <w:rFonts w:hint="eastAsia" w:ascii="Times New Roman" w:hAnsi="Times New Roman" w:eastAsia="宋体" w:cs="Times New Roman"/>
                      <w:color w:val="auto"/>
                      <w:sz w:val="21"/>
                      <w:szCs w:val="21"/>
                      <w:lang w:val="en-US" w:eastAsia="zh-CN"/>
                    </w:rPr>
                    <w:t>内进行砍伐、放牧、狩猎、捕捞、采药、开垦、烧荒、开矿、采石、挖沙等活动；</w:t>
                  </w:r>
                  <w:r>
                    <w:rPr>
                      <w:rFonts w:hint="default" w:ascii="Times New Roman" w:hAnsi="Times New Roman" w:eastAsia="宋体" w:cs="Times New Roman"/>
                      <w:color w:val="auto"/>
                      <w:sz w:val="21"/>
                      <w:szCs w:val="21"/>
                      <w:lang w:val="en-US" w:eastAsia="zh-CN"/>
                    </w:rPr>
                    <w:t>禁止任何人进入自然保护区</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核心区；禁止在自然保护区</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缓冲区开展旅游和生产经营活动；</w:t>
                  </w:r>
                  <w:r>
                    <w:rPr>
                      <w:rFonts w:hint="eastAsia" w:ascii="Times New Roman" w:hAnsi="Times New Roman" w:eastAsia="宋体" w:cs="Times New Roman"/>
                      <w:color w:val="auto"/>
                      <w:sz w:val="21"/>
                      <w:szCs w:val="21"/>
                      <w:lang w:val="en-US" w:eastAsia="zh-CN"/>
                    </w:rPr>
                    <w:t>严禁开设与自然保护区保护方向不一致的参观、旅游项目；在自然保护区的实验区内，不得建设污染环境、破坏资源或者景观的生产设施；自然保护区核心区，严禁任何生产经营活动；</w:t>
                  </w:r>
                  <w:r>
                    <w:rPr>
                      <w:rFonts w:hint="default" w:ascii="Times New Roman" w:hAnsi="Times New Roman" w:eastAsia="宋体" w:cs="Times New Roman"/>
                      <w:color w:val="auto"/>
                      <w:sz w:val="21"/>
                      <w:szCs w:val="21"/>
                      <w:lang w:val="en-US" w:eastAsia="zh-CN"/>
                    </w:rPr>
                    <w:t>新建公路、铁路和其他基础设施不得穿越自然保护区核心区，尽量避免穿越缓冲区；禁止在自然保护区的核心区和缓冲区内建设畜禽养殖场、养殖小区。</w:t>
                  </w:r>
                </w:p>
              </w:tc>
              <w:tc>
                <w:tcPr>
                  <w:tcW w:w="3087" w:type="dxa"/>
                  <w:tcBorders>
                    <w:bottom w:val="single" w:color="auto" w:sz="4" w:space="0"/>
                    <w:tl2br w:val="nil"/>
                    <w:tr2bl w:val="nil"/>
                  </w:tcBorders>
                  <w:noWrap w:val="0"/>
                  <w:vAlign w:val="center"/>
                </w:tcPr>
                <w:p w14:paraId="61E3B1FE">
                  <w:pPr>
                    <w:pStyle w:val="13"/>
                    <w:spacing w:before="0" w:after="0" w:line="240" w:lineRule="auto"/>
                    <w:ind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根据</w:t>
                  </w:r>
                  <w:r>
                    <w:rPr>
                      <w:rFonts w:hint="eastAsia" w:ascii="Times New Roman" w:hAnsi="Times New Roman" w:eastAsia="宋体" w:cs="Times New Roman"/>
                      <w:color w:val="auto"/>
                      <w:sz w:val="21"/>
                      <w:szCs w:val="21"/>
                      <w:lang w:val="en-US" w:eastAsia="zh-CN"/>
                    </w:rPr>
                    <w:t>芒市自然资源局出具的项目用地规划、性质复函</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项目用地位于中山</w:t>
                  </w:r>
                  <w:r>
                    <w:rPr>
                      <w:rFonts w:hint="default" w:ascii="Times New Roman" w:hAnsi="Times New Roman" w:eastAsia="宋体" w:cs="Times New Roman"/>
                      <w:color w:val="auto"/>
                      <w:sz w:val="21"/>
                      <w:szCs w:val="21"/>
                      <w:lang w:val="en-US" w:eastAsia="zh-CN"/>
                    </w:rPr>
                    <w:t>乡芒丙村罗湖山集体土地，属于集体建设</w:t>
                  </w:r>
                  <w:r>
                    <w:rPr>
                      <w:rFonts w:hint="eastAsia" w:ascii="Times New Roman" w:hAnsi="Times New Roman" w:eastAsia="宋体" w:cs="Times New Roman"/>
                      <w:color w:val="auto"/>
                      <w:sz w:val="21"/>
                      <w:szCs w:val="21"/>
                      <w:lang w:val="en-US" w:eastAsia="zh-CN"/>
                    </w:rPr>
                    <w:t>用地</w:t>
                  </w:r>
                  <w:r>
                    <w:rPr>
                      <w:rFonts w:hint="default" w:ascii="Times New Roman" w:hAnsi="Times New Roman" w:eastAsia="宋体" w:cs="Times New Roman"/>
                      <w:color w:val="auto"/>
                      <w:sz w:val="21"/>
                      <w:szCs w:val="21"/>
                      <w:lang w:val="en-US" w:eastAsia="zh-CN"/>
                    </w:rPr>
                    <w:t>，不涉及永久基本农田、生态保护红线、耕地保护目标</w:t>
                  </w:r>
                  <w:r>
                    <w:rPr>
                      <w:rFonts w:hint="eastAsia" w:ascii="Times New Roman" w:hAnsi="Times New Roman" w:eastAsia="宋体" w:cs="Times New Roman"/>
                      <w:color w:val="auto"/>
                      <w:sz w:val="21"/>
                      <w:szCs w:val="21"/>
                      <w:lang w:val="en-US" w:eastAsia="zh-CN"/>
                    </w:rPr>
                    <w:t>。</w:t>
                  </w:r>
                </w:p>
              </w:tc>
              <w:tc>
                <w:tcPr>
                  <w:tcW w:w="652" w:type="dxa"/>
                  <w:tcBorders>
                    <w:tl2br w:val="nil"/>
                    <w:tr2bl w:val="nil"/>
                  </w:tcBorders>
                  <w:noWrap w:val="0"/>
                  <w:vAlign w:val="center"/>
                </w:tcPr>
                <w:p w14:paraId="6812E905">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AE76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60" w:type="dxa"/>
                  <w:tcBorders>
                    <w:tl2br w:val="nil"/>
                    <w:tr2bl w:val="nil"/>
                  </w:tcBorders>
                  <w:noWrap w:val="0"/>
                  <w:vAlign w:val="center"/>
                </w:tcPr>
                <w:p w14:paraId="1B0AA4A4">
                  <w:pPr>
                    <w:pStyle w:val="13"/>
                    <w:spacing w:before="0" w:after="0" w:line="240" w:lineRule="auto"/>
                    <w:ind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禁止在风景名胜区内进行开山、采石、开矿、开荒、修坟立碑等破坏景观、植被和地形地貌的活动</w:t>
                  </w:r>
                  <w:r>
                    <w:rPr>
                      <w:rFonts w:hint="eastAsia" w:ascii="Times New Roman" w:hAnsi="Times New Roman" w:eastAsia="宋体" w:cs="Times New Roman"/>
                      <w:color w:val="auto"/>
                      <w:sz w:val="21"/>
                      <w:szCs w:val="21"/>
                      <w:lang w:val="en-US" w:eastAsia="zh-CN"/>
                    </w:rPr>
                    <w:t>以及</w:t>
                  </w:r>
                  <w:r>
                    <w:rPr>
                      <w:rFonts w:hint="default" w:ascii="Times New Roman" w:hAnsi="Times New Roman" w:eastAsia="宋体" w:cs="Times New Roman"/>
                      <w:color w:val="auto"/>
                      <w:sz w:val="21"/>
                      <w:szCs w:val="21"/>
                      <w:lang w:val="en-US" w:eastAsia="zh-CN"/>
                    </w:rPr>
                    <w:t>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r>
                    <w:rPr>
                      <w:rFonts w:hint="eastAsia" w:ascii="Times New Roman" w:hAnsi="Times New Roman" w:eastAsia="宋体" w:cs="Times New Roman"/>
                      <w:color w:val="auto"/>
                      <w:sz w:val="21"/>
                      <w:szCs w:val="21"/>
                      <w:lang w:val="en-US" w:eastAsia="zh-CN"/>
                    </w:rPr>
                    <w:t>。</w:t>
                  </w:r>
                </w:p>
              </w:tc>
              <w:tc>
                <w:tcPr>
                  <w:tcW w:w="3087" w:type="dxa"/>
                  <w:tcBorders>
                    <w:top w:val="single" w:color="auto" w:sz="4" w:space="0"/>
                    <w:tl2br w:val="nil"/>
                    <w:tr2bl w:val="nil"/>
                  </w:tcBorders>
                  <w:noWrap w:val="0"/>
                  <w:vAlign w:val="center"/>
                </w:tcPr>
                <w:p w14:paraId="3F4251CC">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本项目所在区域不涉及风景名胜区。</w:t>
                  </w:r>
                </w:p>
              </w:tc>
              <w:tc>
                <w:tcPr>
                  <w:tcW w:w="652" w:type="dxa"/>
                  <w:tcBorders>
                    <w:tl2br w:val="nil"/>
                    <w:tr2bl w:val="nil"/>
                  </w:tcBorders>
                  <w:noWrap w:val="0"/>
                  <w:vAlign w:val="center"/>
                </w:tcPr>
                <w:p w14:paraId="7D7E0A62">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7EA9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15" w:hRule="atLeast"/>
                <w:jc w:val="center"/>
              </w:trPr>
              <w:tc>
                <w:tcPr>
                  <w:tcW w:w="3760" w:type="dxa"/>
                  <w:tcBorders>
                    <w:tl2br w:val="nil"/>
                    <w:tr2bl w:val="nil"/>
                  </w:tcBorders>
                  <w:noWrap w:val="0"/>
                  <w:vAlign w:val="center"/>
                </w:tcPr>
                <w:p w14:paraId="66B33CB7">
                  <w:pPr>
                    <w:pStyle w:val="13"/>
                    <w:spacing w:before="0" w:after="0" w:line="240" w:lineRule="auto"/>
                    <w:ind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禁止擅自征收、占用国家湿地公园的土地</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除国家另有规定外，禁止</w:t>
                  </w:r>
                  <w:r>
                    <w:rPr>
                      <w:rFonts w:hint="eastAsia"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lang w:val="en-US" w:eastAsia="zh-CN"/>
                    </w:rPr>
                    <w:t>国家湿地公园内开（围）垦、填埋或者排干湿地</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截断湿地水源</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挖沙、采矿</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倾倒有毒有害物质、废弃物、垃圾</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从事房地产、度假村、高尔夫球场、风力发电、光伏发电等任何不符合主体功能定位的建设项目和开发活动</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破坏野生动物栖息地和迁徙通道、鱼类洄游通道</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滥采滥捕野生动植物</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引入外来物种</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擅自放牧、捕捞、取土、取水、排污、放生</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破坏湿地及其生态功能的活动</w:t>
                  </w:r>
                  <w:r>
                    <w:rPr>
                      <w:rFonts w:hint="eastAsia" w:ascii="Times New Roman" w:hAnsi="Times New Roman" w:eastAsia="宋体" w:cs="Times New Roman"/>
                      <w:color w:val="auto"/>
                      <w:sz w:val="21"/>
                      <w:szCs w:val="21"/>
                      <w:lang w:val="en-US" w:eastAsia="zh-CN"/>
                    </w:rPr>
                    <w:t>。国家湿地公园</w:t>
                  </w:r>
                  <w:r>
                    <w:rPr>
                      <w:rFonts w:hint="default" w:ascii="Times New Roman" w:hAnsi="Times New Roman" w:eastAsia="宋体" w:cs="Times New Roman"/>
                      <w:color w:val="auto"/>
                      <w:sz w:val="21"/>
                      <w:szCs w:val="21"/>
                      <w:lang w:val="en-US" w:eastAsia="zh-CN"/>
                    </w:rPr>
                    <w:t>保育区除开展保护、监测、科学研究等必需的保护管理活动外，不得进行任何与湿地生态系统保护和管理无关的其他活动</w:t>
                  </w:r>
                  <w:r>
                    <w:rPr>
                      <w:rFonts w:hint="eastAsia" w:ascii="Times New Roman" w:hAnsi="Times New Roman" w:eastAsia="宋体" w:cs="Times New Roman"/>
                      <w:color w:val="auto"/>
                      <w:sz w:val="21"/>
                      <w:szCs w:val="21"/>
                      <w:lang w:val="en-US" w:eastAsia="zh-CN"/>
                    </w:rPr>
                    <w:t>。</w:t>
                  </w:r>
                </w:p>
              </w:tc>
              <w:tc>
                <w:tcPr>
                  <w:tcW w:w="3087" w:type="dxa"/>
                  <w:tcBorders>
                    <w:tl2br w:val="nil"/>
                    <w:tr2bl w:val="nil"/>
                  </w:tcBorders>
                  <w:noWrap w:val="0"/>
                  <w:vAlign w:val="center"/>
                </w:tcPr>
                <w:p w14:paraId="7AA3CA5D">
                  <w:pPr>
                    <w:pStyle w:val="13"/>
                    <w:spacing w:before="0" w:after="0" w:line="240" w:lineRule="auto"/>
                    <w:ind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所在区域不属于国家湿地公园。</w:t>
                  </w:r>
                </w:p>
              </w:tc>
              <w:tc>
                <w:tcPr>
                  <w:tcW w:w="652" w:type="dxa"/>
                  <w:tcBorders>
                    <w:tl2br w:val="nil"/>
                    <w:tr2bl w:val="nil"/>
                  </w:tcBorders>
                  <w:noWrap w:val="0"/>
                  <w:vAlign w:val="center"/>
                </w:tcPr>
                <w:p w14:paraId="412494A8">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B462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9" w:hRule="atLeast"/>
                <w:jc w:val="center"/>
              </w:trPr>
              <w:tc>
                <w:tcPr>
                  <w:tcW w:w="3760" w:type="dxa"/>
                  <w:tcBorders>
                    <w:tl2br w:val="nil"/>
                    <w:tr2bl w:val="nil"/>
                  </w:tcBorders>
                  <w:noWrap w:val="0"/>
                  <w:vAlign w:val="center"/>
                </w:tcPr>
                <w:p w14:paraId="47C4D8EB">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禁止在饮用水水源一级保护区内新建、改建、扩建与供水设施和保护水源无关的</w:t>
                  </w:r>
                  <w:r>
                    <w:rPr>
                      <w:rFonts w:hint="eastAsia" w:ascii="Times New Roman" w:hAnsi="Times New Roman" w:eastAsia="宋体" w:cs="Times New Roman"/>
                      <w:color w:val="auto"/>
                      <w:sz w:val="21"/>
                      <w:szCs w:val="21"/>
                      <w:lang w:val="en-US" w:eastAsia="zh-CN"/>
                    </w:rPr>
                    <w:t>建设</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；禁止在饮用水水源一级保护区内从事</w:t>
                  </w:r>
                  <w:r>
                    <w:rPr>
                      <w:rFonts w:hint="default" w:ascii="Times New Roman" w:hAnsi="Times New Roman" w:eastAsia="宋体" w:cs="Times New Roman"/>
                      <w:color w:val="auto"/>
                      <w:sz w:val="21"/>
                      <w:szCs w:val="21"/>
                      <w:lang w:val="en-US" w:eastAsia="zh-CN"/>
                    </w:rPr>
                    <w:t>网箱养殖、旅游</w:t>
                  </w:r>
                  <w:r>
                    <w:rPr>
                      <w:rFonts w:hint="eastAsia" w:ascii="Times New Roman" w:hAnsi="Times New Roman" w:eastAsia="宋体" w:cs="Times New Roman"/>
                      <w:color w:val="auto"/>
                      <w:sz w:val="21"/>
                      <w:szCs w:val="21"/>
                      <w:lang w:val="en-US" w:eastAsia="zh-CN"/>
                    </w:rPr>
                    <w:t>、游泳、垂钓或者其他</w:t>
                  </w:r>
                  <w:r>
                    <w:rPr>
                      <w:rFonts w:hint="default" w:ascii="Times New Roman" w:hAnsi="Times New Roman" w:eastAsia="宋体" w:cs="Times New Roman"/>
                      <w:color w:val="auto"/>
                      <w:sz w:val="21"/>
                      <w:szCs w:val="21"/>
                      <w:lang w:val="en-US" w:eastAsia="zh-CN"/>
                    </w:rPr>
                    <w:t>可能污染饮用水水体的</w:t>
                  </w:r>
                  <w:r>
                    <w:rPr>
                      <w:rFonts w:hint="eastAsia" w:ascii="Times New Roman" w:hAnsi="Times New Roman" w:eastAsia="宋体" w:cs="Times New Roman"/>
                      <w:color w:val="auto"/>
                      <w:sz w:val="21"/>
                      <w:szCs w:val="21"/>
                      <w:lang w:val="en-US" w:eastAsia="zh-CN"/>
                    </w:rPr>
                    <w:t>活动</w:t>
                  </w:r>
                  <w:r>
                    <w:rPr>
                      <w:rFonts w:hint="default" w:ascii="Times New Roman" w:hAnsi="Times New Roman" w:eastAsia="宋体" w:cs="Times New Roman"/>
                      <w:color w:val="auto"/>
                      <w:sz w:val="21"/>
                      <w:szCs w:val="21"/>
                      <w:lang w:val="en-US" w:eastAsia="zh-CN"/>
                    </w:rPr>
                    <w:t>。禁止在饮用水水源二级保护区内新建、改建、扩建排放污染物的建设项目</w:t>
                  </w:r>
                  <w:r>
                    <w:rPr>
                      <w:rFonts w:hint="eastAsia" w:ascii="Times New Roman" w:hAnsi="Times New Roman" w:eastAsia="宋体" w:cs="Times New Roman"/>
                      <w:color w:val="auto"/>
                      <w:sz w:val="21"/>
                      <w:szCs w:val="21"/>
                      <w:lang w:val="en-US" w:eastAsia="zh-CN"/>
                    </w:rPr>
                    <w:t>；在饮用水水源二级保护区内从事网箱养殖、旅游等活动的，应当按照规定采取措施，防止污染饮用水水体</w:t>
                  </w:r>
                  <w:r>
                    <w:rPr>
                      <w:rFonts w:hint="default" w:ascii="Times New Roman" w:hAnsi="Times New Roman" w:eastAsia="宋体" w:cs="Times New Roman"/>
                      <w:color w:val="auto"/>
                      <w:sz w:val="21"/>
                      <w:szCs w:val="21"/>
                      <w:lang w:val="en-US" w:eastAsia="zh-CN"/>
                    </w:rPr>
                    <w:t>。</w:t>
                  </w:r>
                </w:p>
              </w:tc>
              <w:tc>
                <w:tcPr>
                  <w:tcW w:w="3087" w:type="dxa"/>
                  <w:tcBorders>
                    <w:tl2br w:val="nil"/>
                    <w:tr2bl w:val="nil"/>
                  </w:tcBorders>
                  <w:noWrap w:val="0"/>
                  <w:vAlign w:val="center"/>
                </w:tcPr>
                <w:p w14:paraId="6A2C5D4D">
                  <w:pPr>
                    <w:pStyle w:val="13"/>
                    <w:spacing w:before="0" w:after="0" w:line="240" w:lineRule="auto"/>
                    <w:ind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所在区域不属于饮用水源保护区。</w:t>
                  </w:r>
                </w:p>
              </w:tc>
              <w:tc>
                <w:tcPr>
                  <w:tcW w:w="652" w:type="dxa"/>
                  <w:tcBorders>
                    <w:tl2br w:val="nil"/>
                    <w:tr2bl w:val="nil"/>
                  </w:tcBorders>
                  <w:noWrap w:val="0"/>
                  <w:vAlign w:val="center"/>
                </w:tcPr>
                <w:p w14:paraId="7D029AEB">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A606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3760" w:type="dxa"/>
                  <w:tcBorders>
                    <w:tl2br w:val="nil"/>
                    <w:tr2bl w:val="nil"/>
                  </w:tcBorders>
                  <w:noWrap w:val="0"/>
                  <w:vAlign w:val="center"/>
                </w:tcPr>
                <w:p w14:paraId="4B29A2DC">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禁止违法利用</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占用长江流域河湖岸线。禁止在《长江岸线保护和开发利用总体规划》划定的岸线保护区和保留区内投资建设除事关公共安全及公众利益的防洪护岸、河道治理、供水、生态环境保护、航道整治、国家重要基础设施以外的项目。除</w:t>
                  </w:r>
                  <w:r>
                    <w:rPr>
                      <w:rFonts w:hint="eastAsia" w:ascii="Times New Roman" w:hAnsi="Times New Roman" w:eastAsia="宋体" w:cs="Times New Roman"/>
                      <w:color w:val="auto"/>
                      <w:sz w:val="21"/>
                      <w:szCs w:val="21"/>
                      <w:lang w:val="en-US" w:eastAsia="zh-CN"/>
                    </w:rPr>
                    <w:t>国家</w:t>
                  </w:r>
                  <w:r>
                    <w:rPr>
                      <w:rFonts w:hint="default" w:ascii="Times New Roman" w:hAnsi="Times New Roman" w:eastAsia="宋体" w:cs="Times New Roman"/>
                      <w:color w:val="auto"/>
                      <w:sz w:val="21"/>
                      <w:szCs w:val="21"/>
                      <w:lang w:val="en-US" w:eastAsia="zh-CN"/>
                    </w:rPr>
                    <w:t>明确支持的重大建设项目、军事国防类</w:t>
                  </w:r>
                  <w:r>
                    <w:rPr>
                      <w:rFonts w:hint="eastAsia" w:ascii="Times New Roman" w:hAnsi="Times New Roman" w:eastAsia="宋体" w:cs="Times New Roman"/>
                      <w:color w:val="auto"/>
                      <w:sz w:val="21"/>
                      <w:szCs w:val="21"/>
                      <w:lang w:val="en-US" w:eastAsia="zh-CN"/>
                    </w:rPr>
                    <w:t>项目、交通类项目、能源类项目、</w:t>
                  </w:r>
                  <w:r>
                    <w:rPr>
                      <w:rFonts w:hint="default" w:ascii="Times New Roman" w:hAnsi="Times New Roman" w:eastAsia="宋体" w:cs="Times New Roman"/>
                      <w:color w:val="auto"/>
                      <w:sz w:val="21"/>
                      <w:szCs w:val="21"/>
                      <w:lang w:val="en-US" w:eastAsia="zh-CN"/>
                    </w:rPr>
                    <w:t>水利</w:t>
                  </w:r>
                  <w:r>
                    <w:rPr>
                      <w:rFonts w:hint="eastAsia" w:ascii="Times New Roman" w:hAnsi="Times New Roman" w:eastAsia="宋体" w:cs="Times New Roman"/>
                      <w:color w:val="auto"/>
                      <w:sz w:val="21"/>
                      <w:szCs w:val="21"/>
                      <w:lang w:val="en-US" w:eastAsia="zh-CN"/>
                    </w:rPr>
                    <w:t>类</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国务院投资主管部门或国务院投资主管部门会同有关部门支持和认可的交通、能源、水利基础设施项目</w:t>
                  </w:r>
                  <w:r>
                    <w:rPr>
                      <w:rFonts w:hint="eastAsia"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lang w:val="en" w:eastAsia="zh-CN"/>
                    </w:rPr>
                    <w:t>,</w:t>
                  </w:r>
                  <w:r>
                    <w:rPr>
                      <w:rFonts w:hint="default" w:ascii="Times New Roman" w:hAnsi="Times New Roman" w:eastAsia="宋体" w:cs="Times New Roman"/>
                      <w:color w:val="auto"/>
                      <w:sz w:val="21"/>
                      <w:szCs w:val="21"/>
                      <w:lang w:val="en-US" w:eastAsia="zh-CN"/>
                    </w:rPr>
                    <w:t>禁止在永久基本农田范围内投资建设</w:t>
                  </w:r>
                  <w:r>
                    <w:rPr>
                      <w:rFonts w:hint="eastAsia" w:ascii="Times New Roman" w:hAnsi="Times New Roman" w:eastAsia="宋体" w:cs="Times New Roman"/>
                      <w:color w:val="auto"/>
                      <w:sz w:val="21"/>
                      <w:szCs w:val="21"/>
                      <w:lang w:val="en-US" w:eastAsia="zh-CN"/>
                    </w:rPr>
                    <w:t>项目。重大建设项目选址确实难以避让永久基本农田的，需在可行性研究阶段，对占用的必要性、合理性和补划方案的可行性进行严格论证，</w:t>
                  </w:r>
                  <w:r>
                    <w:rPr>
                      <w:rFonts w:hint="default" w:ascii="Times New Roman" w:hAnsi="Times New Roman" w:eastAsia="宋体" w:cs="Times New Roman"/>
                      <w:color w:val="auto"/>
                      <w:sz w:val="21"/>
                      <w:szCs w:val="21"/>
                      <w:lang w:val="en-US" w:eastAsia="zh-CN"/>
                    </w:rPr>
                    <w:t>按照“数量不减、质量不降、布局稳定”的要求进行补划</w:t>
                  </w:r>
                  <w:r>
                    <w:rPr>
                      <w:rFonts w:hint="eastAsia" w:ascii="Times New Roman" w:hAnsi="Times New Roman" w:eastAsia="宋体" w:cs="Times New Roman"/>
                      <w:color w:val="auto"/>
                      <w:sz w:val="21"/>
                      <w:szCs w:val="21"/>
                      <w:lang w:val="en-US" w:eastAsia="zh-CN"/>
                    </w:rPr>
                    <w:t>，报自然资源部用地预审，依法依规办理农用地转用和土地征收，</w:t>
                  </w:r>
                  <w:r>
                    <w:rPr>
                      <w:rFonts w:hint="default" w:ascii="Times New Roman" w:hAnsi="Times New Roman" w:eastAsia="宋体" w:cs="Times New Roman"/>
                      <w:color w:val="auto"/>
                      <w:sz w:val="21"/>
                      <w:szCs w:val="21"/>
                      <w:lang w:val="en-US" w:eastAsia="zh-CN"/>
                    </w:rPr>
                    <w:t>和法定程序修改相应的</w:t>
                  </w:r>
                  <w:r>
                    <w:rPr>
                      <w:rFonts w:hint="eastAsia" w:ascii="Times New Roman" w:hAnsi="Times New Roman" w:eastAsia="宋体" w:cs="Times New Roman"/>
                      <w:color w:val="auto"/>
                      <w:sz w:val="21"/>
                      <w:szCs w:val="21"/>
                      <w:lang w:val="en-US" w:eastAsia="zh-CN"/>
                    </w:rPr>
                    <w:t>国土空间规划用途。</w:t>
                  </w:r>
                </w:p>
              </w:tc>
              <w:tc>
                <w:tcPr>
                  <w:tcW w:w="3087" w:type="dxa"/>
                  <w:tcBorders>
                    <w:tl2br w:val="nil"/>
                    <w:tr2bl w:val="nil"/>
                  </w:tcBorders>
                  <w:noWrap w:val="0"/>
                  <w:vAlign w:val="center"/>
                </w:tcPr>
                <w:p w14:paraId="44C34B1B">
                  <w:pPr>
                    <w:pStyle w:val="13"/>
                    <w:spacing w:before="0" w:after="0" w:line="240" w:lineRule="auto"/>
                    <w:ind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所在区域不属于长江流域。</w:t>
                  </w:r>
                </w:p>
              </w:tc>
              <w:tc>
                <w:tcPr>
                  <w:tcW w:w="652" w:type="dxa"/>
                  <w:tcBorders>
                    <w:tl2br w:val="nil"/>
                    <w:tr2bl w:val="nil"/>
                  </w:tcBorders>
                  <w:noWrap w:val="0"/>
                  <w:vAlign w:val="center"/>
                </w:tcPr>
                <w:p w14:paraId="7FB6E949">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BB21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3" w:hRule="atLeast"/>
                <w:jc w:val="center"/>
              </w:trPr>
              <w:tc>
                <w:tcPr>
                  <w:tcW w:w="3760" w:type="dxa"/>
                  <w:tcBorders>
                    <w:tl2br w:val="nil"/>
                    <w:tr2bl w:val="nil"/>
                  </w:tcBorders>
                  <w:noWrap w:val="0"/>
                  <w:vAlign w:val="center"/>
                </w:tcPr>
                <w:p w14:paraId="52C8EEE8">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w:t>
                  </w:r>
                  <w:r>
                    <w:rPr>
                      <w:rFonts w:hint="eastAsia" w:ascii="Times New Roman" w:hAnsi="Times New Roman" w:eastAsia="宋体" w:cs="Times New Roman"/>
                      <w:color w:val="auto"/>
                      <w:sz w:val="21"/>
                      <w:szCs w:val="21"/>
                      <w:lang w:val="en-US" w:eastAsia="zh-CN"/>
                    </w:rPr>
                    <w:t>长江流域、九大高原湖泊流域</w:t>
                  </w:r>
                  <w:r>
                    <w:rPr>
                      <w:rFonts w:hint="default" w:ascii="Times New Roman" w:hAnsi="Times New Roman" w:eastAsia="宋体" w:cs="Times New Roman"/>
                      <w:color w:val="auto"/>
                      <w:sz w:val="21"/>
                      <w:szCs w:val="21"/>
                      <w:lang w:val="en-US" w:eastAsia="zh-CN"/>
                    </w:rPr>
                    <w:t>新设、改设或扩大排污口</w:t>
                  </w:r>
                  <w:r>
                    <w:rPr>
                      <w:rFonts w:hint="eastAsia" w:ascii="Times New Roman" w:hAnsi="Times New Roman" w:eastAsia="宋体" w:cs="Times New Roman"/>
                      <w:color w:val="auto"/>
                      <w:sz w:val="21"/>
                      <w:szCs w:val="21"/>
                      <w:lang w:val="en-US" w:eastAsia="zh-CN"/>
                    </w:rPr>
                    <w:t>，除入河（海）排污口命名与编码规则（HJ1235-2021）规定的第四类“其他排口”外</w:t>
                  </w:r>
                  <w:r>
                    <w:rPr>
                      <w:rFonts w:hint="default" w:ascii="Times New Roman" w:hAnsi="Times New Roman" w:eastAsia="宋体" w:cs="Times New Roman"/>
                      <w:color w:val="auto"/>
                      <w:sz w:val="21"/>
                      <w:szCs w:val="21"/>
                      <w:lang w:val="en-US" w:eastAsia="zh-CN"/>
                    </w:rPr>
                    <w:t>。禁止在水产种质资源保护区内新建排污口，以及</w:t>
                  </w:r>
                  <w:r>
                    <w:rPr>
                      <w:rFonts w:hint="eastAsia" w:ascii="Times New Roman" w:hAnsi="Times New Roman" w:eastAsia="宋体" w:cs="Times New Roman"/>
                      <w:color w:val="auto"/>
                      <w:sz w:val="21"/>
                      <w:szCs w:val="21"/>
                      <w:lang w:val="en-US" w:eastAsia="zh-CN"/>
                    </w:rPr>
                    <w:t>从事</w:t>
                  </w:r>
                  <w:r>
                    <w:rPr>
                      <w:rFonts w:hint="default" w:ascii="Times New Roman" w:hAnsi="Times New Roman" w:eastAsia="宋体" w:cs="Times New Roman"/>
                      <w:color w:val="auto"/>
                      <w:sz w:val="21"/>
                      <w:szCs w:val="21"/>
                      <w:lang w:val="en-US" w:eastAsia="zh-CN"/>
                    </w:rPr>
                    <w:t>围湖造田、围湖造地或围</w:t>
                  </w:r>
                  <w:r>
                    <w:rPr>
                      <w:rFonts w:hint="eastAsia" w:ascii="Times New Roman" w:hAnsi="Times New Roman" w:eastAsia="宋体" w:cs="Times New Roman"/>
                      <w:color w:val="auto"/>
                      <w:sz w:val="21"/>
                      <w:szCs w:val="21"/>
                      <w:lang w:val="en-US" w:eastAsia="zh-CN"/>
                    </w:rPr>
                    <w:t>填海工程</w:t>
                  </w:r>
                  <w:r>
                    <w:rPr>
                      <w:rFonts w:hint="default" w:ascii="Times New Roman" w:hAnsi="Times New Roman" w:eastAsia="宋体" w:cs="Times New Roman"/>
                      <w:color w:val="auto"/>
                      <w:sz w:val="21"/>
                      <w:szCs w:val="21"/>
                      <w:lang w:val="en-US" w:eastAsia="zh-CN"/>
                    </w:rPr>
                    <w:t>。</w:t>
                  </w:r>
                </w:p>
              </w:tc>
              <w:tc>
                <w:tcPr>
                  <w:tcW w:w="3087" w:type="dxa"/>
                  <w:tcBorders>
                    <w:tl2br w:val="nil"/>
                    <w:tr2bl w:val="nil"/>
                  </w:tcBorders>
                  <w:noWrap w:val="0"/>
                  <w:vAlign w:val="center"/>
                </w:tcPr>
                <w:p w14:paraId="67B68D93">
                  <w:pPr>
                    <w:pStyle w:val="13"/>
                    <w:spacing w:before="0" w:after="0" w:line="240" w:lineRule="auto"/>
                    <w:ind w:right="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《全国重要江河湖泊水功能区划》划定的河段及湖泊保护区、保留区内</w:t>
                  </w:r>
                  <w:r>
                    <w:rPr>
                      <w:rFonts w:hint="eastAsia" w:ascii="Times New Roman" w:hAnsi="Times New Roman" w:eastAsia="宋体" w:cs="Times New Roman"/>
                      <w:color w:val="auto"/>
                      <w:sz w:val="21"/>
                      <w:szCs w:val="21"/>
                      <w:lang w:val="en-US" w:eastAsia="zh-CN"/>
                    </w:rPr>
                    <w:t>，本项目建设完成不新建排污口。</w:t>
                  </w:r>
                </w:p>
              </w:tc>
              <w:tc>
                <w:tcPr>
                  <w:tcW w:w="652" w:type="dxa"/>
                  <w:tcBorders>
                    <w:tl2br w:val="nil"/>
                    <w:tr2bl w:val="nil"/>
                  </w:tcBorders>
                  <w:noWrap w:val="0"/>
                  <w:vAlign w:val="center"/>
                </w:tcPr>
                <w:p w14:paraId="6C0B7C53">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0BF6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2" w:hRule="atLeast"/>
                <w:jc w:val="center"/>
              </w:trPr>
              <w:tc>
                <w:tcPr>
                  <w:tcW w:w="3760" w:type="dxa"/>
                  <w:tcBorders>
                    <w:tl2br w:val="nil"/>
                    <w:tr2bl w:val="nil"/>
                  </w:tcBorders>
                  <w:noWrap w:val="0"/>
                  <w:vAlign w:val="center"/>
                </w:tcPr>
                <w:p w14:paraId="02719637">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禁止在</w:t>
                  </w:r>
                  <w:r>
                    <w:rPr>
                      <w:rFonts w:hint="eastAsia" w:ascii="Times New Roman" w:hAnsi="Times New Roman" w:eastAsia="宋体" w:cs="Times New Roman"/>
                      <w:color w:val="auto"/>
                      <w:sz w:val="21"/>
                      <w:szCs w:val="21"/>
                      <w:lang w:val="en-US" w:eastAsia="zh-CN"/>
                    </w:rPr>
                    <w:t>金沙江、赤水河、乌江和等水生动植物自然保护区、</w:t>
                  </w:r>
                  <w:r>
                    <w:rPr>
                      <w:rFonts w:hint="default" w:ascii="Times New Roman" w:hAnsi="Times New Roman" w:eastAsia="宋体" w:cs="Times New Roman"/>
                      <w:color w:val="auto"/>
                      <w:sz w:val="21"/>
                      <w:szCs w:val="21"/>
                      <w:lang w:val="en-US" w:eastAsia="zh-CN"/>
                    </w:rPr>
                    <w:t>水产种质资源保护区</w:t>
                  </w:r>
                  <w:r>
                    <w:rPr>
                      <w:rFonts w:hint="eastAsia" w:ascii="Times New Roman" w:hAnsi="Times New Roman" w:eastAsia="宋体" w:cs="Times New Roman"/>
                      <w:color w:val="auto"/>
                      <w:sz w:val="21"/>
                      <w:szCs w:val="21"/>
                      <w:lang w:val="en-US" w:eastAsia="zh-CN"/>
                    </w:rPr>
                    <w:t>长江流域禁捕水域</w:t>
                  </w:r>
                  <w:r>
                    <w:rPr>
                      <w:rFonts w:hint="default" w:ascii="Times New Roman" w:hAnsi="Times New Roman" w:eastAsia="宋体" w:cs="Times New Roman"/>
                      <w:color w:val="auto"/>
                      <w:sz w:val="21"/>
                      <w:szCs w:val="21"/>
                      <w:lang w:val="en-US" w:eastAsia="zh-CN"/>
                    </w:rPr>
                    <w:t>开展</w:t>
                  </w:r>
                  <w:r>
                    <w:rPr>
                      <w:rFonts w:hint="eastAsia" w:ascii="Times New Roman" w:hAnsi="Times New Roman" w:eastAsia="宋体" w:cs="Times New Roman"/>
                      <w:color w:val="auto"/>
                      <w:sz w:val="21"/>
                      <w:szCs w:val="21"/>
                      <w:lang w:val="en-US" w:eastAsia="zh-CN"/>
                    </w:rPr>
                    <w:t>天然渔业资源</w:t>
                  </w:r>
                  <w:r>
                    <w:rPr>
                      <w:rFonts w:hint="default" w:ascii="Times New Roman" w:hAnsi="Times New Roman" w:eastAsia="宋体" w:cs="Times New Roman"/>
                      <w:color w:val="auto"/>
                      <w:sz w:val="21"/>
                      <w:szCs w:val="21"/>
                      <w:lang w:val="en-US" w:eastAsia="zh-CN"/>
                    </w:rPr>
                    <w:t>生产性捕捞</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禁止开（围）垦、填埋或者排干湿地；禁止截断湿地水源、挖沙、采矿、引入外来物种；禁止擅自放牧、捕捞、取土、取水、排污、放生；禁止其他破坏湿地及其生态功能的活动。</w:t>
                  </w:r>
                </w:p>
              </w:tc>
              <w:tc>
                <w:tcPr>
                  <w:tcW w:w="3087" w:type="dxa"/>
                  <w:tcBorders>
                    <w:tl2br w:val="nil"/>
                    <w:tr2bl w:val="nil"/>
                  </w:tcBorders>
                  <w:noWrap w:val="0"/>
                  <w:vAlign w:val="center"/>
                </w:tcPr>
                <w:p w14:paraId="2A4ED39C">
                  <w:pPr>
                    <w:pStyle w:val="13"/>
                    <w:spacing w:before="0" w:after="0" w:line="240" w:lineRule="auto"/>
                    <w:ind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不属于金沙江、赤水河、乌江和等水生动植物自然保护区、</w:t>
                  </w:r>
                  <w:r>
                    <w:rPr>
                      <w:rFonts w:hint="default" w:ascii="Times New Roman" w:hAnsi="Times New Roman" w:eastAsia="宋体" w:cs="Times New Roman"/>
                      <w:color w:val="auto"/>
                      <w:sz w:val="21"/>
                      <w:szCs w:val="21"/>
                      <w:lang w:val="en-US" w:eastAsia="zh-CN"/>
                    </w:rPr>
                    <w:t>水产种质资源保护区</w:t>
                  </w:r>
                  <w:r>
                    <w:rPr>
                      <w:rFonts w:hint="eastAsia" w:ascii="Times New Roman" w:hAnsi="Times New Roman" w:eastAsia="宋体" w:cs="Times New Roman"/>
                      <w:color w:val="auto"/>
                      <w:sz w:val="21"/>
                      <w:szCs w:val="21"/>
                      <w:lang w:val="en-US" w:eastAsia="zh-CN"/>
                    </w:rPr>
                    <w:t>长江流域</w:t>
                  </w:r>
                  <w:r>
                    <w:rPr>
                      <w:rFonts w:hint="default" w:ascii="Times New Roman" w:hAnsi="Times New Roman" w:eastAsia="宋体" w:cs="Times New Roman"/>
                      <w:color w:val="auto"/>
                      <w:sz w:val="21"/>
                      <w:szCs w:val="21"/>
                    </w:rPr>
                    <w:t>。</w:t>
                  </w:r>
                </w:p>
              </w:tc>
              <w:tc>
                <w:tcPr>
                  <w:tcW w:w="652" w:type="dxa"/>
                  <w:tcBorders>
                    <w:tl2br w:val="nil"/>
                    <w:tr2bl w:val="nil"/>
                  </w:tcBorders>
                  <w:noWrap w:val="0"/>
                  <w:vAlign w:val="center"/>
                </w:tcPr>
                <w:p w14:paraId="18B41884">
                  <w:pPr>
                    <w:pStyle w:val="13"/>
                    <w:spacing w:before="0" w:after="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F0FB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2" w:hRule="atLeast"/>
                <w:jc w:val="center"/>
              </w:trPr>
              <w:tc>
                <w:tcPr>
                  <w:tcW w:w="3760" w:type="dxa"/>
                  <w:tcBorders>
                    <w:tl2br w:val="nil"/>
                    <w:tr2bl w:val="nil"/>
                  </w:tcBorders>
                  <w:noWrap w:val="0"/>
                  <w:vAlign w:val="center"/>
                </w:tcPr>
                <w:p w14:paraId="02D575AB">
                  <w:pPr>
                    <w:pStyle w:val="13"/>
                    <w:spacing w:before="0" w:after="0" w:line="240" w:lineRule="auto"/>
                    <w:ind w:right="0"/>
                    <w:rPr>
                      <w:rFonts w:hint="default" w:ascii="Times New Roman" w:hAnsi="Times New Roman" w:eastAsia="方正仿宋_GBK" w:cs="Times New Roman"/>
                      <w:color w:val="auto"/>
                      <w:sz w:val="32"/>
                      <w:szCs w:val="32"/>
                      <w:lang w:val="en-US" w:eastAsia="zh-CN"/>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3087" w:type="dxa"/>
                  <w:tcBorders>
                    <w:tl2br w:val="nil"/>
                    <w:tr2bl w:val="nil"/>
                  </w:tcBorders>
                  <w:noWrap w:val="0"/>
                  <w:vAlign w:val="center"/>
                </w:tcPr>
                <w:p w14:paraId="14B0054A">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不属于化工园区和化工项目。</w:t>
                  </w:r>
                </w:p>
              </w:tc>
              <w:tc>
                <w:tcPr>
                  <w:tcW w:w="652" w:type="dxa"/>
                  <w:tcBorders>
                    <w:tl2br w:val="nil"/>
                    <w:tr2bl w:val="nil"/>
                  </w:tcBorders>
                  <w:noWrap w:val="0"/>
                  <w:vAlign w:val="center"/>
                </w:tcPr>
                <w:p w14:paraId="6D0D130E">
                  <w:pPr>
                    <w:pStyle w:val="13"/>
                    <w:spacing w:before="0" w:after="0" w:line="240" w:lineRule="auto"/>
                    <w:ind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4734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2" w:hRule="atLeast"/>
                <w:jc w:val="center"/>
              </w:trPr>
              <w:tc>
                <w:tcPr>
                  <w:tcW w:w="3760" w:type="dxa"/>
                  <w:tcBorders>
                    <w:tl2br w:val="nil"/>
                    <w:tr2bl w:val="nil"/>
                  </w:tcBorders>
                  <w:noWrap w:val="0"/>
                  <w:vAlign w:val="center"/>
                </w:tcPr>
                <w:p w14:paraId="0C8C57CC">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禁止在金沙江</w:t>
                  </w:r>
                  <w:r>
                    <w:rPr>
                      <w:rFonts w:hint="eastAsia" w:ascii="Times New Roman" w:hAnsi="Times New Roman" w:eastAsia="宋体" w:cs="Times New Roman"/>
                      <w:color w:val="auto"/>
                      <w:sz w:val="21"/>
                      <w:szCs w:val="21"/>
                      <w:lang w:val="en-US" w:eastAsia="zh-CN"/>
                    </w:rPr>
                    <w:t>干流</w:t>
                  </w:r>
                  <w:r>
                    <w:rPr>
                      <w:rFonts w:hint="default" w:ascii="Times New Roman" w:hAnsi="Times New Roman" w:eastAsia="宋体" w:cs="Times New Roman"/>
                      <w:color w:val="auto"/>
                      <w:sz w:val="21"/>
                      <w:szCs w:val="21"/>
                      <w:lang w:val="en-US" w:eastAsia="zh-CN"/>
                    </w:rPr>
                    <w:t>岸线3公里、长江</w:t>
                  </w:r>
                  <w:r>
                    <w:rPr>
                      <w:rFonts w:hint="eastAsia" w:ascii="Times New Roman" w:hAnsi="Times New Roman" w:eastAsia="宋体" w:cs="Times New Roman"/>
                      <w:color w:val="auto"/>
                      <w:sz w:val="21"/>
                      <w:szCs w:val="21"/>
                      <w:lang w:val="en-US" w:eastAsia="zh-CN"/>
                    </w:rPr>
                    <w:t>（金沙江）</w:t>
                  </w:r>
                  <w:r>
                    <w:rPr>
                      <w:rFonts w:hint="default" w:ascii="Times New Roman" w:hAnsi="Times New Roman" w:eastAsia="宋体" w:cs="Times New Roman"/>
                      <w:color w:val="auto"/>
                      <w:sz w:val="21"/>
                      <w:szCs w:val="21"/>
                      <w:lang w:val="en-US" w:eastAsia="zh-CN"/>
                    </w:rPr>
                    <w:t>一级支流岸线1公里范围内新建、改建、扩建尾矿库</w:t>
                  </w:r>
                  <w:r>
                    <w:rPr>
                      <w:rFonts w:hint="eastAsia" w:ascii="Times New Roman" w:hAnsi="Times New Roman" w:eastAsia="宋体" w:cs="Times New Roman"/>
                      <w:color w:val="auto"/>
                      <w:sz w:val="21"/>
                      <w:szCs w:val="21"/>
                      <w:lang w:val="en-US" w:eastAsia="zh-CN"/>
                    </w:rPr>
                    <w:t>、冶炼渣库和磷石膏库，以提升安全、生态环境保护水平为目</w:t>
                  </w:r>
                  <w:r>
                    <w:rPr>
                      <w:rFonts w:hint="eastAsia"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改建除外</w:t>
                  </w:r>
                  <w:r>
                    <w:rPr>
                      <w:rFonts w:hint="default" w:ascii="Times New Roman" w:hAnsi="Times New Roman" w:eastAsia="宋体" w:cs="Times New Roman"/>
                      <w:color w:val="auto"/>
                      <w:sz w:val="21"/>
                      <w:szCs w:val="21"/>
                      <w:lang w:val="en-US" w:eastAsia="zh-CN"/>
                    </w:rPr>
                    <w:t>。</w:t>
                  </w:r>
                </w:p>
              </w:tc>
              <w:tc>
                <w:tcPr>
                  <w:tcW w:w="3087" w:type="dxa"/>
                  <w:tcBorders>
                    <w:tl2br w:val="nil"/>
                    <w:tr2bl w:val="nil"/>
                  </w:tcBorders>
                  <w:noWrap w:val="0"/>
                  <w:vAlign w:val="center"/>
                </w:tcPr>
                <w:p w14:paraId="5F49B83D">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本项目不属于金沙江流域。</w:t>
                  </w:r>
                </w:p>
              </w:tc>
              <w:tc>
                <w:tcPr>
                  <w:tcW w:w="652" w:type="dxa"/>
                  <w:tcBorders>
                    <w:tl2br w:val="nil"/>
                    <w:tr2bl w:val="nil"/>
                  </w:tcBorders>
                  <w:noWrap w:val="0"/>
                  <w:vAlign w:val="center"/>
                </w:tcPr>
                <w:p w14:paraId="31D489FC">
                  <w:pPr>
                    <w:pStyle w:val="13"/>
                    <w:spacing w:before="0" w:after="0" w:line="240" w:lineRule="auto"/>
                    <w:ind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43F6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2" w:hRule="atLeast"/>
                <w:jc w:val="center"/>
              </w:trPr>
              <w:tc>
                <w:tcPr>
                  <w:tcW w:w="3760" w:type="dxa"/>
                  <w:tcBorders>
                    <w:tl2br w:val="nil"/>
                    <w:tr2bl w:val="nil"/>
                  </w:tcBorders>
                  <w:noWrap w:val="0"/>
                  <w:vAlign w:val="center"/>
                </w:tcPr>
                <w:p w14:paraId="3CE167B2">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禁止在合规园区外新建、扩建钢铁、石化、化工、焦化、建材、有色、制浆造纸等高污染项目。禁止新增钢铁、水泥、平板玻璃等行业建设产能，确有必要建设的，应按规定实施产能等量或减量置换。</w:t>
                  </w:r>
                </w:p>
              </w:tc>
              <w:tc>
                <w:tcPr>
                  <w:tcW w:w="3087" w:type="dxa"/>
                  <w:tcBorders>
                    <w:tl2br w:val="nil"/>
                    <w:tr2bl w:val="nil"/>
                  </w:tcBorders>
                  <w:noWrap w:val="0"/>
                  <w:vAlign w:val="center"/>
                </w:tcPr>
                <w:p w14:paraId="67A10289">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lang w:val="en-US" w:eastAsia="zh-CN"/>
                    </w:rPr>
                    <w:t>钢铁、石化、化工、焦化、建材、有色、制浆造纸等高污染项目</w:t>
                  </w:r>
                  <w:r>
                    <w:rPr>
                      <w:rFonts w:hint="eastAsia" w:ascii="Times New Roman" w:hAnsi="Times New Roman" w:eastAsia="宋体" w:cs="Times New Roman"/>
                      <w:color w:val="auto"/>
                      <w:sz w:val="21"/>
                      <w:szCs w:val="21"/>
                      <w:lang w:val="en-US" w:eastAsia="zh-CN"/>
                    </w:rPr>
                    <w:t>。</w:t>
                  </w:r>
                </w:p>
              </w:tc>
              <w:tc>
                <w:tcPr>
                  <w:tcW w:w="652" w:type="dxa"/>
                  <w:tcBorders>
                    <w:tl2br w:val="nil"/>
                    <w:tr2bl w:val="nil"/>
                  </w:tcBorders>
                  <w:noWrap w:val="0"/>
                  <w:vAlign w:val="center"/>
                </w:tcPr>
                <w:p w14:paraId="34136AB4">
                  <w:pPr>
                    <w:pStyle w:val="13"/>
                    <w:spacing w:before="0" w:after="0" w:line="240" w:lineRule="auto"/>
                    <w:ind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B354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2" w:hRule="atLeast"/>
                <w:jc w:val="center"/>
              </w:trPr>
              <w:tc>
                <w:tcPr>
                  <w:tcW w:w="3760" w:type="dxa"/>
                  <w:tcBorders>
                    <w:tl2br w:val="nil"/>
                    <w:tr2bl w:val="nil"/>
                  </w:tcBorders>
                  <w:noWrap w:val="0"/>
                  <w:vAlign w:val="center"/>
                </w:tcPr>
                <w:p w14:paraId="4C0A3B68">
                  <w:pPr>
                    <w:pStyle w:val="13"/>
                    <w:spacing w:before="0" w:after="0" w:line="240" w:lineRule="auto"/>
                    <w:ind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3087" w:type="dxa"/>
                  <w:tcBorders>
                    <w:tl2br w:val="nil"/>
                    <w:tr2bl w:val="nil"/>
                  </w:tcBorders>
                  <w:noWrap w:val="0"/>
                  <w:vAlign w:val="center"/>
                </w:tcPr>
                <w:p w14:paraId="77BEE7FD">
                  <w:pPr>
                    <w:pStyle w:val="13"/>
                    <w:spacing w:before="0" w:after="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本项目不属于产业布局规划禁止项目。</w:t>
                  </w:r>
                </w:p>
              </w:tc>
              <w:tc>
                <w:tcPr>
                  <w:tcW w:w="652" w:type="dxa"/>
                  <w:tcBorders>
                    <w:tl2br w:val="nil"/>
                    <w:tr2bl w:val="nil"/>
                  </w:tcBorders>
                  <w:noWrap w:val="0"/>
                  <w:vAlign w:val="center"/>
                </w:tcPr>
                <w:p w14:paraId="0D46D758">
                  <w:pPr>
                    <w:pStyle w:val="13"/>
                    <w:spacing w:before="0" w:after="0" w:line="240" w:lineRule="auto"/>
                    <w:ind w:right="0"/>
                    <w:jc w:val="center"/>
                    <w:rPr>
                      <w:rFonts w:hint="default" w:ascii="Times New Roman" w:hAnsi="Times New Roman" w:eastAsia="宋体" w:cs="Times New Roman"/>
                      <w:color w:val="auto"/>
                      <w:sz w:val="21"/>
                      <w:szCs w:val="21"/>
                    </w:rPr>
                  </w:pPr>
                </w:p>
              </w:tc>
            </w:tr>
            <w:tr w14:paraId="3F524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2" w:hRule="atLeast"/>
                <w:jc w:val="center"/>
              </w:trPr>
              <w:tc>
                <w:tcPr>
                  <w:tcW w:w="3760" w:type="dxa"/>
                  <w:tcBorders>
                    <w:tl2br w:val="nil"/>
                    <w:tr2bl w:val="nil"/>
                  </w:tcBorders>
                  <w:noWrap w:val="0"/>
                  <w:vAlign w:val="center"/>
                </w:tcPr>
                <w:p w14:paraId="11392F49">
                  <w:pPr>
                    <w:pStyle w:val="13"/>
                    <w:spacing w:before="0" w:after="0" w:line="240" w:lineRule="auto"/>
                    <w:ind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3087" w:type="dxa"/>
                  <w:tcBorders>
                    <w:tl2br w:val="nil"/>
                    <w:tr2bl w:val="nil"/>
                  </w:tcBorders>
                  <w:noWrap w:val="0"/>
                  <w:vAlign w:val="center"/>
                </w:tcPr>
                <w:p w14:paraId="493D2587">
                  <w:pPr>
                    <w:pStyle w:val="13"/>
                    <w:spacing w:before="0" w:after="0" w:line="240" w:lineRule="auto"/>
                    <w:ind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根据国家发展和改革委员会第21号令《产业结构调整指导目录（2019年本），</w:t>
                  </w:r>
                  <w:r>
                    <w:rPr>
                      <w:rFonts w:hint="eastAsia" w:ascii="Times New Roman" w:hAnsi="Times New Roman" w:eastAsia="宋体" w:cs="Times New Roman"/>
                      <w:color w:val="auto"/>
                      <w:sz w:val="21"/>
                      <w:szCs w:val="21"/>
                      <w:lang w:val="en-US" w:eastAsia="zh-CN"/>
                    </w:rPr>
                    <w:t>属于允许类，</w:t>
                  </w:r>
                  <w:r>
                    <w:rPr>
                      <w:rFonts w:hint="default" w:ascii="Times New Roman" w:hAnsi="Times New Roman" w:eastAsia="宋体" w:cs="Times New Roman"/>
                      <w:color w:val="auto"/>
                      <w:sz w:val="21"/>
                      <w:szCs w:val="21"/>
                    </w:rPr>
                    <w:t>项目符合当前国家产业政策</w:t>
                  </w:r>
                  <w:r>
                    <w:rPr>
                      <w:rFonts w:hint="eastAsia" w:ascii="Times New Roman" w:hAnsi="Times New Roman" w:eastAsia="宋体" w:cs="Times New Roman"/>
                      <w:color w:val="auto"/>
                      <w:sz w:val="21"/>
                      <w:szCs w:val="21"/>
                      <w:lang w:val="en-US" w:eastAsia="zh-CN"/>
                    </w:rPr>
                    <w:t>。</w:t>
                  </w:r>
                </w:p>
              </w:tc>
              <w:tc>
                <w:tcPr>
                  <w:tcW w:w="652" w:type="dxa"/>
                  <w:tcBorders>
                    <w:tl2br w:val="nil"/>
                    <w:tr2bl w:val="nil"/>
                  </w:tcBorders>
                  <w:noWrap w:val="0"/>
                  <w:vAlign w:val="center"/>
                </w:tcPr>
                <w:p w14:paraId="7F34F511">
                  <w:pPr>
                    <w:pStyle w:val="13"/>
                    <w:spacing w:before="0" w:after="0" w:line="240" w:lineRule="auto"/>
                    <w:ind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0F843050">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经以上检查表可知，项目符合《</w:t>
            </w:r>
            <w:r>
              <w:rPr>
                <w:rFonts w:hint="eastAsia" w:ascii="Times New Roman" w:hAnsi="Times New Roman" w:eastAsia="宋体" w:cs="Times New Roman"/>
                <w:color w:val="auto"/>
                <w:sz w:val="24"/>
                <w:szCs w:val="24"/>
                <w:lang w:eastAsia="zh-CN"/>
              </w:rPr>
              <w:t>云南省长江经济带发展负面清单指南实施细则（试行，2022年版）</w:t>
            </w:r>
            <w:r>
              <w:rPr>
                <w:rFonts w:hint="default" w:ascii="Times New Roman" w:hAnsi="Times New Roman" w:eastAsia="宋体" w:cs="Times New Roman"/>
                <w:color w:val="auto"/>
                <w:sz w:val="24"/>
                <w:szCs w:val="24"/>
              </w:rPr>
              <w:t>》。</w:t>
            </w:r>
          </w:p>
          <w:p w14:paraId="5858A598">
            <w:pPr>
              <w:numPr>
                <w:ilvl w:val="0"/>
                <w:numId w:val="0"/>
              </w:numPr>
              <w:adjustRightInd w:val="0"/>
              <w:snapToGrid w:val="0"/>
              <w:spacing w:line="360" w:lineRule="auto"/>
              <w:textAlignment w:val="baseline"/>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五、</w:t>
            </w:r>
            <w:r>
              <w:rPr>
                <w:rFonts w:hint="default" w:ascii="Times New Roman" w:hAnsi="Times New Roman" w:eastAsia="宋体" w:cs="Times New Roman"/>
                <w:b/>
                <w:bCs/>
                <w:color w:val="auto"/>
                <w:sz w:val="24"/>
                <w:szCs w:val="24"/>
              </w:rPr>
              <w:t>与《云南省主体功能区划》相符性分析</w:t>
            </w:r>
          </w:p>
          <w:p w14:paraId="5DD67EAE">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2014年1月6日，云南省人民政府以“云政发[2014]1号”发布了《云南省主体功能区划》，该规划将全省国土空间按照开发方式分为重点开发区域、限制开发区域和禁止开发区域3类主体功能区。其中禁止开发区包括了国家级、省级、州市级和县级的自然保护区、世界自然和文化遗产地，国家级、省级风景名胜区，国家级、省级森林公园，国家级地质公园，城市集中饮用水源保护区，国家湿地公园，国家级水产种质资源保护区，以及牛栏江流域上游保护区水源保护核心区等。重点开发区包括国家层面如昆明市、玉溪市、曲靖市和楚雄州的27个县市区和12个乡镇，以及省级层面集中连片重点开发区域的16个县市区。限制开发区域包括农产品主产区和重点生态功能区。</w:t>
            </w:r>
          </w:p>
          <w:p w14:paraId="0D463539">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云南省主体功能区划》指出，能源开发与布局的开发原则：应继续实施西电东送战略，建成西电东送清洁能源基地、国家四大能源战略通道之一，在保障云南省需求的基础上，外送富余部分清洁能源。围绕优化产业结构、促进低碳转型目标，大力发展清洁可再生能源，着力构筑稳定、经济、清洁、安全的能源体系。通过将流域生态保护作为能源开发的重要目标，加强生态恢复，环境治理。</w:t>
            </w:r>
          </w:p>
          <w:p w14:paraId="7B0B2E8D">
            <w:pPr>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根据云南省主体功能区划分总图得知，本项目所在区域属于其中的限制开发区域（农产品开发主产区）。 </w:t>
            </w:r>
          </w:p>
          <w:p w14:paraId="0B01455E">
            <w:pPr>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限制开发区域（农产品开发主产区）的功能定位：以大理发展高原特色农业为重点，切实保护耕地，稳定粮食生产，发展现代农业，增强农业综合生产能力，增肌农民收入，加快建设社会主义新农村，有效增强农产品供给保障能力，确保国家粮食安全和食品安全。 </w:t>
            </w:r>
          </w:p>
          <w:p w14:paraId="6E279833">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不涉及自然保护区、世界文化自然遗产、风景名胜区、森林公园、地质公园、城市饮用水水源保护区、国家湿地公园、水产种质资源保护区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生态保护红线</w:t>
            </w:r>
            <w:r>
              <w:rPr>
                <w:rFonts w:hint="default" w:ascii="Times New Roman" w:hAnsi="Times New Roman" w:eastAsia="宋体" w:cs="Times New Roman"/>
                <w:color w:val="auto"/>
                <w:sz w:val="24"/>
                <w:szCs w:val="24"/>
              </w:rPr>
              <w:t>等敏感区域，不属于禁止开发区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 w:val="0"/>
                <w:bCs/>
                <w:color w:val="auto"/>
                <w:sz w:val="24"/>
                <w:szCs w:val="24"/>
                <w:lang w:val="en-US" w:eastAsia="zh-CN"/>
              </w:rPr>
              <w:t>根据</w:t>
            </w:r>
            <w:r>
              <w:rPr>
                <w:rFonts w:hint="eastAsia" w:ascii="Times New Roman" w:hAnsi="Times New Roman" w:eastAsia="宋体" w:cs="Times New Roman"/>
                <w:b w:val="0"/>
                <w:bCs/>
                <w:color w:val="auto"/>
                <w:sz w:val="24"/>
                <w:szCs w:val="24"/>
                <w:lang w:val="en-US" w:eastAsia="zh-CN"/>
              </w:rPr>
              <w:t>芒市自然资源局出具项目用地规划、性质复函，项目用地不涉及永久基本农田、生态保护红线、耕地保护目标。本项目属于坚果加工项目，项目建成后拉动中山乡坚果产业的发展，同时增加当地村民的收入。</w:t>
            </w:r>
            <w:r>
              <w:rPr>
                <w:rFonts w:hint="default" w:ascii="Times New Roman" w:hAnsi="Times New Roman" w:eastAsia="宋体" w:cs="Times New Roman"/>
                <w:color w:val="auto"/>
                <w:sz w:val="24"/>
                <w:szCs w:val="24"/>
              </w:rPr>
              <w:t>因此，本项目符合云南省主体功能区划。</w:t>
            </w:r>
          </w:p>
          <w:p w14:paraId="700E8E1D">
            <w:pPr>
              <w:pStyle w:val="1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olor w:val="auto"/>
                <w:lang w:val="en-US" w:eastAsia="zh-CN"/>
              </w:rPr>
            </w:pPr>
          </w:p>
        </w:tc>
      </w:tr>
    </w:tbl>
    <w:p w14:paraId="7EBC93E2">
      <w:pPr>
        <w:spacing w:line="360" w:lineRule="auto"/>
        <w:outlineLvl w:val="9"/>
        <w:rPr>
          <w:rFonts w:eastAsia="黑体"/>
          <w:color w:val="auto"/>
          <w:sz w:val="30"/>
        </w:rPr>
        <w:sectPr>
          <w:headerReference r:id="rId7" w:type="default"/>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938C3ED">
      <w:pPr>
        <w:pStyle w:val="3"/>
        <w:bidi w:val="0"/>
        <w:jc w:val="center"/>
        <w:rPr>
          <w:rFonts w:hint="eastAsia" w:ascii="Times New Roman" w:hAnsi="Times New Roman" w:cs="Times New Roman"/>
          <w:color w:val="auto"/>
        </w:rPr>
      </w:pPr>
      <w:bookmarkStart w:id="223" w:name="_Toc10915"/>
      <w:bookmarkStart w:id="224" w:name="_Toc18627"/>
      <w:bookmarkStart w:id="225" w:name="_Toc690"/>
      <w:bookmarkStart w:id="226" w:name="_Toc12032"/>
      <w:bookmarkStart w:id="227" w:name="_Toc8808"/>
      <w:bookmarkStart w:id="228" w:name="_Toc5573"/>
      <w:r>
        <w:rPr>
          <w:rFonts w:hint="eastAsia" w:ascii="Times New Roman" w:hAnsi="Times New Roman" w:cs="Times New Roman"/>
          <w:color w:val="auto"/>
        </w:rPr>
        <w:t>二、建设项目工程分析</w:t>
      </w:r>
      <w:bookmarkEnd w:id="223"/>
      <w:bookmarkEnd w:id="224"/>
      <w:bookmarkEnd w:id="225"/>
      <w:bookmarkEnd w:id="226"/>
      <w:bookmarkEnd w:id="227"/>
    </w:p>
    <w:tbl>
      <w:tblPr>
        <w:tblStyle w:val="33"/>
        <w:tblW w:w="53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1"/>
        <w:gridCol w:w="9327"/>
      </w:tblGrid>
      <w:tr w14:paraId="6723F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7" w:hRule="atLeast"/>
          <w:jc w:val="center"/>
        </w:trPr>
        <w:tc>
          <w:tcPr>
            <w:tcW w:w="220" w:type="pct"/>
            <w:noWrap w:val="0"/>
            <w:vAlign w:val="center"/>
          </w:tcPr>
          <w:p w14:paraId="39BC6C49">
            <w:pPr>
              <w:pStyle w:val="29"/>
              <w:adjustRightInd w:val="0"/>
              <w:snapToGrid w:val="0"/>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b w:val="0"/>
                <w:bCs/>
                <w:color w:val="auto"/>
                <w:kern w:val="2"/>
                <w:sz w:val="24"/>
                <w:szCs w:val="24"/>
                <w:lang w:val="en-US" w:eastAsia="zh-CN" w:bidi="ar-SA"/>
              </w:rPr>
              <w:t>建设内容</w:t>
            </w:r>
          </w:p>
        </w:tc>
        <w:tc>
          <w:tcPr>
            <w:tcW w:w="4779" w:type="pct"/>
            <w:noWrap w:val="0"/>
            <w:vAlign w:val="top"/>
          </w:tcPr>
          <w:p w14:paraId="0B78742C">
            <w:pPr>
              <w:pStyle w:val="5"/>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一、项目由来</w:t>
            </w:r>
          </w:p>
          <w:p w14:paraId="70D46E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为了带动区域</w:t>
            </w:r>
            <w:r>
              <w:rPr>
                <w:rFonts w:hint="eastAsia" w:ascii="Times New Roman" w:hAnsi="Times New Roman" w:eastAsia="宋体" w:cs="Times New Roman"/>
                <w:color w:val="auto"/>
                <w:sz w:val="24"/>
                <w:szCs w:val="24"/>
                <w:lang w:val="en-US" w:eastAsia="zh-CN"/>
              </w:rPr>
              <w:t>坚果产业发展，促进村集体经济增收，同时结合中山乡小水井村民委员会实施的“现代化边境小康村项目”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芒市中山乡人民政府提出</w:t>
            </w:r>
            <w:r>
              <w:rPr>
                <w:rFonts w:hint="default" w:ascii="Times New Roman" w:hAnsi="Times New Roman" w:eastAsia="宋体" w:cs="Times New Roman"/>
                <w:color w:val="auto"/>
                <w:sz w:val="24"/>
                <w:szCs w:val="24"/>
                <w:lang w:val="en-US" w:eastAsia="zh-CN"/>
              </w:rPr>
              <w:t>投资</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00万元，在</w:t>
            </w:r>
            <w:r>
              <w:rPr>
                <w:rFonts w:hint="eastAsia" w:ascii="Times New Roman" w:hAnsi="Times New Roman" w:eastAsia="宋体" w:cs="Times New Roman"/>
                <w:color w:val="auto"/>
                <w:sz w:val="24"/>
                <w:szCs w:val="24"/>
                <w:lang w:val="en-US" w:eastAsia="zh-CN"/>
              </w:rPr>
              <w:t>德宏州芒市中山乡芒丙村罗胡山</w:t>
            </w:r>
            <w:r>
              <w:rPr>
                <w:rFonts w:hint="default" w:ascii="Times New Roman" w:hAnsi="Times New Roman" w:eastAsia="宋体" w:cs="Times New Roman"/>
                <w:color w:val="auto"/>
                <w:sz w:val="24"/>
                <w:szCs w:val="24"/>
                <w:lang w:val="en-US" w:eastAsia="zh-CN"/>
              </w:rPr>
              <w:t>，新建“</w:t>
            </w:r>
            <w:r>
              <w:rPr>
                <w:rFonts w:hint="eastAsia" w:ascii="Times New Roman" w:hAnsi="Times New Roman" w:eastAsia="宋体" w:cs="Times New Roman"/>
                <w:color w:val="auto"/>
                <w:sz w:val="24"/>
                <w:szCs w:val="24"/>
                <w:lang w:val="en-US" w:eastAsia="zh-CN"/>
              </w:rPr>
              <w:t>中山乡光明坚果初加工基地建设工程项目</w:t>
            </w:r>
            <w:r>
              <w:rPr>
                <w:rFonts w:hint="default" w:ascii="Times New Roman" w:hAnsi="Times New Roman" w:eastAsia="宋体" w:cs="Times New Roman"/>
                <w:color w:val="auto"/>
                <w:sz w:val="24"/>
                <w:szCs w:val="24"/>
                <w:lang w:val="en-US" w:eastAsia="zh-CN"/>
              </w:rPr>
              <w:t>”，该项目</w:t>
            </w:r>
            <w:r>
              <w:rPr>
                <w:rFonts w:hint="eastAsia" w:ascii="Times New Roman" w:hAnsi="Times New Roman" w:eastAsia="宋体" w:cs="Times New Roman"/>
                <w:color w:val="auto"/>
                <w:sz w:val="24"/>
                <w:szCs w:val="24"/>
                <w:lang w:val="en-US" w:eastAsia="zh-CN"/>
              </w:rPr>
              <w:t>后期具体实施单位为芒市福多乐商贸有限公司。芒市福多乐商贸有限公司已经与中山乡小水井村民委员会签订了中山乡坚果加工厂租赁合同，由中山乡小水井村民委员会将加工厂建设完成后租用给芒市福多乐商贸有限公司进行坚果加工。</w:t>
            </w:r>
          </w:p>
          <w:p w14:paraId="32527E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本项目将依托中山乡小水井村民委员建设的1栋标准化生产厂房（建筑面积2300m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）及1栋2层的业务生活用房（750m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）及供水、供电、厂区</w:t>
            </w:r>
            <w:r>
              <w:rPr>
                <w:rFonts w:hint="eastAsia" w:ascii="Times New Roman" w:hAnsi="Times New Roman" w:eastAsia="宋体" w:cs="Times New Roman"/>
                <w:b w:val="0"/>
                <w:bCs w:val="0"/>
                <w:color w:val="auto"/>
                <w:sz w:val="24"/>
                <w:szCs w:val="24"/>
                <w:lang w:val="en-US" w:eastAsia="zh-CN"/>
              </w:rPr>
              <w:t>道路、边坡治理工程等附属设施，仅购置坚果加工设备，</w:t>
            </w:r>
            <w:r>
              <w:rPr>
                <w:rFonts w:hint="default" w:ascii="Times New Roman" w:hAnsi="Times New Roman" w:eastAsia="宋体" w:cs="Times New Roman"/>
                <w:b w:val="0"/>
                <w:bCs w:val="0"/>
                <w:color w:val="auto"/>
                <w:sz w:val="24"/>
                <w:szCs w:val="24"/>
                <w:lang w:val="en-US" w:eastAsia="zh-CN"/>
              </w:rPr>
              <w:t>设置坚果加工生产线1条，</w:t>
            </w:r>
            <w:r>
              <w:rPr>
                <w:rFonts w:hint="default" w:ascii="Times New Roman" w:hAnsi="Times New Roman" w:cs="Times New Roman"/>
                <w:b w:val="0"/>
                <w:bCs w:val="0"/>
                <w:color w:val="auto"/>
                <w:sz w:val="24"/>
                <w:szCs w:val="24"/>
              </w:rPr>
              <w:t>配套</w:t>
            </w:r>
            <w:r>
              <w:rPr>
                <w:rFonts w:hint="eastAsia" w:ascii="Times New Roman" w:hAnsi="Times New Roman" w:cs="Times New Roman"/>
                <w:b w:val="0"/>
                <w:bCs w:val="0"/>
                <w:color w:val="auto"/>
                <w:sz w:val="24"/>
                <w:szCs w:val="24"/>
                <w:lang w:val="en-US" w:eastAsia="zh-CN"/>
              </w:rPr>
              <w:t>设置</w:t>
            </w:r>
            <w:r>
              <w:rPr>
                <w:rFonts w:hint="default" w:ascii="Times New Roman" w:hAnsi="Times New Roman" w:cs="Times New Roman"/>
                <w:b w:val="0"/>
                <w:bCs w:val="0"/>
                <w:color w:val="auto"/>
                <w:sz w:val="24"/>
                <w:szCs w:val="24"/>
              </w:rPr>
              <w:t>冷库（0-8℃）三间，总容积1100m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项目建成后</w:t>
            </w:r>
            <w:r>
              <w:rPr>
                <w:rFonts w:hint="eastAsia" w:ascii="Times New Roman" w:hAnsi="Times New Roman" w:eastAsia="宋体" w:cs="Times New Roman"/>
                <w:color w:val="auto"/>
                <w:sz w:val="24"/>
                <w:szCs w:val="24"/>
                <w:lang w:val="en-US" w:eastAsia="zh-CN"/>
              </w:rPr>
              <w:t>年产3000吨夏威夷坚果产品</w:t>
            </w:r>
            <w:r>
              <w:rPr>
                <w:rFonts w:hint="default" w:ascii="Times New Roman" w:hAnsi="Times New Roman" w:eastAsia="宋体" w:cs="Times New Roman"/>
                <w:b w:val="0"/>
                <w:bCs w:val="0"/>
                <w:color w:val="auto"/>
                <w:sz w:val="24"/>
                <w:szCs w:val="24"/>
                <w:lang w:val="en-US" w:eastAsia="zh-CN"/>
              </w:rPr>
              <w:t>。</w:t>
            </w:r>
          </w:p>
          <w:p w14:paraId="60E6FA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对照</w:t>
            </w:r>
            <w:r>
              <w:rPr>
                <w:rFonts w:hint="eastAsia" w:ascii="Times New Roman" w:hAnsi="Times New Roman" w:eastAsia="宋体" w:cs="Times New Roman"/>
                <w:color w:val="auto"/>
                <w:sz w:val="24"/>
                <w:szCs w:val="24"/>
                <w:lang w:val="en-US" w:eastAsia="zh-CN"/>
              </w:rPr>
              <w:t>芒市</w:t>
            </w:r>
            <w:r>
              <w:rPr>
                <w:rFonts w:hint="default" w:ascii="Times New Roman" w:hAnsi="Times New Roman" w:eastAsia="宋体" w:cs="Times New Roman"/>
                <w:color w:val="auto"/>
                <w:sz w:val="24"/>
                <w:szCs w:val="24"/>
                <w:lang w:val="en-US" w:eastAsia="zh-CN"/>
              </w:rPr>
              <w:t>发展和改革局关于</w:t>
            </w:r>
            <w:r>
              <w:rPr>
                <w:rFonts w:hint="eastAsia" w:ascii="Times New Roman" w:hAnsi="Times New Roman" w:eastAsia="宋体" w:cs="Times New Roman"/>
                <w:color w:val="auto"/>
                <w:sz w:val="24"/>
                <w:szCs w:val="24"/>
                <w:lang w:val="en-US" w:eastAsia="zh-CN"/>
              </w:rPr>
              <w:t>中山乡光明坚果初加工基地建设工程项目建议书</w:t>
            </w:r>
            <w:r>
              <w:rPr>
                <w:rFonts w:hint="default" w:ascii="Times New Roman" w:hAnsi="Times New Roman" w:eastAsia="宋体" w:cs="Times New Roman"/>
                <w:color w:val="auto"/>
                <w:sz w:val="24"/>
                <w:szCs w:val="24"/>
                <w:lang w:val="en-US" w:eastAsia="zh-CN"/>
              </w:rPr>
              <w:t>的批复</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盈发改</w:t>
            </w:r>
            <w:r>
              <w:rPr>
                <w:rFonts w:hint="eastAsia" w:ascii="Times New Roman" w:hAnsi="Times New Roman" w:eastAsia="宋体" w:cs="Times New Roman"/>
                <w:color w:val="auto"/>
                <w:sz w:val="24"/>
                <w:szCs w:val="24"/>
                <w:lang w:val="en-US" w:eastAsia="zh-CN"/>
              </w:rPr>
              <w:t>字</w:t>
            </w:r>
            <w:r>
              <w:rPr>
                <w:rFonts w:hint="default" w:ascii="Times New Roman" w:hAnsi="Times New Roman" w:eastAsia="宋体" w:cs="Times New Roman"/>
                <w:color w:val="auto"/>
                <w:sz w:val="24"/>
                <w:szCs w:val="24"/>
                <w:lang w:val="en-US" w:eastAsia="zh-CN"/>
              </w:rPr>
              <w:t>﹝2022﹞</w:t>
            </w:r>
            <w:r>
              <w:rPr>
                <w:rFonts w:hint="eastAsia"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lang w:val="en-US" w:eastAsia="zh-CN"/>
              </w:rPr>
              <w:t>号</w:t>
            </w:r>
            <w:r>
              <w:rPr>
                <w:rFonts w:hint="eastAsia" w:ascii="Times New Roman" w:hAnsi="Times New Roman" w:eastAsia="宋体" w:cs="Times New Roman"/>
                <w:color w:val="auto"/>
                <w:sz w:val="24"/>
                <w:szCs w:val="24"/>
                <w:lang w:val="en-US" w:eastAsia="zh-CN"/>
              </w:rPr>
              <w:t>）建设内容及建设规模，“占地面积18.5亩”变更为8350m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；“初加工厂房2000平方米、仓库2000平方米、冷库房300平方米，地磅房34平方米”变更为坚果加工生产车间2300m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。施工期由批复的2022年5月份开工调整至2023年5月，因此本次评价以实际建设来进行评价。</w:t>
            </w:r>
          </w:p>
          <w:p w14:paraId="4E9D8774">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依据《中华人民共和国环境影响评价法》及《建设项目环境保护管理条例》（国务院682号令），建设项目应执行环境影响评价制度。根据《建设项目环境影响评价分类管理名录》</w:t>
            </w:r>
            <w:r>
              <w:rPr>
                <w:rFonts w:hint="default" w:ascii="Times New Roman" w:hAnsi="Times New Roman" w:eastAsia="宋体" w:cs="Times New Roman"/>
                <w:color w:val="auto"/>
                <w:kern w:val="2"/>
                <w:sz w:val="24"/>
                <w:szCs w:val="24"/>
                <w:lang w:val="en-US" w:eastAsia="zh-CN" w:bidi="ar-SA"/>
              </w:rPr>
              <w:t>（2021年版）</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val="en-US" w:eastAsia="zh-CN"/>
              </w:rPr>
              <w:t>本项目属于“</w:t>
            </w:r>
            <w:r>
              <w:rPr>
                <w:rFonts w:hint="eastAsia" w:ascii="Times New Roman" w:hAnsi="Times New Roman" w:eastAsia="宋体" w:cs="Times New Roman"/>
                <w:color w:val="auto"/>
                <w:sz w:val="24"/>
                <w:szCs w:val="24"/>
                <w:lang w:val="en-US" w:eastAsia="zh-CN"/>
              </w:rPr>
              <w:t>十一</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食品制造</w:t>
            </w:r>
            <w:r>
              <w:rPr>
                <w:rFonts w:hint="default" w:ascii="Times New Roman" w:hAnsi="Times New Roman" w:eastAsia="宋体" w:cs="Times New Roman"/>
                <w:color w:val="auto"/>
                <w:sz w:val="24"/>
                <w:szCs w:val="24"/>
                <w:lang w:val="en-US" w:eastAsia="zh-CN"/>
              </w:rPr>
              <w:t>业</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中</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其他食品制造149*中其他未列明食品制造</w:t>
            </w:r>
            <w:r>
              <w:rPr>
                <w:rFonts w:hint="default" w:ascii="Times New Roman" w:hAnsi="Times New Roman" w:eastAsia="宋体" w:cs="Times New Roman"/>
                <w:color w:val="auto"/>
                <w:sz w:val="24"/>
                <w:szCs w:val="24"/>
                <w:lang w:val="en-US" w:eastAsia="zh-CN"/>
              </w:rPr>
              <w:t>”，因此</w:t>
            </w:r>
            <w:r>
              <w:rPr>
                <w:rFonts w:hint="default" w:ascii="Times New Roman" w:hAnsi="Times New Roman" w:eastAsia="宋体" w:cs="Times New Roman"/>
                <w:color w:val="auto"/>
                <w:sz w:val="24"/>
                <w:szCs w:val="24"/>
              </w:rPr>
              <w:t>本项目应编制环境影响报告表。</w:t>
            </w:r>
            <w:r>
              <w:rPr>
                <w:rFonts w:hint="eastAsia" w:ascii="宋体" w:hAnsi="宋体" w:eastAsia="宋体" w:cs="宋体"/>
                <w:color w:val="auto"/>
                <w:sz w:val="24"/>
                <w:szCs w:val="24"/>
              </w:rPr>
              <w:t>受</w:t>
            </w:r>
            <w:r>
              <w:rPr>
                <w:rFonts w:hint="eastAsia" w:ascii="宋体" w:hAnsi="宋体" w:eastAsia="宋体" w:cs="宋体"/>
                <w:color w:val="auto"/>
                <w:sz w:val="24"/>
                <w:szCs w:val="24"/>
                <w:lang w:val="en-US" w:eastAsia="zh-CN"/>
              </w:rPr>
              <w:t>芒市中山乡人民政府</w:t>
            </w:r>
            <w:r>
              <w:rPr>
                <w:rFonts w:hint="eastAsia" w:ascii="宋体" w:hAnsi="宋体" w:eastAsia="宋体" w:cs="宋体"/>
                <w:color w:val="auto"/>
                <w:sz w:val="24"/>
                <w:szCs w:val="24"/>
              </w:rPr>
              <w:t>的委托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我公司承担该项目环境影响报告表的编制工作。接受委托后，</w:t>
            </w:r>
            <w:r>
              <w:rPr>
                <w:rFonts w:hint="eastAsia" w:ascii="宋体" w:hAnsi="宋体" w:eastAsia="宋体" w:cs="宋体"/>
                <w:color w:val="auto"/>
                <w:sz w:val="24"/>
                <w:szCs w:val="24"/>
                <w:lang w:eastAsia="zh-CN"/>
              </w:rPr>
              <w:t>我</w:t>
            </w:r>
            <w:r>
              <w:rPr>
                <w:rFonts w:hint="eastAsia" w:ascii="宋体" w:hAnsi="宋体" w:eastAsia="宋体" w:cs="宋体"/>
                <w:color w:val="auto"/>
                <w:sz w:val="24"/>
                <w:szCs w:val="24"/>
              </w:rPr>
              <w:t>公司组成环评项目组，对项目场地及周边环境进行了现状调查、实地踏勘和调研工作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对项目进行资料收集，在对本项目工程有关环境现状和可能造成的环境影响进行分析后，依据</w:t>
            </w:r>
            <w:r>
              <w:rPr>
                <w:rFonts w:hint="eastAsia" w:ascii="宋体" w:hAnsi="宋体" w:eastAsia="宋体" w:cs="宋体"/>
                <w:color w:val="auto"/>
                <w:sz w:val="24"/>
                <w:szCs w:val="24"/>
                <w:lang w:val="en-US" w:eastAsia="zh-CN"/>
              </w:rPr>
              <w:t>生态环境部</w:t>
            </w:r>
            <w:r>
              <w:rPr>
                <w:rFonts w:hint="eastAsia" w:ascii="宋体" w:hAnsi="宋体" w:eastAsia="宋体" w:cs="宋体"/>
                <w:color w:val="auto"/>
                <w:sz w:val="24"/>
                <w:szCs w:val="24"/>
              </w:rPr>
              <w:t>编制的《</w:t>
            </w:r>
            <w:r>
              <w:rPr>
                <w:rFonts w:hint="eastAsia" w:ascii="宋体" w:hAnsi="宋体" w:eastAsia="宋体" w:cs="宋体"/>
                <w:color w:val="auto"/>
                <w:sz w:val="24"/>
                <w:szCs w:val="24"/>
                <w:lang w:val="en-US" w:eastAsia="zh-CN"/>
              </w:rPr>
              <w:t>建设项目环境影响报告表编制技术指南（污染影响类）（试行）</w:t>
            </w:r>
            <w:r>
              <w:rPr>
                <w:rFonts w:hint="eastAsia" w:ascii="宋体" w:hAnsi="宋体" w:eastAsia="宋体" w:cs="宋体"/>
                <w:color w:val="auto"/>
                <w:sz w:val="24"/>
                <w:szCs w:val="24"/>
              </w:rPr>
              <w:t>》的有关规定和要求，编制《</w:t>
            </w:r>
            <w:r>
              <w:rPr>
                <w:rFonts w:hint="eastAsia" w:ascii="宋体" w:hAnsi="宋体" w:eastAsia="宋体" w:cs="宋体"/>
                <w:color w:val="auto"/>
                <w:sz w:val="24"/>
                <w:szCs w:val="24"/>
                <w:lang w:val="en-US" w:eastAsia="zh-CN"/>
              </w:rPr>
              <w:t>中山乡光明坚果初加工基地建设工程项目</w:t>
            </w:r>
            <w:r>
              <w:rPr>
                <w:rFonts w:hint="eastAsia" w:ascii="宋体" w:hAnsi="宋体" w:eastAsia="宋体" w:cs="Times New Roman"/>
                <w:color w:val="auto"/>
                <w:kern w:val="2"/>
                <w:sz w:val="24"/>
                <w:szCs w:val="24"/>
                <w:lang w:val="en-US" w:eastAsia="zh-CN" w:bidi="ar-SA"/>
              </w:rPr>
              <w:t>环境影响</w:t>
            </w:r>
            <w:r>
              <w:rPr>
                <w:rFonts w:hint="eastAsia" w:ascii="宋体" w:hAnsi="宋体" w:eastAsia="宋体" w:cs="宋体"/>
                <w:color w:val="auto"/>
                <w:sz w:val="24"/>
                <w:szCs w:val="24"/>
              </w:rPr>
              <w:t>报告表》，供建设单位上报审批。</w:t>
            </w:r>
          </w:p>
          <w:p w14:paraId="1DE6356D">
            <w:pPr>
              <w:pStyle w:val="5"/>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二、建设内容及规模</w:t>
            </w:r>
          </w:p>
          <w:p w14:paraId="29DDA2F0">
            <w:pPr>
              <w:keepNext w:val="0"/>
              <w:keepLines w:val="0"/>
              <w:pageBreakBefore w:val="0"/>
              <w:widowControl w:val="0"/>
              <w:tabs>
                <w:tab w:val="left" w:pos="2395"/>
              </w:tabs>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（1）项目使用场地现状及依托工程</w:t>
            </w:r>
          </w:p>
          <w:p w14:paraId="49A53D7A">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kern w:val="2"/>
                <w:sz w:val="24"/>
                <w:szCs w:val="24"/>
                <w:lang w:val="en-US" w:eastAsia="zh-CN" w:bidi="ar-SA"/>
              </w:rPr>
              <w:t>经过现场勘查，目前使用场地地势平坦，已经建设1栋</w:t>
            </w:r>
            <w:r>
              <w:rPr>
                <w:rFonts w:hint="eastAsia" w:ascii="Times New Roman" w:hAnsi="Times New Roman" w:eastAsia="宋体" w:cs="Times New Roman"/>
                <w:color w:val="auto"/>
                <w:sz w:val="24"/>
                <w:szCs w:val="24"/>
                <w:lang w:val="en-US" w:eastAsia="zh-CN"/>
              </w:rPr>
              <w:t>标准化生产厂房（建筑面积2300m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），中山乡小水井村民委员会正在建设1栋2层的业务生活用房（750m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），完善供水、供电、厂区</w:t>
            </w:r>
            <w:r>
              <w:rPr>
                <w:rFonts w:hint="eastAsia" w:ascii="Times New Roman" w:hAnsi="Times New Roman" w:eastAsia="宋体" w:cs="Times New Roman"/>
                <w:b w:val="0"/>
                <w:bCs w:val="0"/>
                <w:color w:val="auto"/>
                <w:sz w:val="24"/>
                <w:szCs w:val="24"/>
                <w:lang w:val="en-US" w:eastAsia="zh-CN"/>
              </w:rPr>
              <w:t>道路、边坡治理工程等附属设施。本项目</w:t>
            </w:r>
            <w:r>
              <w:rPr>
                <w:rFonts w:hint="eastAsia" w:ascii="Times New Roman" w:hAnsi="Times New Roman" w:eastAsia="宋体" w:cs="Times New Roman"/>
                <w:color w:val="auto"/>
                <w:sz w:val="24"/>
                <w:szCs w:val="24"/>
                <w:lang w:val="en-US" w:eastAsia="zh-CN"/>
              </w:rPr>
              <w:t>将依托中山乡小水井村民委员会实施的“现代化边境小康村项目”实施的工程内容。本项目不涉及建筑施工，仅对标准化生产厂房进行分区，安装</w:t>
            </w:r>
            <w:r>
              <w:rPr>
                <w:rFonts w:hint="default" w:ascii="Times New Roman" w:hAnsi="Times New Roman" w:eastAsia="宋体" w:cs="Times New Roman"/>
                <w:color w:val="auto"/>
                <w:sz w:val="24"/>
                <w:szCs w:val="24"/>
                <w:lang w:val="en-US" w:eastAsia="zh-CN"/>
              </w:rPr>
              <w:t>坚果加工生产线1条，配套</w:t>
            </w:r>
            <w:r>
              <w:rPr>
                <w:rFonts w:hint="eastAsia" w:ascii="Times New Roman" w:hAnsi="Times New Roman" w:eastAsia="宋体" w:cs="Times New Roman"/>
                <w:color w:val="auto"/>
                <w:sz w:val="24"/>
                <w:szCs w:val="24"/>
                <w:lang w:val="en-US" w:eastAsia="zh-CN"/>
              </w:rPr>
              <w:t>设置</w:t>
            </w:r>
            <w:r>
              <w:rPr>
                <w:rFonts w:hint="default" w:ascii="Times New Roman" w:hAnsi="Times New Roman" w:eastAsia="宋体" w:cs="Times New Roman"/>
                <w:color w:val="auto"/>
                <w:sz w:val="24"/>
                <w:szCs w:val="24"/>
                <w:lang w:val="en-US" w:eastAsia="zh-CN"/>
              </w:rPr>
              <w:t>冷库（0-8℃）三间</w:t>
            </w:r>
            <w:r>
              <w:rPr>
                <w:rFonts w:hint="eastAsia" w:ascii="Times New Roman" w:hAnsi="Times New Roman" w:eastAsia="宋体" w:cs="Times New Roman"/>
                <w:color w:val="auto"/>
                <w:sz w:val="24"/>
                <w:szCs w:val="24"/>
                <w:lang w:val="en-US" w:eastAsia="zh-CN"/>
              </w:rPr>
              <w:t>。</w:t>
            </w:r>
          </w:p>
          <w:p w14:paraId="4A83F6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建设内容</w:t>
            </w:r>
          </w:p>
          <w:p w14:paraId="06B0DA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3"/>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本项目建成后</w:t>
            </w:r>
            <w:r>
              <w:rPr>
                <w:rFonts w:hint="eastAsia"/>
                <w:color w:val="auto"/>
                <w:sz w:val="24"/>
                <w:szCs w:val="24"/>
                <w:lang w:val="en-US" w:eastAsia="zh-CN"/>
              </w:rPr>
              <w:t>总占地面积8350m</w:t>
            </w:r>
            <w:r>
              <w:rPr>
                <w:rFonts w:hint="eastAsia"/>
                <w:color w:val="auto"/>
                <w:sz w:val="24"/>
                <w:szCs w:val="24"/>
                <w:vertAlign w:val="superscript"/>
                <w:lang w:val="en-US" w:eastAsia="zh-CN"/>
              </w:rPr>
              <w:t>2</w:t>
            </w:r>
            <w:r>
              <w:rPr>
                <w:rFonts w:hint="eastAsia"/>
                <w:color w:val="auto"/>
                <w:sz w:val="24"/>
                <w:szCs w:val="24"/>
                <w:lang w:val="en-US" w:eastAsia="zh-CN"/>
              </w:rPr>
              <w:t>（12.52亩），</w:t>
            </w:r>
            <w:r>
              <w:rPr>
                <w:rFonts w:hint="default" w:ascii="Times New Roman" w:hAnsi="Times New Roman" w:eastAsia="宋体" w:cs="Times New Roman"/>
                <w:color w:val="auto"/>
                <w:kern w:val="3"/>
                <w:sz w:val="24"/>
                <w:szCs w:val="24"/>
                <w:highlight w:val="none"/>
              </w:rPr>
              <w:t>总建筑面积</w:t>
            </w:r>
            <w:r>
              <w:rPr>
                <w:rFonts w:hint="eastAsia" w:ascii="Times New Roman" w:hAnsi="Times New Roman" w:eastAsia="宋体" w:cs="Times New Roman"/>
                <w:color w:val="auto"/>
                <w:kern w:val="3"/>
                <w:sz w:val="24"/>
                <w:szCs w:val="24"/>
                <w:highlight w:val="none"/>
                <w:lang w:val="en-US" w:eastAsia="zh-CN"/>
              </w:rPr>
              <w:t>3050</w:t>
            </w:r>
            <w:r>
              <w:rPr>
                <w:rFonts w:hint="default" w:ascii="Times New Roman" w:hAnsi="Times New Roman" w:eastAsia="宋体" w:cs="Times New Roman"/>
                <w:color w:val="auto"/>
                <w:kern w:val="3"/>
                <w:sz w:val="24"/>
                <w:szCs w:val="24"/>
                <w:highlight w:val="none"/>
              </w:rPr>
              <w:t>m</w:t>
            </w:r>
            <w:r>
              <w:rPr>
                <w:rFonts w:hint="default" w:ascii="Times New Roman" w:hAnsi="Times New Roman" w:eastAsia="宋体" w:cs="Times New Roman"/>
                <w:color w:val="auto"/>
                <w:kern w:val="3"/>
                <w:sz w:val="24"/>
                <w:szCs w:val="24"/>
                <w:highlight w:val="none"/>
                <w:vertAlign w:val="superscript"/>
              </w:rPr>
              <w:t>2</w:t>
            </w:r>
            <w:r>
              <w:rPr>
                <w:rFonts w:hint="default" w:ascii="Times New Roman" w:hAnsi="Times New Roman" w:eastAsia="宋体" w:cs="Times New Roman"/>
                <w:color w:val="auto"/>
                <w:kern w:val="3"/>
                <w:sz w:val="24"/>
                <w:szCs w:val="24"/>
                <w:highlight w:val="none"/>
              </w:rPr>
              <w:t>，</w:t>
            </w:r>
            <w:r>
              <w:rPr>
                <w:rFonts w:hint="eastAsia" w:ascii="Times New Roman" w:hAnsi="Times New Roman" w:eastAsia="宋体" w:cs="Times New Roman"/>
                <w:color w:val="auto"/>
                <w:kern w:val="3"/>
                <w:sz w:val="24"/>
                <w:szCs w:val="24"/>
                <w:highlight w:val="none"/>
                <w:lang w:val="en-US" w:eastAsia="zh-CN"/>
              </w:rPr>
              <w:t>主要由1栋坚果加工生产车间（钢架一层，依托）</w:t>
            </w:r>
            <w:r>
              <w:rPr>
                <w:rFonts w:hint="eastAsia" w:ascii="Times New Roman" w:hAnsi="Times New Roman" w:eastAsia="宋体" w:cs="Times New Roman"/>
                <w:color w:val="auto"/>
                <w:sz w:val="24"/>
                <w:szCs w:val="24"/>
                <w:lang w:val="en-US" w:eastAsia="zh-CN"/>
              </w:rPr>
              <w:t>2300m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1栋业务生活用房（钢架二层，依托）750m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1栋废料堆放</w:t>
            </w:r>
            <w:r>
              <w:rPr>
                <w:rFonts w:hint="default" w:ascii="Times New Roman" w:hAnsi="Times New Roman" w:eastAsia="宋体" w:cs="Times New Roman"/>
                <w:color w:val="auto"/>
                <w:sz w:val="24"/>
                <w:szCs w:val="24"/>
                <w:lang w:val="en-US" w:eastAsia="zh-CN"/>
              </w:rPr>
              <w:t>大棚</w:t>
            </w:r>
            <w:r>
              <w:rPr>
                <w:rFonts w:hint="eastAsia" w:ascii="Times New Roman" w:hAnsi="Times New Roman" w:eastAsia="宋体" w:cs="Times New Roman"/>
                <w:color w:val="auto"/>
                <w:sz w:val="24"/>
                <w:szCs w:val="24"/>
                <w:lang w:val="en-US" w:eastAsia="zh-CN"/>
              </w:rPr>
              <w:t>100m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（钢架结构一层，新建）组成。依托场地已有的供电、供水、道路等公辅设施</w:t>
            </w:r>
            <w:r>
              <w:rPr>
                <w:rFonts w:hint="eastAsia" w:ascii="Times New Roman" w:hAnsi="Times New Roman" w:eastAsia="宋体" w:cs="Times New Roman"/>
                <w:color w:val="auto"/>
                <w:kern w:val="3"/>
                <w:sz w:val="24"/>
                <w:szCs w:val="24"/>
                <w:highlight w:val="none"/>
                <w:lang w:val="en-US" w:eastAsia="zh-CN"/>
              </w:rPr>
              <w:t>。</w:t>
            </w:r>
          </w:p>
          <w:p w14:paraId="54CE9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kern w:val="3"/>
                <w:sz w:val="24"/>
                <w:szCs w:val="24"/>
                <w:highlight w:val="none"/>
              </w:rPr>
              <w:t>具体建设内容见表</w:t>
            </w:r>
            <w:r>
              <w:rPr>
                <w:rFonts w:hint="default" w:ascii="Times New Roman" w:hAnsi="Times New Roman" w:eastAsia="宋体" w:cs="Times New Roman"/>
                <w:color w:val="auto"/>
                <w:sz w:val="24"/>
                <w:szCs w:val="24"/>
                <w:lang w:val="en-US" w:eastAsia="zh-CN"/>
              </w:rPr>
              <w:t>2</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1</w:t>
            </w:r>
            <w:r>
              <w:rPr>
                <w:rFonts w:hint="eastAsia" w:ascii="宋体" w:hAnsi="宋体" w:eastAsia="宋体" w:cs="宋体"/>
                <w:color w:val="auto"/>
                <w:sz w:val="24"/>
                <w:szCs w:val="24"/>
              </w:rPr>
              <w:t>。</w:t>
            </w:r>
          </w:p>
          <w:p w14:paraId="50B1F72E">
            <w:pPr>
              <w:keepNext w:val="0"/>
              <w:keepLines w:val="0"/>
              <w:pageBreakBefore w:val="0"/>
              <w:widowControl w:val="0"/>
              <w:tabs>
                <w:tab w:val="left" w:pos="6489"/>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ascii="宋体" w:hAnsi="宋体" w:eastAsia="宋体" w:cs="宋体"/>
                <w:b/>
                <w:bCs/>
                <w:color w:val="auto"/>
                <w:sz w:val="24"/>
                <w:szCs w:val="24"/>
              </w:rPr>
              <w:t>-</w:t>
            </w:r>
            <w:r>
              <w:rPr>
                <w:rFonts w:hint="default" w:ascii="Times New Roman" w:hAnsi="Times New Roman" w:eastAsia="宋体" w:cs="Times New Roman"/>
                <w:b/>
                <w:bCs/>
                <w:color w:val="auto"/>
                <w:sz w:val="24"/>
                <w:szCs w:val="24"/>
              </w:rPr>
              <w:t>1</w:t>
            </w:r>
            <w:r>
              <w:rPr>
                <w:rFonts w:hint="eastAsia" w:ascii="宋体" w:hAnsi="宋体" w:eastAsia="宋体" w:cs="宋体"/>
                <w:b/>
                <w:bCs/>
                <w:color w:val="auto"/>
                <w:sz w:val="24"/>
                <w:szCs w:val="24"/>
              </w:rPr>
              <w:t xml:space="preserve">   项目</w:t>
            </w:r>
            <w:r>
              <w:rPr>
                <w:rFonts w:hint="eastAsia" w:ascii="宋体" w:hAnsi="宋体" w:eastAsia="宋体" w:cs="宋体"/>
                <w:b/>
                <w:bCs/>
                <w:color w:val="auto"/>
                <w:sz w:val="24"/>
                <w:szCs w:val="24"/>
                <w:lang w:eastAsia="zh-CN"/>
              </w:rPr>
              <w:t>主要</w:t>
            </w:r>
            <w:r>
              <w:rPr>
                <w:rFonts w:hint="eastAsia" w:ascii="宋体" w:hAnsi="宋体" w:eastAsia="宋体" w:cs="宋体"/>
                <w:b/>
                <w:bCs/>
                <w:color w:val="auto"/>
                <w:sz w:val="24"/>
                <w:szCs w:val="24"/>
              </w:rPr>
              <w:t>建设内容一览表</w:t>
            </w:r>
          </w:p>
          <w:tbl>
            <w:tblPr>
              <w:tblStyle w:val="33"/>
              <w:tblW w:w="496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3"/>
              <w:gridCol w:w="1031"/>
              <w:gridCol w:w="913"/>
              <w:gridCol w:w="1178"/>
              <w:gridCol w:w="3892"/>
              <w:gridCol w:w="1343"/>
            </w:tblGrid>
            <w:tr w14:paraId="1A97F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377" w:type="pct"/>
                  <w:noWrap w:val="0"/>
                  <w:vAlign w:val="center"/>
                </w:tcPr>
                <w:p w14:paraId="7C8B9EB8">
                  <w:pPr>
                    <w:snapToGrid w:val="0"/>
                    <w:spacing w:line="360" w:lineRule="exact"/>
                    <w:jc w:val="center"/>
                    <w:rPr>
                      <w:rFonts w:hint="eastAsia" w:eastAsia="宋体"/>
                      <w:b/>
                      <w:bCs/>
                      <w:color w:val="auto"/>
                      <w:szCs w:val="21"/>
                      <w:lang w:eastAsia="zh-CN"/>
                    </w:rPr>
                  </w:pPr>
                  <w:r>
                    <w:rPr>
                      <w:rFonts w:hint="eastAsia" w:eastAsia="宋体"/>
                      <w:b/>
                      <w:bCs/>
                      <w:color w:val="auto"/>
                      <w:szCs w:val="21"/>
                      <w:lang w:val="en-US" w:eastAsia="zh-CN"/>
                    </w:rPr>
                    <w:t>序号</w:t>
                  </w:r>
                </w:p>
              </w:tc>
              <w:tc>
                <w:tcPr>
                  <w:tcW w:w="570" w:type="pct"/>
                  <w:noWrap w:val="0"/>
                  <w:vAlign w:val="center"/>
                </w:tcPr>
                <w:p w14:paraId="04DCD632">
                  <w:pPr>
                    <w:snapToGrid w:val="0"/>
                    <w:spacing w:line="360" w:lineRule="exact"/>
                    <w:jc w:val="center"/>
                    <w:rPr>
                      <w:rFonts w:eastAsia="宋体"/>
                      <w:b/>
                      <w:bCs/>
                      <w:color w:val="auto"/>
                      <w:szCs w:val="21"/>
                    </w:rPr>
                  </w:pPr>
                  <w:r>
                    <w:rPr>
                      <w:rFonts w:eastAsia="宋体"/>
                      <w:b/>
                      <w:bCs/>
                      <w:color w:val="auto"/>
                      <w:szCs w:val="21"/>
                    </w:rPr>
                    <w:t>工程类别</w:t>
                  </w:r>
                </w:p>
              </w:tc>
              <w:tc>
                <w:tcPr>
                  <w:tcW w:w="1156" w:type="pct"/>
                  <w:gridSpan w:val="2"/>
                  <w:noWrap w:val="0"/>
                  <w:vAlign w:val="center"/>
                </w:tcPr>
                <w:p w14:paraId="0C60D5C9">
                  <w:pPr>
                    <w:snapToGrid w:val="0"/>
                    <w:spacing w:line="360" w:lineRule="exact"/>
                    <w:jc w:val="center"/>
                    <w:rPr>
                      <w:rFonts w:eastAsia="宋体"/>
                      <w:b/>
                      <w:bCs/>
                      <w:color w:val="auto"/>
                      <w:szCs w:val="21"/>
                    </w:rPr>
                  </w:pPr>
                  <w:r>
                    <w:rPr>
                      <w:rFonts w:eastAsia="宋体"/>
                      <w:b/>
                      <w:bCs/>
                      <w:color w:val="auto"/>
                      <w:szCs w:val="21"/>
                    </w:rPr>
                    <w:t>工程</w:t>
                  </w:r>
                  <w:r>
                    <w:rPr>
                      <w:rFonts w:hint="eastAsia" w:eastAsia="宋体"/>
                      <w:b/>
                      <w:bCs/>
                      <w:color w:val="auto"/>
                      <w:szCs w:val="21"/>
                      <w:lang w:eastAsia="zh-CN"/>
                    </w:rPr>
                    <w:t>名称</w:t>
                  </w:r>
                </w:p>
              </w:tc>
              <w:tc>
                <w:tcPr>
                  <w:tcW w:w="2152" w:type="pct"/>
                  <w:tcBorders>
                    <w:right w:val="single" w:color="auto" w:sz="4" w:space="0"/>
                  </w:tcBorders>
                  <w:noWrap w:val="0"/>
                  <w:vAlign w:val="center"/>
                </w:tcPr>
                <w:p w14:paraId="7C181B51">
                  <w:pPr>
                    <w:snapToGrid w:val="0"/>
                    <w:spacing w:line="360" w:lineRule="exact"/>
                    <w:jc w:val="center"/>
                    <w:rPr>
                      <w:rFonts w:eastAsia="宋体"/>
                      <w:b/>
                      <w:bCs/>
                      <w:color w:val="auto"/>
                      <w:szCs w:val="21"/>
                    </w:rPr>
                  </w:pPr>
                  <w:r>
                    <w:rPr>
                      <w:rFonts w:eastAsia="宋体"/>
                      <w:b/>
                      <w:bCs/>
                      <w:color w:val="auto"/>
                      <w:szCs w:val="21"/>
                    </w:rPr>
                    <w:t>工程</w:t>
                  </w:r>
                  <w:r>
                    <w:rPr>
                      <w:rFonts w:hint="eastAsia" w:eastAsia="宋体"/>
                      <w:b/>
                      <w:bCs/>
                      <w:color w:val="auto"/>
                      <w:szCs w:val="21"/>
                      <w:lang w:eastAsia="zh-CN"/>
                    </w:rPr>
                    <w:t>内容和</w:t>
                  </w:r>
                  <w:r>
                    <w:rPr>
                      <w:rFonts w:eastAsia="宋体"/>
                      <w:b/>
                      <w:bCs/>
                      <w:color w:val="auto"/>
                      <w:szCs w:val="21"/>
                    </w:rPr>
                    <w:t>规模</w:t>
                  </w:r>
                </w:p>
              </w:tc>
              <w:tc>
                <w:tcPr>
                  <w:tcW w:w="742" w:type="pct"/>
                  <w:tcBorders>
                    <w:left w:val="single" w:color="auto" w:sz="4" w:space="0"/>
                  </w:tcBorders>
                  <w:noWrap w:val="0"/>
                  <w:vAlign w:val="center"/>
                </w:tcPr>
                <w:p w14:paraId="4279411C">
                  <w:pPr>
                    <w:snapToGrid w:val="0"/>
                    <w:spacing w:line="360" w:lineRule="exact"/>
                    <w:jc w:val="center"/>
                    <w:rPr>
                      <w:rFonts w:hint="eastAsia" w:eastAsia="宋体"/>
                      <w:b/>
                      <w:bCs/>
                      <w:color w:val="auto"/>
                      <w:szCs w:val="21"/>
                      <w:lang w:val="en-US" w:eastAsia="zh-CN"/>
                    </w:rPr>
                  </w:pPr>
                  <w:r>
                    <w:rPr>
                      <w:rFonts w:hint="eastAsia" w:eastAsia="宋体"/>
                      <w:b/>
                      <w:bCs/>
                      <w:color w:val="auto"/>
                      <w:szCs w:val="21"/>
                      <w:lang w:val="en-US" w:eastAsia="zh-CN"/>
                    </w:rPr>
                    <w:t>备注</w:t>
                  </w:r>
                </w:p>
              </w:tc>
            </w:tr>
            <w:tr w14:paraId="266CD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377" w:type="pct"/>
                  <w:tcBorders>
                    <w:bottom w:val="single" w:color="auto" w:sz="4" w:space="0"/>
                  </w:tcBorders>
                  <w:noWrap w:val="0"/>
                  <w:vAlign w:val="center"/>
                </w:tcPr>
                <w:p w14:paraId="4F461D2C">
                  <w:pPr>
                    <w:snapToGrid w:val="0"/>
                    <w:spacing w:line="360" w:lineRule="exact"/>
                    <w:jc w:val="center"/>
                    <w:rPr>
                      <w:rFonts w:eastAsia="宋体"/>
                      <w:color w:val="auto"/>
                      <w:szCs w:val="21"/>
                    </w:rPr>
                  </w:pPr>
                  <w:r>
                    <w:rPr>
                      <w:rFonts w:eastAsia="宋体"/>
                      <w:color w:val="auto"/>
                      <w:szCs w:val="21"/>
                    </w:rPr>
                    <w:t>1</w:t>
                  </w:r>
                </w:p>
              </w:tc>
              <w:tc>
                <w:tcPr>
                  <w:tcW w:w="570" w:type="pct"/>
                  <w:tcBorders>
                    <w:bottom w:val="single" w:color="auto" w:sz="4" w:space="0"/>
                  </w:tcBorders>
                  <w:noWrap w:val="0"/>
                  <w:vAlign w:val="center"/>
                </w:tcPr>
                <w:p w14:paraId="14661D4A">
                  <w:pPr>
                    <w:snapToGrid w:val="0"/>
                    <w:spacing w:line="360" w:lineRule="exact"/>
                    <w:jc w:val="center"/>
                    <w:rPr>
                      <w:rFonts w:eastAsia="宋体"/>
                      <w:color w:val="auto"/>
                      <w:szCs w:val="21"/>
                    </w:rPr>
                  </w:pPr>
                  <w:r>
                    <w:rPr>
                      <w:rFonts w:eastAsia="宋体"/>
                      <w:color w:val="auto"/>
                      <w:szCs w:val="21"/>
                    </w:rPr>
                    <w:t>主体工程</w:t>
                  </w:r>
                </w:p>
              </w:tc>
              <w:tc>
                <w:tcPr>
                  <w:tcW w:w="1156" w:type="pct"/>
                  <w:gridSpan w:val="2"/>
                  <w:tcBorders>
                    <w:bottom w:val="single" w:color="auto" w:sz="4" w:space="0"/>
                  </w:tcBorders>
                  <w:noWrap w:val="0"/>
                  <w:vAlign w:val="center"/>
                </w:tcPr>
                <w:p w14:paraId="400563AE">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坚果加工</w:t>
                  </w:r>
                  <w:r>
                    <w:rPr>
                      <w:rFonts w:eastAsia="宋体"/>
                      <w:color w:val="auto"/>
                      <w:szCs w:val="21"/>
                    </w:rPr>
                    <w:t>生产</w:t>
                  </w:r>
                  <w:r>
                    <w:rPr>
                      <w:rFonts w:hint="eastAsia" w:eastAsia="宋体"/>
                      <w:color w:val="auto"/>
                      <w:szCs w:val="21"/>
                      <w:lang w:val="en-US" w:eastAsia="zh-CN"/>
                    </w:rPr>
                    <w:t>车间</w:t>
                  </w:r>
                </w:p>
              </w:tc>
              <w:tc>
                <w:tcPr>
                  <w:tcW w:w="2152" w:type="pct"/>
                  <w:tcBorders>
                    <w:right w:val="single" w:color="auto" w:sz="4" w:space="0"/>
                  </w:tcBorders>
                  <w:noWrap w:val="0"/>
                  <w:vAlign w:val="center"/>
                </w:tcPr>
                <w:p w14:paraId="4625D4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 w:val="21"/>
                      <w:szCs w:val="21"/>
                      <w:vertAlign w:val="baseline"/>
                      <w:lang w:val="en-US" w:eastAsia="zh-CN"/>
                    </w:rPr>
                  </w:pPr>
                  <w:r>
                    <w:rPr>
                      <w:rFonts w:hint="eastAsia" w:eastAsia="宋体"/>
                      <w:color w:val="auto"/>
                      <w:sz w:val="21"/>
                      <w:szCs w:val="21"/>
                      <w:lang w:val="en-US" w:eastAsia="zh-CN"/>
                    </w:rPr>
                    <w:t>属于</w:t>
                  </w:r>
                  <w:r>
                    <w:rPr>
                      <w:rFonts w:eastAsia="宋体"/>
                      <w:color w:val="auto"/>
                      <w:sz w:val="21"/>
                      <w:szCs w:val="21"/>
                    </w:rPr>
                    <w:t>1层</w:t>
                  </w:r>
                  <w:r>
                    <w:rPr>
                      <w:rFonts w:hint="eastAsia" w:eastAsia="宋体"/>
                      <w:color w:val="auto"/>
                      <w:sz w:val="21"/>
                      <w:szCs w:val="21"/>
                      <w:lang w:val="en-US" w:eastAsia="zh-CN"/>
                    </w:rPr>
                    <w:t>钢架半封闭结构建筑物，地面硬化，</w:t>
                  </w:r>
                  <w:r>
                    <w:rPr>
                      <w:rFonts w:eastAsia="宋体"/>
                      <w:color w:val="auto"/>
                      <w:sz w:val="21"/>
                      <w:szCs w:val="21"/>
                    </w:rPr>
                    <w:t>建筑面积为</w:t>
                  </w:r>
                  <w:r>
                    <w:rPr>
                      <w:rFonts w:hint="eastAsia" w:eastAsia="宋体"/>
                      <w:color w:val="auto"/>
                      <w:sz w:val="21"/>
                      <w:szCs w:val="21"/>
                      <w:lang w:val="en-US" w:eastAsia="zh-CN"/>
                    </w:rPr>
                    <w:t>2300</w:t>
                  </w:r>
                  <w:r>
                    <w:rPr>
                      <w:rFonts w:eastAsia="宋体"/>
                      <w:color w:val="auto"/>
                      <w:sz w:val="21"/>
                      <w:szCs w:val="21"/>
                    </w:rPr>
                    <w:t>m</w:t>
                  </w:r>
                  <w:r>
                    <w:rPr>
                      <w:rFonts w:eastAsia="宋体"/>
                      <w:color w:val="auto"/>
                      <w:sz w:val="21"/>
                      <w:szCs w:val="21"/>
                      <w:vertAlign w:val="superscript"/>
                    </w:rPr>
                    <w:t>2</w:t>
                  </w:r>
                  <w:r>
                    <w:rPr>
                      <w:rFonts w:hint="eastAsia" w:eastAsia="宋体"/>
                      <w:color w:val="auto"/>
                      <w:sz w:val="21"/>
                      <w:szCs w:val="21"/>
                      <w:vertAlign w:val="baseline"/>
                      <w:lang w:eastAsia="zh-CN"/>
                    </w:rPr>
                    <w:t>，</w:t>
                  </w:r>
                  <w:r>
                    <w:rPr>
                      <w:rFonts w:hint="eastAsia" w:eastAsia="宋体"/>
                      <w:color w:val="auto"/>
                      <w:sz w:val="21"/>
                      <w:szCs w:val="21"/>
                      <w:vertAlign w:val="baseline"/>
                      <w:lang w:val="en-US" w:eastAsia="zh-CN"/>
                    </w:rPr>
                    <w:t>高度6.9m，在车间内设置原料堆放区、预处理区、烘干房、冷库、开口间、取仁间、入味间、高温消杀烘干间、内包装间、外包装间、成品存存放间。其中北部区设置6间15吨烘干房，安装分筛、脱皮、清洗、浮选设备；中部为三间冷库；南部安装开口、取仁、入味、包装等设备。</w:t>
                  </w:r>
                </w:p>
              </w:tc>
              <w:tc>
                <w:tcPr>
                  <w:tcW w:w="742" w:type="pct"/>
                  <w:tcBorders>
                    <w:left w:val="single" w:color="auto" w:sz="4" w:space="0"/>
                  </w:tcBorders>
                  <w:noWrap w:val="0"/>
                  <w:vAlign w:val="center"/>
                </w:tcPr>
                <w:p w14:paraId="6E87B884">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依托租用场地</w:t>
                  </w:r>
                </w:p>
              </w:tc>
            </w:tr>
            <w:tr w14:paraId="0EE24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7" w:type="pct"/>
                  <w:vMerge w:val="restart"/>
                  <w:tcBorders>
                    <w:top w:val="single" w:color="auto" w:sz="4" w:space="0"/>
                  </w:tcBorders>
                  <w:noWrap w:val="0"/>
                  <w:vAlign w:val="center"/>
                </w:tcPr>
                <w:p w14:paraId="3951ED04">
                  <w:pPr>
                    <w:snapToGrid w:val="0"/>
                    <w:spacing w:line="360" w:lineRule="exact"/>
                    <w:jc w:val="center"/>
                    <w:rPr>
                      <w:rFonts w:eastAsia="宋体"/>
                      <w:color w:val="auto"/>
                      <w:szCs w:val="21"/>
                    </w:rPr>
                  </w:pPr>
                  <w:r>
                    <w:rPr>
                      <w:rFonts w:eastAsia="宋体"/>
                      <w:color w:val="auto"/>
                      <w:szCs w:val="21"/>
                    </w:rPr>
                    <w:t>2</w:t>
                  </w:r>
                </w:p>
              </w:tc>
              <w:tc>
                <w:tcPr>
                  <w:tcW w:w="570" w:type="pct"/>
                  <w:vMerge w:val="restart"/>
                  <w:tcBorders>
                    <w:top w:val="single" w:color="auto" w:sz="4" w:space="0"/>
                  </w:tcBorders>
                  <w:noWrap w:val="0"/>
                  <w:vAlign w:val="center"/>
                </w:tcPr>
                <w:p w14:paraId="289728C9">
                  <w:pPr>
                    <w:snapToGrid w:val="0"/>
                    <w:spacing w:line="360" w:lineRule="exact"/>
                    <w:jc w:val="center"/>
                    <w:rPr>
                      <w:rFonts w:eastAsia="宋体"/>
                      <w:color w:val="auto"/>
                      <w:szCs w:val="21"/>
                    </w:rPr>
                  </w:pPr>
                  <w:r>
                    <w:rPr>
                      <w:rFonts w:eastAsia="宋体"/>
                      <w:color w:val="auto"/>
                      <w:szCs w:val="21"/>
                    </w:rPr>
                    <w:t>辅助工程</w:t>
                  </w:r>
                </w:p>
              </w:tc>
              <w:tc>
                <w:tcPr>
                  <w:tcW w:w="1156" w:type="pct"/>
                  <w:gridSpan w:val="2"/>
                  <w:tcBorders>
                    <w:top w:val="single" w:color="auto" w:sz="4" w:space="0"/>
                  </w:tcBorders>
                  <w:noWrap w:val="0"/>
                  <w:vAlign w:val="center"/>
                </w:tcPr>
                <w:p w14:paraId="19947416">
                  <w:pPr>
                    <w:snapToGrid w:val="0"/>
                    <w:spacing w:line="360" w:lineRule="exact"/>
                    <w:jc w:val="center"/>
                    <w:rPr>
                      <w:rFonts w:hint="default" w:eastAsia="宋体"/>
                      <w:color w:val="auto"/>
                      <w:sz w:val="21"/>
                      <w:szCs w:val="21"/>
                      <w:lang w:val="en-US" w:eastAsia="zh-CN"/>
                    </w:rPr>
                  </w:pPr>
                  <w:r>
                    <w:rPr>
                      <w:rFonts w:hint="eastAsia" w:eastAsia="宋体"/>
                      <w:color w:val="auto"/>
                      <w:sz w:val="21"/>
                      <w:szCs w:val="21"/>
                      <w:lang w:val="en-US" w:eastAsia="zh-CN"/>
                    </w:rPr>
                    <w:t>废料堆放大棚</w:t>
                  </w:r>
                </w:p>
              </w:tc>
              <w:tc>
                <w:tcPr>
                  <w:tcW w:w="2152" w:type="pct"/>
                  <w:tcBorders>
                    <w:right w:val="single" w:color="auto" w:sz="4" w:space="0"/>
                  </w:tcBorders>
                  <w:noWrap w:val="0"/>
                  <w:vAlign w:val="center"/>
                </w:tcPr>
                <w:p w14:paraId="064223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在紧邻坚果加工生产车间的北侧设置1栋废料堆放大棚，设置三防措施，建筑面积100m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，主要用于果皮、果壳废料的堆放暂存。</w:t>
                  </w:r>
                </w:p>
              </w:tc>
              <w:tc>
                <w:tcPr>
                  <w:tcW w:w="742" w:type="pct"/>
                  <w:tcBorders>
                    <w:left w:val="single" w:color="auto" w:sz="4" w:space="0"/>
                  </w:tcBorders>
                  <w:noWrap w:val="0"/>
                  <w:vAlign w:val="center"/>
                </w:tcPr>
                <w:p w14:paraId="671475E6">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新建</w:t>
                  </w:r>
                </w:p>
              </w:tc>
            </w:tr>
            <w:tr w14:paraId="4A89A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7" w:type="pct"/>
                  <w:vMerge w:val="continue"/>
                  <w:noWrap w:val="0"/>
                  <w:vAlign w:val="center"/>
                </w:tcPr>
                <w:p w14:paraId="1EC2A57F">
                  <w:pPr>
                    <w:snapToGrid w:val="0"/>
                    <w:spacing w:line="360" w:lineRule="exact"/>
                    <w:jc w:val="center"/>
                    <w:rPr>
                      <w:rFonts w:eastAsia="宋体"/>
                      <w:color w:val="auto"/>
                      <w:szCs w:val="21"/>
                    </w:rPr>
                  </w:pPr>
                </w:p>
              </w:tc>
              <w:tc>
                <w:tcPr>
                  <w:tcW w:w="570" w:type="pct"/>
                  <w:vMerge w:val="continue"/>
                  <w:noWrap w:val="0"/>
                  <w:vAlign w:val="center"/>
                </w:tcPr>
                <w:p w14:paraId="7CC1E3D6">
                  <w:pPr>
                    <w:snapToGrid w:val="0"/>
                    <w:spacing w:line="360" w:lineRule="exact"/>
                    <w:jc w:val="center"/>
                    <w:rPr>
                      <w:rFonts w:eastAsia="宋体"/>
                      <w:color w:val="auto"/>
                      <w:szCs w:val="21"/>
                    </w:rPr>
                  </w:pPr>
                </w:p>
              </w:tc>
              <w:tc>
                <w:tcPr>
                  <w:tcW w:w="1156" w:type="pct"/>
                  <w:gridSpan w:val="2"/>
                  <w:noWrap w:val="0"/>
                  <w:vAlign w:val="center"/>
                </w:tcPr>
                <w:p w14:paraId="7415526B">
                  <w:pPr>
                    <w:snapToGrid w:val="0"/>
                    <w:spacing w:line="360" w:lineRule="exact"/>
                    <w:jc w:val="center"/>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业务生活用房</w:t>
                  </w:r>
                </w:p>
              </w:tc>
              <w:tc>
                <w:tcPr>
                  <w:tcW w:w="2152" w:type="pct"/>
                  <w:tcBorders>
                    <w:right w:val="single" w:color="auto" w:sz="4" w:space="0"/>
                  </w:tcBorders>
                  <w:noWrap w:val="0"/>
                  <w:vAlign w:val="center"/>
                </w:tcPr>
                <w:p w14:paraId="144128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位于场地北侧，1栋钢结构二层，建筑面积750m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，一层</w:t>
                  </w:r>
                  <w:r>
                    <w:rPr>
                      <w:rFonts w:hint="eastAsia" w:eastAsia="宋体"/>
                      <w:color w:val="auto"/>
                      <w:sz w:val="21"/>
                      <w:szCs w:val="21"/>
                      <w:vertAlign w:val="baseline"/>
                      <w:lang w:val="en-US" w:eastAsia="zh-CN"/>
                    </w:rPr>
                    <w:t>设置食堂、餐厅、卫生间、4间办公室，二层设置7间宿舍，作为办公生活使用。</w:t>
                  </w:r>
                </w:p>
              </w:tc>
              <w:tc>
                <w:tcPr>
                  <w:tcW w:w="742" w:type="pct"/>
                  <w:tcBorders>
                    <w:left w:val="single" w:color="auto" w:sz="4" w:space="0"/>
                  </w:tcBorders>
                  <w:noWrap w:val="0"/>
                  <w:vAlign w:val="center"/>
                </w:tcPr>
                <w:p w14:paraId="4AE75B42">
                  <w:pPr>
                    <w:snapToGrid w:val="0"/>
                    <w:spacing w:line="360" w:lineRule="exact"/>
                    <w:jc w:val="center"/>
                    <w:rPr>
                      <w:rFonts w:eastAsia="宋体"/>
                      <w:color w:val="auto"/>
                      <w:szCs w:val="21"/>
                    </w:rPr>
                  </w:pPr>
                  <w:r>
                    <w:rPr>
                      <w:rFonts w:hint="eastAsia" w:eastAsia="宋体"/>
                      <w:color w:val="auto"/>
                      <w:szCs w:val="21"/>
                      <w:lang w:val="en-US" w:eastAsia="zh-CN"/>
                    </w:rPr>
                    <w:t>依托租用场地</w:t>
                  </w:r>
                </w:p>
              </w:tc>
            </w:tr>
            <w:tr w14:paraId="62F11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377" w:type="pct"/>
                  <w:vMerge w:val="restart"/>
                  <w:tcBorders>
                    <w:top w:val="single" w:color="auto" w:sz="4" w:space="0"/>
                  </w:tcBorders>
                  <w:noWrap w:val="0"/>
                  <w:vAlign w:val="center"/>
                </w:tcPr>
                <w:p w14:paraId="580FC27E">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3</w:t>
                  </w:r>
                </w:p>
              </w:tc>
              <w:tc>
                <w:tcPr>
                  <w:tcW w:w="570" w:type="pct"/>
                  <w:vMerge w:val="restart"/>
                  <w:tcBorders>
                    <w:top w:val="single" w:color="auto" w:sz="4" w:space="0"/>
                  </w:tcBorders>
                  <w:noWrap w:val="0"/>
                  <w:vAlign w:val="center"/>
                </w:tcPr>
                <w:p w14:paraId="1FF17C27">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公用工程</w:t>
                  </w:r>
                </w:p>
              </w:tc>
              <w:tc>
                <w:tcPr>
                  <w:tcW w:w="1156" w:type="pct"/>
                  <w:gridSpan w:val="2"/>
                  <w:noWrap w:val="0"/>
                  <w:vAlign w:val="center"/>
                </w:tcPr>
                <w:p w14:paraId="1C7DEA37">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供水</w:t>
                  </w:r>
                </w:p>
              </w:tc>
              <w:tc>
                <w:tcPr>
                  <w:tcW w:w="2152" w:type="pct"/>
                  <w:tcBorders>
                    <w:right w:val="single" w:color="auto" w:sz="4" w:space="0"/>
                  </w:tcBorders>
                  <w:noWrap w:val="0"/>
                  <w:vAlign w:val="center"/>
                </w:tcPr>
                <w:p w14:paraId="7A7807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采用自来水供给，从附近村庄供水管网接入，水质、水量可满足本项目使用。</w:t>
                  </w:r>
                </w:p>
              </w:tc>
              <w:tc>
                <w:tcPr>
                  <w:tcW w:w="742" w:type="pct"/>
                  <w:tcBorders>
                    <w:left w:val="single" w:color="auto" w:sz="4" w:space="0"/>
                  </w:tcBorders>
                  <w:noWrap w:val="0"/>
                  <w:vAlign w:val="center"/>
                </w:tcPr>
                <w:p w14:paraId="4C97AE9B">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依托租用场地</w:t>
                  </w:r>
                </w:p>
              </w:tc>
            </w:tr>
            <w:tr w14:paraId="0C9DA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9" w:hRule="atLeast"/>
              </w:trPr>
              <w:tc>
                <w:tcPr>
                  <w:tcW w:w="377" w:type="pct"/>
                  <w:vMerge w:val="continue"/>
                  <w:noWrap w:val="0"/>
                  <w:vAlign w:val="center"/>
                </w:tcPr>
                <w:p w14:paraId="09071C25">
                  <w:pPr>
                    <w:snapToGrid w:val="0"/>
                    <w:spacing w:line="360" w:lineRule="exact"/>
                    <w:jc w:val="center"/>
                    <w:rPr>
                      <w:rFonts w:hint="eastAsia" w:eastAsia="宋体"/>
                      <w:color w:val="auto"/>
                      <w:szCs w:val="21"/>
                      <w:lang w:val="en-US" w:eastAsia="zh-CN"/>
                    </w:rPr>
                  </w:pPr>
                </w:p>
              </w:tc>
              <w:tc>
                <w:tcPr>
                  <w:tcW w:w="570" w:type="pct"/>
                  <w:vMerge w:val="continue"/>
                  <w:noWrap w:val="0"/>
                  <w:vAlign w:val="center"/>
                </w:tcPr>
                <w:p w14:paraId="48F034A6">
                  <w:pPr>
                    <w:snapToGrid w:val="0"/>
                    <w:spacing w:line="360" w:lineRule="exact"/>
                    <w:jc w:val="center"/>
                    <w:rPr>
                      <w:rFonts w:hint="eastAsia" w:eastAsia="宋体"/>
                      <w:color w:val="auto"/>
                      <w:szCs w:val="21"/>
                      <w:lang w:val="en-US" w:eastAsia="zh-CN"/>
                    </w:rPr>
                  </w:pPr>
                </w:p>
              </w:tc>
              <w:tc>
                <w:tcPr>
                  <w:tcW w:w="1156" w:type="pct"/>
                  <w:gridSpan w:val="2"/>
                  <w:noWrap w:val="0"/>
                  <w:vAlign w:val="center"/>
                </w:tcPr>
                <w:p w14:paraId="30C7E57E">
                  <w:pPr>
                    <w:snapToGrid w:val="0"/>
                    <w:spacing w:line="360" w:lineRule="exact"/>
                    <w:jc w:val="center"/>
                    <w:rPr>
                      <w:rFonts w:eastAsia="宋体"/>
                      <w:color w:val="auto"/>
                      <w:kern w:val="2"/>
                      <w:sz w:val="21"/>
                      <w:szCs w:val="21"/>
                      <w:lang w:val="en-US" w:eastAsia="zh-CN" w:bidi="ar-SA"/>
                    </w:rPr>
                  </w:pPr>
                  <w:r>
                    <w:rPr>
                      <w:rFonts w:eastAsia="宋体"/>
                      <w:color w:val="auto"/>
                      <w:szCs w:val="21"/>
                    </w:rPr>
                    <w:t>排水</w:t>
                  </w:r>
                </w:p>
              </w:tc>
              <w:tc>
                <w:tcPr>
                  <w:tcW w:w="2152" w:type="pct"/>
                  <w:tcBorders>
                    <w:right w:val="single" w:color="auto" w:sz="4" w:space="0"/>
                  </w:tcBorders>
                  <w:noWrap w:val="0"/>
                  <w:vAlign w:val="center"/>
                </w:tcPr>
                <w:p w14:paraId="556ED6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kern w:val="2"/>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排水</w:t>
                  </w:r>
                  <w:r>
                    <w:rPr>
                      <w:rFonts w:hint="default" w:ascii="Times New Roman" w:hAnsi="Times New Roman" w:eastAsia="宋体" w:cs="Times New Roman"/>
                      <w:bCs/>
                      <w:color w:val="auto"/>
                      <w:sz w:val="21"/>
                      <w:szCs w:val="21"/>
                      <w:highlight w:val="none"/>
                    </w:rPr>
                    <w:t>采用雨</w:t>
                  </w:r>
                  <w:r>
                    <w:rPr>
                      <w:rFonts w:hint="eastAsia" w:ascii="Times New Roman" w:hAnsi="Times New Roman" w:eastAsia="宋体" w:cs="Times New Roman"/>
                      <w:bCs/>
                      <w:color w:val="auto"/>
                      <w:sz w:val="21"/>
                      <w:szCs w:val="21"/>
                      <w:highlight w:val="none"/>
                      <w:lang w:eastAsia="zh-CN"/>
                    </w:rPr>
                    <w:t>污</w:t>
                  </w:r>
                  <w:r>
                    <w:rPr>
                      <w:rFonts w:hint="default" w:ascii="Times New Roman" w:hAnsi="Times New Roman" w:eastAsia="宋体" w:cs="Times New Roman"/>
                      <w:bCs/>
                      <w:color w:val="auto"/>
                      <w:sz w:val="21"/>
                      <w:szCs w:val="21"/>
                      <w:highlight w:val="none"/>
                    </w:rPr>
                    <w:t>分流</w:t>
                  </w:r>
                  <w:r>
                    <w:rPr>
                      <w:rFonts w:hint="eastAsia" w:ascii="Times New Roman" w:hAnsi="Times New Roman" w:eastAsia="宋体" w:cs="Times New Roman"/>
                      <w:bCs/>
                      <w:color w:val="auto"/>
                      <w:sz w:val="21"/>
                      <w:szCs w:val="21"/>
                      <w:highlight w:val="none"/>
                      <w:lang w:val="en-US" w:eastAsia="zh-CN"/>
                    </w:rPr>
                    <w:t>系统</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项目区雨水经厂区雨水沟排入周边雨水沟渠</w:t>
                  </w:r>
                  <w:r>
                    <w:rPr>
                      <w:rFonts w:hint="default" w:ascii="Times New Roman" w:hAnsi="Times New Roman" w:eastAsia="宋体" w:cs="Times New Roman"/>
                      <w:bCs/>
                      <w:color w:val="auto"/>
                      <w:sz w:val="21"/>
                      <w:szCs w:val="21"/>
                      <w:highlight w:val="none"/>
                    </w:rPr>
                    <w:t>；</w:t>
                  </w:r>
                  <w:r>
                    <w:rPr>
                      <w:rFonts w:hint="eastAsia" w:ascii="Times New Roman" w:hAnsi="宋体" w:eastAsia="宋体" w:cs="Times New Roman"/>
                      <w:b w:val="0"/>
                      <w:bCs w:val="0"/>
                      <w:color w:val="auto"/>
                      <w:kern w:val="2"/>
                      <w:sz w:val="21"/>
                      <w:szCs w:val="21"/>
                      <w:lang w:val="en-US" w:eastAsia="zh-CN" w:bidi="ar-SA"/>
                    </w:rPr>
                    <w:t>生活污水经化粪池处理</w:t>
                  </w:r>
                  <w:r>
                    <w:rPr>
                      <w:rFonts w:hint="eastAsia" w:ascii="Times New Roman" w:hAnsi="宋体" w:cs="Times New Roman"/>
                      <w:b w:val="0"/>
                      <w:bCs w:val="0"/>
                      <w:color w:val="auto"/>
                      <w:kern w:val="2"/>
                      <w:sz w:val="21"/>
                      <w:szCs w:val="21"/>
                      <w:lang w:val="en-US" w:eastAsia="zh-CN" w:bidi="ar-SA"/>
                    </w:rPr>
                    <w:t>后，定期清掏用于附近农田施肥；生产废水经过处理后由建设单位拉运至坚果地及旱地浇灌，</w:t>
                  </w:r>
                  <w:r>
                    <w:rPr>
                      <w:rFonts w:hint="eastAsia" w:eastAsia="宋体"/>
                      <w:color w:val="auto"/>
                      <w:sz w:val="21"/>
                      <w:szCs w:val="21"/>
                      <w:lang w:val="en-US" w:eastAsia="zh-CN"/>
                    </w:rPr>
                    <w:t>不外排。</w:t>
                  </w:r>
                </w:p>
              </w:tc>
              <w:tc>
                <w:tcPr>
                  <w:tcW w:w="742" w:type="pct"/>
                  <w:tcBorders>
                    <w:left w:val="single" w:color="auto" w:sz="4" w:space="0"/>
                  </w:tcBorders>
                  <w:noWrap w:val="0"/>
                  <w:vAlign w:val="center"/>
                </w:tcPr>
                <w:p w14:paraId="70A01E25">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57E8D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7" w:type="pct"/>
                  <w:vMerge w:val="continue"/>
                  <w:tcBorders>
                    <w:top w:val="single" w:color="auto" w:sz="4" w:space="0"/>
                    <w:bottom w:val="single" w:color="auto" w:sz="4" w:space="0"/>
                  </w:tcBorders>
                  <w:noWrap w:val="0"/>
                  <w:vAlign w:val="center"/>
                </w:tcPr>
                <w:p w14:paraId="1027E914">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7B81BAD0">
                  <w:pPr>
                    <w:snapToGrid w:val="0"/>
                    <w:spacing w:line="360" w:lineRule="exact"/>
                    <w:jc w:val="center"/>
                    <w:rPr>
                      <w:rFonts w:eastAsia="宋体"/>
                      <w:color w:val="auto"/>
                      <w:szCs w:val="21"/>
                    </w:rPr>
                  </w:pPr>
                </w:p>
              </w:tc>
              <w:tc>
                <w:tcPr>
                  <w:tcW w:w="1156" w:type="pct"/>
                  <w:gridSpan w:val="2"/>
                  <w:noWrap w:val="0"/>
                  <w:vAlign w:val="center"/>
                </w:tcPr>
                <w:p w14:paraId="39213FF3">
                  <w:pPr>
                    <w:snapToGrid w:val="0"/>
                    <w:spacing w:line="360" w:lineRule="exact"/>
                    <w:jc w:val="center"/>
                    <w:rPr>
                      <w:rFonts w:hint="eastAsia" w:eastAsia="宋体"/>
                      <w:color w:val="auto"/>
                      <w:szCs w:val="21"/>
                      <w:lang w:eastAsia="zh-CN"/>
                    </w:rPr>
                  </w:pPr>
                  <w:r>
                    <w:rPr>
                      <w:rFonts w:hint="eastAsia" w:eastAsia="宋体"/>
                      <w:color w:val="auto"/>
                      <w:szCs w:val="21"/>
                      <w:lang w:val="en-US" w:eastAsia="zh-CN"/>
                    </w:rPr>
                    <w:t>供热</w:t>
                  </w:r>
                </w:p>
              </w:tc>
              <w:tc>
                <w:tcPr>
                  <w:tcW w:w="2152" w:type="pct"/>
                  <w:tcBorders>
                    <w:right w:val="single" w:color="auto" w:sz="4" w:space="0"/>
                  </w:tcBorders>
                  <w:noWrap w:val="0"/>
                  <w:vAlign w:val="center"/>
                </w:tcPr>
                <w:p w14:paraId="561113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eastAsia="宋体"/>
                      <w:color w:val="auto"/>
                      <w:szCs w:val="21"/>
                    </w:rPr>
                  </w:pPr>
                  <w:r>
                    <w:rPr>
                      <w:rFonts w:hint="default" w:eastAsia="宋体"/>
                      <w:color w:val="auto"/>
                      <w:szCs w:val="21"/>
                    </w:rPr>
                    <w:t>项目场区采用</w:t>
                  </w:r>
                  <w:r>
                    <w:rPr>
                      <w:rFonts w:hint="default" w:eastAsia="宋体"/>
                      <w:color w:val="auto"/>
                      <w:szCs w:val="21"/>
                      <w:lang w:val="en-US" w:eastAsia="zh-CN"/>
                    </w:rPr>
                    <w:t>电</w:t>
                  </w:r>
                  <w:r>
                    <w:rPr>
                      <w:rFonts w:hint="eastAsia" w:eastAsia="宋体"/>
                      <w:color w:val="auto"/>
                      <w:szCs w:val="21"/>
                      <w:lang w:val="en-US" w:eastAsia="zh-CN"/>
                    </w:rPr>
                    <w:t>、太阳</w:t>
                  </w:r>
                  <w:r>
                    <w:rPr>
                      <w:rFonts w:hint="default" w:eastAsia="宋体"/>
                      <w:color w:val="auto"/>
                      <w:szCs w:val="21"/>
                      <w:lang w:val="en-US" w:eastAsia="zh-CN"/>
                    </w:rPr>
                    <w:t>能</w:t>
                  </w:r>
                  <w:r>
                    <w:rPr>
                      <w:rFonts w:hint="default" w:eastAsia="宋体"/>
                      <w:color w:val="auto"/>
                      <w:szCs w:val="21"/>
                    </w:rPr>
                    <w:t>供应热水；</w:t>
                  </w:r>
                  <w:r>
                    <w:rPr>
                      <w:rFonts w:hint="eastAsia" w:eastAsia="宋体"/>
                      <w:color w:val="auto"/>
                      <w:szCs w:val="21"/>
                      <w:lang w:val="en-US" w:eastAsia="zh-CN"/>
                    </w:rPr>
                    <w:t>生产采用电烘干，不使用煤、生物质作为燃料</w:t>
                  </w:r>
                  <w:r>
                    <w:rPr>
                      <w:rFonts w:hint="default" w:eastAsia="宋体"/>
                      <w:color w:val="auto"/>
                      <w:szCs w:val="21"/>
                    </w:rPr>
                    <w:t>。</w:t>
                  </w:r>
                </w:p>
              </w:tc>
              <w:tc>
                <w:tcPr>
                  <w:tcW w:w="742" w:type="pct"/>
                  <w:tcBorders>
                    <w:left w:val="single" w:color="auto" w:sz="4" w:space="0"/>
                  </w:tcBorders>
                  <w:noWrap w:val="0"/>
                  <w:vAlign w:val="center"/>
                </w:tcPr>
                <w:p w14:paraId="10EE8C3B">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新建</w:t>
                  </w:r>
                </w:p>
              </w:tc>
            </w:tr>
            <w:tr w14:paraId="3E791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1" w:hRule="atLeast"/>
              </w:trPr>
              <w:tc>
                <w:tcPr>
                  <w:tcW w:w="377" w:type="pct"/>
                  <w:vMerge w:val="continue"/>
                  <w:tcBorders>
                    <w:top w:val="single" w:color="auto" w:sz="4" w:space="0"/>
                    <w:bottom w:val="single" w:color="auto" w:sz="4" w:space="0"/>
                  </w:tcBorders>
                  <w:noWrap w:val="0"/>
                  <w:vAlign w:val="center"/>
                </w:tcPr>
                <w:p w14:paraId="7E81113B">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4093D037">
                  <w:pPr>
                    <w:snapToGrid w:val="0"/>
                    <w:spacing w:line="360" w:lineRule="exact"/>
                    <w:jc w:val="center"/>
                    <w:rPr>
                      <w:rFonts w:eastAsia="宋体"/>
                      <w:color w:val="auto"/>
                      <w:szCs w:val="21"/>
                    </w:rPr>
                  </w:pPr>
                </w:p>
              </w:tc>
              <w:tc>
                <w:tcPr>
                  <w:tcW w:w="1156" w:type="pct"/>
                  <w:gridSpan w:val="2"/>
                  <w:noWrap w:val="0"/>
                  <w:vAlign w:val="center"/>
                </w:tcPr>
                <w:p w14:paraId="401A4E53">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消防</w:t>
                  </w:r>
                </w:p>
              </w:tc>
              <w:tc>
                <w:tcPr>
                  <w:tcW w:w="2152" w:type="pct"/>
                  <w:tcBorders>
                    <w:right w:val="single" w:color="auto" w:sz="4" w:space="0"/>
                  </w:tcBorders>
                  <w:noWrap w:val="0"/>
                  <w:vAlign w:val="center"/>
                </w:tcPr>
                <w:p w14:paraId="4E3BE7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eastAsia="宋体"/>
                      <w:color w:val="auto"/>
                      <w:szCs w:val="21"/>
                    </w:rPr>
                  </w:pPr>
                  <w:r>
                    <w:rPr>
                      <w:rFonts w:hint="eastAsia" w:eastAsia="宋体"/>
                      <w:color w:val="auto"/>
                      <w:szCs w:val="21"/>
                    </w:rPr>
                    <w:t>本项目</w:t>
                  </w:r>
                  <w:r>
                    <w:rPr>
                      <w:rFonts w:hint="eastAsia" w:eastAsia="宋体"/>
                      <w:color w:val="auto"/>
                      <w:szCs w:val="21"/>
                      <w:lang w:val="en-US" w:eastAsia="zh-CN"/>
                    </w:rPr>
                    <w:t>按照规范</w:t>
                  </w:r>
                  <w:r>
                    <w:rPr>
                      <w:rFonts w:hint="eastAsia" w:eastAsia="宋体"/>
                      <w:color w:val="auto"/>
                      <w:szCs w:val="21"/>
                    </w:rPr>
                    <w:t>在项目各区配备灭火器，</w:t>
                  </w:r>
                  <w:r>
                    <w:rPr>
                      <w:rFonts w:hint="eastAsia" w:eastAsia="宋体"/>
                      <w:color w:val="auto"/>
                      <w:szCs w:val="21"/>
                      <w:lang w:val="en-US" w:eastAsia="zh-CN"/>
                    </w:rPr>
                    <w:t>并配套建设1座高位消防水池300m</w:t>
                  </w:r>
                  <w:r>
                    <w:rPr>
                      <w:rFonts w:hint="eastAsia" w:eastAsia="宋体"/>
                      <w:color w:val="auto"/>
                      <w:szCs w:val="21"/>
                      <w:vertAlign w:val="superscript"/>
                      <w:lang w:val="en-US" w:eastAsia="zh-CN"/>
                    </w:rPr>
                    <w:t>3</w:t>
                  </w:r>
                  <w:r>
                    <w:rPr>
                      <w:rFonts w:hint="eastAsia" w:eastAsia="宋体"/>
                      <w:color w:val="auto"/>
                      <w:szCs w:val="21"/>
                      <w:lang w:val="en-US" w:eastAsia="zh-CN"/>
                    </w:rPr>
                    <w:t>，</w:t>
                  </w:r>
                  <w:r>
                    <w:rPr>
                      <w:rFonts w:hint="eastAsia" w:eastAsia="宋体"/>
                      <w:color w:val="auto"/>
                      <w:szCs w:val="21"/>
                    </w:rPr>
                    <w:t>以便</w:t>
                  </w:r>
                  <w:r>
                    <w:rPr>
                      <w:rFonts w:hint="eastAsia" w:eastAsia="宋体"/>
                      <w:color w:val="auto"/>
                      <w:szCs w:val="21"/>
                      <w:lang w:val="en-US" w:eastAsia="zh-CN"/>
                    </w:rPr>
                    <w:t>火灾事故</w:t>
                  </w:r>
                  <w:r>
                    <w:rPr>
                      <w:rFonts w:hint="eastAsia" w:eastAsia="宋体"/>
                      <w:color w:val="auto"/>
                      <w:szCs w:val="21"/>
                    </w:rPr>
                    <w:t>应急</w:t>
                  </w:r>
                  <w:r>
                    <w:rPr>
                      <w:rFonts w:hint="eastAsia" w:eastAsia="宋体"/>
                      <w:color w:val="auto"/>
                      <w:szCs w:val="21"/>
                      <w:lang w:val="en-US" w:eastAsia="zh-CN"/>
                    </w:rPr>
                    <w:t>使用</w:t>
                  </w:r>
                  <w:r>
                    <w:rPr>
                      <w:rFonts w:hint="eastAsia" w:eastAsia="宋体"/>
                      <w:color w:val="auto"/>
                      <w:szCs w:val="21"/>
                    </w:rPr>
                    <w:t>。</w:t>
                  </w:r>
                </w:p>
              </w:tc>
              <w:tc>
                <w:tcPr>
                  <w:tcW w:w="742" w:type="pct"/>
                  <w:tcBorders>
                    <w:left w:val="single" w:color="auto" w:sz="4" w:space="0"/>
                  </w:tcBorders>
                  <w:noWrap w:val="0"/>
                  <w:vAlign w:val="center"/>
                </w:tcPr>
                <w:p w14:paraId="6373B8FF">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新建</w:t>
                  </w:r>
                </w:p>
              </w:tc>
            </w:tr>
            <w:tr w14:paraId="5C225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trPr>
              <w:tc>
                <w:tcPr>
                  <w:tcW w:w="377" w:type="pct"/>
                  <w:vMerge w:val="restart"/>
                  <w:tcBorders>
                    <w:top w:val="single" w:color="auto" w:sz="4" w:space="0"/>
                    <w:bottom w:val="single" w:color="auto" w:sz="4" w:space="0"/>
                  </w:tcBorders>
                  <w:noWrap w:val="0"/>
                  <w:vAlign w:val="center"/>
                </w:tcPr>
                <w:p w14:paraId="0B212CE5">
                  <w:pPr>
                    <w:snapToGrid w:val="0"/>
                    <w:spacing w:line="360" w:lineRule="exact"/>
                    <w:jc w:val="center"/>
                    <w:rPr>
                      <w:rFonts w:hint="eastAsia" w:eastAsia="宋体"/>
                      <w:color w:val="auto"/>
                      <w:szCs w:val="21"/>
                      <w:lang w:eastAsia="zh-CN"/>
                    </w:rPr>
                  </w:pPr>
                  <w:r>
                    <w:rPr>
                      <w:rFonts w:hint="eastAsia" w:eastAsia="宋体"/>
                      <w:color w:val="auto"/>
                      <w:szCs w:val="21"/>
                      <w:lang w:val="en-US" w:eastAsia="zh-CN"/>
                    </w:rPr>
                    <w:t>4</w:t>
                  </w:r>
                </w:p>
              </w:tc>
              <w:tc>
                <w:tcPr>
                  <w:tcW w:w="570" w:type="pct"/>
                  <w:vMerge w:val="restart"/>
                  <w:tcBorders>
                    <w:top w:val="single" w:color="auto" w:sz="4" w:space="0"/>
                    <w:bottom w:val="single" w:color="auto" w:sz="4" w:space="0"/>
                  </w:tcBorders>
                  <w:noWrap w:val="0"/>
                  <w:vAlign w:val="center"/>
                </w:tcPr>
                <w:p w14:paraId="0EF3BC2F">
                  <w:pPr>
                    <w:snapToGrid w:val="0"/>
                    <w:spacing w:line="360" w:lineRule="exact"/>
                    <w:jc w:val="center"/>
                    <w:rPr>
                      <w:rFonts w:eastAsia="宋体"/>
                      <w:color w:val="auto"/>
                      <w:szCs w:val="21"/>
                    </w:rPr>
                  </w:pPr>
                  <w:r>
                    <w:rPr>
                      <w:rFonts w:eastAsia="宋体"/>
                      <w:color w:val="auto"/>
                      <w:szCs w:val="21"/>
                    </w:rPr>
                    <w:t>环保工程</w:t>
                  </w:r>
                </w:p>
              </w:tc>
              <w:tc>
                <w:tcPr>
                  <w:tcW w:w="1156" w:type="pct"/>
                  <w:gridSpan w:val="2"/>
                  <w:vMerge w:val="restart"/>
                  <w:noWrap w:val="0"/>
                  <w:vAlign w:val="center"/>
                </w:tcPr>
                <w:p w14:paraId="4FAD5ECE">
                  <w:pPr>
                    <w:jc w:val="center"/>
                    <w:rPr>
                      <w:rFonts w:hint="eastAsia" w:eastAsia="宋体"/>
                      <w:color w:val="auto"/>
                      <w:szCs w:val="21"/>
                      <w:lang w:val="en-US" w:eastAsia="zh-CN"/>
                    </w:rPr>
                  </w:pPr>
                  <w:r>
                    <w:rPr>
                      <w:rFonts w:eastAsia="宋体"/>
                      <w:color w:val="auto"/>
                      <w:szCs w:val="21"/>
                    </w:rPr>
                    <w:t>废气治理</w:t>
                  </w:r>
                  <w:r>
                    <w:rPr>
                      <w:rFonts w:hint="eastAsia" w:eastAsia="宋体"/>
                      <w:color w:val="auto"/>
                      <w:szCs w:val="21"/>
                      <w:lang w:val="en-US" w:eastAsia="zh-CN"/>
                    </w:rPr>
                    <w:t>措施</w:t>
                  </w:r>
                </w:p>
              </w:tc>
              <w:tc>
                <w:tcPr>
                  <w:tcW w:w="2152" w:type="pct"/>
                  <w:tcBorders>
                    <w:right w:val="single" w:color="auto" w:sz="4" w:space="0"/>
                  </w:tcBorders>
                  <w:noWrap w:val="0"/>
                  <w:vAlign w:val="center"/>
                </w:tcPr>
                <w:p w14:paraId="2660D658">
                  <w:pPr>
                    <w:jc w:val="center"/>
                    <w:rPr>
                      <w:rFonts w:hint="default" w:eastAsia="宋体"/>
                      <w:color w:val="auto"/>
                      <w:szCs w:val="21"/>
                      <w:lang w:val="en-US" w:eastAsia="zh-CN"/>
                    </w:rPr>
                  </w:pPr>
                  <w:r>
                    <w:rPr>
                      <w:rFonts w:hint="eastAsia" w:eastAsia="宋体"/>
                      <w:color w:val="auto"/>
                      <w:szCs w:val="21"/>
                      <w:lang w:val="en-US" w:eastAsia="zh-CN"/>
                    </w:rPr>
                    <w:t>3台开口机自带布袋除尘器，粉尘经过净化处理后通过一根管道引至西侧厂房外，在排气管道的末端再经过负压布袋除尘器处理后，无组织排放。</w:t>
                  </w:r>
                </w:p>
              </w:tc>
              <w:tc>
                <w:tcPr>
                  <w:tcW w:w="742" w:type="pct"/>
                  <w:tcBorders>
                    <w:left w:val="single" w:color="auto" w:sz="4" w:space="0"/>
                  </w:tcBorders>
                  <w:noWrap w:val="0"/>
                  <w:vAlign w:val="center"/>
                </w:tcPr>
                <w:p w14:paraId="74CBF58F">
                  <w:pPr>
                    <w:jc w:val="center"/>
                    <w:rPr>
                      <w:rFonts w:hint="default" w:eastAsia="宋体"/>
                      <w:color w:val="auto"/>
                      <w:szCs w:val="21"/>
                      <w:lang w:val="en-US" w:eastAsia="zh-CN"/>
                    </w:rPr>
                  </w:pPr>
                  <w:r>
                    <w:rPr>
                      <w:rFonts w:hint="eastAsia" w:eastAsia="宋体"/>
                      <w:color w:val="auto"/>
                      <w:szCs w:val="21"/>
                      <w:lang w:val="en-US" w:eastAsia="zh-CN"/>
                    </w:rPr>
                    <w:t>新建</w:t>
                  </w:r>
                </w:p>
              </w:tc>
            </w:tr>
            <w:tr w14:paraId="56FE2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77" w:type="pct"/>
                  <w:vMerge w:val="continue"/>
                  <w:noWrap w:val="0"/>
                  <w:vAlign w:val="center"/>
                </w:tcPr>
                <w:p w14:paraId="5EEB59BF">
                  <w:pPr>
                    <w:snapToGrid w:val="0"/>
                    <w:spacing w:line="360" w:lineRule="exact"/>
                    <w:jc w:val="center"/>
                    <w:rPr>
                      <w:rFonts w:hint="eastAsia" w:eastAsia="宋体"/>
                      <w:color w:val="auto"/>
                      <w:szCs w:val="21"/>
                      <w:lang w:val="en-US" w:eastAsia="zh-CN"/>
                    </w:rPr>
                  </w:pPr>
                </w:p>
              </w:tc>
              <w:tc>
                <w:tcPr>
                  <w:tcW w:w="570" w:type="pct"/>
                  <w:vMerge w:val="continue"/>
                  <w:noWrap w:val="0"/>
                  <w:vAlign w:val="center"/>
                </w:tcPr>
                <w:p w14:paraId="2F957313">
                  <w:pPr>
                    <w:snapToGrid w:val="0"/>
                    <w:spacing w:line="360" w:lineRule="exact"/>
                    <w:jc w:val="center"/>
                    <w:rPr>
                      <w:rFonts w:eastAsia="宋体"/>
                      <w:color w:val="auto"/>
                      <w:szCs w:val="21"/>
                    </w:rPr>
                  </w:pPr>
                </w:p>
              </w:tc>
              <w:tc>
                <w:tcPr>
                  <w:tcW w:w="1156" w:type="pct"/>
                  <w:gridSpan w:val="2"/>
                  <w:vMerge w:val="continue"/>
                  <w:noWrap w:val="0"/>
                  <w:vAlign w:val="center"/>
                </w:tcPr>
                <w:p w14:paraId="2B4D8AB9">
                  <w:pPr>
                    <w:jc w:val="center"/>
                    <w:rPr>
                      <w:rFonts w:eastAsia="宋体"/>
                      <w:color w:val="auto"/>
                      <w:szCs w:val="21"/>
                    </w:rPr>
                  </w:pPr>
                </w:p>
              </w:tc>
              <w:tc>
                <w:tcPr>
                  <w:tcW w:w="2152" w:type="pct"/>
                  <w:tcBorders>
                    <w:right w:val="single" w:color="auto" w:sz="4" w:space="0"/>
                  </w:tcBorders>
                  <w:noWrap w:val="0"/>
                  <w:vAlign w:val="center"/>
                </w:tcPr>
                <w:p w14:paraId="46CA2069">
                  <w:pPr>
                    <w:jc w:val="center"/>
                    <w:rPr>
                      <w:rFonts w:hint="eastAsia" w:eastAsia="宋体"/>
                      <w:color w:val="auto"/>
                      <w:szCs w:val="21"/>
                      <w:lang w:val="en-US" w:eastAsia="zh-CN"/>
                    </w:rPr>
                  </w:pPr>
                  <w:r>
                    <w:rPr>
                      <w:rFonts w:hint="eastAsia" w:eastAsia="宋体"/>
                      <w:color w:val="auto"/>
                      <w:szCs w:val="21"/>
                      <w:lang w:val="en-US" w:eastAsia="zh-CN"/>
                    </w:rPr>
                    <w:t>项目车间异味的产生量小，经过车间排气扇扩散，对周边环境影响不大。</w:t>
                  </w:r>
                </w:p>
              </w:tc>
              <w:tc>
                <w:tcPr>
                  <w:tcW w:w="742" w:type="pct"/>
                  <w:tcBorders>
                    <w:left w:val="single" w:color="auto" w:sz="4" w:space="0"/>
                  </w:tcBorders>
                  <w:noWrap w:val="0"/>
                  <w:vAlign w:val="center"/>
                </w:tcPr>
                <w:p w14:paraId="2B2DA8D0">
                  <w:pPr>
                    <w:jc w:val="center"/>
                    <w:rPr>
                      <w:rFonts w:hint="default" w:eastAsia="宋体"/>
                      <w:color w:val="auto"/>
                      <w:szCs w:val="21"/>
                      <w:lang w:val="en-US" w:eastAsia="zh-CN"/>
                    </w:rPr>
                  </w:pPr>
                  <w:r>
                    <w:rPr>
                      <w:rFonts w:hint="eastAsia" w:eastAsia="宋体"/>
                      <w:color w:val="auto"/>
                      <w:szCs w:val="21"/>
                      <w:lang w:val="en-US" w:eastAsia="zh-CN"/>
                    </w:rPr>
                    <w:t>新建</w:t>
                  </w:r>
                </w:p>
              </w:tc>
            </w:tr>
            <w:tr w14:paraId="499A4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377" w:type="pct"/>
                  <w:vMerge w:val="continue"/>
                  <w:tcBorders>
                    <w:top w:val="single" w:color="auto" w:sz="4" w:space="0"/>
                    <w:bottom w:val="single" w:color="auto" w:sz="4" w:space="0"/>
                  </w:tcBorders>
                  <w:noWrap w:val="0"/>
                  <w:vAlign w:val="center"/>
                </w:tcPr>
                <w:p w14:paraId="3933AC00">
                  <w:pPr>
                    <w:snapToGrid w:val="0"/>
                    <w:spacing w:line="360" w:lineRule="exact"/>
                    <w:jc w:val="center"/>
                    <w:rPr>
                      <w:rFonts w:hint="eastAsia" w:eastAsia="宋体"/>
                      <w:color w:val="auto"/>
                      <w:szCs w:val="21"/>
                      <w:lang w:val="en-US" w:eastAsia="zh-CN"/>
                    </w:rPr>
                  </w:pPr>
                </w:p>
              </w:tc>
              <w:tc>
                <w:tcPr>
                  <w:tcW w:w="570" w:type="pct"/>
                  <w:vMerge w:val="continue"/>
                  <w:tcBorders>
                    <w:top w:val="single" w:color="auto" w:sz="4" w:space="0"/>
                    <w:bottom w:val="single" w:color="auto" w:sz="4" w:space="0"/>
                  </w:tcBorders>
                  <w:noWrap w:val="0"/>
                  <w:vAlign w:val="center"/>
                </w:tcPr>
                <w:p w14:paraId="74D1DF08">
                  <w:pPr>
                    <w:snapToGrid w:val="0"/>
                    <w:spacing w:line="360" w:lineRule="exact"/>
                    <w:jc w:val="center"/>
                    <w:rPr>
                      <w:rFonts w:eastAsia="宋体"/>
                      <w:color w:val="auto"/>
                      <w:szCs w:val="21"/>
                    </w:rPr>
                  </w:pPr>
                </w:p>
              </w:tc>
              <w:tc>
                <w:tcPr>
                  <w:tcW w:w="1156" w:type="pct"/>
                  <w:gridSpan w:val="2"/>
                  <w:vMerge w:val="continue"/>
                  <w:noWrap w:val="0"/>
                  <w:vAlign w:val="center"/>
                </w:tcPr>
                <w:p w14:paraId="17137C06">
                  <w:pPr>
                    <w:jc w:val="center"/>
                    <w:rPr>
                      <w:rFonts w:eastAsia="宋体"/>
                      <w:color w:val="auto"/>
                      <w:szCs w:val="21"/>
                    </w:rPr>
                  </w:pPr>
                </w:p>
              </w:tc>
              <w:tc>
                <w:tcPr>
                  <w:tcW w:w="2152" w:type="pct"/>
                  <w:tcBorders>
                    <w:right w:val="single" w:color="auto" w:sz="4" w:space="0"/>
                  </w:tcBorders>
                  <w:noWrap w:val="0"/>
                  <w:vAlign w:val="center"/>
                </w:tcPr>
                <w:p w14:paraId="7014A2F3">
                  <w:pPr>
                    <w:jc w:val="center"/>
                    <w:rPr>
                      <w:rFonts w:hint="default" w:ascii="Times New Roman" w:hAnsi="Times New Roman" w:eastAsia="宋体" w:cs="Times New Roman"/>
                      <w:color w:val="auto"/>
                      <w:spacing w:val="-4"/>
                      <w:szCs w:val="21"/>
                      <w:lang w:val="en-US" w:eastAsia="zh-CN"/>
                    </w:rPr>
                  </w:pPr>
                  <w:r>
                    <w:rPr>
                      <w:rFonts w:hint="eastAsia" w:ascii="Times New Roman" w:hAnsi="Times New Roman" w:eastAsia="宋体" w:cs="Times New Roman"/>
                      <w:color w:val="auto"/>
                      <w:spacing w:val="-4"/>
                      <w:szCs w:val="21"/>
                      <w:lang w:val="en-US" w:eastAsia="zh-CN"/>
                    </w:rPr>
                    <w:t>食堂油烟设置1套抽油烟机（去除效率为60%以上）。</w:t>
                  </w:r>
                </w:p>
              </w:tc>
              <w:tc>
                <w:tcPr>
                  <w:tcW w:w="742" w:type="pct"/>
                  <w:tcBorders>
                    <w:left w:val="single" w:color="auto" w:sz="4" w:space="0"/>
                  </w:tcBorders>
                  <w:noWrap w:val="0"/>
                  <w:vAlign w:val="center"/>
                </w:tcPr>
                <w:p w14:paraId="1472CC75">
                  <w:pPr>
                    <w:jc w:val="center"/>
                    <w:rPr>
                      <w:rFonts w:hint="default" w:eastAsia="宋体"/>
                      <w:color w:val="auto"/>
                      <w:szCs w:val="21"/>
                      <w:lang w:val="en-US" w:eastAsia="zh-CN"/>
                    </w:rPr>
                  </w:pPr>
                  <w:r>
                    <w:rPr>
                      <w:rFonts w:hint="eastAsia" w:eastAsia="宋体"/>
                      <w:color w:val="auto"/>
                      <w:szCs w:val="21"/>
                      <w:lang w:val="en-US" w:eastAsia="zh-CN"/>
                    </w:rPr>
                    <w:t>新建</w:t>
                  </w:r>
                </w:p>
              </w:tc>
            </w:tr>
            <w:tr w14:paraId="7BBEB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377" w:type="pct"/>
                  <w:vMerge w:val="continue"/>
                  <w:tcBorders>
                    <w:top w:val="single" w:color="auto" w:sz="4" w:space="0"/>
                    <w:bottom w:val="single" w:color="auto" w:sz="4" w:space="0"/>
                  </w:tcBorders>
                  <w:noWrap w:val="0"/>
                  <w:vAlign w:val="center"/>
                </w:tcPr>
                <w:p w14:paraId="57DF4315">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3EBFD13F">
                  <w:pPr>
                    <w:snapToGrid w:val="0"/>
                    <w:spacing w:line="360" w:lineRule="exact"/>
                    <w:jc w:val="center"/>
                    <w:rPr>
                      <w:rFonts w:eastAsia="宋体"/>
                      <w:color w:val="auto"/>
                      <w:szCs w:val="21"/>
                    </w:rPr>
                  </w:pPr>
                </w:p>
              </w:tc>
              <w:tc>
                <w:tcPr>
                  <w:tcW w:w="1156" w:type="pct"/>
                  <w:gridSpan w:val="2"/>
                  <w:vMerge w:val="restart"/>
                  <w:noWrap w:val="0"/>
                  <w:vAlign w:val="center"/>
                </w:tcPr>
                <w:p w14:paraId="6961C441">
                  <w:pPr>
                    <w:jc w:val="center"/>
                    <w:rPr>
                      <w:rFonts w:hint="eastAsia" w:eastAsia="宋体"/>
                      <w:color w:val="auto"/>
                      <w:szCs w:val="21"/>
                      <w:lang w:val="en-US" w:eastAsia="zh-CN"/>
                    </w:rPr>
                  </w:pPr>
                  <w:r>
                    <w:rPr>
                      <w:rFonts w:eastAsia="宋体"/>
                      <w:color w:val="auto"/>
                      <w:szCs w:val="21"/>
                    </w:rPr>
                    <w:t>废水治理</w:t>
                  </w:r>
                  <w:r>
                    <w:rPr>
                      <w:rFonts w:hint="eastAsia" w:eastAsia="宋体"/>
                      <w:color w:val="auto"/>
                      <w:szCs w:val="21"/>
                      <w:lang w:val="en-US" w:eastAsia="zh-CN"/>
                    </w:rPr>
                    <w:t>措施</w:t>
                  </w:r>
                </w:p>
              </w:tc>
              <w:tc>
                <w:tcPr>
                  <w:tcW w:w="2152" w:type="pct"/>
                  <w:tcBorders>
                    <w:right w:val="single" w:color="auto" w:sz="4" w:space="0"/>
                  </w:tcBorders>
                  <w:noWrap w:val="0"/>
                  <w:vAlign w:val="center"/>
                </w:tcPr>
                <w:p w14:paraId="0EA3930A">
                  <w:pPr>
                    <w:jc w:val="center"/>
                    <w:rPr>
                      <w:rFonts w:hint="default" w:eastAsia="宋体"/>
                      <w:color w:val="auto"/>
                      <w:szCs w:val="21"/>
                      <w:lang w:val="en-US"/>
                    </w:rPr>
                  </w:pPr>
                  <w:r>
                    <w:rPr>
                      <w:rFonts w:hint="eastAsia" w:eastAsia="宋体"/>
                      <w:color w:val="auto"/>
                      <w:szCs w:val="21"/>
                      <w:lang w:val="en-US" w:eastAsia="zh-CN"/>
                    </w:rPr>
                    <w:t>雨污分流管网，</w:t>
                  </w:r>
                  <w:r>
                    <w:rPr>
                      <w:rFonts w:hint="eastAsia"/>
                      <w:color w:val="auto"/>
                      <w:szCs w:val="21"/>
                      <w:lang w:val="en-US" w:eastAsia="zh-CN"/>
                    </w:rPr>
                    <w:t>1座化粪池（容积为    4m</w:t>
                  </w:r>
                  <w:r>
                    <w:rPr>
                      <w:rFonts w:hint="eastAsia"/>
                      <w:color w:val="auto"/>
                      <w:szCs w:val="21"/>
                      <w:vertAlign w:val="superscript"/>
                      <w:lang w:val="en-US" w:eastAsia="zh-CN"/>
                    </w:rPr>
                    <w:t>3</w:t>
                  </w:r>
                  <w:r>
                    <w:rPr>
                      <w:rFonts w:hint="eastAsia"/>
                      <w:color w:val="auto"/>
                      <w:szCs w:val="21"/>
                      <w:lang w:val="en-US" w:eastAsia="zh-CN"/>
                    </w:rPr>
                    <w:t>）处理生活污水。</w:t>
                  </w:r>
                </w:p>
              </w:tc>
              <w:tc>
                <w:tcPr>
                  <w:tcW w:w="742" w:type="pct"/>
                  <w:tcBorders>
                    <w:left w:val="single" w:color="auto" w:sz="4" w:space="0"/>
                  </w:tcBorders>
                  <w:noWrap w:val="0"/>
                  <w:vAlign w:val="center"/>
                </w:tcPr>
                <w:p w14:paraId="4A2F5348">
                  <w:pPr>
                    <w:jc w:val="center"/>
                    <w:rPr>
                      <w:rFonts w:hint="default" w:eastAsia="宋体"/>
                      <w:color w:val="auto"/>
                      <w:szCs w:val="21"/>
                      <w:lang w:val="en-US" w:eastAsia="zh-CN"/>
                    </w:rPr>
                  </w:pPr>
                  <w:r>
                    <w:rPr>
                      <w:rFonts w:hint="eastAsia" w:eastAsia="宋体"/>
                      <w:color w:val="auto"/>
                      <w:szCs w:val="21"/>
                      <w:lang w:val="en-US" w:eastAsia="zh-CN"/>
                    </w:rPr>
                    <w:t>新建</w:t>
                  </w:r>
                </w:p>
              </w:tc>
            </w:tr>
            <w:tr w14:paraId="56AC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377" w:type="pct"/>
                  <w:vMerge w:val="continue"/>
                  <w:tcBorders>
                    <w:top w:val="single" w:color="auto" w:sz="4" w:space="0"/>
                    <w:bottom w:val="single" w:color="auto" w:sz="4" w:space="0"/>
                  </w:tcBorders>
                  <w:noWrap w:val="0"/>
                  <w:vAlign w:val="center"/>
                </w:tcPr>
                <w:p w14:paraId="1E0711FA">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31AE3BD6">
                  <w:pPr>
                    <w:snapToGrid w:val="0"/>
                    <w:spacing w:line="360" w:lineRule="exact"/>
                    <w:jc w:val="center"/>
                    <w:rPr>
                      <w:rFonts w:eastAsia="宋体"/>
                      <w:color w:val="auto"/>
                      <w:szCs w:val="21"/>
                    </w:rPr>
                  </w:pPr>
                </w:p>
              </w:tc>
              <w:tc>
                <w:tcPr>
                  <w:tcW w:w="1156" w:type="pct"/>
                  <w:gridSpan w:val="2"/>
                  <w:vMerge w:val="continue"/>
                  <w:noWrap w:val="0"/>
                  <w:vAlign w:val="center"/>
                </w:tcPr>
                <w:p w14:paraId="6DC537BD">
                  <w:pPr>
                    <w:jc w:val="center"/>
                    <w:rPr>
                      <w:rFonts w:eastAsia="宋体"/>
                      <w:color w:val="auto"/>
                      <w:szCs w:val="21"/>
                    </w:rPr>
                  </w:pPr>
                </w:p>
              </w:tc>
              <w:tc>
                <w:tcPr>
                  <w:tcW w:w="2152" w:type="pct"/>
                  <w:tcBorders>
                    <w:right w:val="single" w:color="auto" w:sz="4" w:space="0"/>
                  </w:tcBorders>
                  <w:noWrap w:val="0"/>
                  <w:vAlign w:val="center"/>
                </w:tcPr>
                <w:p w14:paraId="0ECDFD9C">
                  <w:pPr>
                    <w:jc w:val="center"/>
                    <w:rPr>
                      <w:rFonts w:eastAsia="宋体"/>
                      <w:color w:val="auto"/>
                      <w:szCs w:val="21"/>
                    </w:rPr>
                  </w:pPr>
                  <w:r>
                    <w:rPr>
                      <w:rFonts w:hint="eastAsia" w:hAnsi="宋体"/>
                      <w:color w:val="auto"/>
                      <w:szCs w:val="21"/>
                      <w:lang w:val="en-US" w:eastAsia="zh-CN"/>
                    </w:rPr>
                    <w:t>在食堂出水口设置</w:t>
                  </w:r>
                  <w:r>
                    <w:rPr>
                      <w:rFonts w:hint="eastAsia"/>
                      <w:color w:val="auto"/>
                      <w:szCs w:val="21"/>
                    </w:rPr>
                    <w:t>1</w:t>
                  </w:r>
                  <w:r>
                    <w:rPr>
                      <w:rFonts w:hint="eastAsia"/>
                      <w:color w:val="auto"/>
                      <w:szCs w:val="21"/>
                      <w:lang w:val="en-US" w:eastAsia="zh-CN"/>
                    </w:rPr>
                    <w:t>个隔油池（容积为1.0m</w:t>
                  </w:r>
                  <w:r>
                    <w:rPr>
                      <w:rFonts w:hint="eastAsia"/>
                      <w:color w:val="auto"/>
                      <w:szCs w:val="21"/>
                      <w:vertAlign w:val="superscript"/>
                      <w:lang w:val="en-US" w:eastAsia="zh-CN"/>
                    </w:rPr>
                    <w:t>3</w:t>
                  </w:r>
                  <w:r>
                    <w:rPr>
                      <w:rFonts w:hint="eastAsia"/>
                      <w:color w:val="auto"/>
                      <w:szCs w:val="21"/>
                      <w:lang w:val="en-US" w:eastAsia="zh-CN"/>
                    </w:rPr>
                    <w:t>）。</w:t>
                  </w:r>
                </w:p>
              </w:tc>
              <w:tc>
                <w:tcPr>
                  <w:tcW w:w="742" w:type="pct"/>
                  <w:tcBorders>
                    <w:left w:val="single" w:color="auto" w:sz="4" w:space="0"/>
                  </w:tcBorders>
                  <w:noWrap w:val="0"/>
                  <w:vAlign w:val="center"/>
                </w:tcPr>
                <w:p w14:paraId="608663F7">
                  <w:pPr>
                    <w:jc w:val="center"/>
                    <w:rPr>
                      <w:rFonts w:hint="eastAsia" w:eastAsia="宋体"/>
                      <w:color w:val="auto"/>
                      <w:szCs w:val="21"/>
                      <w:lang w:val="en-US" w:eastAsia="zh-CN"/>
                    </w:rPr>
                  </w:pPr>
                  <w:r>
                    <w:rPr>
                      <w:rFonts w:hint="eastAsia" w:eastAsia="宋体"/>
                      <w:color w:val="auto"/>
                      <w:szCs w:val="21"/>
                      <w:lang w:val="en-US" w:eastAsia="zh-CN"/>
                    </w:rPr>
                    <w:t>新建</w:t>
                  </w:r>
                </w:p>
              </w:tc>
            </w:tr>
            <w:tr w14:paraId="3F39B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7" w:type="pct"/>
                  <w:vMerge w:val="continue"/>
                  <w:tcBorders>
                    <w:top w:val="single" w:color="auto" w:sz="4" w:space="0"/>
                    <w:bottom w:val="single" w:color="auto" w:sz="4" w:space="0"/>
                  </w:tcBorders>
                  <w:noWrap w:val="0"/>
                  <w:vAlign w:val="center"/>
                </w:tcPr>
                <w:p w14:paraId="460F5AC8">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7F9FD035">
                  <w:pPr>
                    <w:snapToGrid w:val="0"/>
                    <w:spacing w:line="360" w:lineRule="exact"/>
                    <w:jc w:val="center"/>
                    <w:rPr>
                      <w:rFonts w:eastAsia="宋体"/>
                      <w:color w:val="auto"/>
                      <w:szCs w:val="21"/>
                    </w:rPr>
                  </w:pPr>
                </w:p>
              </w:tc>
              <w:tc>
                <w:tcPr>
                  <w:tcW w:w="1156" w:type="pct"/>
                  <w:gridSpan w:val="2"/>
                  <w:vMerge w:val="continue"/>
                  <w:noWrap w:val="0"/>
                  <w:vAlign w:val="center"/>
                </w:tcPr>
                <w:p w14:paraId="51DCE23E">
                  <w:pPr>
                    <w:jc w:val="center"/>
                    <w:rPr>
                      <w:rFonts w:eastAsia="宋体"/>
                      <w:color w:val="auto"/>
                      <w:szCs w:val="21"/>
                    </w:rPr>
                  </w:pPr>
                </w:p>
              </w:tc>
              <w:tc>
                <w:tcPr>
                  <w:tcW w:w="2152" w:type="pct"/>
                  <w:tcBorders>
                    <w:right w:val="single" w:color="auto" w:sz="4" w:space="0"/>
                  </w:tcBorders>
                  <w:noWrap w:val="0"/>
                  <w:vAlign w:val="center"/>
                </w:tcPr>
                <w:p w14:paraId="08DD65B0">
                  <w:pPr>
                    <w:jc w:val="center"/>
                    <w:rPr>
                      <w:rFonts w:hint="default" w:hAnsi="宋体"/>
                      <w:color w:val="auto"/>
                      <w:szCs w:val="21"/>
                      <w:lang w:val="en-US" w:eastAsia="zh-CN"/>
                    </w:rPr>
                  </w:pPr>
                  <w:r>
                    <w:rPr>
                      <w:rFonts w:hint="eastAsia" w:ascii="Times New Roman" w:hAnsi="Times New Roman" w:eastAsia="宋体" w:cs="Times New Roman"/>
                      <w:color w:val="auto"/>
                      <w:sz w:val="21"/>
                      <w:szCs w:val="21"/>
                      <w:lang w:val="en-US" w:eastAsia="zh-CN"/>
                    </w:rPr>
                    <w:t>自建污水处理站（沉淀分离+厌氧生物+好氧生物处理工艺）处理后生产废水，处理规模为10m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/d。在污水处理站的末端设置1座贮水池，容积为10m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，用于贮存污水处理站处理后的废水，同时购置1辆密闭罐车用于废水的转运。</w:t>
                  </w:r>
                </w:p>
              </w:tc>
              <w:tc>
                <w:tcPr>
                  <w:tcW w:w="742" w:type="pct"/>
                  <w:tcBorders>
                    <w:left w:val="single" w:color="auto" w:sz="4" w:space="0"/>
                  </w:tcBorders>
                  <w:noWrap w:val="0"/>
                  <w:vAlign w:val="center"/>
                </w:tcPr>
                <w:p w14:paraId="7DC60F3E">
                  <w:pPr>
                    <w:jc w:val="center"/>
                    <w:rPr>
                      <w:rFonts w:hint="default" w:eastAsia="宋体"/>
                      <w:color w:val="auto"/>
                      <w:szCs w:val="21"/>
                      <w:lang w:val="en-US" w:eastAsia="zh-CN"/>
                    </w:rPr>
                  </w:pPr>
                  <w:r>
                    <w:rPr>
                      <w:rFonts w:hint="eastAsia" w:eastAsia="宋体"/>
                      <w:color w:val="auto"/>
                      <w:szCs w:val="21"/>
                      <w:lang w:val="en-US" w:eastAsia="zh-CN"/>
                    </w:rPr>
                    <w:t>新建</w:t>
                  </w:r>
                </w:p>
              </w:tc>
            </w:tr>
            <w:tr w14:paraId="74A5D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1" w:hRule="atLeast"/>
              </w:trPr>
              <w:tc>
                <w:tcPr>
                  <w:tcW w:w="377" w:type="pct"/>
                  <w:vMerge w:val="continue"/>
                  <w:tcBorders>
                    <w:top w:val="single" w:color="auto" w:sz="4" w:space="0"/>
                    <w:bottom w:val="single" w:color="auto" w:sz="4" w:space="0"/>
                  </w:tcBorders>
                  <w:noWrap w:val="0"/>
                  <w:vAlign w:val="center"/>
                </w:tcPr>
                <w:p w14:paraId="35AA377F">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0BA4DD63">
                  <w:pPr>
                    <w:snapToGrid w:val="0"/>
                    <w:spacing w:line="360" w:lineRule="exact"/>
                    <w:jc w:val="center"/>
                    <w:rPr>
                      <w:rFonts w:eastAsia="宋体"/>
                      <w:color w:val="auto"/>
                      <w:szCs w:val="21"/>
                    </w:rPr>
                  </w:pPr>
                </w:p>
              </w:tc>
              <w:tc>
                <w:tcPr>
                  <w:tcW w:w="1156" w:type="pct"/>
                  <w:gridSpan w:val="2"/>
                  <w:noWrap w:val="0"/>
                  <w:vAlign w:val="center"/>
                </w:tcPr>
                <w:p w14:paraId="531C5811">
                  <w:pPr>
                    <w:snapToGrid w:val="0"/>
                    <w:spacing w:line="360" w:lineRule="exact"/>
                    <w:jc w:val="center"/>
                    <w:rPr>
                      <w:rFonts w:hint="eastAsia" w:eastAsia="宋体"/>
                      <w:color w:val="auto"/>
                      <w:szCs w:val="21"/>
                      <w:lang w:val="en-US" w:eastAsia="zh-CN"/>
                    </w:rPr>
                  </w:pPr>
                  <w:r>
                    <w:rPr>
                      <w:rFonts w:eastAsia="宋体"/>
                      <w:color w:val="auto"/>
                      <w:szCs w:val="21"/>
                    </w:rPr>
                    <w:t>噪声治理</w:t>
                  </w:r>
                  <w:r>
                    <w:rPr>
                      <w:rFonts w:hint="eastAsia" w:eastAsia="宋体"/>
                      <w:color w:val="auto"/>
                      <w:szCs w:val="21"/>
                      <w:lang w:val="en-US" w:eastAsia="zh-CN"/>
                    </w:rPr>
                    <w:t>措施</w:t>
                  </w:r>
                </w:p>
              </w:tc>
              <w:tc>
                <w:tcPr>
                  <w:tcW w:w="2152" w:type="pct"/>
                  <w:tcBorders>
                    <w:right w:val="single" w:color="auto" w:sz="4" w:space="0"/>
                  </w:tcBorders>
                  <w:noWrap w:val="0"/>
                  <w:vAlign w:val="center"/>
                </w:tcPr>
                <w:p w14:paraId="73774A7C">
                  <w:pPr>
                    <w:snapToGrid w:val="0"/>
                    <w:spacing w:line="360" w:lineRule="exact"/>
                    <w:jc w:val="center"/>
                    <w:rPr>
                      <w:rFonts w:hint="eastAsia" w:eastAsia="宋体"/>
                      <w:color w:val="auto"/>
                      <w:szCs w:val="21"/>
                      <w:lang w:eastAsia="zh-CN"/>
                    </w:rPr>
                  </w:pPr>
                  <w:r>
                    <w:rPr>
                      <w:rFonts w:hint="eastAsia"/>
                      <w:color w:val="auto"/>
                      <w:szCs w:val="21"/>
                    </w:rPr>
                    <w:t>软连接、减震垫；</w:t>
                  </w:r>
                  <w:r>
                    <w:rPr>
                      <w:rFonts w:hint="eastAsia"/>
                      <w:color w:val="auto"/>
                      <w:szCs w:val="21"/>
                      <w:lang w:val="en-US" w:eastAsia="zh-CN"/>
                    </w:rPr>
                    <w:t>车间隔声。</w:t>
                  </w:r>
                </w:p>
              </w:tc>
              <w:tc>
                <w:tcPr>
                  <w:tcW w:w="742" w:type="pct"/>
                  <w:tcBorders>
                    <w:left w:val="single" w:color="auto" w:sz="4" w:space="0"/>
                  </w:tcBorders>
                  <w:noWrap w:val="0"/>
                  <w:vAlign w:val="center"/>
                </w:tcPr>
                <w:p w14:paraId="3256219C">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新建</w:t>
                  </w:r>
                </w:p>
              </w:tc>
            </w:tr>
            <w:tr w14:paraId="2D31B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trPr>
              <w:tc>
                <w:tcPr>
                  <w:tcW w:w="377" w:type="pct"/>
                  <w:vMerge w:val="continue"/>
                  <w:tcBorders>
                    <w:top w:val="single" w:color="auto" w:sz="4" w:space="0"/>
                    <w:bottom w:val="single" w:color="auto" w:sz="4" w:space="0"/>
                  </w:tcBorders>
                  <w:noWrap w:val="0"/>
                  <w:vAlign w:val="center"/>
                </w:tcPr>
                <w:p w14:paraId="05EB6D4E">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6BDE73EB">
                  <w:pPr>
                    <w:snapToGrid w:val="0"/>
                    <w:spacing w:line="360" w:lineRule="exact"/>
                    <w:jc w:val="center"/>
                    <w:rPr>
                      <w:rFonts w:eastAsia="宋体"/>
                      <w:color w:val="auto"/>
                      <w:szCs w:val="21"/>
                    </w:rPr>
                  </w:pPr>
                </w:p>
              </w:tc>
              <w:tc>
                <w:tcPr>
                  <w:tcW w:w="504" w:type="pct"/>
                  <w:vMerge w:val="restart"/>
                  <w:tcBorders>
                    <w:right w:val="single" w:color="auto" w:sz="4" w:space="0"/>
                  </w:tcBorders>
                  <w:noWrap w:val="0"/>
                  <w:vAlign w:val="center"/>
                </w:tcPr>
                <w:p w14:paraId="71C17CD7">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固废治理措施</w:t>
                  </w:r>
                </w:p>
              </w:tc>
              <w:tc>
                <w:tcPr>
                  <w:tcW w:w="651" w:type="pct"/>
                  <w:tcBorders>
                    <w:left w:val="single" w:color="auto" w:sz="4" w:space="0"/>
                  </w:tcBorders>
                  <w:noWrap w:val="0"/>
                  <w:vAlign w:val="center"/>
                </w:tcPr>
                <w:p w14:paraId="49C903EE">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坚果皮</w:t>
                  </w:r>
                </w:p>
              </w:tc>
              <w:tc>
                <w:tcPr>
                  <w:tcW w:w="2152" w:type="pct"/>
                  <w:tcBorders>
                    <w:right w:val="single" w:color="auto" w:sz="4" w:space="0"/>
                  </w:tcBorders>
                  <w:noWrap w:val="0"/>
                  <w:vAlign w:val="center"/>
                </w:tcPr>
                <w:p w14:paraId="300B3007">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eastAsia="宋体"/>
                      <w:b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暂存于废料堆放大棚，</w:t>
                  </w:r>
                  <w:r>
                    <w:rPr>
                      <w:rFonts w:hint="default" w:ascii="Times New Roman" w:hAnsi="Times New Roman" w:eastAsia="宋体" w:cs="Times New Roman"/>
                      <w:color w:val="auto"/>
                      <w:kern w:val="0"/>
                      <w:sz w:val="21"/>
                      <w:szCs w:val="21"/>
                      <w:lang w:val="en-US" w:eastAsia="zh-CN" w:bidi="ar-SA"/>
                    </w:rPr>
                    <w:t>由附近农户清运至坚果种植基地作为肥料施用</w:t>
                  </w:r>
                  <w:r>
                    <w:rPr>
                      <w:rFonts w:hint="eastAsia" w:ascii="Times New Roman" w:hAnsi="Times New Roman" w:eastAsia="宋体" w:cs="Times New Roman"/>
                      <w:color w:val="auto"/>
                      <w:kern w:val="0"/>
                      <w:sz w:val="21"/>
                      <w:szCs w:val="21"/>
                      <w:lang w:val="en-US" w:eastAsia="zh-CN" w:bidi="ar-SA"/>
                    </w:rPr>
                    <w:t>。</w:t>
                  </w:r>
                </w:p>
              </w:tc>
              <w:tc>
                <w:tcPr>
                  <w:tcW w:w="742" w:type="pct"/>
                  <w:tcBorders>
                    <w:left w:val="single" w:color="auto" w:sz="4" w:space="0"/>
                  </w:tcBorders>
                  <w:noWrap w:val="0"/>
                  <w:vAlign w:val="center"/>
                </w:tcPr>
                <w:p w14:paraId="65AE8020">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新建</w:t>
                  </w:r>
                </w:p>
              </w:tc>
            </w:tr>
            <w:tr w14:paraId="6530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377" w:type="pct"/>
                  <w:vMerge w:val="continue"/>
                  <w:tcBorders>
                    <w:top w:val="single" w:color="auto" w:sz="4" w:space="0"/>
                    <w:bottom w:val="single" w:color="auto" w:sz="4" w:space="0"/>
                  </w:tcBorders>
                  <w:noWrap w:val="0"/>
                  <w:vAlign w:val="center"/>
                </w:tcPr>
                <w:p w14:paraId="40CD709F">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4564FA51">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452D9A31">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69EA0AB6">
                  <w:pPr>
                    <w:pStyle w:val="80"/>
                    <w:jc w:val="center"/>
                    <w:rPr>
                      <w:rFonts w:hint="default" w:eastAsia="宋体"/>
                      <w:color w:val="auto"/>
                      <w:kern w:val="2"/>
                      <w:sz w:val="21"/>
                      <w:szCs w:val="24"/>
                      <w:lang w:val="en-US" w:eastAsia="zh-CN" w:bidi="ar-SA"/>
                    </w:rPr>
                  </w:pPr>
                  <w:r>
                    <w:rPr>
                      <w:rFonts w:hint="default" w:ascii="Times New Roman" w:hAnsi="Times New Roman" w:eastAsia="宋体" w:cs="Times New Roman"/>
                      <w:color w:val="auto"/>
                      <w:kern w:val="0"/>
                      <w:sz w:val="21"/>
                      <w:szCs w:val="21"/>
                      <w:lang w:val="en-US" w:eastAsia="zh-CN" w:bidi="ar-SA"/>
                    </w:rPr>
                    <w:t>废弃的残次坚果、不合格品</w:t>
                  </w:r>
                </w:p>
              </w:tc>
              <w:tc>
                <w:tcPr>
                  <w:tcW w:w="2152" w:type="pct"/>
                  <w:tcBorders>
                    <w:right w:val="single" w:color="auto" w:sz="4" w:space="0"/>
                  </w:tcBorders>
                  <w:noWrap w:val="0"/>
                  <w:vAlign w:val="center"/>
                </w:tcPr>
                <w:p w14:paraId="65384CD2">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bidi="ar-SA"/>
                    </w:rPr>
                    <w:t>外售给回收商进行加工再利用。</w:t>
                  </w:r>
                </w:p>
              </w:tc>
              <w:tc>
                <w:tcPr>
                  <w:tcW w:w="742" w:type="pct"/>
                  <w:tcBorders>
                    <w:left w:val="single" w:color="auto" w:sz="4" w:space="0"/>
                  </w:tcBorders>
                  <w:noWrap w:val="0"/>
                  <w:vAlign w:val="center"/>
                </w:tcPr>
                <w:p w14:paraId="28D5A9DA">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新建</w:t>
                  </w:r>
                </w:p>
              </w:tc>
            </w:tr>
            <w:tr w14:paraId="3E5F1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377" w:type="pct"/>
                  <w:vMerge w:val="continue"/>
                  <w:tcBorders>
                    <w:top w:val="single" w:color="auto" w:sz="4" w:space="0"/>
                    <w:bottom w:val="single" w:color="auto" w:sz="4" w:space="0"/>
                  </w:tcBorders>
                  <w:noWrap w:val="0"/>
                  <w:vAlign w:val="center"/>
                </w:tcPr>
                <w:p w14:paraId="2E662EE0">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096D81B8">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14964572">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68CEDD04">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eastAsia="宋体"/>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果壳</w:t>
                  </w:r>
                </w:p>
              </w:tc>
              <w:tc>
                <w:tcPr>
                  <w:tcW w:w="2152" w:type="pct"/>
                  <w:tcBorders>
                    <w:right w:val="single" w:color="auto" w:sz="4" w:space="0"/>
                  </w:tcBorders>
                  <w:noWrap w:val="0"/>
                  <w:vAlign w:val="center"/>
                </w:tcPr>
                <w:p w14:paraId="3CC1E54F">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eastAsia="宋体"/>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742" w:type="pct"/>
                  <w:tcBorders>
                    <w:left w:val="single" w:color="auto" w:sz="4" w:space="0"/>
                  </w:tcBorders>
                  <w:noWrap w:val="0"/>
                  <w:vAlign w:val="center"/>
                </w:tcPr>
                <w:p w14:paraId="18FE6CD9">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6CE7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377" w:type="pct"/>
                  <w:vMerge w:val="continue"/>
                  <w:tcBorders>
                    <w:top w:val="single" w:color="auto" w:sz="4" w:space="0"/>
                    <w:bottom w:val="single" w:color="auto" w:sz="4" w:space="0"/>
                  </w:tcBorders>
                  <w:noWrap w:val="0"/>
                  <w:vAlign w:val="center"/>
                </w:tcPr>
                <w:p w14:paraId="485F9698">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1AFE412F">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6316A891">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124CF945">
                  <w:pPr>
                    <w:pStyle w:val="80"/>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废包装材料</w:t>
                  </w:r>
                </w:p>
              </w:tc>
              <w:tc>
                <w:tcPr>
                  <w:tcW w:w="2152" w:type="pct"/>
                  <w:tcBorders>
                    <w:right w:val="single" w:color="auto" w:sz="4" w:space="0"/>
                  </w:tcBorders>
                  <w:noWrap w:val="0"/>
                  <w:vAlign w:val="center"/>
                </w:tcPr>
                <w:p w14:paraId="0DC70958">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hAnsi="Courier New" w:eastAsia="宋体"/>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外售给废品回收站回收综合利用</w:t>
                  </w:r>
                  <w:r>
                    <w:rPr>
                      <w:rFonts w:hint="eastAsia" w:ascii="Times New Roman" w:hAnsi="Times New Roman" w:eastAsia="宋体" w:cs="Times New Roman"/>
                      <w:color w:val="auto"/>
                      <w:kern w:val="0"/>
                      <w:sz w:val="21"/>
                      <w:szCs w:val="21"/>
                      <w:lang w:val="en-US" w:eastAsia="zh-CN" w:bidi="ar-SA"/>
                    </w:rPr>
                    <w:t>。</w:t>
                  </w:r>
                </w:p>
              </w:tc>
              <w:tc>
                <w:tcPr>
                  <w:tcW w:w="742" w:type="pct"/>
                  <w:tcBorders>
                    <w:left w:val="single" w:color="auto" w:sz="4" w:space="0"/>
                  </w:tcBorders>
                  <w:noWrap w:val="0"/>
                  <w:vAlign w:val="center"/>
                </w:tcPr>
                <w:p w14:paraId="14B4C967">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09DC7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trPr>
              <w:tc>
                <w:tcPr>
                  <w:tcW w:w="377" w:type="pct"/>
                  <w:vMerge w:val="continue"/>
                  <w:tcBorders>
                    <w:top w:val="single" w:color="auto" w:sz="4" w:space="0"/>
                    <w:bottom w:val="single" w:color="auto" w:sz="4" w:space="0"/>
                  </w:tcBorders>
                  <w:noWrap w:val="0"/>
                  <w:vAlign w:val="center"/>
                </w:tcPr>
                <w:p w14:paraId="3628DDDA">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2C20CCFA">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3E6CBF85">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66FBD69B">
                  <w:pPr>
                    <w:pStyle w:val="80"/>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回收粉尘</w:t>
                  </w:r>
                </w:p>
              </w:tc>
              <w:tc>
                <w:tcPr>
                  <w:tcW w:w="2152" w:type="pct"/>
                  <w:tcBorders>
                    <w:right w:val="single" w:color="auto" w:sz="4" w:space="0"/>
                  </w:tcBorders>
                  <w:noWrap w:val="0"/>
                  <w:vAlign w:val="center"/>
                </w:tcPr>
                <w:p w14:paraId="7400F799">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hAnsi="Courier New" w:eastAsia="宋体"/>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742" w:type="pct"/>
                  <w:tcBorders>
                    <w:left w:val="single" w:color="auto" w:sz="4" w:space="0"/>
                  </w:tcBorders>
                  <w:noWrap w:val="0"/>
                  <w:vAlign w:val="center"/>
                </w:tcPr>
                <w:p w14:paraId="6F5A686F">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37C4B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377" w:type="pct"/>
                  <w:vMerge w:val="continue"/>
                  <w:tcBorders>
                    <w:top w:val="single" w:color="auto" w:sz="4" w:space="0"/>
                    <w:bottom w:val="single" w:color="auto" w:sz="4" w:space="0"/>
                  </w:tcBorders>
                  <w:noWrap w:val="0"/>
                  <w:vAlign w:val="center"/>
                </w:tcPr>
                <w:p w14:paraId="714748C5">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524FB457">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6F2DB369">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79B5D639">
                  <w:pPr>
                    <w:pStyle w:val="80"/>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生活垃圾</w:t>
                  </w:r>
                </w:p>
              </w:tc>
              <w:tc>
                <w:tcPr>
                  <w:tcW w:w="2152" w:type="pct"/>
                  <w:tcBorders>
                    <w:right w:val="single" w:color="auto" w:sz="4" w:space="0"/>
                  </w:tcBorders>
                  <w:noWrap w:val="0"/>
                  <w:vAlign w:val="center"/>
                </w:tcPr>
                <w:p w14:paraId="6ED6F3C4">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hAnsi="Courier New" w:eastAsia="宋体"/>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设置2个环保型垃圾收集桶收集，</w:t>
                  </w:r>
                  <w:r>
                    <w:rPr>
                      <w:rFonts w:hint="eastAsia" w:ascii="Times New Roman" w:hAnsi="Times New Roman" w:eastAsia="宋体" w:cs="Times New Roman"/>
                      <w:color w:val="auto"/>
                      <w:kern w:val="0"/>
                      <w:sz w:val="21"/>
                      <w:szCs w:val="21"/>
                      <w:lang w:val="en-US" w:eastAsia="zh-CN" w:bidi="ar-SA"/>
                    </w:rPr>
                    <w:t>定期清运至当地乡镇垃圾收集点由环卫部门定期清运集中处置</w:t>
                  </w:r>
                  <w:r>
                    <w:rPr>
                      <w:rFonts w:hint="default" w:ascii="Times New Roman" w:hAnsi="Times New Roman" w:eastAsia="宋体" w:cs="Times New Roman"/>
                      <w:color w:val="auto"/>
                      <w:kern w:val="0"/>
                      <w:sz w:val="21"/>
                      <w:szCs w:val="21"/>
                      <w:lang w:val="en-US" w:eastAsia="zh-CN" w:bidi="ar-SA"/>
                    </w:rPr>
                    <w:t>。</w:t>
                  </w:r>
                </w:p>
              </w:tc>
              <w:tc>
                <w:tcPr>
                  <w:tcW w:w="742" w:type="pct"/>
                  <w:tcBorders>
                    <w:left w:val="single" w:color="auto" w:sz="4" w:space="0"/>
                  </w:tcBorders>
                  <w:noWrap w:val="0"/>
                  <w:vAlign w:val="center"/>
                </w:tcPr>
                <w:p w14:paraId="6F2617D6">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4E1D4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377" w:type="pct"/>
                  <w:vMerge w:val="continue"/>
                  <w:tcBorders>
                    <w:top w:val="single" w:color="auto" w:sz="4" w:space="0"/>
                    <w:bottom w:val="single" w:color="auto" w:sz="4" w:space="0"/>
                  </w:tcBorders>
                  <w:noWrap w:val="0"/>
                  <w:vAlign w:val="center"/>
                </w:tcPr>
                <w:p w14:paraId="79185F29">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0088348D">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309FBAA5">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340EA98A">
                  <w:pPr>
                    <w:pStyle w:val="80"/>
                    <w:spacing w:line="360" w:lineRule="auto"/>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污泥</w:t>
                  </w:r>
                </w:p>
              </w:tc>
              <w:tc>
                <w:tcPr>
                  <w:tcW w:w="2152" w:type="pct"/>
                  <w:tcBorders>
                    <w:right w:val="single" w:color="auto" w:sz="4" w:space="0"/>
                  </w:tcBorders>
                  <w:noWrap w:val="0"/>
                  <w:vAlign w:val="center"/>
                </w:tcPr>
                <w:p w14:paraId="53CEC2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定期由附近村民清掏作为农家肥使用。</w:t>
                  </w:r>
                </w:p>
              </w:tc>
              <w:tc>
                <w:tcPr>
                  <w:tcW w:w="742" w:type="pct"/>
                  <w:tcBorders>
                    <w:left w:val="single" w:color="auto" w:sz="4" w:space="0"/>
                  </w:tcBorders>
                  <w:noWrap w:val="0"/>
                  <w:vAlign w:val="center"/>
                </w:tcPr>
                <w:p w14:paraId="56CE8CCA">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3F1D3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377" w:type="pct"/>
                  <w:vMerge w:val="continue"/>
                  <w:tcBorders>
                    <w:top w:val="single" w:color="auto" w:sz="4" w:space="0"/>
                    <w:bottom w:val="single" w:color="auto" w:sz="4" w:space="0"/>
                  </w:tcBorders>
                  <w:noWrap w:val="0"/>
                  <w:vAlign w:val="center"/>
                </w:tcPr>
                <w:p w14:paraId="28942B85">
                  <w:pPr>
                    <w:snapToGrid w:val="0"/>
                    <w:spacing w:line="360" w:lineRule="exact"/>
                    <w:jc w:val="center"/>
                    <w:rPr>
                      <w:rFonts w:eastAsia="宋体"/>
                      <w:color w:val="auto"/>
                      <w:szCs w:val="21"/>
                    </w:rPr>
                  </w:pPr>
                </w:p>
              </w:tc>
              <w:tc>
                <w:tcPr>
                  <w:tcW w:w="570" w:type="pct"/>
                  <w:vMerge w:val="continue"/>
                  <w:tcBorders>
                    <w:top w:val="single" w:color="auto" w:sz="4" w:space="0"/>
                    <w:bottom w:val="single" w:color="auto" w:sz="4" w:space="0"/>
                  </w:tcBorders>
                  <w:noWrap w:val="0"/>
                  <w:vAlign w:val="center"/>
                </w:tcPr>
                <w:p w14:paraId="06AB656A">
                  <w:pPr>
                    <w:snapToGrid w:val="0"/>
                    <w:spacing w:line="360" w:lineRule="exact"/>
                    <w:jc w:val="center"/>
                    <w:rPr>
                      <w:rFonts w:eastAsia="宋体"/>
                      <w:color w:val="auto"/>
                      <w:szCs w:val="21"/>
                    </w:rPr>
                  </w:pPr>
                </w:p>
              </w:tc>
              <w:tc>
                <w:tcPr>
                  <w:tcW w:w="504" w:type="pct"/>
                  <w:vMerge w:val="continue"/>
                  <w:tcBorders>
                    <w:right w:val="single" w:color="auto" w:sz="4" w:space="0"/>
                  </w:tcBorders>
                  <w:noWrap w:val="0"/>
                  <w:vAlign w:val="center"/>
                </w:tcPr>
                <w:p w14:paraId="0252A4C3">
                  <w:pPr>
                    <w:snapToGrid w:val="0"/>
                    <w:spacing w:line="360" w:lineRule="exact"/>
                    <w:jc w:val="center"/>
                    <w:rPr>
                      <w:rFonts w:hint="eastAsia" w:eastAsia="宋体"/>
                      <w:color w:val="auto"/>
                      <w:szCs w:val="21"/>
                      <w:lang w:val="en-US" w:eastAsia="zh-CN"/>
                    </w:rPr>
                  </w:pPr>
                </w:p>
              </w:tc>
              <w:tc>
                <w:tcPr>
                  <w:tcW w:w="651" w:type="pct"/>
                  <w:tcBorders>
                    <w:left w:val="single" w:color="auto" w:sz="4" w:space="0"/>
                  </w:tcBorders>
                  <w:noWrap w:val="0"/>
                  <w:vAlign w:val="center"/>
                </w:tcPr>
                <w:p w14:paraId="64528E6A">
                  <w:pPr>
                    <w:pStyle w:val="80"/>
                    <w:spacing w:line="36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废油脂</w:t>
                  </w:r>
                </w:p>
              </w:tc>
              <w:tc>
                <w:tcPr>
                  <w:tcW w:w="2152" w:type="pct"/>
                  <w:tcBorders>
                    <w:right w:val="single" w:color="auto" w:sz="4" w:space="0"/>
                  </w:tcBorders>
                  <w:noWrap w:val="0"/>
                  <w:vAlign w:val="center"/>
                </w:tcPr>
                <w:p w14:paraId="23309B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建设单位严格按照当地相关政府部门管理要求进行处置。</w:t>
                  </w:r>
                </w:p>
              </w:tc>
              <w:tc>
                <w:tcPr>
                  <w:tcW w:w="742" w:type="pct"/>
                  <w:tcBorders>
                    <w:left w:val="single" w:color="auto" w:sz="4" w:space="0"/>
                  </w:tcBorders>
                  <w:noWrap w:val="0"/>
                  <w:vAlign w:val="center"/>
                </w:tcPr>
                <w:p w14:paraId="733DCCF7">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新建</w:t>
                  </w:r>
                </w:p>
              </w:tc>
            </w:tr>
            <w:tr w14:paraId="35B8F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1" w:hRule="atLeast"/>
              </w:trPr>
              <w:tc>
                <w:tcPr>
                  <w:tcW w:w="377" w:type="pct"/>
                  <w:tcBorders>
                    <w:top w:val="single" w:color="auto" w:sz="4" w:space="0"/>
                  </w:tcBorders>
                  <w:noWrap w:val="0"/>
                  <w:vAlign w:val="center"/>
                </w:tcPr>
                <w:p w14:paraId="71717BCE">
                  <w:pPr>
                    <w:snapToGrid w:val="0"/>
                    <w:spacing w:line="360" w:lineRule="exact"/>
                    <w:jc w:val="center"/>
                    <w:rPr>
                      <w:rFonts w:hint="eastAsia" w:eastAsia="宋体"/>
                      <w:color w:val="auto"/>
                      <w:szCs w:val="21"/>
                      <w:lang w:val="en-US" w:eastAsia="zh-CN"/>
                    </w:rPr>
                  </w:pPr>
                  <w:r>
                    <w:rPr>
                      <w:rFonts w:hint="eastAsia" w:eastAsia="宋体"/>
                      <w:color w:val="auto"/>
                      <w:szCs w:val="21"/>
                      <w:lang w:val="en-US" w:eastAsia="zh-CN"/>
                    </w:rPr>
                    <w:t>5</w:t>
                  </w:r>
                </w:p>
              </w:tc>
              <w:tc>
                <w:tcPr>
                  <w:tcW w:w="570" w:type="pct"/>
                  <w:tcBorders>
                    <w:top w:val="single" w:color="auto" w:sz="4" w:space="0"/>
                  </w:tcBorders>
                  <w:noWrap w:val="0"/>
                  <w:vAlign w:val="center"/>
                </w:tcPr>
                <w:p w14:paraId="07C14BD9">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储运工程</w:t>
                  </w:r>
                </w:p>
              </w:tc>
              <w:tc>
                <w:tcPr>
                  <w:tcW w:w="504" w:type="pct"/>
                  <w:tcBorders>
                    <w:right w:val="single" w:color="auto" w:sz="4" w:space="0"/>
                  </w:tcBorders>
                  <w:noWrap w:val="0"/>
                  <w:vAlign w:val="center"/>
                </w:tcPr>
                <w:p w14:paraId="54B25085">
                  <w:pPr>
                    <w:pStyle w:val="8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bCs/>
                      <w:color w:val="auto"/>
                      <w:sz w:val="21"/>
                      <w:szCs w:val="21"/>
                      <w:highlight w:val="none"/>
                      <w:lang w:val="en-US" w:eastAsia="zh-CN"/>
                    </w:rPr>
                    <w:t>原料、产品运输</w:t>
                  </w:r>
                </w:p>
              </w:tc>
              <w:tc>
                <w:tcPr>
                  <w:tcW w:w="2804" w:type="pct"/>
                  <w:gridSpan w:val="2"/>
                  <w:tcBorders>
                    <w:left w:val="single" w:color="auto" w:sz="4" w:space="0"/>
                    <w:right w:val="single" w:color="auto" w:sz="4" w:space="0"/>
                  </w:tcBorders>
                  <w:noWrap w:val="0"/>
                  <w:vAlign w:val="center"/>
                </w:tcPr>
                <w:p w14:paraId="1BD3EA32">
                  <w:pPr>
                    <w:pStyle w:val="80"/>
                    <w:rPr>
                      <w:rFonts w:hint="eastAsia" w:ascii="Times New Roman" w:hAnsi="Times New Roman" w:eastAsia="宋体" w:cs="Times New Roman"/>
                      <w:color w:val="auto"/>
                      <w:kern w:val="0"/>
                      <w:sz w:val="21"/>
                      <w:szCs w:val="20"/>
                      <w:lang w:val="en-US" w:eastAsia="zh-CN" w:bidi="ar-SA"/>
                    </w:rPr>
                  </w:pPr>
                  <w:r>
                    <w:rPr>
                      <w:rFonts w:hint="eastAsia" w:ascii="Times New Roman" w:hAnsi="宋体" w:eastAsia="宋体" w:cs="Times New Roman"/>
                      <w:color w:val="auto"/>
                      <w:szCs w:val="21"/>
                      <w:highlight w:val="none"/>
                      <w:lang w:val="en-US" w:eastAsia="zh-CN"/>
                    </w:rPr>
                    <w:t>项目原材料及产品出入使用自卸货车运输；厂内运输采用人工推车、装载机、叉车等进行运输。</w:t>
                  </w:r>
                </w:p>
              </w:tc>
              <w:tc>
                <w:tcPr>
                  <w:tcW w:w="742" w:type="pct"/>
                  <w:tcBorders>
                    <w:left w:val="single" w:color="auto" w:sz="4" w:space="0"/>
                  </w:tcBorders>
                  <w:noWrap w:val="0"/>
                  <w:vAlign w:val="center"/>
                </w:tcPr>
                <w:p w14:paraId="62664B26">
                  <w:pPr>
                    <w:pStyle w:val="8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lang w:val="en-US" w:eastAsia="zh-CN"/>
                    </w:rPr>
                    <w:t>新建</w:t>
                  </w:r>
                </w:p>
              </w:tc>
            </w:tr>
            <w:tr w14:paraId="46D9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8" w:hRule="atLeast"/>
              </w:trPr>
              <w:tc>
                <w:tcPr>
                  <w:tcW w:w="377" w:type="pct"/>
                  <w:noWrap w:val="0"/>
                  <w:vAlign w:val="center"/>
                </w:tcPr>
                <w:p w14:paraId="6966172E">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6</w:t>
                  </w:r>
                </w:p>
              </w:tc>
              <w:tc>
                <w:tcPr>
                  <w:tcW w:w="570" w:type="pct"/>
                  <w:noWrap w:val="0"/>
                  <w:vAlign w:val="center"/>
                </w:tcPr>
                <w:p w14:paraId="79828439">
                  <w:pPr>
                    <w:snapToGrid w:val="0"/>
                    <w:spacing w:line="360" w:lineRule="exact"/>
                    <w:jc w:val="center"/>
                    <w:rPr>
                      <w:rFonts w:hint="eastAsia" w:eastAsia="宋体"/>
                      <w:color w:val="auto"/>
                      <w:kern w:val="2"/>
                      <w:sz w:val="21"/>
                      <w:szCs w:val="21"/>
                      <w:lang w:val="en-US" w:eastAsia="zh-CN" w:bidi="ar-SA"/>
                    </w:rPr>
                  </w:pPr>
                  <w:r>
                    <w:rPr>
                      <w:rFonts w:hint="eastAsia" w:eastAsia="宋体"/>
                      <w:color w:val="auto"/>
                      <w:szCs w:val="21"/>
                      <w:lang w:val="en-US" w:eastAsia="zh-CN"/>
                    </w:rPr>
                    <w:t>依托工程</w:t>
                  </w:r>
                </w:p>
              </w:tc>
              <w:tc>
                <w:tcPr>
                  <w:tcW w:w="3309" w:type="pct"/>
                  <w:gridSpan w:val="3"/>
                  <w:tcBorders>
                    <w:right w:val="single" w:color="auto" w:sz="4" w:space="0"/>
                  </w:tcBorders>
                  <w:noWrap w:val="0"/>
                  <w:vAlign w:val="center"/>
                </w:tcPr>
                <w:p w14:paraId="772A43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本项目供水、供电、道路均依托租用场地已经建设的设施。</w:t>
                  </w:r>
                </w:p>
              </w:tc>
              <w:tc>
                <w:tcPr>
                  <w:tcW w:w="742" w:type="pct"/>
                  <w:tcBorders>
                    <w:left w:val="single" w:color="auto" w:sz="4" w:space="0"/>
                  </w:tcBorders>
                  <w:noWrap w:val="0"/>
                  <w:vAlign w:val="center"/>
                </w:tcPr>
                <w:p w14:paraId="770B61B1">
                  <w:pPr>
                    <w:snapToGrid w:val="0"/>
                    <w:spacing w:line="360" w:lineRule="exact"/>
                    <w:jc w:val="center"/>
                    <w:rPr>
                      <w:rFonts w:hint="default" w:eastAsia="宋体"/>
                      <w:color w:val="auto"/>
                      <w:szCs w:val="21"/>
                      <w:lang w:val="en-US" w:eastAsia="zh-CN"/>
                    </w:rPr>
                  </w:pPr>
                  <w:r>
                    <w:rPr>
                      <w:rFonts w:hint="eastAsia" w:eastAsia="宋体"/>
                      <w:color w:val="auto"/>
                      <w:szCs w:val="21"/>
                      <w:lang w:val="en-US" w:eastAsia="zh-CN"/>
                    </w:rPr>
                    <w:t>依托租用场地</w:t>
                  </w:r>
                </w:p>
                <w:p w14:paraId="73ABBD52">
                  <w:pPr>
                    <w:snapToGrid w:val="0"/>
                    <w:spacing w:line="360" w:lineRule="exact"/>
                    <w:jc w:val="center"/>
                    <w:rPr>
                      <w:rFonts w:hint="default" w:eastAsia="宋体"/>
                      <w:color w:val="auto"/>
                      <w:szCs w:val="21"/>
                      <w:lang w:val="en-US" w:eastAsia="zh-CN"/>
                    </w:rPr>
                  </w:pPr>
                </w:p>
              </w:tc>
            </w:tr>
          </w:tbl>
          <w:p w14:paraId="6713EE23">
            <w:pPr>
              <w:numPr>
                <w:ilvl w:val="0"/>
                <w:numId w:val="0"/>
              </w:numPr>
              <w:spacing w:line="360" w:lineRule="auto"/>
              <w:rPr>
                <w:rFonts w:hint="default" w:ascii="宋体" w:hAnsi="宋体" w:eastAsia="宋体" w:cs="宋体"/>
                <w:color w:val="auto"/>
                <w:kern w:val="0"/>
                <w:sz w:val="24"/>
                <w:szCs w:val="24"/>
                <w:lang w:val="en-US" w:eastAsia="zh-CN" w:bidi="ar-SA"/>
              </w:rPr>
            </w:pPr>
            <w:r>
              <w:rPr>
                <w:rFonts w:hint="default" w:ascii="宋体" w:hAnsi="宋体" w:eastAsia="宋体" w:cs="宋体"/>
                <w:b/>
                <w:bCs/>
                <w:color w:val="auto"/>
                <w:kern w:val="0"/>
                <w:sz w:val="24"/>
                <w:szCs w:val="24"/>
                <w:lang w:val="en-US" w:eastAsia="zh-CN" w:bidi="ar-SA"/>
              </w:rPr>
              <w:t>三、主要生产单元及生产工艺</w:t>
            </w:r>
            <w:r>
              <w:rPr>
                <w:rFonts w:hint="default" w:ascii="宋体" w:hAnsi="宋体" w:eastAsia="宋体" w:cs="宋体"/>
                <w:color w:val="auto"/>
                <w:kern w:val="0"/>
                <w:sz w:val="24"/>
                <w:szCs w:val="24"/>
                <w:lang w:val="en-US" w:eastAsia="zh-CN" w:bidi="ar-SA"/>
              </w:rPr>
              <w:t xml:space="preserve">  </w:t>
            </w:r>
          </w:p>
          <w:p w14:paraId="66BD4FBF">
            <w:pPr>
              <w:pStyle w:val="19"/>
              <w:numPr>
                <w:ilvl w:val="0"/>
                <w:numId w:val="0"/>
              </w:numPr>
              <w:spacing w:line="360" w:lineRule="auto"/>
              <w:ind w:firstLine="480" w:firstLineChars="200"/>
              <w:rPr>
                <w:rFonts w:hint="eastAsia" w:ascii="宋体" w:hAnsi="宋体" w:eastAsia="宋体" w:cs="宋体"/>
                <w:b/>
                <w:bCs/>
                <w:color w:val="auto"/>
                <w:kern w:val="0"/>
                <w:sz w:val="24"/>
                <w:szCs w:val="24"/>
                <w:lang w:val="zh-CN" w:eastAsia="zh-CN" w:bidi="ar-SA"/>
              </w:rPr>
            </w:pPr>
            <w:r>
              <w:rPr>
                <w:rFonts w:hint="default" w:ascii="宋体" w:hAnsi="宋体" w:eastAsia="宋体" w:cs="宋体"/>
                <w:color w:val="auto"/>
                <w:kern w:val="0"/>
                <w:sz w:val="24"/>
                <w:szCs w:val="24"/>
                <w:lang w:val="en-US" w:eastAsia="zh-CN" w:bidi="ar-SA"/>
              </w:rPr>
              <w:t>项目主要进行</w:t>
            </w:r>
            <w:r>
              <w:rPr>
                <w:rFonts w:hint="eastAsia" w:ascii="宋体" w:hAnsi="宋体" w:eastAsia="宋体" w:cs="宋体"/>
                <w:color w:val="auto"/>
                <w:kern w:val="0"/>
                <w:sz w:val="24"/>
                <w:szCs w:val="24"/>
                <w:lang w:val="en-US" w:eastAsia="zh-CN" w:bidi="ar-SA"/>
              </w:rPr>
              <w:t>坚果</w:t>
            </w:r>
            <w:r>
              <w:rPr>
                <w:rFonts w:hint="default" w:ascii="宋体" w:hAnsi="宋体" w:eastAsia="宋体" w:cs="宋体"/>
                <w:color w:val="auto"/>
                <w:kern w:val="0"/>
                <w:sz w:val="24"/>
                <w:szCs w:val="24"/>
                <w:lang w:val="en-US" w:eastAsia="zh-CN" w:bidi="ar-SA"/>
              </w:rPr>
              <w:t>生产</w:t>
            </w:r>
            <w:r>
              <w:rPr>
                <w:rFonts w:hint="eastAsia" w:ascii="宋体" w:hAnsi="宋体" w:eastAsia="宋体" w:cs="宋体"/>
                <w:color w:val="auto"/>
                <w:kern w:val="0"/>
                <w:sz w:val="24"/>
                <w:szCs w:val="24"/>
                <w:lang w:val="en-US" w:eastAsia="zh-CN" w:bidi="ar-SA"/>
              </w:rPr>
              <w:t>加工</w:t>
            </w:r>
            <w:r>
              <w:rPr>
                <w:rFonts w:hint="default" w:ascii="宋体" w:hAnsi="宋体" w:eastAsia="宋体" w:cs="宋体"/>
                <w:color w:val="auto"/>
                <w:kern w:val="0"/>
                <w:sz w:val="24"/>
                <w:szCs w:val="24"/>
                <w:lang w:val="en-US" w:eastAsia="zh-CN" w:bidi="ar-SA"/>
              </w:rPr>
              <w:t>，生产单元及生产</w:t>
            </w:r>
            <w:r>
              <w:rPr>
                <w:rFonts w:hint="default" w:ascii="Times New Roman" w:hAnsi="Times New Roman" w:eastAsia="宋体" w:cs="Times New Roman"/>
                <w:color w:val="auto"/>
                <w:kern w:val="0"/>
                <w:sz w:val="24"/>
                <w:szCs w:val="24"/>
                <w:lang w:val="en-US" w:eastAsia="zh-CN" w:bidi="ar-SA"/>
              </w:rPr>
              <w:t>工艺见表2-2。</w:t>
            </w:r>
          </w:p>
          <w:p w14:paraId="21EDA687">
            <w:pPr>
              <w:widowControl/>
              <w:jc w:val="center"/>
              <w:rPr>
                <w:rFonts w:hint="eastAsia" w:ascii="宋体" w:hAnsi="宋体" w:eastAsia="宋体" w:cs="宋体"/>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表2-2  项目主要生产单元及生产工艺</w:t>
            </w:r>
          </w:p>
          <w:tbl>
            <w:tblPr>
              <w:tblStyle w:val="33"/>
              <w:tblW w:w="4982" w:type="pct"/>
              <w:jc w:val="center"/>
              <w:tblLayout w:type="fixed"/>
              <w:tblCellMar>
                <w:top w:w="0" w:type="dxa"/>
                <w:left w:w="108" w:type="dxa"/>
                <w:bottom w:w="0" w:type="dxa"/>
                <w:right w:w="108" w:type="dxa"/>
              </w:tblCellMar>
            </w:tblPr>
            <w:tblGrid>
              <w:gridCol w:w="1307"/>
              <w:gridCol w:w="893"/>
              <w:gridCol w:w="1179"/>
              <w:gridCol w:w="5699"/>
            </w:tblGrid>
            <w:tr w14:paraId="1C73E92E">
              <w:tblPrEx>
                <w:tblCellMar>
                  <w:top w:w="0" w:type="dxa"/>
                  <w:left w:w="108" w:type="dxa"/>
                  <w:bottom w:w="0" w:type="dxa"/>
                  <w:right w:w="108" w:type="dxa"/>
                </w:tblCellMar>
              </w:tblPrEx>
              <w:trPr>
                <w:trHeight w:val="322" w:hRule="atLeast"/>
                <w:jc w:val="center"/>
              </w:trPr>
              <w:tc>
                <w:tcPr>
                  <w:tcW w:w="720" w:type="pct"/>
                  <w:tcBorders>
                    <w:top w:val="single" w:color="000000" w:sz="4" w:space="0"/>
                    <w:left w:val="single" w:color="000000" w:sz="4" w:space="0"/>
                    <w:bottom w:val="single" w:color="000000" w:sz="4" w:space="0"/>
                    <w:right w:val="single" w:color="000000" w:sz="4" w:space="0"/>
                  </w:tcBorders>
                  <w:noWrap w:val="0"/>
                  <w:vAlign w:val="center"/>
                </w:tcPr>
                <w:p w14:paraId="2BEA1FB2">
                  <w:pPr>
                    <w:widowControl/>
                    <w:spacing w:line="123" w:lineRule="atLeast"/>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序号</w:t>
                  </w:r>
                </w:p>
              </w:tc>
              <w:tc>
                <w:tcPr>
                  <w:tcW w:w="1141" w:type="pct"/>
                  <w:gridSpan w:val="2"/>
                  <w:tcBorders>
                    <w:top w:val="single" w:color="000000" w:sz="4" w:space="0"/>
                    <w:left w:val="nil"/>
                    <w:bottom w:val="single" w:color="000000" w:sz="4" w:space="0"/>
                    <w:right w:val="single" w:color="000000" w:sz="4" w:space="0"/>
                  </w:tcBorders>
                  <w:noWrap w:val="0"/>
                  <w:vAlign w:val="center"/>
                </w:tcPr>
                <w:p w14:paraId="6B07143F">
                  <w:pPr>
                    <w:widowControl/>
                    <w:spacing w:line="123" w:lineRule="atLeast"/>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生产单元</w:t>
                  </w:r>
                </w:p>
              </w:tc>
              <w:tc>
                <w:tcPr>
                  <w:tcW w:w="3138" w:type="pct"/>
                  <w:tcBorders>
                    <w:top w:val="single" w:color="000000" w:sz="4" w:space="0"/>
                    <w:left w:val="nil"/>
                    <w:bottom w:val="single" w:color="000000" w:sz="4" w:space="0"/>
                    <w:right w:val="single" w:color="000000" w:sz="4" w:space="0"/>
                  </w:tcBorders>
                  <w:noWrap w:val="0"/>
                  <w:vAlign w:val="center"/>
                </w:tcPr>
                <w:p w14:paraId="2D95F520">
                  <w:pPr>
                    <w:widowControl/>
                    <w:spacing w:line="123" w:lineRule="atLeast"/>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主要工艺</w:t>
                  </w:r>
                </w:p>
              </w:tc>
            </w:tr>
            <w:tr w14:paraId="5E0667B6">
              <w:tblPrEx>
                <w:tblCellMar>
                  <w:top w:w="0" w:type="dxa"/>
                  <w:left w:w="108" w:type="dxa"/>
                  <w:bottom w:w="0" w:type="dxa"/>
                  <w:right w:w="108" w:type="dxa"/>
                </w:tblCellMar>
              </w:tblPrEx>
              <w:trPr>
                <w:trHeight w:val="90" w:hRule="atLeast"/>
                <w:jc w:val="center"/>
              </w:trPr>
              <w:tc>
                <w:tcPr>
                  <w:tcW w:w="720" w:type="pct"/>
                  <w:tcBorders>
                    <w:top w:val="single" w:color="000000" w:sz="4" w:space="0"/>
                    <w:left w:val="single" w:color="000000" w:sz="4" w:space="0"/>
                    <w:bottom w:val="single" w:color="000000" w:sz="4" w:space="0"/>
                    <w:right w:val="single" w:color="000000" w:sz="4" w:space="0"/>
                  </w:tcBorders>
                  <w:noWrap w:val="0"/>
                  <w:vAlign w:val="center"/>
                </w:tcPr>
                <w:p w14:paraId="5A883FBF">
                  <w:pPr>
                    <w:widowControl/>
                    <w:spacing w:line="154" w:lineRule="atLeast"/>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w:t>
                  </w:r>
                </w:p>
              </w:tc>
              <w:tc>
                <w:tcPr>
                  <w:tcW w:w="491" w:type="pct"/>
                  <w:vMerge w:val="restart"/>
                  <w:tcBorders>
                    <w:top w:val="single" w:color="000000" w:sz="4" w:space="0"/>
                    <w:left w:val="nil"/>
                    <w:right w:val="single" w:color="auto" w:sz="4" w:space="0"/>
                  </w:tcBorders>
                  <w:noWrap w:val="0"/>
                  <w:vAlign w:val="center"/>
                </w:tcPr>
                <w:p w14:paraId="49BA771B">
                  <w:pPr>
                    <w:widowControl/>
                    <w:spacing w:line="154" w:lineRule="atLeast"/>
                    <w:jc w:val="center"/>
                    <w:rPr>
                      <w:rFonts w:hint="default" w:ascii="宋体" w:hAnsi="宋体" w:eastAsia="宋体" w:cs="宋体"/>
                      <w:color w:val="auto"/>
                      <w:kern w:val="0"/>
                      <w:sz w:val="21"/>
                      <w:szCs w:val="21"/>
                      <w:lang w:val="en-US" w:eastAsia="zh-CN" w:bidi="ar-SA"/>
                    </w:rPr>
                  </w:pPr>
                  <w:r>
                    <w:rPr>
                      <w:rFonts w:hint="eastAsia" w:eastAsia="宋体"/>
                      <w:color w:val="auto"/>
                      <w:szCs w:val="21"/>
                      <w:lang w:val="en-US" w:eastAsia="zh-CN"/>
                    </w:rPr>
                    <w:t>坚果加工</w:t>
                  </w:r>
                  <w:r>
                    <w:rPr>
                      <w:rFonts w:eastAsia="宋体"/>
                      <w:color w:val="auto"/>
                      <w:szCs w:val="21"/>
                    </w:rPr>
                    <w:t>生产</w:t>
                  </w:r>
                  <w:r>
                    <w:rPr>
                      <w:rFonts w:hint="eastAsia" w:eastAsia="宋体"/>
                      <w:color w:val="auto"/>
                      <w:szCs w:val="21"/>
                      <w:lang w:val="en-US" w:eastAsia="zh-CN"/>
                    </w:rPr>
                    <w:t>车间</w:t>
                  </w:r>
                </w:p>
              </w:tc>
              <w:tc>
                <w:tcPr>
                  <w:tcW w:w="649" w:type="pct"/>
                  <w:tcBorders>
                    <w:top w:val="single" w:color="000000" w:sz="4" w:space="0"/>
                    <w:left w:val="single" w:color="auto" w:sz="4" w:space="0"/>
                    <w:bottom w:val="single" w:color="000000" w:sz="4" w:space="0"/>
                    <w:right w:val="single" w:color="000000" w:sz="4" w:space="0"/>
                  </w:tcBorders>
                  <w:noWrap w:val="0"/>
                  <w:vAlign w:val="center"/>
                </w:tcPr>
                <w:p w14:paraId="5BC6F242">
                  <w:pPr>
                    <w:widowControl/>
                    <w:spacing w:line="154" w:lineRule="atLeast"/>
                    <w:jc w:val="center"/>
                    <w:rPr>
                      <w:rFonts w:hint="default" w:eastAsia="宋体"/>
                      <w:color w:val="auto"/>
                      <w:szCs w:val="21"/>
                      <w:lang w:val="en-US" w:eastAsia="zh-CN"/>
                    </w:rPr>
                  </w:pPr>
                  <w:r>
                    <w:rPr>
                      <w:rFonts w:hint="eastAsia" w:eastAsia="宋体"/>
                      <w:color w:val="auto"/>
                      <w:szCs w:val="21"/>
                      <w:lang w:val="en-US" w:eastAsia="zh-CN"/>
                    </w:rPr>
                    <w:t>初加工</w:t>
                  </w:r>
                </w:p>
              </w:tc>
              <w:tc>
                <w:tcPr>
                  <w:tcW w:w="3138" w:type="pct"/>
                  <w:tcBorders>
                    <w:top w:val="single" w:color="000000" w:sz="4" w:space="0"/>
                    <w:left w:val="nil"/>
                    <w:bottom w:val="single" w:color="000000" w:sz="4" w:space="0"/>
                    <w:right w:val="single" w:color="000000" w:sz="4" w:space="0"/>
                  </w:tcBorders>
                  <w:noWrap w:val="0"/>
                  <w:vAlign w:val="center"/>
                </w:tcPr>
                <w:p w14:paraId="56989209">
                  <w:pPr>
                    <w:widowControl/>
                    <w:spacing w:line="154"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上料、筛分、脱皮、清洗、浮选、分拣、烘干、挑选、分级、冷藏</w:t>
                  </w:r>
                </w:p>
              </w:tc>
            </w:tr>
            <w:tr w14:paraId="1305B065">
              <w:tblPrEx>
                <w:tblCellMar>
                  <w:top w:w="0" w:type="dxa"/>
                  <w:left w:w="108" w:type="dxa"/>
                  <w:bottom w:w="0" w:type="dxa"/>
                  <w:right w:w="108" w:type="dxa"/>
                </w:tblCellMar>
              </w:tblPrEx>
              <w:trPr>
                <w:trHeight w:val="336" w:hRule="atLeast"/>
                <w:jc w:val="center"/>
              </w:trPr>
              <w:tc>
                <w:tcPr>
                  <w:tcW w:w="720" w:type="pct"/>
                  <w:tcBorders>
                    <w:top w:val="single" w:color="000000" w:sz="4" w:space="0"/>
                    <w:left w:val="single" w:color="000000" w:sz="4" w:space="0"/>
                    <w:bottom w:val="single" w:color="000000" w:sz="4" w:space="0"/>
                    <w:right w:val="single" w:color="000000" w:sz="4" w:space="0"/>
                  </w:tcBorders>
                  <w:noWrap w:val="0"/>
                  <w:vAlign w:val="center"/>
                </w:tcPr>
                <w:p w14:paraId="1F2FEBA8">
                  <w:pPr>
                    <w:widowControl/>
                    <w:spacing w:line="154" w:lineRule="atLeast"/>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w:t>
                  </w:r>
                </w:p>
              </w:tc>
              <w:tc>
                <w:tcPr>
                  <w:tcW w:w="491" w:type="pct"/>
                  <w:vMerge w:val="continue"/>
                  <w:tcBorders>
                    <w:left w:val="nil"/>
                    <w:right w:val="single" w:color="auto" w:sz="4" w:space="0"/>
                  </w:tcBorders>
                  <w:noWrap w:val="0"/>
                  <w:vAlign w:val="center"/>
                </w:tcPr>
                <w:p w14:paraId="07A9B131">
                  <w:pPr>
                    <w:widowControl/>
                    <w:spacing w:line="154" w:lineRule="atLeast"/>
                    <w:jc w:val="center"/>
                    <w:rPr>
                      <w:rFonts w:hint="eastAsia" w:eastAsia="宋体"/>
                      <w:color w:val="auto"/>
                      <w:szCs w:val="21"/>
                      <w:lang w:val="en-US" w:eastAsia="zh-CN"/>
                    </w:rPr>
                  </w:pPr>
                </w:p>
              </w:tc>
              <w:tc>
                <w:tcPr>
                  <w:tcW w:w="649" w:type="pct"/>
                  <w:tcBorders>
                    <w:top w:val="single" w:color="000000" w:sz="4" w:space="0"/>
                    <w:left w:val="single" w:color="auto" w:sz="4" w:space="0"/>
                    <w:bottom w:val="single" w:color="000000" w:sz="4" w:space="0"/>
                    <w:right w:val="single" w:color="000000" w:sz="4" w:space="0"/>
                  </w:tcBorders>
                  <w:noWrap w:val="0"/>
                  <w:vAlign w:val="center"/>
                </w:tcPr>
                <w:p w14:paraId="632AE3DC">
                  <w:pPr>
                    <w:widowControl/>
                    <w:spacing w:line="154" w:lineRule="atLeast"/>
                    <w:jc w:val="center"/>
                    <w:rPr>
                      <w:rFonts w:hint="default" w:eastAsia="宋体"/>
                      <w:color w:val="auto"/>
                      <w:szCs w:val="21"/>
                      <w:lang w:val="en-US" w:eastAsia="zh-CN"/>
                    </w:rPr>
                  </w:pPr>
                  <w:r>
                    <w:rPr>
                      <w:rFonts w:hint="eastAsia" w:eastAsia="宋体"/>
                      <w:color w:val="auto"/>
                      <w:szCs w:val="21"/>
                      <w:lang w:val="en-US" w:eastAsia="zh-CN"/>
                    </w:rPr>
                    <w:t>开口笑深加工</w:t>
                  </w:r>
                </w:p>
              </w:tc>
              <w:tc>
                <w:tcPr>
                  <w:tcW w:w="3138" w:type="pct"/>
                  <w:tcBorders>
                    <w:top w:val="single" w:color="000000" w:sz="4" w:space="0"/>
                    <w:left w:val="nil"/>
                    <w:bottom w:val="single" w:color="000000" w:sz="4" w:space="0"/>
                    <w:right w:val="single" w:color="000000" w:sz="4" w:space="0"/>
                  </w:tcBorders>
                  <w:noWrap w:val="0"/>
                  <w:vAlign w:val="center"/>
                </w:tcPr>
                <w:p w14:paraId="2C6AF222">
                  <w:pPr>
                    <w:widowControl/>
                    <w:spacing w:line="154"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开口、粉尘筛除、杀青、入味、烘干杀菌、分拣、包装、冷藏</w:t>
                  </w:r>
                </w:p>
              </w:tc>
            </w:tr>
            <w:tr w14:paraId="45175F30">
              <w:tblPrEx>
                <w:tblCellMar>
                  <w:top w:w="0" w:type="dxa"/>
                  <w:left w:w="108" w:type="dxa"/>
                  <w:bottom w:w="0" w:type="dxa"/>
                  <w:right w:w="108" w:type="dxa"/>
                </w:tblCellMar>
              </w:tblPrEx>
              <w:trPr>
                <w:trHeight w:val="336" w:hRule="atLeast"/>
                <w:jc w:val="center"/>
              </w:trPr>
              <w:tc>
                <w:tcPr>
                  <w:tcW w:w="720" w:type="pct"/>
                  <w:tcBorders>
                    <w:top w:val="single" w:color="000000" w:sz="4" w:space="0"/>
                    <w:left w:val="single" w:color="000000" w:sz="4" w:space="0"/>
                    <w:bottom w:val="single" w:color="000000" w:sz="4" w:space="0"/>
                    <w:right w:val="single" w:color="000000" w:sz="4" w:space="0"/>
                  </w:tcBorders>
                  <w:noWrap w:val="0"/>
                  <w:vAlign w:val="center"/>
                </w:tcPr>
                <w:p w14:paraId="500E4019">
                  <w:pPr>
                    <w:widowControl/>
                    <w:spacing w:line="154" w:lineRule="atLeast"/>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w:t>
                  </w:r>
                </w:p>
              </w:tc>
              <w:tc>
                <w:tcPr>
                  <w:tcW w:w="491" w:type="pct"/>
                  <w:vMerge w:val="continue"/>
                  <w:tcBorders>
                    <w:left w:val="nil"/>
                    <w:bottom w:val="single" w:color="000000" w:sz="4" w:space="0"/>
                    <w:right w:val="single" w:color="auto" w:sz="4" w:space="0"/>
                  </w:tcBorders>
                  <w:noWrap w:val="0"/>
                  <w:vAlign w:val="center"/>
                </w:tcPr>
                <w:p w14:paraId="30F8A2B5">
                  <w:pPr>
                    <w:widowControl/>
                    <w:spacing w:line="154" w:lineRule="atLeast"/>
                    <w:jc w:val="center"/>
                    <w:rPr>
                      <w:rFonts w:hint="eastAsia" w:eastAsia="宋体"/>
                      <w:color w:val="auto"/>
                      <w:szCs w:val="21"/>
                      <w:lang w:val="en-US" w:eastAsia="zh-CN"/>
                    </w:rPr>
                  </w:pPr>
                </w:p>
              </w:tc>
              <w:tc>
                <w:tcPr>
                  <w:tcW w:w="649" w:type="pct"/>
                  <w:tcBorders>
                    <w:top w:val="single" w:color="000000" w:sz="4" w:space="0"/>
                    <w:left w:val="single" w:color="auto" w:sz="4" w:space="0"/>
                    <w:bottom w:val="single" w:color="000000" w:sz="4" w:space="0"/>
                    <w:right w:val="single" w:color="000000" w:sz="4" w:space="0"/>
                  </w:tcBorders>
                  <w:noWrap w:val="0"/>
                  <w:vAlign w:val="center"/>
                </w:tcPr>
                <w:p w14:paraId="78DCF093">
                  <w:pPr>
                    <w:widowControl/>
                    <w:spacing w:line="154" w:lineRule="atLeast"/>
                    <w:jc w:val="center"/>
                    <w:rPr>
                      <w:rFonts w:hint="default" w:eastAsia="宋体"/>
                      <w:color w:val="auto"/>
                      <w:szCs w:val="21"/>
                      <w:lang w:val="en-US" w:eastAsia="zh-CN"/>
                    </w:rPr>
                  </w:pPr>
                  <w:r>
                    <w:rPr>
                      <w:rFonts w:hint="eastAsia" w:eastAsia="宋体"/>
                      <w:color w:val="auto"/>
                      <w:szCs w:val="21"/>
                      <w:lang w:val="en-US" w:eastAsia="zh-CN"/>
                    </w:rPr>
                    <w:t>果仁深加工</w:t>
                  </w:r>
                </w:p>
              </w:tc>
              <w:tc>
                <w:tcPr>
                  <w:tcW w:w="3138" w:type="pct"/>
                  <w:tcBorders>
                    <w:top w:val="single" w:color="000000" w:sz="4" w:space="0"/>
                    <w:left w:val="nil"/>
                    <w:bottom w:val="single" w:color="000000" w:sz="4" w:space="0"/>
                    <w:right w:val="single" w:color="000000" w:sz="4" w:space="0"/>
                  </w:tcBorders>
                  <w:noWrap w:val="0"/>
                  <w:vAlign w:val="center"/>
                </w:tcPr>
                <w:p w14:paraId="118AC548">
                  <w:pPr>
                    <w:widowControl/>
                    <w:spacing w:line="154"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取仁、果仁分离、分拣、清洗、烘干杀菌、分级、包装、冷藏</w:t>
                  </w:r>
                </w:p>
              </w:tc>
            </w:tr>
          </w:tbl>
          <w:p w14:paraId="6A14B760">
            <w:pPr>
              <w:adjustRightInd w:val="0"/>
              <w:snapToGrid w:val="0"/>
              <w:spacing w:line="360" w:lineRule="auto"/>
              <w:jc w:val="left"/>
              <w:rPr>
                <w:rFonts w:hint="default" w:ascii="宋体" w:hAnsi="宋体" w:eastAsia="宋体" w:cs="宋体"/>
                <w:b/>
                <w:bCs/>
                <w:color w:val="auto"/>
                <w:sz w:val="24"/>
                <w:szCs w:val="24"/>
                <w:lang w:val="en-US" w:eastAsia="zh-CN"/>
              </w:rPr>
            </w:pPr>
            <w:r>
              <w:rPr>
                <w:rFonts w:hint="default" w:ascii="宋体" w:hAnsi="宋体" w:eastAsia="宋体" w:cs="宋体"/>
                <w:b/>
                <w:bCs/>
                <w:color w:val="auto"/>
                <w:kern w:val="0"/>
                <w:sz w:val="24"/>
                <w:szCs w:val="24"/>
                <w:lang w:val="en-US" w:eastAsia="zh-CN" w:bidi="ar-SA"/>
              </w:rPr>
              <w:t>四、主</w:t>
            </w:r>
            <w:r>
              <w:rPr>
                <w:rFonts w:hint="default" w:ascii="宋体" w:hAnsi="宋体" w:eastAsia="宋体" w:cs="宋体"/>
                <w:b/>
                <w:bCs/>
                <w:color w:val="auto"/>
                <w:sz w:val="24"/>
                <w:szCs w:val="24"/>
                <w:lang w:val="en-US" w:eastAsia="zh-CN"/>
              </w:rPr>
              <w:t xml:space="preserve">要生产设施及设施参数 </w:t>
            </w:r>
          </w:p>
          <w:p w14:paraId="6A682A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eastAsia="zh-CN"/>
              </w:rPr>
              <w:t>本</w:t>
            </w:r>
            <w:r>
              <w:rPr>
                <w:rFonts w:hint="eastAsia" w:ascii="宋体" w:hAnsi="宋体" w:eastAsia="宋体" w:cs="宋体"/>
                <w:color w:val="auto"/>
                <w:sz w:val="24"/>
              </w:rPr>
              <w:t>项</w:t>
            </w:r>
            <w:r>
              <w:rPr>
                <w:rFonts w:hint="eastAsia" w:ascii="Times New Roman" w:hAnsi="Times New Roman" w:eastAsia="宋体" w:cs="Times New Roman"/>
                <w:color w:val="auto"/>
                <w:sz w:val="24"/>
                <w:lang w:val="en-US" w:eastAsia="zh-CN"/>
              </w:rPr>
              <w:t>目主要</w:t>
            </w:r>
            <w:r>
              <w:rPr>
                <w:rFonts w:hint="default" w:ascii="Times New Roman" w:hAnsi="Times New Roman" w:eastAsia="宋体" w:cs="Times New Roman"/>
                <w:color w:val="auto"/>
                <w:sz w:val="24"/>
                <w:lang w:val="en-US" w:eastAsia="zh-CN"/>
              </w:rPr>
              <w:t>生产设施及设施参数</w:t>
            </w:r>
            <w:r>
              <w:rPr>
                <w:rFonts w:hint="eastAsia" w:ascii="Times New Roman" w:hAnsi="Times New Roman" w:eastAsia="宋体" w:cs="Times New Roman"/>
                <w:color w:val="auto"/>
                <w:sz w:val="24"/>
                <w:lang w:val="en-US" w:eastAsia="zh-CN"/>
              </w:rPr>
              <w:t>见表</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-3。</w:t>
            </w:r>
          </w:p>
          <w:p w14:paraId="5A8B5134">
            <w:pPr>
              <w:adjustRightInd w:val="0"/>
              <w:snapToGrid w:val="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宋体" w:hAnsi="宋体" w:eastAsia="宋体" w:cs="宋体"/>
                <w:b/>
                <w:color w:val="auto"/>
                <w:sz w:val="24"/>
                <w:szCs w:val="24"/>
              </w:rPr>
              <w:t>-</w:t>
            </w:r>
            <w:r>
              <w:rPr>
                <w:rFonts w:hint="eastAsia" w:ascii="Times New Roman" w:hAnsi="Times New Roman" w:eastAsia="宋体" w:cs="Times New Roman"/>
                <w:b/>
                <w:color w:val="auto"/>
                <w:sz w:val="24"/>
                <w:szCs w:val="24"/>
                <w:lang w:val="en-US" w:eastAsia="zh-CN"/>
              </w:rPr>
              <w:t>3</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eastAsia="zh-CN"/>
              </w:rPr>
              <w:t>本</w:t>
            </w:r>
            <w:r>
              <w:rPr>
                <w:rFonts w:hint="eastAsia" w:ascii="宋体" w:hAnsi="宋体" w:eastAsia="宋体" w:cs="宋体"/>
                <w:b/>
                <w:color w:val="auto"/>
                <w:sz w:val="24"/>
                <w:szCs w:val="24"/>
              </w:rPr>
              <w:t>项目</w:t>
            </w:r>
            <w:r>
              <w:rPr>
                <w:rFonts w:hint="eastAsia" w:ascii="宋体" w:hAnsi="宋体" w:eastAsia="宋体" w:cs="宋体"/>
                <w:b/>
                <w:color w:val="auto"/>
                <w:sz w:val="24"/>
                <w:szCs w:val="24"/>
                <w:lang w:eastAsia="zh-CN"/>
              </w:rPr>
              <w:t>主要</w:t>
            </w:r>
            <w:r>
              <w:rPr>
                <w:rFonts w:hint="default" w:ascii="宋体" w:hAnsi="宋体" w:eastAsia="宋体" w:cs="宋体"/>
                <w:b/>
                <w:bCs/>
                <w:color w:val="auto"/>
                <w:sz w:val="24"/>
                <w:szCs w:val="24"/>
                <w:lang w:val="en-US" w:eastAsia="zh-CN"/>
              </w:rPr>
              <w:t>生产设施及设施参数</w:t>
            </w:r>
            <w:r>
              <w:rPr>
                <w:rFonts w:hint="eastAsia" w:ascii="宋体" w:hAnsi="宋体" w:eastAsia="宋体" w:cs="宋体"/>
                <w:b/>
                <w:color w:val="auto"/>
                <w:sz w:val="24"/>
                <w:szCs w:val="24"/>
              </w:rPr>
              <w:t>一览表</w:t>
            </w:r>
          </w:p>
          <w:tbl>
            <w:tblPr>
              <w:tblStyle w:val="33"/>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763"/>
              <w:gridCol w:w="2730"/>
              <w:gridCol w:w="1005"/>
              <w:gridCol w:w="1170"/>
              <w:gridCol w:w="1350"/>
            </w:tblGrid>
            <w:tr w14:paraId="5FFD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89" w:type="dxa"/>
                  <w:noWrap w:val="0"/>
                  <w:vAlign w:val="center"/>
                </w:tcPr>
                <w:p w14:paraId="2D0762DC">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763" w:type="dxa"/>
                  <w:noWrap w:val="0"/>
                  <w:vAlign w:val="center"/>
                </w:tcPr>
                <w:p w14:paraId="6B87B88B">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i w:val="0"/>
                      <w:iCs w:val="0"/>
                      <w:color w:val="auto"/>
                      <w:kern w:val="0"/>
                      <w:sz w:val="21"/>
                      <w:szCs w:val="21"/>
                      <w:u w:val="none"/>
                      <w:lang w:val="en-US" w:eastAsia="zh-CN" w:bidi="ar"/>
                    </w:rPr>
                    <w:t>产品名称</w:t>
                  </w:r>
                </w:p>
              </w:tc>
              <w:tc>
                <w:tcPr>
                  <w:tcW w:w="2730" w:type="dxa"/>
                  <w:noWrap w:val="0"/>
                  <w:vAlign w:val="center"/>
                </w:tcPr>
                <w:p w14:paraId="668C61DD">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i w:val="0"/>
                      <w:iCs w:val="0"/>
                      <w:color w:val="auto"/>
                      <w:kern w:val="0"/>
                      <w:sz w:val="21"/>
                      <w:szCs w:val="21"/>
                      <w:u w:val="none"/>
                      <w:lang w:val="en-US" w:eastAsia="zh-CN" w:bidi="ar"/>
                    </w:rPr>
                    <w:t>规格尺寸（mm）</w:t>
                  </w:r>
                </w:p>
              </w:tc>
              <w:tc>
                <w:tcPr>
                  <w:tcW w:w="1005" w:type="dxa"/>
                  <w:noWrap w:val="0"/>
                  <w:vAlign w:val="center"/>
                </w:tcPr>
                <w:p w14:paraId="120F48BB">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170" w:type="dxa"/>
                  <w:noWrap w:val="0"/>
                  <w:vAlign w:val="center"/>
                </w:tcPr>
                <w:p w14:paraId="0EFE0804">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i w:val="0"/>
                      <w:iCs w:val="0"/>
                      <w:color w:val="auto"/>
                      <w:kern w:val="0"/>
                      <w:sz w:val="21"/>
                      <w:szCs w:val="21"/>
                      <w:u w:val="none"/>
                      <w:lang w:val="en-US" w:eastAsia="zh-CN" w:bidi="ar"/>
                    </w:rPr>
                    <w:t>数量</w:t>
                  </w:r>
                </w:p>
              </w:tc>
              <w:tc>
                <w:tcPr>
                  <w:tcW w:w="1350" w:type="dxa"/>
                  <w:noWrap w:val="0"/>
                  <w:vAlign w:val="center"/>
                </w:tcPr>
                <w:p w14:paraId="049E2A9E">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处理量</w:t>
                  </w:r>
                </w:p>
              </w:tc>
            </w:tr>
            <w:tr w14:paraId="7FB6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89" w:type="dxa"/>
                  <w:noWrap w:val="0"/>
                  <w:vAlign w:val="center"/>
                </w:tcPr>
                <w:p w14:paraId="1A6C1DE7">
                  <w:pPr>
                    <w:widowControl/>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一</w:t>
                  </w:r>
                </w:p>
              </w:tc>
              <w:tc>
                <w:tcPr>
                  <w:tcW w:w="8018" w:type="dxa"/>
                  <w:gridSpan w:val="5"/>
                  <w:noWrap w:val="0"/>
                  <w:vAlign w:val="center"/>
                </w:tcPr>
                <w:p w14:paraId="27A831D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澳洲坚果青皮果加工生产线</w:t>
                  </w:r>
                </w:p>
              </w:tc>
            </w:tr>
            <w:tr w14:paraId="3AFD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89" w:type="dxa"/>
                  <w:noWrap w:val="0"/>
                  <w:vAlign w:val="center"/>
                </w:tcPr>
                <w:p w14:paraId="48195D0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763" w:type="dxa"/>
                  <w:noWrap w:val="0"/>
                  <w:vAlign w:val="center"/>
                </w:tcPr>
                <w:p w14:paraId="66F43E0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筛分提升机</w:t>
                  </w:r>
                </w:p>
              </w:tc>
              <w:tc>
                <w:tcPr>
                  <w:tcW w:w="2730" w:type="dxa"/>
                  <w:noWrap w:val="0"/>
                  <w:vAlign w:val="center"/>
                </w:tcPr>
                <w:p w14:paraId="3EC8CEC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总长5300*760*3600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1005" w:type="dxa"/>
                  <w:noWrap w:val="0"/>
                  <w:vAlign w:val="center"/>
                </w:tcPr>
                <w:p w14:paraId="47B3A3E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08F908C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56227A8E">
                  <w:pPr>
                    <w:jc w:val="center"/>
                    <w:rPr>
                      <w:rFonts w:hint="default" w:ascii="Times New Roman" w:hAnsi="Times New Roman" w:eastAsia="宋体" w:cs="Times New Roman"/>
                      <w:color w:val="auto"/>
                      <w:kern w:val="0"/>
                      <w:sz w:val="21"/>
                      <w:szCs w:val="21"/>
                    </w:rPr>
                  </w:pPr>
                </w:p>
              </w:tc>
            </w:tr>
            <w:tr w14:paraId="4C77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89" w:type="dxa"/>
                  <w:shd w:val="clear" w:color="auto" w:fill="auto"/>
                  <w:noWrap w:val="0"/>
                  <w:vAlign w:val="center"/>
                </w:tcPr>
                <w:p w14:paraId="4F6CBB4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763" w:type="dxa"/>
                  <w:shd w:val="clear" w:color="auto" w:fill="FFFFFF"/>
                  <w:noWrap w:val="0"/>
                  <w:vAlign w:val="center"/>
                </w:tcPr>
                <w:p w14:paraId="5AB9AF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青果分级筛</w:t>
                  </w:r>
                </w:p>
              </w:tc>
              <w:tc>
                <w:tcPr>
                  <w:tcW w:w="2730" w:type="dxa"/>
                  <w:shd w:val="clear" w:color="auto" w:fill="FFFFFF"/>
                  <w:noWrap w:val="0"/>
                  <w:vAlign w:val="center"/>
                </w:tcPr>
                <w:p w14:paraId="471A64D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滚筛直径：970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外形尺寸6440*1300*3600</w:t>
                  </w:r>
                </w:p>
              </w:tc>
              <w:tc>
                <w:tcPr>
                  <w:tcW w:w="1005" w:type="dxa"/>
                  <w:shd w:val="clear" w:color="auto" w:fill="FFFFFF"/>
                  <w:noWrap w:val="0"/>
                  <w:vAlign w:val="center"/>
                </w:tcPr>
                <w:p w14:paraId="0137A40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shd w:val="clear" w:color="auto" w:fill="FFFFFF"/>
                  <w:noWrap w:val="0"/>
                  <w:vAlign w:val="center"/>
                </w:tcPr>
                <w:p w14:paraId="1F838C0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shd w:val="clear" w:color="auto" w:fill="FFFFFF"/>
                  <w:noWrap w:val="0"/>
                  <w:vAlign w:val="center"/>
                </w:tcPr>
                <w:p w14:paraId="67BD2AA2">
                  <w:pPr>
                    <w:jc w:val="center"/>
                    <w:rPr>
                      <w:rFonts w:hint="default" w:ascii="Times New Roman" w:hAnsi="Times New Roman" w:eastAsia="宋体" w:cs="Times New Roman"/>
                      <w:color w:val="auto"/>
                      <w:kern w:val="0"/>
                      <w:sz w:val="21"/>
                      <w:szCs w:val="21"/>
                    </w:rPr>
                  </w:pPr>
                </w:p>
              </w:tc>
            </w:tr>
            <w:tr w14:paraId="23D3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89" w:type="dxa"/>
                  <w:shd w:val="clear" w:color="auto" w:fill="auto"/>
                  <w:noWrap w:val="0"/>
                  <w:vAlign w:val="center"/>
                </w:tcPr>
                <w:p w14:paraId="394652E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763" w:type="dxa"/>
                  <w:shd w:val="clear" w:color="auto" w:fill="FFFFFF"/>
                  <w:noWrap w:val="0"/>
                  <w:vAlign w:val="center"/>
                </w:tcPr>
                <w:p w14:paraId="7999CEC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坚果脱皮机</w:t>
                  </w:r>
                </w:p>
              </w:tc>
              <w:tc>
                <w:tcPr>
                  <w:tcW w:w="2730" w:type="dxa"/>
                  <w:shd w:val="clear" w:color="auto" w:fill="FFFFFF"/>
                  <w:noWrap w:val="0"/>
                  <w:vAlign w:val="center"/>
                </w:tcPr>
                <w:p w14:paraId="3B34FA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4轴2通道</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外形尺寸2400*500*1800</w:t>
                  </w:r>
                </w:p>
              </w:tc>
              <w:tc>
                <w:tcPr>
                  <w:tcW w:w="1005" w:type="dxa"/>
                  <w:shd w:val="clear" w:color="auto" w:fill="FFFFFF"/>
                  <w:noWrap w:val="0"/>
                  <w:vAlign w:val="center"/>
                </w:tcPr>
                <w:p w14:paraId="64BC3C1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shd w:val="clear" w:color="auto" w:fill="FFFFFF"/>
                  <w:noWrap w:val="0"/>
                  <w:vAlign w:val="center"/>
                </w:tcPr>
                <w:p w14:paraId="6819AAC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50" w:type="dxa"/>
                  <w:shd w:val="clear" w:color="auto" w:fill="FFFFFF"/>
                  <w:noWrap w:val="0"/>
                  <w:vAlign w:val="center"/>
                </w:tcPr>
                <w:p w14:paraId="244CB41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2吨/h</w:t>
                  </w:r>
                </w:p>
              </w:tc>
            </w:tr>
            <w:tr w14:paraId="73AD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89" w:type="dxa"/>
                  <w:noWrap w:val="0"/>
                  <w:vAlign w:val="center"/>
                </w:tcPr>
                <w:p w14:paraId="171EEE0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763" w:type="dxa"/>
                  <w:noWrap w:val="0"/>
                  <w:vAlign w:val="center"/>
                </w:tcPr>
                <w:p w14:paraId="57EA5EC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果皮平面输送机</w:t>
                  </w:r>
                </w:p>
              </w:tc>
              <w:tc>
                <w:tcPr>
                  <w:tcW w:w="2730" w:type="dxa"/>
                  <w:noWrap w:val="0"/>
                  <w:vAlign w:val="center"/>
                </w:tcPr>
                <w:p w14:paraId="5A918E3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总长7000*760*450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1005" w:type="dxa"/>
                  <w:noWrap w:val="0"/>
                  <w:vAlign w:val="center"/>
                </w:tcPr>
                <w:p w14:paraId="6A9C728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2D708C0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620D72FC">
                  <w:pPr>
                    <w:jc w:val="center"/>
                    <w:rPr>
                      <w:rFonts w:hint="default" w:ascii="Times New Roman" w:hAnsi="Times New Roman" w:eastAsia="宋体" w:cs="Times New Roman"/>
                      <w:color w:val="auto"/>
                      <w:kern w:val="0"/>
                      <w:sz w:val="21"/>
                      <w:szCs w:val="21"/>
                    </w:rPr>
                  </w:pPr>
                </w:p>
              </w:tc>
            </w:tr>
            <w:tr w14:paraId="2674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89" w:type="dxa"/>
                  <w:noWrap w:val="0"/>
                  <w:vAlign w:val="center"/>
                </w:tcPr>
                <w:p w14:paraId="3639FCF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763" w:type="dxa"/>
                  <w:noWrap w:val="0"/>
                  <w:vAlign w:val="center"/>
                </w:tcPr>
                <w:p w14:paraId="54ECA93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果皮提升输送机</w:t>
                  </w:r>
                </w:p>
              </w:tc>
              <w:tc>
                <w:tcPr>
                  <w:tcW w:w="2730" w:type="dxa"/>
                  <w:noWrap w:val="0"/>
                  <w:vAlign w:val="center"/>
                </w:tcPr>
                <w:p w14:paraId="36BF14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总长6000*760*600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1005" w:type="dxa"/>
                  <w:noWrap w:val="0"/>
                  <w:vAlign w:val="center"/>
                </w:tcPr>
                <w:p w14:paraId="5D21360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54FEEB6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39A745B7">
                  <w:pPr>
                    <w:jc w:val="center"/>
                    <w:rPr>
                      <w:rFonts w:hint="default" w:ascii="Times New Roman" w:hAnsi="Times New Roman" w:eastAsia="宋体" w:cs="Times New Roman"/>
                      <w:color w:val="auto"/>
                      <w:sz w:val="21"/>
                      <w:szCs w:val="21"/>
                    </w:rPr>
                  </w:pPr>
                </w:p>
              </w:tc>
            </w:tr>
            <w:tr w14:paraId="1DE4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89" w:type="dxa"/>
                  <w:noWrap w:val="0"/>
                  <w:vAlign w:val="center"/>
                </w:tcPr>
                <w:p w14:paraId="62CD266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1763" w:type="dxa"/>
                  <w:noWrap w:val="0"/>
                  <w:vAlign w:val="center"/>
                </w:tcPr>
                <w:p w14:paraId="5A31067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壳果平面输送机</w:t>
                  </w:r>
                </w:p>
              </w:tc>
              <w:tc>
                <w:tcPr>
                  <w:tcW w:w="2730" w:type="dxa"/>
                  <w:noWrap w:val="0"/>
                  <w:vAlign w:val="center"/>
                </w:tcPr>
                <w:p w14:paraId="28E973B9">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总长6400*760*450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1005" w:type="dxa"/>
                  <w:noWrap w:val="0"/>
                  <w:vAlign w:val="center"/>
                </w:tcPr>
                <w:p w14:paraId="391830E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3274C10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512E18F3">
                  <w:pPr>
                    <w:jc w:val="center"/>
                    <w:rPr>
                      <w:rFonts w:hint="default" w:ascii="Times New Roman" w:hAnsi="Times New Roman" w:eastAsia="宋体" w:cs="Times New Roman"/>
                      <w:color w:val="auto"/>
                      <w:kern w:val="0"/>
                      <w:sz w:val="21"/>
                      <w:szCs w:val="21"/>
                    </w:rPr>
                  </w:pPr>
                </w:p>
              </w:tc>
            </w:tr>
            <w:tr w14:paraId="6262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89" w:type="dxa"/>
                  <w:noWrap w:val="0"/>
                  <w:vAlign w:val="center"/>
                </w:tcPr>
                <w:p w14:paraId="04AFE4C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1763" w:type="dxa"/>
                  <w:noWrap w:val="0"/>
                  <w:vAlign w:val="center"/>
                </w:tcPr>
                <w:p w14:paraId="311A9DD6">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清洗提升机</w:t>
                  </w:r>
                </w:p>
              </w:tc>
              <w:tc>
                <w:tcPr>
                  <w:tcW w:w="2730" w:type="dxa"/>
                  <w:noWrap w:val="0"/>
                  <w:vAlign w:val="center"/>
                </w:tcPr>
                <w:p w14:paraId="674C6EB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总长4500*760*2700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1005" w:type="dxa"/>
                  <w:noWrap w:val="0"/>
                  <w:vAlign w:val="center"/>
                </w:tcPr>
                <w:p w14:paraId="3290F43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25609B5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64890D28">
                  <w:pPr>
                    <w:jc w:val="center"/>
                    <w:rPr>
                      <w:rFonts w:hint="default" w:ascii="Times New Roman" w:hAnsi="Times New Roman" w:eastAsia="宋体" w:cs="Times New Roman"/>
                      <w:color w:val="auto"/>
                      <w:kern w:val="0"/>
                      <w:sz w:val="21"/>
                      <w:szCs w:val="21"/>
                      <w:lang w:val="en-US" w:eastAsia="zh-CN"/>
                    </w:rPr>
                  </w:pPr>
                </w:p>
              </w:tc>
            </w:tr>
            <w:tr w14:paraId="3F97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89" w:type="dxa"/>
                  <w:noWrap w:val="0"/>
                  <w:vAlign w:val="center"/>
                </w:tcPr>
                <w:p w14:paraId="497C6BFF">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1763" w:type="dxa"/>
                  <w:noWrap w:val="0"/>
                  <w:vAlign w:val="center"/>
                </w:tcPr>
                <w:p w14:paraId="242454F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清洗机</w:t>
                  </w:r>
                </w:p>
              </w:tc>
              <w:tc>
                <w:tcPr>
                  <w:tcW w:w="2730" w:type="dxa"/>
                  <w:noWrap w:val="0"/>
                  <w:vAlign w:val="center"/>
                </w:tcPr>
                <w:p w14:paraId="049508E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滚筒直径1270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外形尺寸4000*1600*2800</w:t>
                  </w:r>
                </w:p>
              </w:tc>
              <w:tc>
                <w:tcPr>
                  <w:tcW w:w="1005" w:type="dxa"/>
                  <w:noWrap w:val="0"/>
                  <w:vAlign w:val="center"/>
                </w:tcPr>
                <w:p w14:paraId="7BE6DD4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7A269117">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386A38E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3吨/h</w:t>
                  </w:r>
                </w:p>
              </w:tc>
            </w:tr>
            <w:tr w14:paraId="6E29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89" w:type="dxa"/>
                  <w:noWrap w:val="0"/>
                  <w:vAlign w:val="center"/>
                </w:tcPr>
                <w:p w14:paraId="548CFEFC">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9</w:t>
                  </w:r>
                </w:p>
              </w:tc>
              <w:tc>
                <w:tcPr>
                  <w:tcW w:w="1763" w:type="dxa"/>
                  <w:noWrap w:val="0"/>
                  <w:vAlign w:val="center"/>
                </w:tcPr>
                <w:p w14:paraId="1BF70A3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浮选机</w:t>
                  </w:r>
                </w:p>
              </w:tc>
              <w:tc>
                <w:tcPr>
                  <w:tcW w:w="2730" w:type="dxa"/>
                  <w:noWrap w:val="0"/>
                  <w:vAlign w:val="center"/>
                </w:tcPr>
                <w:p w14:paraId="4B20B58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3800*1300*2000</w:t>
                  </w:r>
                </w:p>
              </w:tc>
              <w:tc>
                <w:tcPr>
                  <w:tcW w:w="1005" w:type="dxa"/>
                  <w:noWrap w:val="0"/>
                  <w:vAlign w:val="center"/>
                </w:tcPr>
                <w:p w14:paraId="6687A0E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2A42E62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38984E63">
                  <w:pPr>
                    <w:jc w:val="center"/>
                    <w:rPr>
                      <w:rFonts w:hint="default" w:ascii="Times New Roman" w:hAnsi="Times New Roman" w:eastAsia="宋体" w:cs="Times New Roman"/>
                      <w:color w:val="auto"/>
                      <w:kern w:val="0"/>
                      <w:sz w:val="21"/>
                      <w:szCs w:val="21"/>
                    </w:rPr>
                  </w:pPr>
                </w:p>
              </w:tc>
            </w:tr>
            <w:tr w14:paraId="5BA2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89" w:type="dxa"/>
                  <w:shd w:val="clear" w:color="auto" w:fill="auto"/>
                  <w:noWrap w:val="0"/>
                  <w:vAlign w:val="center"/>
                </w:tcPr>
                <w:p w14:paraId="6B52A849">
                  <w:pPr>
                    <w:widowControl/>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rPr>
                    <w:t>1</w:t>
                  </w:r>
                  <w:r>
                    <w:rPr>
                      <w:rFonts w:hint="default" w:ascii="Times New Roman" w:hAnsi="Times New Roman" w:eastAsia="宋体" w:cs="Times New Roman"/>
                      <w:bCs/>
                      <w:color w:val="auto"/>
                      <w:kern w:val="0"/>
                      <w:sz w:val="21"/>
                      <w:szCs w:val="21"/>
                      <w:lang w:val="en-US" w:eastAsia="zh-CN"/>
                    </w:rPr>
                    <w:t>0</w:t>
                  </w:r>
                </w:p>
              </w:tc>
              <w:tc>
                <w:tcPr>
                  <w:tcW w:w="1763" w:type="dxa"/>
                  <w:shd w:val="clear" w:color="auto" w:fill="FFFFFF"/>
                  <w:noWrap w:val="0"/>
                  <w:vAlign w:val="center"/>
                </w:tcPr>
                <w:p w14:paraId="3328C0E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沥水风干机</w:t>
                  </w:r>
                </w:p>
              </w:tc>
              <w:tc>
                <w:tcPr>
                  <w:tcW w:w="2730" w:type="dxa"/>
                  <w:noWrap w:val="0"/>
                  <w:vAlign w:val="center"/>
                </w:tcPr>
                <w:p w14:paraId="752E674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5000*910*1200</w:t>
                  </w:r>
                </w:p>
              </w:tc>
              <w:tc>
                <w:tcPr>
                  <w:tcW w:w="1005" w:type="dxa"/>
                  <w:noWrap w:val="0"/>
                  <w:vAlign w:val="center"/>
                </w:tcPr>
                <w:p w14:paraId="0C70063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7BF0F31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786AD0BB">
                  <w:pPr>
                    <w:jc w:val="center"/>
                    <w:rPr>
                      <w:rFonts w:hint="default" w:ascii="Times New Roman" w:hAnsi="Times New Roman" w:eastAsia="宋体" w:cs="Times New Roman"/>
                      <w:b/>
                      <w:bCs/>
                      <w:color w:val="auto"/>
                      <w:kern w:val="0"/>
                      <w:sz w:val="21"/>
                      <w:szCs w:val="21"/>
                    </w:rPr>
                  </w:pPr>
                </w:p>
              </w:tc>
            </w:tr>
            <w:tr w14:paraId="43AD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89" w:type="dxa"/>
                  <w:shd w:val="clear" w:color="auto" w:fill="auto"/>
                  <w:noWrap w:val="0"/>
                  <w:vAlign w:val="center"/>
                </w:tcPr>
                <w:p w14:paraId="52A6071B">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1</w:t>
                  </w:r>
                </w:p>
              </w:tc>
              <w:tc>
                <w:tcPr>
                  <w:tcW w:w="1763" w:type="dxa"/>
                  <w:shd w:val="clear" w:color="auto" w:fill="FFFFFF"/>
                  <w:noWrap w:val="0"/>
                  <w:vAlign w:val="center"/>
                </w:tcPr>
                <w:p w14:paraId="690FA57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果皮人工分拣输送机</w:t>
                  </w:r>
                </w:p>
              </w:tc>
              <w:tc>
                <w:tcPr>
                  <w:tcW w:w="2730" w:type="dxa"/>
                  <w:noWrap w:val="0"/>
                  <w:vAlign w:val="center"/>
                </w:tcPr>
                <w:p w14:paraId="1C7E52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总长6000*910*700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304不锈钢链板</w:t>
                  </w:r>
                </w:p>
              </w:tc>
              <w:tc>
                <w:tcPr>
                  <w:tcW w:w="1005" w:type="dxa"/>
                  <w:noWrap w:val="0"/>
                  <w:vAlign w:val="center"/>
                </w:tcPr>
                <w:p w14:paraId="6E953D2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52297A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616A3CDF">
                  <w:pPr>
                    <w:jc w:val="center"/>
                    <w:rPr>
                      <w:rFonts w:hint="default" w:ascii="Times New Roman" w:hAnsi="Times New Roman" w:eastAsia="宋体" w:cs="Times New Roman"/>
                      <w:b/>
                      <w:bCs/>
                      <w:color w:val="auto"/>
                      <w:kern w:val="0"/>
                      <w:sz w:val="21"/>
                      <w:szCs w:val="21"/>
                    </w:rPr>
                  </w:pPr>
                </w:p>
              </w:tc>
            </w:tr>
            <w:tr w14:paraId="2E17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9" w:type="dxa"/>
                  <w:shd w:val="clear" w:color="auto" w:fill="auto"/>
                  <w:noWrap w:val="0"/>
                  <w:vAlign w:val="center"/>
                </w:tcPr>
                <w:p w14:paraId="4C0E3049">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2</w:t>
                  </w:r>
                </w:p>
              </w:tc>
              <w:tc>
                <w:tcPr>
                  <w:tcW w:w="1763" w:type="dxa"/>
                  <w:shd w:val="clear" w:color="auto" w:fill="FFFFFF"/>
                  <w:noWrap w:val="0"/>
                  <w:vAlign w:val="center"/>
                </w:tcPr>
                <w:p w14:paraId="79B88D9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烘房上料提升机</w:t>
                  </w:r>
                </w:p>
              </w:tc>
              <w:tc>
                <w:tcPr>
                  <w:tcW w:w="2730" w:type="dxa"/>
                  <w:noWrap w:val="0"/>
                  <w:vAlign w:val="center"/>
                </w:tcPr>
                <w:p w14:paraId="7B04141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总长6200*760*4200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304不锈钢链板</w:t>
                  </w:r>
                </w:p>
              </w:tc>
              <w:tc>
                <w:tcPr>
                  <w:tcW w:w="1005" w:type="dxa"/>
                  <w:noWrap w:val="0"/>
                  <w:vAlign w:val="center"/>
                </w:tcPr>
                <w:p w14:paraId="39B76CF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728FCA5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63EDE390">
                  <w:pPr>
                    <w:jc w:val="center"/>
                    <w:rPr>
                      <w:rFonts w:hint="default" w:ascii="Times New Roman" w:hAnsi="Times New Roman" w:eastAsia="宋体" w:cs="Times New Roman"/>
                      <w:color w:val="auto"/>
                      <w:kern w:val="0"/>
                      <w:sz w:val="21"/>
                      <w:szCs w:val="21"/>
                    </w:rPr>
                  </w:pPr>
                </w:p>
              </w:tc>
            </w:tr>
            <w:tr w14:paraId="6B57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 w:type="dxa"/>
                  <w:noWrap w:val="0"/>
                  <w:vAlign w:val="center"/>
                </w:tcPr>
                <w:p w14:paraId="4319C611">
                  <w:pPr>
                    <w:widowControl/>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val="0"/>
                      <w:bCs/>
                      <w:color w:val="auto"/>
                      <w:kern w:val="0"/>
                      <w:sz w:val="21"/>
                      <w:szCs w:val="21"/>
                    </w:rPr>
                    <w:t>1</w:t>
                  </w:r>
                  <w:r>
                    <w:rPr>
                      <w:rFonts w:hint="default" w:ascii="Times New Roman" w:hAnsi="Times New Roman" w:eastAsia="宋体" w:cs="Times New Roman"/>
                      <w:b w:val="0"/>
                      <w:bCs/>
                      <w:color w:val="auto"/>
                      <w:kern w:val="0"/>
                      <w:sz w:val="21"/>
                      <w:szCs w:val="21"/>
                      <w:lang w:val="en-US" w:eastAsia="zh-CN"/>
                    </w:rPr>
                    <w:t>3</w:t>
                  </w:r>
                </w:p>
              </w:tc>
              <w:tc>
                <w:tcPr>
                  <w:tcW w:w="1763" w:type="dxa"/>
                  <w:noWrap w:val="0"/>
                  <w:vAlign w:val="center"/>
                </w:tcPr>
                <w:p w14:paraId="68BFF8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15吨烘干箱</w:t>
                  </w:r>
                </w:p>
              </w:tc>
              <w:tc>
                <w:tcPr>
                  <w:tcW w:w="2730" w:type="dxa"/>
                  <w:noWrap w:val="0"/>
                  <w:vAlign w:val="center"/>
                </w:tcPr>
                <w:p w14:paraId="7E216E5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5100*4000*3600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（箱体尺寸）</w:t>
                  </w:r>
                </w:p>
              </w:tc>
              <w:tc>
                <w:tcPr>
                  <w:tcW w:w="1005" w:type="dxa"/>
                  <w:noWrap w:val="0"/>
                  <w:vAlign w:val="center"/>
                </w:tcPr>
                <w:p w14:paraId="74C07A9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10C5D53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50" w:type="dxa"/>
                  <w:noWrap w:val="0"/>
                  <w:vAlign w:val="center"/>
                </w:tcPr>
                <w:p w14:paraId="53B81AF3">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96小时烘干</w:t>
                  </w:r>
                </w:p>
              </w:tc>
            </w:tr>
            <w:tr w14:paraId="2124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9" w:type="dxa"/>
                  <w:noWrap w:val="0"/>
                  <w:vAlign w:val="center"/>
                </w:tcPr>
                <w:p w14:paraId="2747F741">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4</w:t>
                  </w:r>
                </w:p>
              </w:tc>
              <w:tc>
                <w:tcPr>
                  <w:tcW w:w="1763" w:type="dxa"/>
                  <w:noWrap w:val="0"/>
                  <w:vAlign w:val="center"/>
                </w:tcPr>
                <w:p w14:paraId="6E08E5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烘房上分走道及楼梯</w:t>
                  </w:r>
                </w:p>
              </w:tc>
              <w:tc>
                <w:tcPr>
                  <w:tcW w:w="2730" w:type="dxa"/>
                  <w:noWrap w:val="0"/>
                  <w:vAlign w:val="center"/>
                </w:tcPr>
                <w:p w14:paraId="418197C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36000*600</w:t>
                  </w:r>
                </w:p>
              </w:tc>
              <w:tc>
                <w:tcPr>
                  <w:tcW w:w="1005" w:type="dxa"/>
                  <w:noWrap w:val="0"/>
                  <w:vAlign w:val="center"/>
                </w:tcPr>
                <w:p w14:paraId="7E9F45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条</w:t>
                  </w:r>
                </w:p>
              </w:tc>
              <w:tc>
                <w:tcPr>
                  <w:tcW w:w="1170" w:type="dxa"/>
                  <w:noWrap w:val="0"/>
                  <w:vAlign w:val="center"/>
                </w:tcPr>
                <w:p w14:paraId="1D91C05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6AC9FA77">
                  <w:pPr>
                    <w:jc w:val="center"/>
                    <w:rPr>
                      <w:rFonts w:hint="default" w:ascii="Times New Roman" w:hAnsi="Times New Roman" w:eastAsia="宋体" w:cs="Times New Roman"/>
                      <w:color w:val="auto"/>
                      <w:kern w:val="0"/>
                      <w:sz w:val="21"/>
                      <w:szCs w:val="21"/>
                    </w:rPr>
                  </w:pPr>
                </w:p>
              </w:tc>
            </w:tr>
            <w:tr w14:paraId="0741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9" w:type="dxa"/>
                  <w:noWrap w:val="0"/>
                  <w:vAlign w:val="center"/>
                </w:tcPr>
                <w:p w14:paraId="190D497D">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5</w:t>
                  </w:r>
                </w:p>
              </w:tc>
              <w:tc>
                <w:tcPr>
                  <w:tcW w:w="1763" w:type="dxa"/>
                  <w:noWrap w:val="0"/>
                  <w:vAlign w:val="center"/>
                </w:tcPr>
                <w:p w14:paraId="7E1C176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烘房上平面输送机01</w:t>
                  </w:r>
                </w:p>
              </w:tc>
              <w:tc>
                <w:tcPr>
                  <w:tcW w:w="2730" w:type="dxa"/>
                  <w:noWrap w:val="0"/>
                  <w:vAlign w:val="center"/>
                </w:tcPr>
                <w:p w14:paraId="6C64117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总长11700*510*280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PP塑料链板</w:t>
                  </w:r>
                </w:p>
              </w:tc>
              <w:tc>
                <w:tcPr>
                  <w:tcW w:w="1005" w:type="dxa"/>
                  <w:noWrap w:val="0"/>
                  <w:vAlign w:val="center"/>
                </w:tcPr>
                <w:p w14:paraId="4B45C00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64AAAEC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48944CC8">
                  <w:pPr>
                    <w:jc w:val="center"/>
                    <w:rPr>
                      <w:rFonts w:hint="default" w:ascii="Times New Roman" w:hAnsi="Times New Roman" w:eastAsia="宋体" w:cs="Times New Roman"/>
                      <w:color w:val="auto"/>
                      <w:kern w:val="0"/>
                      <w:sz w:val="21"/>
                      <w:szCs w:val="21"/>
                    </w:rPr>
                  </w:pPr>
                </w:p>
              </w:tc>
            </w:tr>
            <w:tr w14:paraId="65F9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9" w:type="dxa"/>
                  <w:noWrap w:val="0"/>
                  <w:vAlign w:val="center"/>
                </w:tcPr>
                <w:p w14:paraId="7E1175E1">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w:t>
                  </w:r>
                </w:p>
              </w:tc>
              <w:tc>
                <w:tcPr>
                  <w:tcW w:w="1763" w:type="dxa"/>
                  <w:noWrap w:val="0"/>
                  <w:vAlign w:val="center"/>
                </w:tcPr>
                <w:p w14:paraId="1B58224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烘房上平面输送机02</w:t>
                  </w:r>
                </w:p>
              </w:tc>
              <w:tc>
                <w:tcPr>
                  <w:tcW w:w="2730" w:type="dxa"/>
                  <w:noWrap w:val="0"/>
                  <w:vAlign w:val="center"/>
                </w:tcPr>
                <w:p w14:paraId="00618F3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总长7200*510*280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PP塑料链板</w:t>
                  </w:r>
                </w:p>
              </w:tc>
              <w:tc>
                <w:tcPr>
                  <w:tcW w:w="1005" w:type="dxa"/>
                  <w:noWrap w:val="0"/>
                  <w:vAlign w:val="center"/>
                </w:tcPr>
                <w:p w14:paraId="2F79381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0F2EEAD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385F470D">
                  <w:pPr>
                    <w:jc w:val="center"/>
                    <w:rPr>
                      <w:rFonts w:hint="default" w:ascii="Times New Roman" w:hAnsi="Times New Roman" w:eastAsia="宋体" w:cs="Times New Roman"/>
                      <w:color w:val="auto"/>
                      <w:kern w:val="0"/>
                      <w:sz w:val="21"/>
                      <w:szCs w:val="21"/>
                    </w:rPr>
                  </w:pPr>
                </w:p>
              </w:tc>
            </w:tr>
            <w:tr w14:paraId="620A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89" w:type="dxa"/>
                  <w:noWrap w:val="0"/>
                  <w:vAlign w:val="center"/>
                </w:tcPr>
                <w:p w14:paraId="0A75CB64">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w:t>
                  </w:r>
                </w:p>
              </w:tc>
              <w:tc>
                <w:tcPr>
                  <w:tcW w:w="1763" w:type="dxa"/>
                  <w:noWrap w:val="0"/>
                  <w:vAlign w:val="center"/>
                </w:tcPr>
                <w:p w14:paraId="7B2987C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烘房上平面输送机03</w:t>
                  </w:r>
                </w:p>
              </w:tc>
              <w:tc>
                <w:tcPr>
                  <w:tcW w:w="2730" w:type="dxa"/>
                  <w:noWrap w:val="0"/>
                  <w:vAlign w:val="center"/>
                </w:tcPr>
                <w:p w14:paraId="6C9AB90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总长11200*510*280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PP塑料链板</w:t>
                  </w:r>
                </w:p>
              </w:tc>
              <w:tc>
                <w:tcPr>
                  <w:tcW w:w="1005" w:type="dxa"/>
                  <w:noWrap w:val="0"/>
                  <w:vAlign w:val="center"/>
                </w:tcPr>
                <w:p w14:paraId="4F2DB7D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6E85A41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184CDC81">
                  <w:pPr>
                    <w:jc w:val="center"/>
                    <w:rPr>
                      <w:rFonts w:hint="default" w:ascii="Times New Roman" w:hAnsi="Times New Roman" w:eastAsia="宋体" w:cs="Times New Roman"/>
                      <w:color w:val="auto"/>
                      <w:kern w:val="0"/>
                      <w:sz w:val="21"/>
                      <w:szCs w:val="21"/>
                    </w:rPr>
                  </w:pPr>
                </w:p>
              </w:tc>
            </w:tr>
            <w:tr w14:paraId="50EC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89" w:type="dxa"/>
                  <w:noWrap w:val="0"/>
                  <w:vAlign w:val="center"/>
                </w:tcPr>
                <w:p w14:paraId="0C933729">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18</w:t>
                  </w:r>
                </w:p>
              </w:tc>
              <w:tc>
                <w:tcPr>
                  <w:tcW w:w="1763" w:type="dxa"/>
                  <w:noWrap w:val="0"/>
                  <w:vAlign w:val="center"/>
                </w:tcPr>
                <w:p w14:paraId="248CF33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烘房下平面输送机</w:t>
                  </w:r>
                </w:p>
              </w:tc>
              <w:tc>
                <w:tcPr>
                  <w:tcW w:w="2730" w:type="dxa"/>
                  <w:noWrap w:val="0"/>
                  <w:vAlign w:val="center"/>
                </w:tcPr>
                <w:p w14:paraId="20D29D0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总长12000*610*280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PVC食品级白色皮带</w:t>
                  </w:r>
                </w:p>
              </w:tc>
              <w:tc>
                <w:tcPr>
                  <w:tcW w:w="1005" w:type="dxa"/>
                  <w:noWrap w:val="0"/>
                  <w:vAlign w:val="center"/>
                </w:tcPr>
                <w:p w14:paraId="4347BAC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266521E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666ACCCB">
                  <w:pPr>
                    <w:jc w:val="center"/>
                    <w:rPr>
                      <w:rFonts w:hint="default" w:ascii="Times New Roman" w:hAnsi="Times New Roman" w:eastAsia="宋体" w:cs="Times New Roman"/>
                      <w:color w:val="auto"/>
                      <w:kern w:val="0"/>
                      <w:sz w:val="21"/>
                      <w:szCs w:val="21"/>
                      <w:lang w:val="en-US" w:eastAsia="zh-CN"/>
                    </w:rPr>
                  </w:pPr>
                </w:p>
              </w:tc>
            </w:tr>
            <w:tr w14:paraId="7C03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89" w:type="dxa"/>
                  <w:noWrap w:val="0"/>
                  <w:vAlign w:val="center"/>
                </w:tcPr>
                <w:p w14:paraId="7385C7AB">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19</w:t>
                  </w:r>
                </w:p>
              </w:tc>
              <w:tc>
                <w:tcPr>
                  <w:tcW w:w="1763" w:type="dxa"/>
                  <w:noWrap w:val="0"/>
                  <w:vAlign w:val="center"/>
                </w:tcPr>
                <w:p w14:paraId="4D47BBE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检测输送机</w:t>
                  </w:r>
                </w:p>
              </w:tc>
              <w:tc>
                <w:tcPr>
                  <w:tcW w:w="2730" w:type="dxa"/>
                  <w:noWrap w:val="0"/>
                  <w:vAlign w:val="center"/>
                </w:tcPr>
                <w:p w14:paraId="0E2CC13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总长3000*610*280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PVC食品级白色皮带</w:t>
                  </w:r>
                </w:p>
              </w:tc>
              <w:tc>
                <w:tcPr>
                  <w:tcW w:w="1005" w:type="dxa"/>
                  <w:noWrap w:val="0"/>
                  <w:vAlign w:val="center"/>
                </w:tcPr>
                <w:p w14:paraId="0F9D730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240930A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51F6D8B7">
                  <w:pPr>
                    <w:jc w:val="center"/>
                    <w:rPr>
                      <w:rFonts w:hint="default" w:ascii="Times New Roman" w:hAnsi="Times New Roman" w:eastAsia="宋体" w:cs="Times New Roman"/>
                      <w:color w:val="auto"/>
                      <w:kern w:val="0"/>
                      <w:sz w:val="21"/>
                      <w:szCs w:val="21"/>
                      <w:lang w:val="en-US" w:eastAsia="zh-CN"/>
                    </w:rPr>
                  </w:pPr>
                </w:p>
              </w:tc>
            </w:tr>
            <w:tr w14:paraId="15AD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89" w:type="dxa"/>
                  <w:noWrap w:val="0"/>
                  <w:vAlign w:val="center"/>
                </w:tcPr>
                <w:p w14:paraId="763DC8ED">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20</w:t>
                  </w:r>
                </w:p>
              </w:tc>
              <w:tc>
                <w:tcPr>
                  <w:tcW w:w="1763" w:type="dxa"/>
                  <w:noWrap w:val="0"/>
                  <w:vAlign w:val="center"/>
                </w:tcPr>
                <w:p w14:paraId="1B9AC2B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检测提升机</w:t>
                  </w:r>
                </w:p>
              </w:tc>
              <w:tc>
                <w:tcPr>
                  <w:tcW w:w="2730" w:type="dxa"/>
                  <w:noWrap w:val="0"/>
                  <w:vAlign w:val="center"/>
                </w:tcPr>
                <w:p w14:paraId="13AAF28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总长3000*710*2000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白色PP塑料链板</w:t>
                  </w:r>
                </w:p>
              </w:tc>
              <w:tc>
                <w:tcPr>
                  <w:tcW w:w="1005" w:type="dxa"/>
                  <w:noWrap w:val="0"/>
                  <w:vAlign w:val="center"/>
                </w:tcPr>
                <w:p w14:paraId="0263768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748D4CC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5D8A1A67">
                  <w:pPr>
                    <w:jc w:val="center"/>
                    <w:rPr>
                      <w:rFonts w:hint="default" w:ascii="Times New Roman" w:hAnsi="Times New Roman" w:eastAsia="宋体" w:cs="Times New Roman"/>
                      <w:color w:val="auto"/>
                      <w:kern w:val="0"/>
                      <w:sz w:val="21"/>
                      <w:szCs w:val="21"/>
                    </w:rPr>
                  </w:pPr>
                </w:p>
              </w:tc>
            </w:tr>
            <w:tr w14:paraId="06FE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89" w:type="dxa"/>
                  <w:noWrap w:val="0"/>
                  <w:vAlign w:val="center"/>
                </w:tcPr>
                <w:p w14:paraId="34DF02B8">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lang w:val="en-US" w:eastAsia="zh-CN"/>
                    </w:rPr>
                    <w:t>1</w:t>
                  </w:r>
                </w:p>
              </w:tc>
              <w:tc>
                <w:tcPr>
                  <w:tcW w:w="1763" w:type="dxa"/>
                  <w:noWrap w:val="0"/>
                  <w:vAlign w:val="center"/>
                </w:tcPr>
                <w:p w14:paraId="4D6B4D1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X光检测机</w:t>
                  </w:r>
                </w:p>
              </w:tc>
              <w:tc>
                <w:tcPr>
                  <w:tcW w:w="2730" w:type="dxa"/>
                  <w:noWrap w:val="0"/>
                  <w:vAlign w:val="center"/>
                </w:tcPr>
                <w:p w14:paraId="5BFDF4D6">
                  <w:pPr>
                    <w:jc w:val="center"/>
                    <w:rPr>
                      <w:rFonts w:hint="default" w:ascii="Times New Roman" w:hAnsi="Times New Roman" w:eastAsia="宋体" w:cs="Times New Roman"/>
                      <w:color w:val="auto"/>
                      <w:kern w:val="0"/>
                      <w:sz w:val="21"/>
                      <w:szCs w:val="21"/>
                    </w:rPr>
                  </w:pPr>
                </w:p>
              </w:tc>
              <w:tc>
                <w:tcPr>
                  <w:tcW w:w="1005" w:type="dxa"/>
                  <w:noWrap w:val="0"/>
                  <w:vAlign w:val="center"/>
                </w:tcPr>
                <w:p w14:paraId="452D81DD">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1170" w:type="dxa"/>
                  <w:noWrap w:val="0"/>
                  <w:vAlign w:val="center"/>
                </w:tcPr>
                <w:p w14:paraId="30BBF59E">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350" w:type="dxa"/>
                  <w:noWrap w:val="0"/>
                  <w:vAlign w:val="center"/>
                </w:tcPr>
                <w:p w14:paraId="1DCE1CEE">
                  <w:pPr>
                    <w:jc w:val="center"/>
                    <w:rPr>
                      <w:rFonts w:hint="default" w:ascii="Times New Roman" w:hAnsi="Times New Roman" w:eastAsia="宋体" w:cs="Times New Roman"/>
                      <w:color w:val="auto"/>
                      <w:kern w:val="0"/>
                      <w:sz w:val="21"/>
                      <w:szCs w:val="21"/>
                      <w:lang w:val="en-US" w:eastAsia="zh-CN"/>
                    </w:rPr>
                  </w:pPr>
                </w:p>
              </w:tc>
            </w:tr>
            <w:tr w14:paraId="6EE3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89" w:type="dxa"/>
                  <w:noWrap w:val="0"/>
                  <w:vAlign w:val="center"/>
                </w:tcPr>
                <w:p w14:paraId="06329116">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lang w:val="en-US" w:eastAsia="zh-CN"/>
                    </w:rPr>
                    <w:t>2</w:t>
                  </w:r>
                </w:p>
              </w:tc>
              <w:tc>
                <w:tcPr>
                  <w:tcW w:w="1763" w:type="dxa"/>
                  <w:noWrap w:val="0"/>
                  <w:vAlign w:val="center"/>
                </w:tcPr>
                <w:p w14:paraId="48BF160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分级提升机</w:t>
                  </w:r>
                </w:p>
              </w:tc>
              <w:tc>
                <w:tcPr>
                  <w:tcW w:w="2730" w:type="dxa"/>
                  <w:noWrap w:val="0"/>
                  <w:vAlign w:val="center"/>
                </w:tcPr>
                <w:p w14:paraId="714B4D3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总长5700*710*2000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白色PP塑料链板</w:t>
                  </w:r>
                </w:p>
              </w:tc>
              <w:tc>
                <w:tcPr>
                  <w:tcW w:w="1005" w:type="dxa"/>
                  <w:noWrap w:val="0"/>
                  <w:vAlign w:val="center"/>
                </w:tcPr>
                <w:p w14:paraId="6E5402C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3A75AC6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123A623E">
                  <w:pPr>
                    <w:jc w:val="center"/>
                    <w:rPr>
                      <w:rFonts w:hint="default" w:ascii="Times New Roman" w:hAnsi="Times New Roman" w:eastAsia="宋体" w:cs="Times New Roman"/>
                      <w:color w:val="auto"/>
                      <w:kern w:val="0"/>
                      <w:sz w:val="21"/>
                      <w:szCs w:val="21"/>
                      <w:lang w:val="en-US" w:eastAsia="zh-CN"/>
                    </w:rPr>
                  </w:pPr>
                </w:p>
              </w:tc>
            </w:tr>
            <w:tr w14:paraId="6C3A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9" w:type="dxa"/>
                  <w:noWrap w:val="0"/>
                  <w:vAlign w:val="center"/>
                </w:tcPr>
                <w:p w14:paraId="341702B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lang w:val="en-US" w:eastAsia="zh-CN"/>
                    </w:rPr>
                    <w:t>3</w:t>
                  </w:r>
                </w:p>
              </w:tc>
              <w:tc>
                <w:tcPr>
                  <w:tcW w:w="1763" w:type="dxa"/>
                  <w:noWrap w:val="0"/>
                  <w:vAlign w:val="center"/>
                </w:tcPr>
                <w:p w14:paraId="2AF0616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干果精准分级筛</w:t>
                  </w:r>
                </w:p>
              </w:tc>
              <w:tc>
                <w:tcPr>
                  <w:tcW w:w="2730" w:type="dxa"/>
                  <w:noWrap w:val="0"/>
                  <w:vAlign w:val="center"/>
                </w:tcPr>
                <w:p w14:paraId="09C4135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滚筒直径970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外形尺寸6500*1300*1700</w:t>
                  </w:r>
                </w:p>
              </w:tc>
              <w:tc>
                <w:tcPr>
                  <w:tcW w:w="1005" w:type="dxa"/>
                  <w:noWrap w:val="0"/>
                  <w:vAlign w:val="center"/>
                </w:tcPr>
                <w:p w14:paraId="05A5D91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noWrap w:val="0"/>
                  <w:vAlign w:val="center"/>
                </w:tcPr>
                <w:p w14:paraId="59CDE3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noWrap w:val="0"/>
                  <w:vAlign w:val="center"/>
                </w:tcPr>
                <w:p w14:paraId="300A8AC7">
                  <w:pPr>
                    <w:jc w:val="center"/>
                    <w:rPr>
                      <w:rFonts w:hint="default" w:ascii="Times New Roman" w:hAnsi="Times New Roman" w:eastAsia="宋体" w:cs="Times New Roman"/>
                      <w:color w:val="auto"/>
                      <w:kern w:val="0"/>
                      <w:sz w:val="21"/>
                      <w:szCs w:val="21"/>
                    </w:rPr>
                  </w:pPr>
                </w:p>
              </w:tc>
            </w:tr>
            <w:tr w14:paraId="5C96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526124A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lang w:val="en-US" w:eastAsia="zh-CN"/>
                    </w:rPr>
                    <w:t>4</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4408E77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筛分暂存仓</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0FCFC4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7000*3000*3000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分等级暂存</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DA5775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个</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372C73F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42C1168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总容积40m³</w:t>
                  </w:r>
                </w:p>
              </w:tc>
            </w:tr>
            <w:tr w14:paraId="1130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2E32A4D7">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lang w:val="en-US" w:eastAsia="zh-CN"/>
                    </w:rPr>
                    <w:t>5</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77AF6E5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暂存下平面输送机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59FBDE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总长7200*610*280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PVC食品级白色皮带</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3A47A9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03AF27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11AF1C7">
                  <w:pPr>
                    <w:jc w:val="center"/>
                    <w:rPr>
                      <w:rFonts w:hint="default" w:ascii="Times New Roman" w:hAnsi="Times New Roman" w:eastAsia="宋体" w:cs="Times New Roman"/>
                      <w:color w:val="auto"/>
                      <w:kern w:val="0"/>
                      <w:sz w:val="21"/>
                      <w:szCs w:val="21"/>
                    </w:rPr>
                  </w:pPr>
                </w:p>
              </w:tc>
            </w:tr>
            <w:tr w14:paraId="1666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7F3E9494">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26</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7E42FE7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打包提升机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26B50B3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总长5400*710*2000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白色PP塑料链板</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C15659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3937515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32C99D6">
                  <w:pPr>
                    <w:jc w:val="center"/>
                    <w:rPr>
                      <w:rFonts w:hint="default" w:ascii="Times New Roman" w:hAnsi="Times New Roman" w:eastAsia="宋体" w:cs="Times New Roman"/>
                      <w:color w:val="auto"/>
                      <w:sz w:val="21"/>
                      <w:szCs w:val="21"/>
                      <w:lang w:val="en-US" w:eastAsia="zh-CN"/>
                    </w:rPr>
                  </w:pPr>
                </w:p>
              </w:tc>
            </w:tr>
            <w:tr w14:paraId="14B1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1F4F56A4">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1A86E71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壳果电子打包称</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13CFCC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3000*1500*3500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C9D393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808CD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6DCBD226">
                  <w:pPr>
                    <w:jc w:val="center"/>
                    <w:rPr>
                      <w:rFonts w:hint="default" w:ascii="Times New Roman" w:hAnsi="Times New Roman" w:eastAsia="宋体" w:cs="Times New Roman"/>
                      <w:color w:val="auto"/>
                      <w:sz w:val="21"/>
                      <w:szCs w:val="21"/>
                      <w:lang w:val="en-US" w:eastAsia="zh-CN"/>
                    </w:rPr>
                  </w:pPr>
                </w:p>
              </w:tc>
            </w:tr>
            <w:tr w14:paraId="3B89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2BC72FF5">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28</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745B9C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控制柜</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BABB8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1000*500*1200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（不锈钢机箱）</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C2ED9A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个</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396C65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CA8F0C2">
                  <w:pPr>
                    <w:jc w:val="center"/>
                    <w:rPr>
                      <w:rFonts w:hint="default" w:ascii="Times New Roman" w:hAnsi="Times New Roman" w:eastAsia="宋体" w:cs="Times New Roman"/>
                      <w:color w:val="auto"/>
                      <w:sz w:val="21"/>
                      <w:szCs w:val="21"/>
                      <w:lang w:val="en-US" w:eastAsia="zh-CN"/>
                    </w:rPr>
                  </w:pPr>
                </w:p>
              </w:tc>
            </w:tr>
            <w:tr w14:paraId="7D98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0C73E8E7">
                  <w:pPr>
                    <w:widowControl/>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二</w:t>
                  </w:r>
                </w:p>
              </w:tc>
              <w:tc>
                <w:tcPr>
                  <w:tcW w:w="8018" w:type="dxa"/>
                  <w:gridSpan w:val="5"/>
                  <w:tcBorders>
                    <w:top w:val="single" w:color="auto" w:sz="4" w:space="0"/>
                    <w:left w:val="single" w:color="auto" w:sz="4" w:space="0"/>
                    <w:bottom w:val="single" w:color="auto" w:sz="4" w:space="0"/>
                    <w:right w:val="single" w:color="auto" w:sz="4" w:space="0"/>
                  </w:tcBorders>
                  <w:noWrap w:val="0"/>
                  <w:vAlign w:val="center"/>
                </w:tcPr>
                <w:p w14:paraId="38743962">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开口取仁生产线设备清单</w:t>
                  </w:r>
                </w:p>
              </w:tc>
            </w:tr>
            <w:tr w14:paraId="78BD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77848958">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5FC6F5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粉筛提升机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11D201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3200*640*2200PVC  </w:t>
                  </w:r>
                </w:p>
                <w:p w14:paraId="0522A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 食品级皮带</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2C298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A5240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D61A1A9">
                  <w:pPr>
                    <w:jc w:val="center"/>
                    <w:rPr>
                      <w:rFonts w:hint="default" w:ascii="Times New Roman" w:hAnsi="Times New Roman" w:eastAsia="宋体" w:cs="Times New Roman"/>
                      <w:color w:val="auto"/>
                      <w:sz w:val="21"/>
                      <w:szCs w:val="21"/>
                      <w:lang w:val="en-US" w:eastAsia="zh-CN"/>
                    </w:rPr>
                  </w:pPr>
                </w:p>
              </w:tc>
            </w:tr>
            <w:tr w14:paraId="1038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58D06E0C">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42CDD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滚筒式粉尘筛</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12C97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3300*800*1700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2BF0F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6C3B2B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B670CFB">
                  <w:pPr>
                    <w:jc w:val="center"/>
                    <w:rPr>
                      <w:rFonts w:hint="default" w:ascii="Times New Roman" w:hAnsi="Times New Roman" w:eastAsia="宋体" w:cs="Times New Roman"/>
                      <w:color w:val="auto"/>
                      <w:sz w:val="21"/>
                      <w:szCs w:val="21"/>
                      <w:lang w:val="en-US" w:eastAsia="zh-CN"/>
                    </w:rPr>
                  </w:pPr>
                </w:p>
              </w:tc>
            </w:tr>
            <w:tr w14:paraId="71EE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3DA98A97">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02DD86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杀青提升机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33C366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4600*640*3300PVC   </w:t>
                  </w:r>
                </w:p>
                <w:p w14:paraId="3F43AB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食品级皮带</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1EBC6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5EB809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C4ADEC9">
                  <w:pPr>
                    <w:jc w:val="center"/>
                    <w:rPr>
                      <w:rFonts w:hint="default" w:ascii="Times New Roman" w:hAnsi="Times New Roman" w:eastAsia="宋体" w:cs="Times New Roman"/>
                      <w:color w:val="auto"/>
                      <w:sz w:val="21"/>
                      <w:szCs w:val="21"/>
                      <w:lang w:val="en-US" w:eastAsia="zh-CN"/>
                    </w:rPr>
                  </w:pPr>
                </w:p>
              </w:tc>
            </w:tr>
            <w:tr w14:paraId="2856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1C4B12F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6772B7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杀青烘干箱</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36DCFE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2700*2200*2440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F83D6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52E77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05EB6E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单次2吨</w:t>
                  </w:r>
                </w:p>
              </w:tc>
            </w:tr>
            <w:tr w14:paraId="57A6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7EC07AC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24A813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滚筒入味机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9EBC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3500*860*1100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52E8F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C7D7D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1C2840FD">
                  <w:pPr>
                    <w:jc w:val="center"/>
                    <w:rPr>
                      <w:rFonts w:hint="default" w:ascii="Times New Roman" w:hAnsi="Times New Roman" w:eastAsia="宋体" w:cs="Times New Roman"/>
                      <w:color w:val="auto"/>
                      <w:sz w:val="21"/>
                      <w:szCs w:val="21"/>
                      <w:lang w:val="en-US" w:eastAsia="zh-CN"/>
                    </w:rPr>
                  </w:pPr>
                </w:p>
              </w:tc>
            </w:tr>
            <w:tr w14:paraId="56EF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19BA35F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5D3574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震动脱水筛</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140F97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1200*600*1800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6184A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6A7B9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C7E80AE">
                  <w:pPr>
                    <w:jc w:val="center"/>
                    <w:rPr>
                      <w:rFonts w:hint="default" w:ascii="Times New Roman" w:hAnsi="Times New Roman" w:eastAsia="宋体" w:cs="Times New Roman"/>
                      <w:color w:val="auto"/>
                      <w:sz w:val="21"/>
                      <w:szCs w:val="21"/>
                      <w:lang w:val="en-US" w:eastAsia="zh-CN"/>
                    </w:rPr>
                  </w:pPr>
                </w:p>
              </w:tc>
            </w:tr>
            <w:tr w14:paraId="7E2A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4D5258F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6293D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烘干提升机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F6F86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4600*660*3300     </w:t>
                  </w:r>
                </w:p>
                <w:p w14:paraId="55DAD5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304不锈钢链板</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AF394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58DB96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524BF8F">
                  <w:pPr>
                    <w:jc w:val="center"/>
                    <w:rPr>
                      <w:rFonts w:hint="default" w:ascii="Times New Roman" w:hAnsi="Times New Roman" w:eastAsia="宋体" w:cs="Times New Roman"/>
                      <w:color w:val="auto"/>
                      <w:sz w:val="21"/>
                      <w:szCs w:val="21"/>
                      <w:lang w:val="en-US" w:eastAsia="zh-CN"/>
                    </w:rPr>
                  </w:pPr>
                </w:p>
              </w:tc>
            </w:tr>
            <w:tr w14:paraId="0426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0496487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0E5FD9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高温烘干箱        （容量2吨）</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A14BD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2700*2200*2440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47BAB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66019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F800D63">
                  <w:pPr>
                    <w:jc w:val="center"/>
                    <w:rPr>
                      <w:rFonts w:hint="default" w:ascii="Times New Roman" w:hAnsi="Times New Roman" w:eastAsia="宋体" w:cs="Times New Roman"/>
                      <w:color w:val="auto"/>
                      <w:sz w:val="21"/>
                      <w:szCs w:val="21"/>
                      <w:lang w:val="en-US" w:eastAsia="zh-CN"/>
                    </w:rPr>
                  </w:pPr>
                </w:p>
              </w:tc>
            </w:tr>
            <w:tr w14:paraId="4D2E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6D12DB6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67527C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坚果开口机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C18A6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1300*900*1100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614D5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FD9BC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EFF212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开口量             1-1.2吨/天</w:t>
                  </w:r>
                </w:p>
              </w:tc>
            </w:tr>
            <w:tr w14:paraId="6A0D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454EF64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0FD07D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坚果取仁机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09F99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1300*900*1100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7FB6B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42E306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22827E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破壳量    1-1.2吨/天</w:t>
                  </w:r>
                </w:p>
              </w:tc>
            </w:tr>
            <w:tr w14:paraId="18D8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6E3938E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7765D6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仁壳人工分拣输送机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7A046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4000*910*750       </w:t>
                  </w:r>
                </w:p>
                <w:p w14:paraId="634BF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白色PVC皮带</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88DF1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40C07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3F3180C1">
                  <w:pPr>
                    <w:jc w:val="center"/>
                    <w:rPr>
                      <w:rFonts w:hint="default" w:ascii="Times New Roman" w:hAnsi="Times New Roman" w:eastAsia="宋体" w:cs="Times New Roman"/>
                      <w:color w:val="auto"/>
                      <w:sz w:val="21"/>
                      <w:szCs w:val="21"/>
                      <w:lang w:val="en-US" w:eastAsia="zh-CN"/>
                    </w:rPr>
                  </w:pPr>
                </w:p>
              </w:tc>
            </w:tr>
            <w:tr w14:paraId="2C6D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006077A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78B120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分拣台</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5A30B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2340*1120*1510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30896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个</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BCA21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D080AA6">
                  <w:pPr>
                    <w:jc w:val="center"/>
                    <w:rPr>
                      <w:rFonts w:hint="default" w:ascii="Times New Roman" w:hAnsi="Times New Roman" w:eastAsia="宋体" w:cs="Times New Roman"/>
                      <w:color w:val="auto"/>
                      <w:sz w:val="21"/>
                      <w:szCs w:val="21"/>
                      <w:lang w:val="en-US" w:eastAsia="zh-CN"/>
                    </w:rPr>
                  </w:pPr>
                </w:p>
              </w:tc>
            </w:tr>
            <w:tr w14:paraId="5CDC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17A985A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6719CA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果仁震动分级筛</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974B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4000*600*1100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24519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0D38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64BBBC29">
                  <w:pPr>
                    <w:jc w:val="center"/>
                    <w:rPr>
                      <w:rFonts w:hint="default" w:ascii="Times New Roman" w:hAnsi="Times New Roman" w:eastAsia="宋体" w:cs="Times New Roman"/>
                      <w:color w:val="auto"/>
                      <w:sz w:val="21"/>
                      <w:szCs w:val="21"/>
                      <w:lang w:val="en-US" w:eastAsia="zh-CN"/>
                    </w:rPr>
                  </w:pPr>
                </w:p>
              </w:tc>
            </w:tr>
            <w:tr w14:paraId="179B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1706B59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13712A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果仁清洗盆</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BDFE3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1500*600*560</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ADADD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个</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3A380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DD2F356">
                  <w:pPr>
                    <w:jc w:val="center"/>
                    <w:rPr>
                      <w:rFonts w:hint="default" w:ascii="Times New Roman" w:hAnsi="Times New Roman" w:eastAsia="宋体" w:cs="Times New Roman"/>
                      <w:color w:val="auto"/>
                      <w:sz w:val="21"/>
                      <w:szCs w:val="21"/>
                      <w:lang w:val="en-US" w:eastAsia="zh-CN"/>
                    </w:rPr>
                  </w:pPr>
                </w:p>
              </w:tc>
            </w:tr>
            <w:tr w14:paraId="46E0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4262BD3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三</w:t>
                  </w:r>
                </w:p>
              </w:tc>
              <w:tc>
                <w:tcPr>
                  <w:tcW w:w="8018" w:type="dxa"/>
                  <w:gridSpan w:val="5"/>
                  <w:tcBorders>
                    <w:top w:val="single" w:color="auto" w:sz="4" w:space="0"/>
                    <w:left w:val="single" w:color="auto" w:sz="4" w:space="0"/>
                    <w:bottom w:val="single" w:color="auto" w:sz="4" w:space="0"/>
                    <w:right w:val="single" w:color="auto" w:sz="4" w:space="0"/>
                  </w:tcBorders>
                  <w:noWrap w:val="0"/>
                  <w:vAlign w:val="center"/>
                </w:tcPr>
                <w:p w14:paraId="7D5D01A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冷库设备</w:t>
                  </w:r>
                </w:p>
              </w:tc>
            </w:tr>
            <w:tr w14:paraId="4BAA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9" w:type="dxa"/>
                  <w:tcBorders>
                    <w:top w:val="single" w:color="auto" w:sz="4" w:space="0"/>
                    <w:left w:val="single" w:color="auto" w:sz="4" w:space="0"/>
                    <w:bottom w:val="single" w:color="auto" w:sz="4" w:space="0"/>
                    <w:right w:val="single" w:color="auto" w:sz="4" w:space="0"/>
                  </w:tcBorders>
                  <w:noWrap w:val="0"/>
                  <w:vAlign w:val="center"/>
                </w:tcPr>
                <w:p w14:paraId="2DA797E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1763" w:type="dxa"/>
                  <w:tcBorders>
                    <w:top w:val="single" w:color="auto" w:sz="4" w:space="0"/>
                    <w:left w:val="single" w:color="auto" w:sz="4" w:space="0"/>
                    <w:bottom w:val="single" w:color="auto" w:sz="4" w:space="0"/>
                    <w:right w:val="single" w:color="auto" w:sz="4" w:space="0"/>
                  </w:tcBorders>
                  <w:noWrap w:val="0"/>
                  <w:vAlign w:val="center"/>
                </w:tcPr>
                <w:p w14:paraId="713355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制冷机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22BD9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D7E63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台</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04F25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DC95524">
                  <w:pPr>
                    <w:jc w:val="center"/>
                    <w:rPr>
                      <w:rFonts w:hint="default" w:ascii="Times New Roman" w:hAnsi="Times New Roman" w:eastAsia="宋体" w:cs="Times New Roman"/>
                      <w:color w:val="auto"/>
                      <w:sz w:val="21"/>
                      <w:szCs w:val="21"/>
                      <w:lang w:val="en-US" w:eastAsia="zh-CN"/>
                    </w:rPr>
                  </w:pPr>
                </w:p>
              </w:tc>
            </w:tr>
          </w:tbl>
          <w:p w14:paraId="4842D4A9">
            <w:pPr>
              <w:pStyle w:val="5"/>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四、原辅材料及能源消耗</w:t>
            </w:r>
          </w:p>
          <w:p w14:paraId="3F9EE4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rPr>
              <w:t>本项目</w:t>
            </w:r>
            <w:r>
              <w:rPr>
                <w:rFonts w:hint="eastAsia" w:ascii="宋体" w:hAnsi="宋体" w:eastAsia="宋体" w:cs="宋体"/>
                <w:color w:val="auto"/>
                <w:sz w:val="24"/>
                <w:lang w:val="en-US" w:eastAsia="zh-CN"/>
              </w:rPr>
              <w:t>果皮清洗过程不使用清洗剂，</w:t>
            </w:r>
            <w:r>
              <w:rPr>
                <w:rFonts w:hint="eastAsia" w:ascii="宋体" w:hAnsi="宋体" w:eastAsia="宋体" w:cs="宋体"/>
                <w:color w:val="auto"/>
                <w:sz w:val="24"/>
              </w:rPr>
              <w:t>主要原料、辅助材料、能耗及来源见表</w:t>
            </w:r>
            <w:r>
              <w:rPr>
                <w:rFonts w:hint="default" w:ascii="Times New Roman" w:hAnsi="Times New Roman" w:eastAsia="宋体" w:cs="Times New Roman"/>
                <w:color w:val="auto"/>
                <w:sz w:val="24"/>
                <w:lang w:val="en-US" w:eastAsia="zh-CN"/>
              </w:rPr>
              <w:t>2</w:t>
            </w:r>
            <w:r>
              <w:rPr>
                <w:rFonts w:hint="eastAsia" w:ascii="宋体" w:hAnsi="宋体" w:eastAsia="宋体" w:cs="宋体"/>
                <w:color w:val="auto"/>
                <w:sz w:val="24"/>
              </w:rPr>
              <w:t>-</w:t>
            </w:r>
            <w:r>
              <w:rPr>
                <w:rFonts w:hint="eastAsia" w:ascii="Times New Roman" w:hAnsi="Times New Roman" w:eastAsia="宋体" w:cs="Times New Roman"/>
                <w:color w:val="auto"/>
                <w:sz w:val="24"/>
                <w:lang w:val="en-US" w:eastAsia="zh-CN"/>
              </w:rPr>
              <w:t>4</w:t>
            </w:r>
            <w:r>
              <w:rPr>
                <w:rFonts w:hint="eastAsia" w:ascii="宋体" w:hAnsi="宋体" w:eastAsia="宋体" w:cs="宋体"/>
                <w:color w:val="auto"/>
                <w:sz w:val="24"/>
                <w:lang w:val="en-US" w:eastAsia="zh-CN"/>
              </w:rPr>
              <w:t>。</w:t>
            </w:r>
          </w:p>
          <w:p w14:paraId="34AA284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color w:val="auto"/>
              </w:rPr>
            </w:pPr>
            <w:r>
              <w:rPr>
                <w:rFonts w:hint="eastAsia" w:ascii="宋体" w:hAnsi="宋体" w:eastAsia="宋体" w:cs="宋体"/>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宋体" w:hAnsi="宋体" w:eastAsia="宋体" w:cs="宋体"/>
                <w:b/>
                <w:color w:val="auto"/>
                <w:sz w:val="24"/>
                <w:szCs w:val="24"/>
              </w:rPr>
              <w:t>-</w:t>
            </w:r>
            <w:r>
              <w:rPr>
                <w:rFonts w:hint="eastAsia" w:ascii="Times New Roman" w:hAnsi="Times New Roman" w:eastAsia="宋体" w:cs="Times New Roman"/>
                <w:b/>
                <w:color w:val="auto"/>
                <w:sz w:val="24"/>
                <w:szCs w:val="24"/>
                <w:lang w:val="en-US" w:eastAsia="zh-CN"/>
              </w:rPr>
              <w:t>4</w:t>
            </w:r>
            <w:r>
              <w:rPr>
                <w:rFonts w:hint="eastAsia" w:ascii="宋体" w:hAnsi="宋体" w:eastAsia="宋体" w:cs="宋体"/>
                <w:b/>
                <w:color w:val="auto"/>
                <w:sz w:val="24"/>
                <w:szCs w:val="24"/>
              </w:rPr>
              <w:t xml:space="preserve">  项目</w:t>
            </w:r>
            <w:r>
              <w:rPr>
                <w:rFonts w:hint="eastAsia" w:ascii="宋体" w:hAnsi="宋体" w:eastAsia="宋体" w:cs="宋体"/>
                <w:b/>
                <w:color w:val="auto"/>
                <w:sz w:val="24"/>
                <w:szCs w:val="24"/>
                <w:lang w:eastAsia="zh-CN"/>
              </w:rPr>
              <w:t>主要</w:t>
            </w:r>
            <w:r>
              <w:rPr>
                <w:rFonts w:hint="eastAsia" w:ascii="宋体" w:hAnsi="宋体" w:eastAsia="宋体" w:cs="宋体"/>
                <w:b/>
                <w:color w:val="auto"/>
                <w:sz w:val="24"/>
                <w:szCs w:val="24"/>
              </w:rPr>
              <w:t>原辅材料及能源消耗一览表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58"/>
              <w:gridCol w:w="1374"/>
              <w:gridCol w:w="1108"/>
              <w:gridCol w:w="1355"/>
              <w:gridCol w:w="1559"/>
              <w:gridCol w:w="1701"/>
            </w:tblGrid>
            <w:tr w14:paraId="10FF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46FF9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691" w:type="pct"/>
                  <w:noWrap w:val="0"/>
                  <w:vAlign w:val="center"/>
                </w:tcPr>
                <w:p w14:paraId="4CC8F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原料名称</w:t>
                  </w:r>
                </w:p>
              </w:tc>
              <w:tc>
                <w:tcPr>
                  <w:tcW w:w="755" w:type="pct"/>
                  <w:noWrap w:val="0"/>
                  <w:vAlign w:val="center"/>
                </w:tcPr>
                <w:p w14:paraId="53B50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消耗量</w:t>
                  </w:r>
                </w:p>
              </w:tc>
              <w:tc>
                <w:tcPr>
                  <w:tcW w:w="608" w:type="pct"/>
                  <w:noWrap w:val="0"/>
                  <w:vAlign w:val="center"/>
                </w:tcPr>
                <w:p w14:paraId="7D6DC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最大贮存量</w:t>
                  </w:r>
                </w:p>
              </w:tc>
              <w:tc>
                <w:tcPr>
                  <w:tcW w:w="744" w:type="pct"/>
                  <w:noWrap w:val="0"/>
                  <w:vAlign w:val="center"/>
                </w:tcPr>
                <w:p w14:paraId="67AC81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c>
                <w:tcPr>
                  <w:tcW w:w="857" w:type="pct"/>
                  <w:noWrap w:val="0"/>
                  <w:vAlign w:val="center"/>
                </w:tcPr>
                <w:p w14:paraId="2E2EF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来源</w:t>
                  </w:r>
                </w:p>
              </w:tc>
              <w:tc>
                <w:tcPr>
                  <w:tcW w:w="935" w:type="pct"/>
                  <w:noWrap w:val="0"/>
                  <w:vAlign w:val="center"/>
                </w:tcPr>
                <w:p w14:paraId="17A5B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677F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pct"/>
                  <w:noWrap w:val="0"/>
                  <w:vAlign w:val="center"/>
                </w:tcPr>
                <w:p w14:paraId="1F0B10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91" w:type="pct"/>
                  <w:noWrap w:val="0"/>
                  <w:vAlign w:val="center"/>
                </w:tcPr>
                <w:p w14:paraId="38A21C3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澳洲坚果</w:t>
                  </w:r>
                  <w:r>
                    <w:rPr>
                      <w:rFonts w:hint="eastAsia" w:ascii="Times New Roman" w:hAnsi="Times New Roman" w:eastAsia="宋体" w:cs="Times New Roman"/>
                      <w:color w:val="auto"/>
                      <w:sz w:val="21"/>
                      <w:szCs w:val="21"/>
                      <w:vertAlign w:val="baseline"/>
                      <w:lang w:val="en-US" w:eastAsia="zh-CN"/>
                    </w:rPr>
                    <w:t>青果</w:t>
                  </w:r>
                </w:p>
              </w:tc>
              <w:tc>
                <w:tcPr>
                  <w:tcW w:w="1269" w:type="dxa"/>
                  <w:noWrap w:val="0"/>
                  <w:vAlign w:val="center"/>
                </w:tcPr>
                <w:p w14:paraId="34B185D0">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6600</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3C1CD059">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744" w:type="pct"/>
                  <w:vMerge w:val="restart"/>
                  <w:noWrap w:val="0"/>
                  <w:vAlign w:val="center"/>
                </w:tcPr>
                <w:p w14:paraId="540991FC">
                  <w:pPr>
                    <w:jc w:val="center"/>
                    <w:rPr>
                      <w:rFonts w:hint="default" w:ascii="Times New Roman" w:hAnsi="Times New Roman" w:eastAsia="宋体" w:cs="Times New Roman"/>
                      <w:color w:val="auto"/>
                      <w:sz w:val="21"/>
                      <w:szCs w:val="21"/>
                      <w:lang w:val="en-US" w:eastAsia="zh-CN"/>
                    </w:rPr>
                  </w:pPr>
                  <w:r>
                    <w:rPr>
                      <w:rFonts w:hint="eastAsia" w:eastAsia="宋体"/>
                      <w:color w:val="auto"/>
                      <w:szCs w:val="21"/>
                      <w:lang w:val="en-US" w:eastAsia="zh-CN"/>
                    </w:rPr>
                    <w:t>坚果加工</w:t>
                  </w:r>
                  <w:r>
                    <w:rPr>
                      <w:rFonts w:eastAsia="宋体"/>
                      <w:color w:val="auto"/>
                      <w:szCs w:val="21"/>
                    </w:rPr>
                    <w:t>生产</w:t>
                  </w:r>
                  <w:r>
                    <w:rPr>
                      <w:rFonts w:hint="eastAsia" w:eastAsia="宋体"/>
                      <w:color w:val="auto"/>
                      <w:szCs w:val="21"/>
                      <w:lang w:val="en-US" w:eastAsia="zh-CN"/>
                    </w:rPr>
                    <w:t>车间</w:t>
                  </w:r>
                </w:p>
              </w:tc>
              <w:tc>
                <w:tcPr>
                  <w:tcW w:w="857" w:type="pct"/>
                  <w:vMerge w:val="restart"/>
                  <w:noWrap w:val="0"/>
                  <w:vAlign w:val="center"/>
                </w:tcPr>
                <w:p w14:paraId="60403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附近的农户种植基地收购</w:t>
                  </w:r>
                </w:p>
              </w:tc>
              <w:tc>
                <w:tcPr>
                  <w:tcW w:w="935" w:type="pct"/>
                  <w:noWrap w:val="0"/>
                  <w:vAlign w:val="center"/>
                </w:tcPr>
                <w:p w14:paraId="284C3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A93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noWrap w:val="0"/>
                  <w:vAlign w:val="center"/>
                </w:tcPr>
                <w:p w14:paraId="444E92C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2</w:t>
                  </w:r>
                </w:p>
              </w:tc>
              <w:tc>
                <w:tcPr>
                  <w:tcW w:w="691" w:type="pct"/>
                  <w:noWrap w:val="0"/>
                  <w:vAlign w:val="center"/>
                </w:tcPr>
                <w:p w14:paraId="19207CAD">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澳洲坚果壳果</w:t>
                  </w:r>
                </w:p>
              </w:tc>
              <w:tc>
                <w:tcPr>
                  <w:tcW w:w="1269" w:type="dxa"/>
                  <w:noWrap w:val="0"/>
                  <w:vAlign w:val="center"/>
                </w:tcPr>
                <w:p w14:paraId="3C04FDB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1300</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46C9E60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44" w:type="pct"/>
                  <w:vMerge w:val="continue"/>
                  <w:noWrap w:val="0"/>
                  <w:vAlign w:val="center"/>
                </w:tcPr>
                <w:p w14:paraId="1E27A90C">
                  <w:pPr>
                    <w:jc w:val="center"/>
                    <w:rPr>
                      <w:rFonts w:hint="default" w:ascii="Times New Roman" w:hAnsi="Times New Roman" w:eastAsia="宋体" w:cs="Times New Roman"/>
                      <w:color w:val="auto"/>
                      <w:kern w:val="2"/>
                      <w:sz w:val="21"/>
                      <w:szCs w:val="21"/>
                      <w:lang w:val="en-US" w:eastAsia="zh-CN" w:bidi="ar-SA"/>
                    </w:rPr>
                  </w:pPr>
                </w:p>
              </w:tc>
              <w:tc>
                <w:tcPr>
                  <w:tcW w:w="857" w:type="pct"/>
                  <w:vMerge w:val="continue"/>
                  <w:noWrap w:val="0"/>
                  <w:vAlign w:val="center"/>
                </w:tcPr>
                <w:p w14:paraId="5B1E2F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935" w:type="pct"/>
                  <w:noWrap w:val="0"/>
                  <w:vAlign w:val="center"/>
                </w:tcPr>
                <w:p w14:paraId="3A7B5F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脱皮、烘干后的壳果</w:t>
                  </w:r>
                </w:p>
              </w:tc>
            </w:tr>
            <w:tr w14:paraId="695C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74CB6B44">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691" w:type="pct"/>
                  <w:noWrap w:val="0"/>
                  <w:vAlign w:val="center"/>
                </w:tcPr>
                <w:p w14:paraId="56582EB4">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食用盐</w:t>
                  </w:r>
                </w:p>
              </w:tc>
              <w:tc>
                <w:tcPr>
                  <w:tcW w:w="1269" w:type="dxa"/>
                  <w:noWrap w:val="0"/>
                  <w:vAlign w:val="center"/>
                </w:tcPr>
                <w:p w14:paraId="2BF17A2A">
                  <w:pP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vertAlign w:val="baseline"/>
                      <w:lang w:val="en-US" w:eastAsia="zh-CN"/>
                    </w:rPr>
                    <w:t>0.3</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65EFB4B1">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t</w:t>
                  </w:r>
                </w:p>
              </w:tc>
              <w:tc>
                <w:tcPr>
                  <w:tcW w:w="744" w:type="pct"/>
                  <w:vMerge w:val="continue"/>
                  <w:noWrap w:val="0"/>
                  <w:vAlign w:val="center"/>
                </w:tcPr>
                <w:p w14:paraId="456F6681">
                  <w:pPr>
                    <w:jc w:val="center"/>
                    <w:rPr>
                      <w:rFonts w:hint="default" w:ascii="Times New Roman" w:hAnsi="Times New Roman" w:eastAsia="宋体" w:cs="Times New Roman"/>
                      <w:color w:val="auto"/>
                      <w:sz w:val="21"/>
                      <w:szCs w:val="21"/>
                      <w:lang w:val="en-US" w:eastAsia="zh-CN"/>
                    </w:rPr>
                  </w:pPr>
                </w:p>
              </w:tc>
              <w:tc>
                <w:tcPr>
                  <w:tcW w:w="857" w:type="pct"/>
                  <w:noWrap w:val="0"/>
                  <w:vAlign w:val="center"/>
                </w:tcPr>
                <w:p w14:paraId="3EEE4E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市场</w:t>
                  </w:r>
                  <w:r>
                    <w:rPr>
                      <w:rFonts w:hint="default" w:ascii="Times New Roman" w:hAnsi="Times New Roman" w:eastAsia="宋体" w:cs="Times New Roman"/>
                      <w:color w:val="auto"/>
                      <w:sz w:val="21"/>
                      <w:szCs w:val="21"/>
                      <w:lang w:val="en-US" w:eastAsia="zh-CN"/>
                    </w:rPr>
                    <w:t>外购</w:t>
                  </w:r>
                </w:p>
              </w:tc>
              <w:tc>
                <w:tcPr>
                  <w:tcW w:w="935" w:type="pct"/>
                  <w:noWrap w:val="0"/>
                  <w:vAlign w:val="center"/>
                </w:tcPr>
                <w:p w14:paraId="2408A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69A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4A59F7A9">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691" w:type="pct"/>
                  <w:noWrap w:val="0"/>
                  <w:vAlign w:val="center"/>
                </w:tcPr>
                <w:p w14:paraId="49135A1A">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白砂糖</w:t>
                  </w:r>
                </w:p>
              </w:tc>
              <w:tc>
                <w:tcPr>
                  <w:tcW w:w="1269" w:type="dxa"/>
                  <w:noWrap w:val="0"/>
                  <w:vAlign w:val="center"/>
                </w:tcPr>
                <w:p w14:paraId="4357795E">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2A9584D6">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t</w:t>
                  </w:r>
                </w:p>
              </w:tc>
              <w:tc>
                <w:tcPr>
                  <w:tcW w:w="744" w:type="pct"/>
                  <w:vMerge w:val="continue"/>
                  <w:noWrap w:val="0"/>
                  <w:vAlign w:val="center"/>
                </w:tcPr>
                <w:p w14:paraId="7171CE2D">
                  <w:pPr>
                    <w:jc w:val="center"/>
                    <w:rPr>
                      <w:rFonts w:hint="default" w:ascii="Times New Roman" w:hAnsi="Times New Roman" w:eastAsia="宋体" w:cs="Times New Roman"/>
                      <w:color w:val="auto"/>
                      <w:sz w:val="21"/>
                      <w:szCs w:val="21"/>
                      <w:lang w:val="en-US" w:eastAsia="zh-CN"/>
                    </w:rPr>
                  </w:pPr>
                </w:p>
              </w:tc>
              <w:tc>
                <w:tcPr>
                  <w:tcW w:w="857" w:type="pct"/>
                  <w:noWrap w:val="0"/>
                  <w:vAlign w:val="center"/>
                </w:tcPr>
                <w:p w14:paraId="70636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市场</w:t>
                  </w:r>
                  <w:r>
                    <w:rPr>
                      <w:rFonts w:hint="default" w:ascii="Times New Roman" w:hAnsi="Times New Roman" w:eastAsia="宋体" w:cs="Times New Roman"/>
                      <w:color w:val="auto"/>
                      <w:sz w:val="21"/>
                      <w:szCs w:val="21"/>
                      <w:lang w:val="en-US" w:eastAsia="zh-CN"/>
                    </w:rPr>
                    <w:t>外购</w:t>
                  </w:r>
                </w:p>
              </w:tc>
              <w:tc>
                <w:tcPr>
                  <w:tcW w:w="935" w:type="pct"/>
                  <w:noWrap w:val="0"/>
                  <w:vAlign w:val="center"/>
                </w:tcPr>
                <w:p w14:paraId="360F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3C7D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296FCB7D">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691" w:type="pct"/>
                  <w:noWrap w:val="0"/>
                  <w:vAlign w:val="center"/>
                </w:tcPr>
                <w:p w14:paraId="11668FDF">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味精</w:t>
                  </w:r>
                </w:p>
              </w:tc>
              <w:tc>
                <w:tcPr>
                  <w:tcW w:w="1269" w:type="dxa"/>
                  <w:noWrap w:val="0"/>
                  <w:vAlign w:val="center"/>
                </w:tcPr>
                <w:p w14:paraId="46731828">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5B43A79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w:t>
                  </w:r>
                  <w:r>
                    <w:rPr>
                      <w:rFonts w:hint="default" w:ascii="Times New Roman" w:hAnsi="Times New Roman" w:eastAsia="宋体" w:cs="Times New Roman"/>
                      <w:color w:val="auto"/>
                      <w:sz w:val="21"/>
                      <w:szCs w:val="21"/>
                      <w:vertAlign w:val="baseline"/>
                      <w:lang w:val="en-US" w:eastAsia="zh-CN"/>
                    </w:rPr>
                    <w:t>t</w:t>
                  </w:r>
                </w:p>
              </w:tc>
              <w:tc>
                <w:tcPr>
                  <w:tcW w:w="744" w:type="pct"/>
                  <w:vMerge w:val="continue"/>
                  <w:noWrap w:val="0"/>
                  <w:vAlign w:val="center"/>
                </w:tcPr>
                <w:p w14:paraId="76EA17CB">
                  <w:pPr>
                    <w:jc w:val="center"/>
                    <w:rPr>
                      <w:rFonts w:hint="default" w:ascii="Times New Roman" w:hAnsi="Times New Roman" w:eastAsia="宋体" w:cs="Times New Roman"/>
                      <w:color w:val="auto"/>
                      <w:sz w:val="21"/>
                      <w:szCs w:val="21"/>
                      <w:lang w:val="en-US" w:eastAsia="zh-CN"/>
                    </w:rPr>
                  </w:pPr>
                </w:p>
              </w:tc>
              <w:tc>
                <w:tcPr>
                  <w:tcW w:w="857" w:type="pct"/>
                  <w:noWrap w:val="0"/>
                  <w:vAlign w:val="center"/>
                </w:tcPr>
                <w:p w14:paraId="4445B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市场</w:t>
                  </w:r>
                  <w:r>
                    <w:rPr>
                      <w:rFonts w:hint="default" w:ascii="Times New Roman" w:hAnsi="Times New Roman" w:eastAsia="宋体" w:cs="Times New Roman"/>
                      <w:color w:val="auto"/>
                      <w:sz w:val="21"/>
                      <w:szCs w:val="21"/>
                      <w:lang w:val="en-US" w:eastAsia="zh-CN"/>
                    </w:rPr>
                    <w:t>外购</w:t>
                  </w:r>
                </w:p>
              </w:tc>
              <w:tc>
                <w:tcPr>
                  <w:tcW w:w="935" w:type="pct"/>
                  <w:noWrap w:val="0"/>
                  <w:vAlign w:val="center"/>
                </w:tcPr>
                <w:p w14:paraId="31F7E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AD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2716107E">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691" w:type="pct"/>
                  <w:noWrap w:val="0"/>
                  <w:vAlign w:val="center"/>
                </w:tcPr>
                <w:p w14:paraId="3EBB67EB">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炼乳</w:t>
                  </w:r>
                </w:p>
              </w:tc>
              <w:tc>
                <w:tcPr>
                  <w:tcW w:w="1269" w:type="dxa"/>
                  <w:noWrap w:val="0"/>
                  <w:vAlign w:val="center"/>
                </w:tcPr>
                <w:p w14:paraId="501D39DD">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6796FEB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t</w:t>
                  </w:r>
                </w:p>
              </w:tc>
              <w:tc>
                <w:tcPr>
                  <w:tcW w:w="744" w:type="pct"/>
                  <w:vMerge w:val="continue"/>
                  <w:noWrap w:val="0"/>
                  <w:vAlign w:val="center"/>
                </w:tcPr>
                <w:p w14:paraId="49546867">
                  <w:pPr>
                    <w:jc w:val="center"/>
                    <w:rPr>
                      <w:rFonts w:hint="default" w:ascii="Times New Roman" w:hAnsi="Times New Roman" w:eastAsia="宋体" w:cs="Times New Roman"/>
                      <w:color w:val="auto"/>
                      <w:sz w:val="21"/>
                      <w:szCs w:val="21"/>
                      <w:lang w:val="en-US" w:eastAsia="zh-CN"/>
                    </w:rPr>
                  </w:pPr>
                </w:p>
              </w:tc>
              <w:tc>
                <w:tcPr>
                  <w:tcW w:w="857" w:type="pct"/>
                  <w:noWrap w:val="0"/>
                  <w:vAlign w:val="center"/>
                </w:tcPr>
                <w:p w14:paraId="1F991D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市场</w:t>
                  </w:r>
                  <w:r>
                    <w:rPr>
                      <w:rFonts w:hint="default" w:ascii="Times New Roman" w:hAnsi="Times New Roman" w:eastAsia="宋体" w:cs="Times New Roman"/>
                      <w:color w:val="auto"/>
                      <w:sz w:val="21"/>
                      <w:szCs w:val="21"/>
                      <w:lang w:val="en-US" w:eastAsia="zh-CN"/>
                    </w:rPr>
                    <w:t>外购</w:t>
                  </w:r>
                </w:p>
              </w:tc>
              <w:tc>
                <w:tcPr>
                  <w:tcW w:w="935" w:type="pct"/>
                  <w:noWrap w:val="0"/>
                  <w:vAlign w:val="center"/>
                </w:tcPr>
                <w:p w14:paraId="148EA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8D8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62E8CDF5">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691" w:type="pct"/>
                  <w:noWrap w:val="0"/>
                  <w:vAlign w:val="center"/>
                </w:tcPr>
                <w:p w14:paraId="395ED1B7">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甜蜜素</w:t>
                  </w:r>
                </w:p>
              </w:tc>
              <w:tc>
                <w:tcPr>
                  <w:tcW w:w="1269" w:type="dxa"/>
                  <w:noWrap w:val="0"/>
                  <w:vAlign w:val="center"/>
                </w:tcPr>
                <w:p w14:paraId="586CD25D">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3DDC2EBE">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w:t>
                  </w:r>
                  <w:r>
                    <w:rPr>
                      <w:rFonts w:hint="default" w:ascii="Times New Roman" w:hAnsi="Times New Roman" w:eastAsia="宋体" w:cs="Times New Roman"/>
                      <w:color w:val="auto"/>
                      <w:sz w:val="21"/>
                      <w:szCs w:val="21"/>
                      <w:vertAlign w:val="baseline"/>
                      <w:lang w:val="en-US" w:eastAsia="zh-CN"/>
                    </w:rPr>
                    <w:t>t</w:t>
                  </w:r>
                </w:p>
              </w:tc>
              <w:tc>
                <w:tcPr>
                  <w:tcW w:w="744" w:type="pct"/>
                  <w:vMerge w:val="continue"/>
                  <w:noWrap w:val="0"/>
                  <w:vAlign w:val="center"/>
                </w:tcPr>
                <w:p w14:paraId="2428166B">
                  <w:pPr>
                    <w:jc w:val="center"/>
                    <w:rPr>
                      <w:rFonts w:hint="default" w:ascii="Times New Roman" w:hAnsi="Times New Roman" w:eastAsia="宋体" w:cs="Times New Roman"/>
                      <w:color w:val="auto"/>
                      <w:sz w:val="21"/>
                      <w:szCs w:val="21"/>
                      <w:lang w:val="en-US" w:eastAsia="zh-CN"/>
                    </w:rPr>
                  </w:pPr>
                </w:p>
              </w:tc>
              <w:tc>
                <w:tcPr>
                  <w:tcW w:w="857" w:type="pct"/>
                  <w:noWrap w:val="0"/>
                  <w:vAlign w:val="center"/>
                </w:tcPr>
                <w:p w14:paraId="3CBD87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市场</w:t>
                  </w:r>
                  <w:r>
                    <w:rPr>
                      <w:rFonts w:hint="default" w:ascii="Times New Roman" w:hAnsi="Times New Roman" w:eastAsia="宋体" w:cs="Times New Roman"/>
                      <w:color w:val="auto"/>
                      <w:sz w:val="21"/>
                      <w:szCs w:val="21"/>
                      <w:lang w:val="en-US" w:eastAsia="zh-CN"/>
                    </w:rPr>
                    <w:t>外购</w:t>
                  </w:r>
                </w:p>
              </w:tc>
              <w:tc>
                <w:tcPr>
                  <w:tcW w:w="935" w:type="pct"/>
                  <w:noWrap w:val="0"/>
                  <w:vAlign w:val="center"/>
                </w:tcPr>
                <w:p w14:paraId="269CD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E19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001B476D">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691" w:type="pct"/>
                  <w:noWrap w:val="0"/>
                  <w:vAlign w:val="center"/>
                </w:tcPr>
                <w:p w14:paraId="038C5C74">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食用香精香料</w:t>
                  </w:r>
                </w:p>
              </w:tc>
              <w:tc>
                <w:tcPr>
                  <w:tcW w:w="1269" w:type="dxa"/>
                  <w:noWrap w:val="0"/>
                  <w:vAlign w:val="center"/>
                </w:tcPr>
                <w:p w14:paraId="6E3373EB">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r>
                    <w:rPr>
                      <w:rFonts w:hint="default" w:ascii="Times New Roman" w:hAnsi="Times New Roman" w:eastAsia="宋体" w:cs="Times New Roman"/>
                      <w:color w:val="auto"/>
                      <w:sz w:val="21"/>
                      <w:szCs w:val="21"/>
                      <w:vertAlign w:val="baseline"/>
                      <w:lang w:val="en-US" w:eastAsia="zh-CN"/>
                    </w:rPr>
                    <w:t>t/a</w:t>
                  </w:r>
                </w:p>
              </w:tc>
              <w:tc>
                <w:tcPr>
                  <w:tcW w:w="608" w:type="pct"/>
                  <w:noWrap w:val="0"/>
                  <w:vAlign w:val="center"/>
                </w:tcPr>
                <w:p w14:paraId="21C54295">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t</w:t>
                  </w:r>
                </w:p>
              </w:tc>
              <w:tc>
                <w:tcPr>
                  <w:tcW w:w="744" w:type="pct"/>
                  <w:vMerge w:val="continue"/>
                  <w:noWrap w:val="0"/>
                  <w:vAlign w:val="center"/>
                </w:tcPr>
                <w:p w14:paraId="6A2D40D7">
                  <w:pPr>
                    <w:jc w:val="center"/>
                    <w:rPr>
                      <w:rFonts w:hint="default" w:ascii="Times New Roman" w:hAnsi="Times New Roman" w:eastAsia="宋体" w:cs="Times New Roman"/>
                      <w:color w:val="auto"/>
                      <w:sz w:val="21"/>
                      <w:szCs w:val="21"/>
                      <w:lang w:val="en-US" w:eastAsia="zh-CN"/>
                    </w:rPr>
                  </w:pPr>
                </w:p>
              </w:tc>
              <w:tc>
                <w:tcPr>
                  <w:tcW w:w="857" w:type="pct"/>
                  <w:noWrap w:val="0"/>
                  <w:vAlign w:val="center"/>
                </w:tcPr>
                <w:p w14:paraId="2AAC0D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市场</w:t>
                  </w:r>
                  <w:r>
                    <w:rPr>
                      <w:rFonts w:hint="default" w:ascii="Times New Roman" w:hAnsi="Times New Roman" w:eastAsia="宋体" w:cs="Times New Roman"/>
                      <w:color w:val="auto"/>
                      <w:sz w:val="21"/>
                      <w:szCs w:val="21"/>
                      <w:lang w:val="en-US" w:eastAsia="zh-CN"/>
                    </w:rPr>
                    <w:t>外购</w:t>
                  </w:r>
                </w:p>
              </w:tc>
              <w:tc>
                <w:tcPr>
                  <w:tcW w:w="935" w:type="pct"/>
                  <w:noWrap w:val="0"/>
                  <w:vAlign w:val="center"/>
                </w:tcPr>
                <w:p w14:paraId="0C80A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325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460DA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691" w:type="pct"/>
                  <w:noWrap w:val="0"/>
                  <w:vAlign w:val="center"/>
                </w:tcPr>
                <w:p w14:paraId="4C7C1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w:t>
                  </w:r>
                </w:p>
              </w:tc>
              <w:tc>
                <w:tcPr>
                  <w:tcW w:w="755" w:type="pct"/>
                  <w:noWrap w:val="0"/>
                  <w:vAlign w:val="center"/>
                </w:tcPr>
                <w:p w14:paraId="11E8F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shd w:val="clear" w:color="auto" w:fill="auto"/>
                      <w:lang w:val="en-US" w:eastAsia="zh-CN"/>
                    </w:rPr>
                    <w:t>2992t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a</w:t>
                  </w:r>
                </w:p>
              </w:tc>
              <w:tc>
                <w:tcPr>
                  <w:tcW w:w="608" w:type="pct"/>
                  <w:noWrap w:val="0"/>
                  <w:vAlign w:val="center"/>
                </w:tcPr>
                <w:p w14:paraId="66B80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44" w:type="pct"/>
                  <w:noWrap w:val="0"/>
                  <w:vAlign w:val="center"/>
                </w:tcPr>
                <w:p w14:paraId="7D847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57" w:type="pct"/>
                  <w:noWrap w:val="0"/>
                  <w:vAlign w:val="center"/>
                </w:tcPr>
                <w:p w14:paraId="21D41B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自来水</w:t>
                  </w:r>
                </w:p>
              </w:tc>
              <w:tc>
                <w:tcPr>
                  <w:tcW w:w="935" w:type="pct"/>
                  <w:noWrap w:val="0"/>
                  <w:vAlign w:val="center"/>
                </w:tcPr>
                <w:p w14:paraId="0180F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1DB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7" w:type="pct"/>
                  <w:noWrap w:val="0"/>
                  <w:vAlign w:val="center"/>
                </w:tcPr>
                <w:p w14:paraId="10A67B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91" w:type="pct"/>
                  <w:noWrap w:val="0"/>
                  <w:vAlign w:val="center"/>
                </w:tcPr>
                <w:p w14:paraId="49711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w:t>
                  </w:r>
                </w:p>
              </w:tc>
              <w:tc>
                <w:tcPr>
                  <w:tcW w:w="755" w:type="pct"/>
                  <w:noWrap w:val="0"/>
                  <w:vAlign w:val="center"/>
                </w:tcPr>
                <w:p w14:paraId="22391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20万</w:t>
                  </w:r>
                  <w:r>
                    <w:rPr>
                      <w:rFonts w:hint="default" w:ascii="Times New Roman" w:hAnsi="Times New Roman" w:eastAsia="宋体" w:cs="Times New Roman"/>
                      <w:color w:val="auto"/>
                      <w:sz w:val="21"/>
                      <w:szCs w:val="21"/>
                      <w:lang w:val="en-US" w:eastAsia="zh-CN"/>
                    </w:rPr>
                    <w:t>kW·h/a</w:t>
                  </w:r>
                </w:p>
              </w:tc>
              <w:tc>
                <w:tcPr>
                  <w:tcW w:w="608" w:type="pct"/>
                  <w:noWrap w:val="0"/>
                  <w:vAlign w:val="center"/>
                </w:tcPr>
                <w:p w14:paraId="38C1F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744" w:type="pct"/>
                  <w:noWrap w:val="0"/>
                  <w:vAlign w:val="center"/>
                </w:tcPr>
                <w:p w14:paraId="303977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57" w:type="pct"/>
                  <w:noWrap w:val="0"/>
                  <w:vAlign w:val="center"/>
                </w:tcPr>
                <w:p w14:paraId="7CBF3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电网供电</w:t>
                  </w:r>
                </w:p>
              </w:tc>
              <w:tc>
                <w:tcPr>
                  <w:tcW w:w="935" w:type="pct"/>
                  <w:noWrap w:val="0"/>
                  <w:vAlign w:val="center"/>
                </w:tcPr>
                <w:p w14:paraId="01913A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0811D9BC">
            <w:pPr>
              <w:pStyle w:val="5"/>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五、产品方案</w:t>
            </w:r>
          </w:p>
          <w:p w14:paraId="1B2D6A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本项目年产3000吨夏威夷坚果产品，</w:t>
            </w:r>
            <w:r>
              <w:rPr>
                <w:rFonts w:hint="eastAsia" w:ascii="Times New Roman" w:hAnsi="Times New Roman" w:eastAsia="宋体" w:cs="Times New Roman"/>
                <w:color w:val="auto"/>
                <w:sz w:val="24"/>
                <w:szCs w:val="24"/>
              </w:rPr>
              <w:t>主要产品</w:t>
            </w:r>
            <w:r>
              <w:rPr>
                <w:rFonts w:hint="eastAsia" w:ascii="Times New Roman" w:hAnsi="Times New Roman" w:eastAsia="宋体" w:cs="Times New Roman"/>
                <w:color w:val="auto"/>
                <w:sz w:val="24"/>
                <w:szCs w:val="24"/>
                <w:lang w:val="en-US" w:eastAsia="zh-CN"/>
              </w:rPr>
              <w:t>种类：</w:t>
            </w:r>
            <w:r>
              <w:rPr>
                <w:rFonts w:hint="eastAsia" w:ascii="Times New Roman" w:hAnsi="Times New Roman" w:eastAsia="宋体" w:cs="Times New Roman"/>
                <w:color w:val="auto"/>
                <w:sz w:val="24"/>
                <w:szCs w:val="24"/>
              </w:rPr>
              <w:t>开口笑预包装产品、果仁预包装产品、果仁原料产品及烘干壳果原料产品。</w:t>
            </w:r>
            <w:r>
              <w:rPr>
                <w:rFonts w:hint="eastAsia"/>
                <w:color w:val="auto"/>
                <w:sz w:val="24"/>
                <w:szCs w:val="24"/>
              </w:rPr>
              <w:t>生产线设计生产开口笑产能约3</w:t>
            </w:r>
            <w:r>
              <w:rPr>
                <w:rFonts w:hint="eastAsia"/>
                <w:color w:val="auto"/>
                <w:sz w:val="24"/>
                <w:szCs w:val="24"/>
                <w:lang w:val="en-US" w:eastAsia="zh-CN"/>
              </w:rPr>
              <w:t>t/d</w:t>
            </w:r>
            <w:r>
              <w:rPr>
                <w:rFonts w:hint="eastAsia"/>
                <w:color w:val="auto"/>
                <w:sz w:val="24"/>
                <w:szCs w:val="24"/>
              </w:rPr>
              <w:t>，果仁约1</w:t>
            </w:r>
            <w:r>
              <w:rPr>
                <w:rFonts w:hint="eastAsia"/>
                <w:color w:val="auto"/>
                <w:sz w:val="24"/>
                <w:szCs w:val="24"/>
                <w:lang w:val="en-US" w:eastAsia="zh-CN"/>
              </w:rPr>
              <w:t>t/d</w:t>
            </w:r>
            <w:r>
              <w:rPr>
                <w:rFonts w:hint="eastAsia"/>
                <w:color w:val="auto"/>
                <w:sz w:val="24"/>
                <w:szCs w:val="24"/>
              </w:rPr>
              <w:t>，烘干壳果原料约1</w:t>
            </w:r>
            <w:r>
              <w:rPr>
                <w:color w:val="auto"/>
                <w:sz w:val="24"/>
                <w:szCs w:val="24"/>
              </w:rPr>
              <w:t>1</w:t>
            </w:r>
            <w:r>
              <w:rPr>
                <w:rFonts w:hint="eastAsia"/>
                <w:color w:val="auto"/>
                <w:sz w:val="24"/>
                <w:szCs w:val="24"/>
                <w:lang w:val="en-US" w:eastAsia="zh-CN"/>
              </w:rPr>
              <w:t>t/d</w:t>
            </w:r>
            <w:r>
              <w:rPr>
                <w:rFonts w:hint="eastAsia"/>
                <w:color w:val="auto"/>
                <w:sz w:val="24"/>
                <w:szCs w:val="24"/>
              </w:rPr>
              <w:t>。</w:t>
            </w:r>
            <w:r>
              <w:rPr>
                <w:rFonts w:hint="eastAsia" w:ascii="Times New Roman" w:hAnsi="Times New Roman" w:eastAsia="宋体" w:cs="Times New Roman"/>
                <w:color w:val="auto"/>
                <w:sz w:val="24"/>
                <w:szCs w:val="24"/>
                <w:lang w:val="en-US" w:eastAsia="zh-CN"/>
              </w:rPr>
              <w:t>具体产品方案见表2-5。</w:t>
            </w:r>
          </w:p>
          <w:p w14:paraId="1F4B7167">
            <w:pPr>
              <w:pStyle w:val="116"/>
              <w:spacing w:line="240" w:lineRule="auto"/>
              <w:jc w:val="center"/>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w:t>
            </w: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eastAsia" w:ascii="Times New Roman" w:eastAsia="宋体" w:cs="Times New Roman"/>
                <w:b/>
                <w:bCs/>
                <w:color w:val="auto"/>
                <w:kern w:val="2"/>
                <w:sz w:val="24"/>
                <w:szCs w:val="24"/>
                <w:lang w:val="en-US" w:eastAsia="zh-CN" w:bidi="ar-SA"/>
              </w:rPr>
              <w:t>5</w:t>
            </w:r>
            <w:r>
              <w:rPr>
                <w:rFonts w:hint="eastAsia" w:ascii="Times New Roman" w:hAnsi="Times New Roman" w:eastAsia="宋体" w:cs="Times New Roman"/>
                <w:b/>
                <w:bCs/>
                <w:color w:val="auto"/>
                <w:kern w:val="2"/>
                <w:sz w:val="24"/>
                <w:szCs w:val="24"/>
                <w:lang w:val="en-US" w:eastAsia="zh-CN" w:bidi="ar-SA"/>
              </w:rPr>
              <w:t xml:space="preserve"> 产品方案一览表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474"/>
              <w:gridCol w:w="969"/>
              <w:gridCol w:w="3613"/>
              <w:gridCol w:w="793"/>
            </w:tblGrid>
            <w:tr w14:paraId="0C14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6" w:type="pct"/>
                  <w:noWrap w:val="0"/>
                  <w:vAlign w:val="center"/>
                </w:tcPr>
                <w:p w14:paraId="09B43F21">
                  <w:pPr>
                    <w:pStyle w:val="116"/>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序号</w:t>
                  </w:r>
                </w:p>
              </w:tc>
              <w:tc>
                <w:tcPr>
                  <w:tcW w:w="1359" w:type="pct"/>
                  <w:noWrap w:val="0"/>
                  <w:vAlign w:val="center"/>
                </w:tcPr>
                <w:p w14:paraId="3EC6A2BA">
                  <w:pPr>
                    <w:pStyle w:val="116"/>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产品种类</w:t>
                  </w:r>
                </w:p>
              </w:tc>
              <w:tc>
                <w:tcPr>
                  <w:tcW w:w="532" w:type="pct"/>
                  <w:noWrap w:val="0"/>
                  <w:vAlign w:val="center"/>
                </w:tcPr>
                <w:p w14:paraId="0EAB0B82">
                  <w:pPr>
                    <w:pStyle w:val="116"/>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产量</w:t>
                  </w:r>
                </w:p>
              </w:tc>
              <w:tc>
                <w:tcPr>
                  <w:tcW w:w="1985" w:type="pct"/>
                  <w:noWrap w:val="0"/>
                  <w:vAlign w:val="center"/>
                </w:tcPr>
                <w:p w14:paraId="21AE7D73">
                  <w:pPr>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eastAsia="宋体"/>
                      <w:b/>
                      <w:bCs/>
                      <w:color w:val="auto"/>
                      <w:sz w:val="21"/>
                      <w:szCs w:val="21"/>
                      <w:lang w:val="en-US" w:eastAsia="zh-CN"/>
                    </w:rPr>
                    <w:t>产品规格</w:t>
                  </w:r>
                </w:p>
              </w:tc>
              <w:tc>
                <w:tcPr>
                  <w:tcW w:w="435" w:type="pct"/>
                  <w:noWrap w:val="0"/>
                  <w:vAlign w:val="center"/>
                </w:tcPr>
                <w:p w14:paraId="1CE6E4CB">
                  <w:pPr>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eastAsia="宋体"/>
                      <w:b/>
                      <w:bCs/>
                      <w:color w:val="auto"/>
                      <w:sz w:val="21"/>
                      <w:szCs w:val="21"/>
                    </w:rPr>
                    <w:t>备注</w:t>
                  </w:r>
                </w:p>
              </w:tc>
            </w:tr>
            <w:tr w14:paraId="2159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6" w:type="pct"/>
                  <w:noWrap w:val="0"/>
                  <w:vAlign w:val="center"/>
                </w:tcPr>
                <w:p w14:paraId="62BB01CE">
                  <w:pPr>
                    <w:pStyle w:val="11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359" w:type="pct"/>
                  <w:noWrap w:val="0"/>
                  <w:vAlign w:val="center"/>
                </w:tcPr>
                <w:p w14:paraId="6E83824A">
                  <w:pPr>
                    <w:pStyle w:val="116"/>
                    <w:jc w:val="center"/>
                    <w:rPr>
                      <w:rFonts w:hint="default" w:ascii="Times New Roman" w:hAnsi="Times New Roman" w:eastAsia="宋体" w:cs="Times New Roman"/>
                      <w:color w:val="auto"/>
                      <w:kern w:val="2"/>
                      <w:sz w:val="21"/>
                      <w:szCs w:val="21"/>
                      <w:lang w:val="en-US" w:eastAsia="zh-CN" w:bidi="ar-SA"/>
                    </w:rPr>
                  </w:pPr>
                  <w:r>
                    <w:rPr>
                      <w:rFonts w:hint="eastAsia" w:ascii="Times New Roman" w:eastAsia="宋体" w:cs="Times New Roman"/>
                      <w:color w:val="auto"/>
                      <w:sz w:val="21"/>
                      <w:szCs w:val="21"/>
                      <w:lang w:val="en-US" w:eastAsia="zh-CN"/>
                    </w:rPr>
                    <w:t>开口笑预包装产品</w:t>
                  </w:r>
                </w:p>
              </w:tc>
              <w:tc>
                <w:tcPr>
                  <w:tcW w:w="532" w:type="pct"/>
                  <w:noWrap w:val="0"/>
                  <w:vAlign w:val="center"/>
                </w:tcPr>
                <w:p w14:paraId="4445948A">
                  <w:pPr>
                    <w:pStyle w:val="116"/>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eastAsia="宋体" w:cs="Times New Roman"/>
                      <w:color w:val="auto"/>
                      <w:kern w:val="0"/>
                      <w:sz w:val="21"/>
                      <w:szCs w:val="21"/>
                      <w:highlight w:val="none"/>
                      <w:lang w:val="en-US" w:eastAsia="zh-CN" w:bidi="ar-SA"/>
                    </w:rPr>
                    <w:t>600t/a</w:t>
                  </w:r>
                </w:p>
              </w:tc>
              <w:tc>
                <w:tcPr>
                  <w:tcW w:w="1985" w:type="pct"/>
                  <w:noWrap w:val="0"/>
                  <w:vAlign w:val="center"/>
                </w:tcPr>
                <w:p w14:paraId="2D94C9C2">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4.9千克/箱、500克/袋、250克/罐、250克/袋等；果仁预包装产品有500克/袋、200克/袋、100克/袋等</w:t>
                  </w:r>
                </w:p>
              </w:tc>
              <w:tc>
                <w:tcPr>
                  <w:tcW w:w="435" w:type="pct"/>
                  <w:noWrap w:val="0"/>
                  <w:vAlign w:val="center"/>
                </w:tcPr>
                <w:p w14:paraId="54E64AA9">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r>
            <w:tr w14:paraId="6369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6" w:type="pct"/>
                  <w:noWrap w:val="0"/>
                  <w:vAlign w:val="center"/>
                </w:tcPr>
                <w:p w14:paraId="1FC568C3">
                  <w:pPr>
                    <w:pStyle w:val="116"/>
                    <w:jc w:val="center"/>
                    <w:rPr>
                      <w:rFonts w:hint="default" w:ascii="Times New Roman" w:hAnsi="Times New Roman" w:eastAsia="宋体" w:cs="Times New Roman"/>
                      <w:color w:val="auto"/>
                      <w:kern w:val="2"/>
                      <w:sz w:val="21"/>
                      <w:szCs w:val="21"/>
                      <w:lang w:val="en-US" w:eastAsia="zh-CN" w:bidi="ar-SA"/>
                    </w:rPr>
                  </w:pPr>
                  <w:r>
                    <w:rPr>
                      <w:rFonts w:hint="eastAsia" w:ascii="Times New Roman" w:eastAsia="宋体" w:cs="Times New Roman"/>
                      <w:color w:val="auto"/>
                      <w:kern w:val="2"/>
                      <w:sz w:val="21"/>
                      <w:szCs w:val="21"/>
                      <w:lang w:val="en-US" w:eastAsia="zh-CN" w:bidi="ar-SA"/>
                    </w:rPr>
                    <w:t>2</w:t>
                  </w:r>
                </w:p>
              </w:tc>
              <w:tc>
                <w:tcPr>
                  <w:tcW w:w="1359" w:type="pct"/>
                  <w:noWrap w:val="0"/>
                  <w:vAlign w:val="center"/>
                </w:tcPr>
                <w:p w14:paraId="2C844F36">
                  <w:pPr>
                    <w:pStyle w:val="116"/>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果仁预包装产品</w:t>
                  </w:r>
                </w:p>
              </w:tc>
              <w:tc>
                <w:tcPr>
                  <w:tcW w:w="532" w:type="pct"/>
                  <w:noWrap w:val="0"/>
                  <w:vAlign w:val="center"/>
                </w:tcPr>
                <w:p w14:paraId="73CFFD6B">
                  <w:pPr>
                    <w:pStyle w:val="116"/>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eastAsia="宋体" w:cs="Times New Roman"/>
                      <w:color w:val="auto"/>
                      <w:kern w:val="0"/>
                      <w:sz w:val="21"/>
                      <w:szCs w:val="21"/>
                      <w:highlight w:val="none"/>
                      <w:lang w:val="en-US" w:eastAsia="zh-CN" w:bidi="ar-SA"/>
                    </w:rPr>
                    <w:t>100t/a</w:t>
                  </w:r>
                </w:p>
              </w:tc>
              <w:tc>
                <w:tcPr>
                  <w:tcW w:w="1985" w:type="pct"/>
                  <w:noWrap w:val="0"/>
                  <w:vAlign w:val="center"/>
                </w:tcPr>
                <w:p w14:paraId="502B2E20">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5</w:t>
                  </w:r>
                  <w:r>
                    <w:rPr>
                      <w:color w:val="auto"/>
                      <w:sz w:val="21"/>
                      <w:szCs w:val="21"/>
                    </w:rPr>
                    <w:t>00</w:t>
                  </w:r>
                  <w:r>
                    <w:rPr>
                      <w:rFonts w:hint="eastAsia"/>
                      <w:color w:val="auto"/>
                      <w:sz w:val="21"/>
                      <w:szCs w:val="21"/>
                    </w:rPr>
                    <w:t>克/袋、</w:t>
                  </w:r>
                  <w:r>
                    <w:rPr>
                      <w:color w:val="auto"/>
                      <w:sz w:val="21"/>
                      <w:szCs w:val="21"/>
                    </w:rPr>
                    <w:t>200</w:t>
                  </w:r>
                  <w:r>
                    <w:rPr>
                      <w:rFonts w:hint="eastAsia"/>
                      <w:color w:val="auto"/>
                      <w:sz w:val="21"/>
                      <w:szCs w:val="21"/>
                    </w:rPr>
                    <w:t>克/袋、1</w:t>
                  </w:r>
                  <w:r>
                    <w:rPr>
                      <w:color w:val="auto"/>
                      <w:sz w:val="21"/>
                      <w:szCs w:val="21"/>
                    </w:rPr>
                    <w:t>00</w:t>
                  </w:r>
                  <w:r>
                    <w:rPr>
                      <w:rFonts w:hint="eastAsia"/>
                      <w:color w:val="auto"/>
                      <w:sz w:val="21"/>
                      <w:szCs w:val="21"/>
                    </w:rPr>
                    <w:t>克/袋等</w:t>
                  </w:r>
                </w:p>
              </w:tc>
              <w:tc>
                <w:tcPr>
                  <w:tcW w:w="435" w:type="pct"/>
                  <w:noWrap w:val="0"/>
                  <w:vAlign w:val="center"/>
                </w:tcPr>
                <w:p w14:paraId="3F9BF726">
                  <w:pPr>
                    <w:spacing w:line="240" w:lineRule="auto"/>
                    <w:ind w:firstLine="0" w:firstLineChars="0"/>
                    <w:jc w:val="center"/>
                    <w:rPr>
                      <w:rFonts w:eastAsia="宋体"/>
                      <w:color w:val="auto"/>
                      <w:sz w:val="21"/>
                      <w:szCs w:val="21"/>
                    </w:rPr>
                  </w:pPr>
                </w:p>
              </w:tc>
            </w:tr>
            <w:tr w14:paraId="20EE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6" w:type="pct"/>
                  <w:noWrap w:val="0"/>
                  <w:vAlign w:val="center"/>
                </w:tcPr>
                <w:p w14:paraId="39351204">
                  <w:pPr>
                    <w:pStyle w:val="116"/>
                    <w:jc w:val="center"/>
                    <w:rPr>
                      <w:rFonts w:hint="default" w:ascii="Times New Roman" w:eastAsia="宋体" w:cs="Times New Roman"/>
                      <w:color w:val="auto"/>
                      <w:kern w:val="2"/>
                      <w:sz w:val="21"/>
                      <w:szCs w:val="21"/>
                      <w:lang w:val="en-US" w:eastAsia="zh-CN" w:bidi="ar-SA"/>
                    </w:rPr>
                  </w:pPr>
                  <w:r>
                    <w:rPr>
                      <w:rFonts w:hint="eastAsia" w:ascii="Times New Roman" w:eastAsia="宋体" w:cs="Times New Roman"/>
                      <w:color w:val="auto"/>
                      <w:kern w:val="2"/>
                      <w:sz w:val="21"/>
                      <w:szCs w:val="21"/>
                      <w:lang w:val="en-US" w:eastAsia="zh-CN" w:bidi="ar-SA"/>
                    </w:rPr>
                    <w:t>3</w:t>
                  </w:r>
                </w:p>
              </w:tc>
              <w:tc>
                <w:tcPr>
                  <w:tcW w:w="1359" w:type="pct"/>
                  <w:noWrap w:val="0"/>
                  <w:vAlign w:val="center"/>
                </w:tcPr>
                <w:p w14:paraId="4977A457">
                  <w:pPr>
                    <w:pStyle w:val="116"/>
                    <w:jc w:val="center"/>
                    <w:rPr>
                      <w:rFonts w:hint="default" w:asci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果仁原料产品</w:t>
                  </w:r>
                </w:p>
              </w:tc>
              <w:tc>
                <w:tcPr>
                  <w:tcW w:w="532" w:type="pct"/>
                  <w:noWrap w:val="0"/>
                  <w:vAlign w:val="center"/>
                </w:tcPr>
                <w:p w14:paraId="7C2DCC5C">
                  <w:pPr>
                    <w:pStyle w:val="116"/>
                    <w:jc w:val="center"/>
                    <w:rPr>
                      <w:rFonts w:hint="default" w:ascii="Times New Roman" w:eastAsia="宋体" w:cs="Times New Roman"/>
                      <w:color w:val="auto"/>
                      <w:kern w:val="0"/>
                      <w:sz w:val="21"/>
                      <w:szCs w:val="21"/>
                      <w:highlight w:val="none"/>
                      <w:lang w:val="en-US" w:eastAsia="zh-CN" w:bidi="ar-SA"/>
                    </w:rPr>
                  </w:pPr>
                  <w:r>
                    <w:rPr>
                      <w:rFonts w:hint="eastAsia" w:ascii="Times New Roman" w:eastAsia="宋体" w:cs="Times New Roman"/>
                      <w:color w:val="auto"/>
                      <w:kern w:val="0"/>
                      <w:sz w:val="21"/>
                      <w:szCs w:val="21"/>
                      <w:highlight w:val="none"/>
                      <w:lang w:val="en-US" w:eastAsia="zh-CN" w:bidi="ar-SA"/>
                    </w:rPr>
                    <w:t>100t/a</w:t>
                  </w:r>
                </w:p>
              </w:tc>
              <w:tc>
                <w:tcPr>
                  <w:tcW w:w="1985" w:type="pct"/>
                  <w:noWrap w:val="0"/>
                  <w:vAlign w:val="center"/>
                </w:tcPr>
                <w:p w14:paraId="01FADDF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10千克/箱</w:t>
                  </w:r>
                </w:p>
              </w:tc>
              <w:tc>
                <w:tcPr>
                  <w:tcW w:w="435" w:type="pct"/>
                  <w:noWrap w:val="0"/>
                  <w:vAlign w:val="center"/>
                </w:tcPr>
                <w:p w14:paraId="210FDD7D">
                  <w:pPr>
                    <w:spacing w:line="240" w:lineRule="auto"/>
                    <w:ind w:firstLine="0" w:firstLineChars="0"/>
                    <w:jc w:val="center"/>
                    <w:rPr>
                      <w:rFonts w:eastAsia="宋体"/>
                      <w:color w:val="auto"/>
                      <w:sz w:val="21"/>
                      <w:szCs w:val="21"/>
                    </w:rPr>
                  </w:pPr>
                </w:p>
              </w:tc>
            </w:tr>
            <w:tr w14:paraId="1461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6" w:type="pct"/>
                  <w:noWrap w:val="0"/>
                  <w:vAlign w:val="center"/>
                </w:tcPr>
                <w:p w14:paraId="52B408CB">
                  <w:pPr>
                    <w:pStyle w:val="116"/>
                    <w:jc w:val="center"/>
                    <w:rPr>
                      <w:rFonts w:hint="default" w:ascii="Times New Roman" w:hAnsi="Times New Roman" w:eastAsia="宋体" w:cs="Times New Roman"/>
                      <w:color w:val="auto"/>
                      <w:kern w:val="2"/>
                      <w:sz w:val="21"/>
                      <w:szCs w:val="21"/>
                      <w:lang w:val="en-US" w:eastAsia="zh-CN" w:bidi="ar-SA"/>
                    </w:rPr>
                  </w:pPr>
                  <w:r>
                    <w:rPr>
                      <w:rFonts w:hint="eastAsia" w:ascii="Times New Roman" w:eastAsia="宋体" w:cs="Times New Roman"/>
                      <w:color w:val="auto"/>
                      <w:kern w:val="2"/>
                      <w:sz w:val="21"/>
                      <w:szCs w:val="21"/>
                      <w:lang w:val="en-US" w:eastAsia="zh-CN" w:bidi="ar-SA"/>
                    </w:rPr>
                    <w:t>4</w:t>
                  </w:r>
                </w:p>
              </w:tc>
              <w:tc>
                <w:tcPr>
                  <w:tcW w:w="1359" w:type="pct"/>
                  <w:noWrap w:val="0"/>
                  <w:vAlign w:val="center"/>
                </w:tcPr>
                <w:p w14:paraId="6CCFBB5A">
                  <w:pPr>
                    <w:pStyle w:val="116"/>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烘干壳果原料产品</w:t>
                  </w:r>
                </w:p>
              </w:tc>
              <w:tc>
                <w:tcPr>
                  <w:tcW w:w="532" w:type="pct"/>
                  <w:noWrap w:val="0"/>
                  <w:vAlign w:val="center"/>
                </w:tcPr>
                <w:p w14:paraId="52D3C824">
                  <w:pPr>
                    <w:pStyle w:val="116"/>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eastAsia="宋体" w:cs="Times New Roman"/>
                      <w:color w:val="auto"/>
                      <w:kern w:val="0"/>
                      <w:sz w:val="21"/>
                      <w:szCs w:val="21"/>
                      <w:highlight w:val="none"/>
                      <w:lang w:val="en-US" w:eastAsia="zh-CN" w:bidi="ar-SA"/>
                    </w:rPr>
                    <w:t>2200t/a</w:t>
                  </w:r>
                </w:p>
              </w:tc>
              <w:tc>
                <w:tcPr>
                  <w:tcW w:w="1985" w:type="pct"/>
                  <w:noWrap w:val="0"/>
                  <w:vAlign w:val="center"/>
                </w:tcPr>
                <w:p w14:paraId="311BD346">
                  <w:pPr>
                    <w:spacing w:line="240" w:lineRule="auto"/>
                    <w:ind w:firstLine="0" w:firstLineChars="0"/>
                    <w:jc w:val="center"/>
                    <w:rPr>
                      <w:rFonts w:hint="eastAsia"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25千克/袋</w:t>
                  </w:r>
                </w:p>
              </w:tc>
              <w:tc>
                <w:tcPr>
                  <w:tcW w:w="435" w:type="pct"/>
                  <w:noWrap w:val="0"/>
                  <w:vAlign w:val="center"/>
                </w:tcPr>
                <w:p w14:paraId="3E94E4C9">
                  <w:pPr>
                    <w:spacing w:line="240" w:lineRule="auto"/>
                    <w:ind w:firstLine="0" w:firstLineChars="0"/>
                    <w:jc w:val="center"/>
                    <w:rPr>
                      <w:rFonts w:eastAsia="宋体"/>
                      <w:color w:val="auto"/>
                      <w:sz w:val="21"/>
                      <w:szCs w:val="21"/>
                    </w:rPr>
                  </w:pPr>
                </w:p>
              </w:tc>
            </w:tr>
          </w:tbl>
          <w:p w14:paraId="1CDBB210">
            <w:pPr>
              <w:pStyle w:val="5"/>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六、劳动定员及工作制度</w:t>
            </w:r>
          </w:p>
          <w:p w14:paraId="58EA54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劳动定员：</w:t>
            </w:r>
            <w:r>
              <w:rPr>
                <w:rFonts w:hint="eastAsia" w:ascii="宋体" w:hAnsi="宋体" w:eastAsia="宋体" w:cs="宋体"/>
                <w:color w:val="auto"/>
                <w:sz w:val="24"/>
              </w:rPr>
              <w:t>本项目</w:t>
            </w:r>
            <w:r>
              <w:rPr>
                <w:rFonts w:hint="eastAsia" w:ascii="宋体" w:hAnsi="宋体" w:eastAsia="宋体" w:cs="宋体"/>
                <w:color w:val="auto"/>
                <w:sz w:val="24"/>
                <w:lang w:eastAsia="zh-CN"/>
              </w:rPr>
              <w:t>劳动定员为</w:t>
            </w:r>
            <w:r>
              <w:rPr>
                <w:rFonts w:hint="eastAsia" w:ascii="Times New Roman" w:hAnsi="Times New Roman" w:eastAsia="宋体" w:cs="Times New Roman"/>
                <w:color w:val="auto"/>
                <w:sz w:val="24"/>
                <w:lang w:val="en-US" w:eastAsia="zh-CN"/>
              </w:rPr>
              <w:t>10</w:t>
            </w:r>
            <w:r>
              <w:rPr>
                <w:rFonts w:hint="eastAsia" w:ascii="宋体" w:hAnsi="宋体" w:eastAsia="宋体" w:cs="宋体"/>
                <w:color w:val="auto"/>
                <w:sz w:val="24"/>
              </w:rPr>
              <w:t>人</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全部在厂区食宿</w:t>
            </w:r>
            <w:r>
              <w:rPr>
                <w:rFonts w:hint="eastAsia" w:ascii="宋体" w:hAnsi="宋体" w:eastAsia="宋体" w:cs="宋体"/>
                <w:color w:val="auto"/>
                <w:sz w:val="24"/>
              </w:rPr>
              <w:t>。</w:t>
            </w:r>
          </w:p>
          <w:p w14:paraId="5F3558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工作制度：</w:t>
            </w:r>
            <w:r>
              <w:rPr>
                <w:rFonts w:hint="default" w:ascii="Times New Roman" w:hAnsi="Times New Roman" w:eastAsia="宋体" w:cs="Times New Roman"/>
                <w:color w:val="auto"/>
                <w:sz w:val="24"/>
                <w:szCs w:val="24"/>
                <w:lang w:val="en-US" w:eastAsia="zh-CN"/>
              </w:rPr>
              <w:t>由于本项目所使用的原料有一定的季节性，</w:t>
            </w:r>
            <w:r>
              <w:rPr>
                <w:rFonts w:hint="default" w:ascii="Times New Roman" w:hAnsi="Times New Roman" w:eastAsia="宋体" w:cs="Times New Roman"/>
                <w:color w:val="auto"/>
                <w:sz w:val="24"/>
                <w:lang w:val="en-US" w:eastAsia="zh-CN"/>
              </w:rPr>
              <w:t>从8月至次年的2月，共7个月，扣除休息日，</w:t>
            </w:r>
            <w:r>
              <w:rPr>
                <w:rFonts w:hint="default" w:ascii="Times New Roman" w:hAnsi="Times New Roman" w:eastAsia="宋体" w:cs="Times New Roman"/>
                <w:color w:val="auto"/>
                <w:sz w:val="24"/>
                <w:szCs w:val="24"/>
              </w:rPr>
              <w:t>项目年</w:t>
            </w:r>
            <w:r>
              <w:rPr>
                <w:rFonts w:hint="default" w:ascii="Times New Roman" w:hAnsi="Times New Roman" w:eastAsia="宋体" w:cs="Times New Roman"/>
                <w:color w:val="auto"/>
                <w:sz w:val="24"/>
                <w:szCs w:val="24"/>
                <w:lang w:eastAsia="zh-CN"/>
              </w:rPr>
              <w:t>工</w:t>
            </w:r>
            <w:r>
              <w:rPr>
                <w:rFonts w:hint="default" w:ascii="Times New Roman" w:hAnsi="Times New Roman" w:eastAsia="宋体" w:cs="Times New Roman"/>
                <w:color w:val="auto"/>
                <w:sz w:val="24"/>
                <w:lang w:val="en-US" w:eastAsia="zh-CN"/>
              </w:rPr>
              <w:t>作200天，生产线每天1班，每班8h</w:t>
            </w:r>
            <w:r>
              <w:rPr>
                <w:rFonts w:hint="default" w:ascii="Times New Roman" w:hAnsi="Times New Roman" w:eastAsia="宋体" w:cs="Times New Roman"/>
                <w:color w:val="auto"/>
                <w:sz w:val="24"/>
                <w:szCs w:val="24"/>
                <w:lang w:val="en-US" w:eastAsia="zh-CN"/>
              </w:rPr>
              <w:t>，烘干</w:t>
            </w:r>
            <w:r>
              <w:rPr>
                <w:rFonts w:hint="eastAsia" w:ascii="Times New Roman" w:hAnsi="Times New Roman" w:eastAsia="宋体" w:cs="Times New Roman"/>
                <w:color w:val="auto"/>
                <w:sz w:val="24"/>
                <w:szCs w:val="24"/>
                <w:lang w:val="en-US" w:eastAsia="zh-CN"/>
              </w:rPr>
              <w:t>、冷库</w:t>
            </w:r>
            <w:r>
              <w:rPr>
                <w:rFonts w:hint="default" w:ascii="Times New Roman" w:hAnsi="Times New Roman" w:eastAsia="宋体" w:cs="Times New Roman"/>
                <w:color w:val="auto"/>
                <w:sz w:val="24"/>
                <w:szCs w:val="24"/>
                <w:lang w:val="en-US" w:eastAsia="zh-CN"/>
              </w:rPr>
              <w:t xml:space="preserve">设备24小时运行。 </w:t>
            </w:r>
          </w:p>
          <w:p w14:paraId="29F12A23">
            <w:pPr>
              <w:adjustRightInd w:val="0"/>
              <w:snapToGrid w:val="0"/>
              <w:spacing w:line="360" w:lineRule="auto"/>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七、厂区平面布置</w:t>
            </w:r>
          </w:p>
          <w:p w14:paraId="4C66E0BE">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项目所在地的整体地块呈长方形，南北走向。根据工艺流程要求，结合场地形状，将生产车间按流程顺序布置，各工序间不迂回往复，并尽量采用机械运输，使工序顺畅。厂区具体构成及布置为：主要设有</w:t>
            </w:r>
            <w:r>
              <w:rPr>
                <w:rFonts w:hint="eastAsia" w:ascii="Times New Roman" w:hAnsi="Times New Roman" w:eastAsia="宋体" w:cs="Times New Roman"/>
                <w:color w:val="auto"/>
                <w:sz w:val="24"/>
                <w:szCs w:val="24"/>
                <w:highlight w:val="none"/>
                <w:lang w:val="en-US" w:eastAsia="zh-CN"/>
              </w:rPr>
              <w:t>坚果加工</w:t>
            </w:r>
            <w:r>
              <w:rPr>
                <w:rFonts w:hint="default" w:ascii="Times New Roman" w:hAnsi="Times New Roman" w:eastAsia="宋体" w:cs="Times New Roman"/>
                <w:color w:val="auto"/>
                <w:sz w:val="24"/>
                <w:szCs w:val="24"/>
                <w:highlight w:val="none"/>
              </w:rPr>
              <w:t>生产</w:t>
            </w:r>
            <w:r>
              <w:rPr>
                <w:rFonts w:hint="eastAsia"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业务生活用房</w:t>
            </w:r>
            <w:r>
              <w:rPr>
                <w:rFonts w:hint="default" w:ascii="Times New Roman" w:hAnsi="Times New Roman" w:eastAsia="宋体" w:cs="Times New Roman"/>
                <w:color w:val="auto"/>
                <w:sz w:val="24"/>
                <w:szCs w:val="24"/>
                <w:highlight w:val="none"/>
              </w:rPr>
              <w:t>等，占厂区主要部分；</w:t>
            </w:r>
            <w:r>
              <w:rPr>
                <w:rFonts w:hint="eastAsia" w:ascii="Times New Roman" w:hAnsi="Times New Roman" w:eastAsia="宋体" w:cs="Times New Roman"/>
                <w:color w:val="auto"/>
                <w:sz w:val="24"/>
                <w:szCs w:val="24"/>
                <w:highlight w:val="none"/>
                <w:lang w:val="en-US" w:eastAsia="zh-CN"/>
              </w:rPr>
              <w:t>坚果加工生产车间</w:t>
            </w:r>
            <w:r>
              <w:rPr>
                <w:rFonts w:hint="default" w:ascii="Times New Roman" w:hAnsi="Times New Roman" w:eastAsia="宋体" w:cs="Times New Roman"/>
                <w:color w:val="auto"/>
                <w:sz w:val="24"/>
                <w:szCs w:val="24"/>
                <w:highlight w:val="none"/>
              </w:rPr>
              <w:t>位于厂区</w:t>
            </w:r>
            <w:r>
              <w:rPr>
                <w:rFonts w:hint="eastAsia" w:ascii="Times New Roman" w:hAnsi="Times New Roman" w:eastAsia="宋体" w:cs="Times New Roman"/>
                <w:color w:val="auto"/>
                <w:sz w:val="24"/>
                <w:szCs w:val="24"/>
                <w:highlight w:val="none"/>
                <w:lang w:val="en-US" w:eastAsia="zh-CN"/>
              </w:rPr>
              <w:t>南侧</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按照生产工艺需要依次在车间内设置原料堆放区、预处理区、烘干房、冷库、开口间、取仁间、入味间、高温消杀烘干间、内包装间、外包装间、成品存存放间。在生产车间北侧设置1个废料钢架大棚，用于果皮及果壳废料暂存；业务生活用房位于厂区北侧，靠近出入口，与生产区保持一定的距离，可避免生产对生活造成的污染。拟在业务生活用房的东侧自建1座污水处理站，做到废水不外排。</w:t>
            </w:r>
          </w:p>
          <w:p w14:paraId="7884DD9F">
            <w:pPr>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厂区北侧邻近中山乡至罗胡山的道路，在东北侧靠近道路一侧设置出入口，便于人员及运输车辆的出入。</w:t>
            </w:r>
          </w:p>
          <w:p w14:paraId="789608B2">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项目总平面布置图详见附图 2。</w:t>
            </w:r>
          </w:p>
          <w:p w14:paraId="21AA766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八、水量平衡</w:t>
            </w:r>
          </w:p>
          <w:p w14:paraId="3187DF08">
            <w:pPr>
              <w:spacing w:line="360" w:lineRule="auto"/>
              <w:ind w:firstLine="360" w:firstLineChars="15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用水</w:t>
            </w:r>
            <w:r>
              <w:rPr>
                <w:rFonts w:hint="default" w:ascii="Times New Roman" w:hAnsi="Times New Roman" w:eastAsia="宋体" w:cs="Times New Roman"/>
                <w:color w:val="auto"/>
                <w:sz w:val="24"/>
                <w:szCs w:val="24"/>
                <w:highlight w:val="none"/>
              </w:rPr>
              <w:t>主要为</w:t>
            </w:r>
            <w:r>
              <w:rPr>
                <w:rFonts w:hint="eastAsia" w:ascii="Times New Roman" w:hAnsi="Times New Roman" w:eastAsia="宋体" w:cs="Times New Roman"/>
                <w:color w:val="auto"/>
                <w:sz w:val="24"/>
                <w:szCs w:val="24"/>
                <w:highlight w:val="none"/>
                <w:lang w:val="en-US" w:eastAsia="zh-CN"/>
              </w:rPr>
              <w:t>生产清洗用水及</w:t>
            </w:r>
            <w:r>
              <w:rPr>
                <w:rFonts w:hint="eastAsia" w:ascii="Times New Roman" w:hAnsi="Times New Roman" w:eastAsia="宋体" w:cs="Times New Roman"/>
                <w:color w:val="auto"/>
                <w:sz w:val="24"/>
                <w:szCs w:val="24"/>
                <w:highlight w:val="none"/>
                <w:lang w:eastAsia="zh-CN"/>
              </w:rPr>
              <w:t>员工生活</w:t>
            </w:r>
            <w:r>
              <w:rPr>
                <w:rFonts w:hint="eastAsia" w:ascii="Times New Roman" w:hAnsi="Times New Roman" w:eastAsia="宋体" w:cs="Times New Roman"/>
                <w:color w:val="auto"/>
                <w:sz w:val="24"/>
                <w:szCs w:val="24"/>
                <w:highlight w:val="none"/>
                <w:lang w:val="en-US" w:eastAsia="zh-CN"/>
              </w:rPr>
              <w:t>用水等，</w:t>
            </w:r>
            <w:r>
              <w:rPr>
                <w:rFonts w:hint="default" w:ascii="Times New Roman" w:hAnsi="Times New Roman" w:eastAsia="宋体" w:cs="Times New Roman"/>
                <w:color w:val="auto"/>
                <w:sz w:val="24"/>
                <w:szCs w:val="24"/>
              </w:rPr>
              <w:t>用水总量为</w:t>
            </w:r>
            <w:r>
              <w:rPr>
                <w:rFonts w:hint="eastAsia"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shd w:val="clear" w:color="auto" w:fill="auto"/>
              </w:rPr>
              <w:t>d，</w:t>
            </w:r>
            <w:r>
              <w:rPr>
                <w:rFonts w:hint="eastAsia" w:ascii="Times New Roman" w:hAnsi="Times New Roman" w:eastAsia="宋体" w:cs="Times New Roman"/>
                <w:color w:val="auto"/>
                <w:sz w:val="24"/>
                <w:szCs w:val="24"/>
                <w:shd w:val="clear" w:color="auto" w:fill="auto"/>
                <w:lang w:val="en-US" w:eastAsia="zh-CN"/>
              </w:rPr>
              <w:t>1980.0</w:t>
            </w:r>
            <w:r>
              <w:rPr>
                <w:rFonts w:hint="default" w:ascii="Times New Roman" w:hAnsi="Times New Roman" w:eastAsia="宋体" w:cs="Times New Roman"/>
                <w:color w:val="auto"/>
                <w:sz w:val="24"/>
                <w:szCs w:val="24"/>
                <w:shd w:val="clear" w:color="auto" w:fill="auto"/>
              </w:rPr>
              <w:t>m</w:t>
            </w:r>
            <w:r>
              <w:rPr>
                <w:rFonts w:hint="default" w:ascii="Times New Roman" w:hAnsi="Times New Roman" w:eastAsia="宋体" w:cs="Times New Roman"/>
                <w:color w:val="auto"/>
                <w:sz w:val="24"/>
                <w:szCs w:val="24"/>
                <w:shd w:val="clear" w:color="auto" w:fill="auto"/>
                <w:vertAlign w:val="superscript"/>
              </w:rPr>
              <w:t>3</w:t>
            </w:r>
            <w:r>
              <w:rPr>
                <w:rFonts w:hint="default" w:ascii="Times New Roman" w:hAnsi="Times New Roman" w:eastAsia="宋体" w:cs="Times New Roman"/>
                <w:color w:val="auto"/>
                <w:sz w:val="24"/>
                <w:szCs w:val="24"/>
                <w:shd w:val="clear" w:color="auto" w:fill="auto"/>
              </w:rPr>
              <w:t>/a</w:t>
            </w:r>
            <w:r>
              <w:rPr>
                <w:rFonts w:hint="eastAsia" w:ascii="Times New Roman" w:hAnsi="Times New Roman" w:eastAsia="宋体" w:cs="Times New Roman"/>
                <w:color w:val="auto"/>
                <w:sz w:val="24"/>
                <w:szCs w:val="24"/>
                <w:shd w:val="clear" w:color="auto" w:fill="auto"/>
                <w:lang w:eastAsia="zh-CN"/>
              </w:rPr>
              <w:t>，</w:t>
            </w:r>
            <w:r>
              <w:rPr>
                <w:rFonts w:hint="default" w:ascii="Times New Roman" w:hAnsi="Times New Roman" w:eastAsia="宋体" w:cs="Times New Roman"/>
                <w:color w:val="auto"/>
                <w:sz w:val="24"/>
                <w:szCs w:val="24"/>
              </w:rPr>
              <w:t>最终废水</w:t>
            </w:r>
            <w:r>
              <w:rPr>
                <w:rFonts w:hint="eastAsia" w:ascii="Times New Roman" w:hAnsi="Times New Roman" w:eastAsia="宋体" w:cs="Times New Roman"/>
                <w:color w:val="auto"/>
                <w:sz w:val="24"/>
                <w:szCs w:val="24"/>
                <w:lang w:val="en-US" w:eastAsia="zh-CN"/>
              </w:rPr>
              <w:t>产生量8.61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1722.0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/a。项目水平衡图如图</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所示。</w:t>
            </w:r>
            <w:r>
              <w:rPr>
                <w:rFonts w:hint="default" w:ascii="Times New Roman" w:hAnsi="Times New Roman" w:eastAsia="宋体" w:cs="Times New Roman"/>
                <w:color w:val="auto"/>
                <w:sz w:val="24"/>
                <w:szCs w:val="24"/>
              </w:rPr>
              <w:object>
                <v:shape id="_x0000_i1025" o:spt="75" type="#_x0000_t75" style="height:198.75pt;width:422.2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00A0CB61">
            <w:pPr>
              <w:spacing w:line="360" w:lineRule="auto"/>
              <w:ind w:firstLine="482" w:firstLineChars="200"/>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图</w:t>
            </w:r>
            <w:r>
              <w:rPr>
                <w:rFonts w:hint="eastAsia"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rPr>
              <w:t>项目水量平衡图     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/d</w:t>
            </w:r>
            <w:r>
              <w:rPr>
                <w:rFonts w:hint="eastAsia" w:ascii="Times New Roman" w:hAnsi="Times New Roman" w:eastAsia="宋体" w:cs="Times New Roman"/>
                <w:b/>
                <w:bCs/>
                <w:color w:val="auto"/>
                <w:sz w:val="24"/>
                <w:szCs w:val="24"/>
                <w:lang w:val="en-US" w:eastAsia="zh-CN"/>
              </w:rPr>
              <w:t xml:space="preserve"> </w:t>
            </w:r>
          </w:p>
          <w:p w14:paraId="4CBD9C9B">
            <w:pPr>
              <w:rPr>
                <w:rFonts w:hint="eastAsia"/>
                <w:color w:val="auto"/>
                <w:lang w:val="en-US" w:eastAsia="zh-CN"/>
              </w:rPr>
            </w:pPr>
          </w:p>
          <w:p w14:paraId="5F9D1A2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九、环保投资</w:t>
            </w:r>
          </w:p>
          <w:p w14:paraId="080BE01E">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项目总投资</w:t>
            </w:r>
            <w:r>
              <w:rPr>
                <w:rFonts w:hint="eastAsia" w:ascii="Times New Roman" w:hAnsi="Times New Roman" w:eastAsia="宋体" w:cs="Times New Roman"/>
                <w:color w:val="auto"/>
                <w:sz w:val="24"/>
                <w:szCs w:val="24"/>
                <w:lang w:val="en-US" w:eastAsia="zh-CN"/>
              </w:rPr>
              <w:t>400.0</w:t>
            </w:r>
            <w:r>
              <w:rPr>
                <w:rFonts w:hint="eastAsia" w:ascii="Times New Roman" w:hAnsi="Times New Roman" w:eastAsia="宋体" w:cs="Times New Roman"/>
                <w:bCs/>
                <w:color w:val="auto"/>
                <w:kern w:val="2"/>
                <w:sz w:val="24"/>
                <w:szCs w:val="24"/>
                <w:lang w:val="en-US" w:eastAsia="zh-CN" w:bidi="ar-SA"/>
              </w:rPr>
              <w:t>万元，本评价工程的环保投资主要用于运营期的环境保护措施方面。其中环保投资22.4万元，环保投资占总投资的5.6%。环保投资明细详见表2-6。</w:t>
            </w:r>
          </w:p>
          <w:p w14:paraId="16A28859">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68" w:firstLineChars="9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bCs w:val="0"/>
                <w:color w:val="auto"/>
                <w:kern w:val="2"/>
                <w:sz w:val="24"/>
                <w:szCs w:val="24"/>
                <w:lang w:val="en-US" w:eastAsia="zh-CN" w:bidi="ar-SA"/>
              </w:rPr>
              <w:t xml:space="preserve">表2-6    环保投资估算一览表 </w:t>
            </w:r>
            <w:r>
              <w:rPr>
                <w:rFonts w:hint="default" w:ascii="Times New Roman" w:hAnsi="Times New Roman" w:eastAsia="宋体" w:cs="Times New Roman"/>
                <w:b/>
                <w:color w:val="auto"/>
                <w:sz w:val="24"/>
                <w:szCs w:val="24"/>
              </w:rPr>
              <w:t xml:space="preserve">   单位：万元</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33"/>
              <w:gridCol w:w="3021"/>
              <w:gridCol w:w="777"/>
              <w:gridCol w:w="1276"/>
              <w:gridCol w:w="1262"/>
            </w:tblGrid>
            <w:tr w14:paraId="395A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846" w:type="dxa"/>
                  <w:noWrap w:val="0"/>
                  <w:vAlign w:val="center"/>
                </w:tcPr>
                <w:p w14:paraId="17B874A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时段</w:t>
                  </w:r>
                </w:p>
              </w:tc>
              <w:tc>
                <w:tcPr>
                  <w:tcW w:w="1133" w:type="dxa"/>
                  <w:noWrap w:val="0"/>
                  <w:vAlign w:val="center"/>
                </w:tcPr>
                <w:p w14:paraId="3DFAD282">
                  <w:pPr>
                    <w:ind w:firstLine="316" w:firstLineChars="150"/>
                    <w:jc w:val="left"/>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3021" w:type="dxa"/>
                  <w:noWrap w:val="0"/>
                  <w:vAlign w:val="center"/>
                </w:tcPr>
                <w:p w14:paraId="150617DD">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环保措施</w:t>
                  </w:r>
                </w:p>
              </w:tc>
              <w:tc>
                <w:tcPr>
                  <w:tcW w:w="777" w:type="dxa"/>
                  <w:noWrap w:val="0"/>
                  <w:vAlign w:val="center"/>
                </w:tcPr>
                <w:p w14:paraId="2EE89A1A">
                  <w:pPr>
                    <w:ind w:firstLine="105" w:firstLineChars="5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数量</w:t>
                  </w:r>
                </w:p>
              </w:tc>
              <w:tc>
                <w:tcPr>
                  <w:tcW w:w="1276" w:type="dxa"/>
                  <w:noWrap w:val="0"/>
                  <w:vAlign w:val="center"/>
                </w:tcPr>
                <w:p w14:paraId="016879F5">
                  <w:pPr>
                    <w:ind w:firstLine="207" w:firstLineChars="98"/>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投资概算</w:t>
                  </w:r>
                </w:p>
              </w:tc>
              <w:tc>
                <w:tcPr>
                  <w:tcW w:w="1262" w:type="dxa"/>
                  <w:noWrap w:val="0"/>
                  <w:vAlign w:val="center"/>
                </w:tcPr>
                <w:p w14:paraId="19DC8F2C">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备注</w:t>
                  </w:r>
                </w:p>
              </w:tc>
            </w:tr>
            <w:tr w14:paraId="1A02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46" w:type="dxa"/>
                  <w:vMerge w:val="restart"/>
                  <w:noWrap w:val="0"/>
                  <w:vAlign w:val="center"/>
                </w:tcPr>
                <w:p w14:paraId="5AB3F48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施工期</w:t>
                  </w:r>
                </w:p>
              </w:tc>
              <w:tc>
                <w:tcPr>
                  <w:tcW w:w="1133" w:type="dxa"/>
                  <w:noWrap w:val="0"/>
                  <w:vAlign w:val="center"/>
                </w:tcPr>
                <w:p w14:paraId="1765BEA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3021" w:type="dxa"/>
                  <w:noWrap w:val="0"/>
                  <w:vAlign w:val="center"/>
                </w:tcPr>
                <w:p w14:paraId="16E999A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洒水设施、材料篷布遮盖</w:t>
                  </w:r>
                </w:p>
              </w:tc>
              <w:tc>
                <w:tcPr>
                  <w:tcW w:w="777" w:type="dxa"/>
                  <w:noWrap w:val="0"/>
                  <w:vAlign w:val="center"/>
                </w:tcPr>
                <w:p w14:paraId="56F2613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c>
                <w:tcPr>
                  <w:tcW w:w="1276" w:type="dxa"/>
                  <w:noWrap w:val="0"/>
                  <w:vAlign w:val="center"/>
                </w:tcPr>
                <w:p w14:paraId="22BA6E7F">
                  <w:pPr>
                    <w:ind w:firstLine="42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1262" w:type="dxa"/>
                  <w:noWrap w:val="0"/>
                  <w:vAlign w:val="center"/>
                </w:tcPr>
                <w:p w14:paraId="395F6CA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环评提出</w:t>
                  </w:r>
                </w:p>
              </w:tc>
            </w:tr>
            <w:tr w14:paraId="606F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46" w:type="dxa"/>
                  <w:vMerge w:val="continue"/>
                  <w:noWrap w:val="0"/>
                  <w:vAlign w:val="center"/>
                </w:tcPr>
                <w:p w14:paraId="2DB8B525">
                  <w:pPr>
                    <w:jc w:val="center"/>
                    <w:rPr>
                      <w:rFonts w:hint="default" w:ascii="Times New Roman" w:hAnsi="Times New Roman" w:eastAsia="宋体" w:cs="Times New Roman"/>
                      <w:color w:val="auto"/>
                      <w:szCs w:val="21"/>
                    </w:rPr>
                  </w:pPr>
                </w:p>
              </w:tc>
              <w:tc>
                <w:tcPr>
                  <w:tcW w:w="1133" w:type="dxa"/>
                  <w:noWrap w:val="0"/>
                  <w:vAlign w:val="center"/>
                </w:tcPr>
                <w:p w14:paraId="4BE534B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tc>
              <w:tc>
                <w:tcPr>
                  <w:tcW w:w="3021" w:type="dxa"/>
                  <w:noWrap w:val="0"/>
                  <w:vAlign w:val="center"/>
                </w:tcPr>
                <w:p w14:paraId="61C2BED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临时沉淀池（1.0m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77" w:type="dxa"/>
                  <w:noWrap w:val="0"/>
                  <w:vAlign w:val="center"/>
                </w:tcPr>
                <w:p w14:paraId="31ECED3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1座</w:t>
                  </w:r>
                </w:p>
              </w:tc>
              <w:tc>
                <w:tcPr>
                  <w:tcW w:w="1276" w:type="dxa"/>
                  <w:noWrap w:val="0"/>
                  <w:vAlign w:val="center"/>
                </w:tcPr>
                <w:p w14:paraId="62B7FAE5">
                  <w:pPr>
                    <w:ind w:firstLine="42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1262" w:type="dxa"/>
                  <w:noWrap w:val="0"/>
                  <w:vAlign w:val="center"/>
                </w:tcPr>
                <w:p w14:paraId="41B5355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环评提出</w:t>
                  </w:r>
                </w:p>
              </w:tc>
            </w:tr>
            <w:tr w14:paraId="703E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846" w:type="dxa"/>
                  <w:vMerge w:val="continue"/>
                  <w:noWrap w:val="0"/>
                  <w:vAlign w:val="center"/>
                </w:tcPr>
                <w:p w14:paraId="727583F8">
                  <w:pPr>
                    <w:jc w:val="center"/>
                    <w:rPr>
                      <w:rFonts w:hint="default" w:ascii="Times New Roman" w:hAnsi="Times New Roman" w:eastAsia="宋体" w:cs="Times New Roman"/>
                      <w:color w:val="auto"/>
                      <w:szCs w:val="21"/>
                    </w:rPr>
                  </w:pPr>
                </w:p>
              </w:tc>
              <w:tc>
                <w:tcPr>
                  <w:tcW w:w="1133" w:type="dxa"/>
                  <w:noWrap w:val="0"/>
                  <w:vAlign w:val="center"/>
                </w:tcPr>
                <w:p w14:paraId="0BBD26C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3021" w:type="dxa"/>
                  <w:noWrap w:val="0"/>
                  <w:vAlign w:val="center"/>
                </w:tcPr>
                <w:p w14:paraId="2F50390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施工期加强管理</w:t>
                  </w:r>
                </w:p>
              </w:tc>
              <w:tc>
                <w:tcPr>
                  <w:tcW w:w="777" w:type="dxa"/>
                  <w:noWrap w:val="0"/>
                  <w:vAlign w:val="center"/>
                </w:tcPr>
                <w:p w14:paraId="08FB052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vAlign w:val="center"/>
                </w:tcPr>
                <w:p w14:paraId="610F7879">
                  <w:pPr>
                    <w:ind w:firstLine="42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1262" w:type="dxa"/>
                  <w:noWrap w:val="0"/>
                  <w:vAlign w:val="center"/>
                </w:tcPr>
                <w:p w14:paraId="23A1273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环评提出</w:t>
                  </w:r>
                </w:p>
              </w:tc>
            </w:tr>
            <w:tr w14:paraId="3384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846" w:type="dxa"/>
                  <w:vMerge w:val="continue"/>
                  <w:noWrap w:val="0"/>
                  <w:vAlign w:val="center"/>
                </w:tcPr>
                <w:p w14:paraId="6A576B54">
                  <w:pPr>
                    <w:jc w:val="center"/>
                    <w:rPr>
                      <w:rFonts w:hint="default" w:ascii="Times New Roman" w:hAnsi="Times New Roman" w:eastAsia="宋体" w:cs="Times New Roman"/>
                      <w:color w:val="auto"/>
                      <w:szCs w:val="21"/>
                    </w:rPr>
                  </w:pPr>
                </w:p>
              </w:tc>
              <w:tc>
                <w:tcPr>
                  <w:tcW w:w="1133" w:type="dxa"/>
                  <w:noWrap w:val="0"/>
                  <w:vAlign w:val="center"/>
                </w:tcPr>
                <w:p w14:paraId="6FF13E3A">
                  <w:pPr>
                    <w:jc w:val="center"/>
                    <w:rPr>
                      <w:rFonts w:hint="default" w:ascii="Times New Roman" w:hAnsi="Times New Roman" w:eastAsia="宋体" w:cs="Times New Roman"/>
                      <w:color w:val="auto"/>
                      <w:szCs w:val="21"/>
                      <w:lang w:val="en-GB"/>
                    </w:rPr>
                  </w:pPr>
                  <w:r>
                    <w:rPr>
                      <w:rFonts w:hint="default" w:ascii="Times New Roman" w:hAnsi="Times New Roman" w:eastAsia="宋体" w:cs="Times New Roman"/>
                      <w:color w:val="auto"/>
                      <w:szCs w:val="21"/>
                      <w:lang w:val="en-GB"/>
                    </w:rPr>
                    <w:t>固废</w:t>
                  </w:r>
                </w:p>
              </w:tc>
              <w:tc>
                <w:tcPr>
                  <w:tcW w:w="3021" w:type="dxa"/>
                  <w:noWrap w:val="0"/>
                  <w:vAlign w:val="center"/>
                </w:tcPr>
                <w:p w14:paraId="0CADB93E">
                  <w:pPr>
                    <w:widowControl/>
                    <w:ind w:firstLine="718" w:firstLineChars="342"/>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建筑垃圾清运</w:t>
                  </w:r>
                </w:p>
              </w:tc>
              <w:tc>
                <w:tcPr>
                  <w:tcW w:w="777" w:type="dxa"/>
                  <w:noWrap w:val="0"/>
                  <w:vAlign w:val="center"/>
                </w:tcPr>
                <w:p w14:paraId="50D7666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vAlign w:val="center"/>
                </w:tcPr>
                <w:p w14:paraId="25375F61">
                  <w:pPr>
                    <w:ind w:firstLine="42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w:t>
                  </w:r>
                </w:p>
              </w:tc>
              <w:tc>
                <w:tcPr>
                  <w:tcW w:w="1262" w:type="dxa"/>
                  <w:noWrap w:val="0"/>
                  <w:vAlign w:val="center"/>
                </w:tcPr>
                <w:p w14:paraId="24C1C8F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环评提出</w:t>
                  </w:r>
                </w:p>
              </w:tc>
            </w:tr>
            <w:tr w14:paraId="42D4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846" w:type="dxa"/>
                  <w:vMerge w:val="restart"/>
                  <w:noWrap w:val="0"/>
                  <w:vAlign w:val="center"/>
                </w:tcPr>
                <w:p w14:paraId="5B41ADD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营运期</w:t>
                  </w:r>
                </w:p>
              </w:tc>
              <w:tc>
                <w:tcPr>
                  <w:tcW w:w="1133" w:type="dxa"/>
                  <w:vMerge w:val="restart"/>
                  <w:noWrap w:val="0"/>
                  <w:vAlign w:val="center"/>
                </w:tcPr>
                <w:p w14:paraId="3A1E34AF">
                  <w:pPr>
                    <w:jc w:val="center"/>
                    <w:rPr>
                      <w:rFonts w:hint="default" w:ascii="Times New Roman" w:hAnsi="Times New Roman" w:eastAsia="宋体" w:cs="Times New Roman"/>
                      <w:color w:val="auto"/>
                      <w:szCs w:val="21"/>
                      <w:lang w:val="en-GB"/>
                    </w:rPr>
                  </w:pPr>
                  <w:r>
                    <w:rPr>
                      <w:rFonts w:hint="default" w:ascii="Times New Roman" w:hAnsi="Times New Roman" w:eastAsia="宋体" w:cs="Times New Roman"/>
                      <w:color w:val="auto"/>
                      <w:szCs w:val="21"/>
                      <w:lang w:val="en-GB"/>
                    </w:rPr>
                    <w:t>废气</w:t>
                  </w:r>
                </w:p>
              </w:tc>
              <w:tc>
                <w:tcPr>
                  <w:tcW w:w="3021" w:type="dxa"/>
                  <w:noWrap w:val="0"/>
                  <w:vAlign w:val="center"/>
                </w:tcPr>
                <w:p w14:paraId="37F53965">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生产车间内</w:t>
                  </w: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原料堆放区；设置废料堆放棚</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不露天堆放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严禁物料堆放高度超出堆场隔墙，</w:t>
                  </w:r>
                  <w:r>
                    <w:rPr>
                      <w:rFonts w:hint="default" w:ascii="Times New Roman" w:hAnsi="Times New Roman" w:eastAsia="宋体" w:cs="Times New Roman"/>
                      <w:color w:val="auto"/>
                      <w:sz w:val="21"/>
                      <w:szCs w:val="21"/>
                    </w:rPr>
                    <w:t>缩短堆放时间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厂区硬化，定期清扫、洒水降尘</w:t>
                  </w:r>
                  <w:r>
                    <w:rPr>
                      <w:rFonts w:hint="eastAsia" w:ascii="Times New Roman" w:hAnsi="Times New Roman" w:eastAsia="宋体" w:cs="Times New Roman"/>
                      <w:color w:val="auto"/>
                      <w:sz w:val="21"/>
                      <w:szCs w:val="21"/>
                      <w:lang w:val="en-US" w:eastAsia="zh-CN"/>
                    </w:rPr>
                    <w:t>；运输车斗采用</w:t>
                  </w:r>
                  <w:r>
                    <w:rPr>
                      <w:rFonts w:hint="default" w:ascii="Times New Roman" w:hAnsi="Times New Roman" w:eastAsia="宋体" w:cs="Times New Roman"/>
                      <w:color w:val="auto"/>
                      <w:sz w:val="21"/>
                      <w:szCs w:val="21"/>
                    </w:rPr>
                    <w:t>苫布覆盖</w:t>
                  </w:r>
                </w:p>
              </w:tc>
              <w:tc>
                <w:tcPr>
                  <w:tcW w:w="777" w:type="dxa"/>
                  <w:noWrap w:val="0"/>
                  <w:vAlign w:val="center"/>
                </w:tcPr>
                <w:p w14:paraId="14FD46A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1套</w:t>
                  </w:r>
                </w:p>
              </w:tc>
              <w:tc>
                <w:tcPr>
                  <w:tcW w:w="1276" w:type="dxa"/>
                  <w:noWrap w:val="0"/>
                  <w:vAlign w:val="center"/>
                </w:tcPr>
                <w:p w14:paraId="6A5926A1">
                  <w:pPr>
                    <w:ind w:firstLine="420" w:firstLineChars="20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262" w:type="dxa"/>
                  <w:noWrap w:val="0"/>
                  <w:vAlign w:val="center"/>
                </w:tcPr>
                <w:p w14:paraId="6DA13C7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环评提出</w:t>
                  </w:r>
                </w:p>
              </w:tc>
            </w:tr>
            <w:tr w14:paraId="48DD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09C90DF0">
                  <w:pPr>
                    <w:jc w:val="center"/>
                    <w:rPr>
                      <w:rFonts w:hint="default" w:ascii="Times New Roman" w:hAnsi="Times New Roman" w:eastAsia="宋体" w:cs="Times New Roman"/>
                      <w:color w:val="auto"/>
                      <w:szCs w:val="21"/>
                    </w:rPr>
                  </w:pPr>
                </w:p>
              </w:tc>
              <w:tc>
                <w:tcPr>
                  <w:tcW w:w="1133" w:type="dxa"/>
                  <w:vMerge w:val="continue"/>
                  <w:noWrap w:val="0"/>
                  <w:vAlign w:val="center"/>
                </w:tcPr>
                <w:p w14:paraId="192DF59A">
                  <w:pPr>
                    <w:jc w:val="center"/>
                    <w:rPr>
                      <w:rFonts w:hint="default" w:ascii="Times New Roman" w:hAnsi="Times New Roman" w:eastAsia="宋体" w:cs="Times New Roman"/>
                      <w:color w:val="auto"/>
                      <w:szCs w:val="21"/>
                      <w:lang w:val="en-GB"/>
                    </w:rPr>
                  </w:pPr>
                </w:p>
              </w:tc>
              <w:tc>
                <w:tcPr>
                  <w:tcW w:w="3021" w:type="dxa"/>
                  <w:noWrap w:val="0"/>
                  <w:vAlign w:val="center"/>
                </w:tcPr>
                <w:p w14:paraId="4352CD2F">
                  <w:pPr>
                    <w:widowControl/>
                    <w:snapToGrid w:val="0"/>
                    <w:jc w:val="center"/>
                    <w:rPr>
                      <w:rFonts w:hint="default" w:ascii="Times New Roman" w:hAnsi="Times New Roman" w:eastAsia="宋体" w:cs="Times New Roman"/>
                      <w:color w:val="auto"/>
                      <w:szCs w:val="21"/>
                      <w:lang w:val="en-US" w:eastAsia="zh-CN"/>
                    </w:rPr>
                  </w:pPr>
                  <w:r>
                    <w:rPr>
                      <w:rFonts w:hint="eastAsia" w:eastAsia="宋体"/>
                      <w:color w:val="auto"/>
                      <w:szCs w:val="21"/>
                      <w:lang w:val="en-US" w:eastAsia="zh-CN"/>
                    </w:rPr>
                    <w:t>3台开口设备自带1套布袋除尘器，集气效率90%，除尘效率不低于98%，同时在排气口末端设置布袋二级除尘，总的除尘效率可达99.96%。生产车间半封闭，无组织粉尘在生产车间内自然沉降</w:t>
                  </w:r>
                </w:p>
              </w:tc>
              <w:tc>
                <w:tcPr>
                  <w:tcW w:w="777" w:type="dxa"/>
                  <w:noWrap w:val="0"/>
                  <w:vAlign w:val="center"/>
                </w:tcPr>
                <w:p w14:paraId="59651EB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1套</w:t>
                  </w:r>
                </w:p>
              </w:tc>
              <w:tc>
                <w:tcPr>
                  <w:tcW w:w="1276" w:type="dxa"/>
                  <w:noWrap w:val="0"/>
                  <w:vAlign w:val="center"/>
                </w:tcPr>
                <w:p w14:paraId="1F3EB25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262" w:type="dxa"/>
                  <w:noWrap w:val="0"/>
                  <w:vAlign w:val="center"/>
                </w:tcPr>
                <w:p w14:paraId="29F60B15">
                  <w:pPr>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设计</w:t>
                  </w:r>
                  <w:r>
                    <w:rPr>
                      <w:rFonts w:hint="default" w:ascii="Times New Roman" w:hAnsi="Times New Roman" w:eastAsia="宋体" w:cs="Times New Roman"/>
                      <w:color w:val="auto"/>
                      <w:szCs w:val="21"/>
                      <w:lang w:eastAsia="zh-CN"/>
                    </w:rPr>
                    <w:t>提出</w:t>
                  </w:r>
                </w:p>
              </w:tc>
            </w:tr>
            <w:tr w14:paraId="7387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46" w:type="dxa"/>
                  <w:vMerge w:val="continue"/>
                  <w:noWrap w:val="0"/>
                  <w:vAlign w:val="center"/>
                </w:tcPr>
                <w:p w14:paraId="19349EB7">
                  <w:pPr>
                    <w:jc w:val="center"/>
                    <w:rPr>
                      <w:rFonts w:hint="default" w:ascii="Times New Roman" w:hAnsi="Times New Roman" w:eastAsia="宋体" w:cs="Times New Roman"/>
                      <w:color w:val="auto"/>
                      <w:szCs w:val="21"/>
                    </w:rPr>
                  </w:pPr>
                </w:p>
              </w:tc>
              <w:tc>
                <w:tcPr>
                  <w:tcW w:w="1133" w:type="dxa"/>
                  <w:vMerge w:val="continue"/>
                  <w:noWrap w:val="0"/>
                  <w:vAlign w:val="center"/>
                </w:tcPr>
                <w:p w14:paraId="771AE7DC">
                  <w:pPr>
                    <w:jc w:val="center"/>
                    <w:rPr>
                      <w:rFonts w:hint="default" w:ascii="Times New Roman" w:hAnsi="Times New Roman" w:eastAsia="宋体" w:cs="Times New Roman"/>
                      <w:color w:val="auto"/>
                      <w:szCs w:val="21"/>
                      <w:lang w:val="en-GB"/>
                    </w:rPr>
                  </w:pPr>
                </w:p>
              </w:tc>
              <w:tc>
                <w:tcPr>
                  <w:tcW w:w="3021" w:type="dxa"/>
                  <w:noWrap w:val="0"/>
                  <w:vAlign w:val="center"/>
                </w:tcPr>
                <w:p w14:paraId="35C3863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抽油烟机</w:t>
                  </w:r>
                </w:p>
              </w:tc>
              <w:tc>
                <w:tcPr>
                  <w:tcW w:w="777" w:type="dxa"/>
                  <w:noWrap w:val="0"/>
                  <w:vAlign w:val="center"/>
                </w:tcPr>
                <w:p w14:paraId="146AB5D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1套</w:t>
                  </w:r>
                </w:p>
              </w:tc>
              <w:tc>
                <w:tcPr>
                  <w:tcW w:w="1276" w:type="dxa"/>
                  <w:noWrap w:val="0"/>
                  <w:vAlign w:val="center"/>
                </w:tcPr>
                <w:p w14:paraId="57D61A7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1262" w:type="dxa"/>
                  <w:noWrap w:val="0"/>
                  <w:vAlign w:val="center"/>
                </w:tcPr>
                <w:p w14:paraId="76359F9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环评提出</w:t>
                  </w:r>
                </w:p>
              </w:tc>
            </w:tr>
            <w:tr w14:paraId="331E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846" w:type="dxa"/>
                  <w:vMerge w:val="continue"/>
                  <w:noWrap w:val="0"/>
                  <w:vAlign w:val="center"/>
                </w:tcPr>
                <w:p w14:paraId="1053A553">
                  <w:pPr>
                    <w:jc w:val="center"/>
                    <w:rPr>
                      <w:rFonts w:hint="default" w:ascii="Times New Roman" w:hAnsi="Times New Roman" w:eastAsia="宋体" w:cs="Times New Roman"/>
                      <w:color w:val="auto"/>
                      <w:szCs w:val="21"/>
                    </w:rPr>
                  </w:pPr>
                </w:p>
              </w:tc>
              <w:tc>
                <w:tcPr>
                  <w:tcW w:w="1133" w:type="dxa"/>
                  <w:vMerge w:val="restart"/>
                  <w:noWrap w:val="0"/>
                  <w:vAlign w:val="center"/>
                </w:tcPr>
                <w:p w14:paraId="5F159B1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3021" w:type="dxa"/>
                  <w:noWrap w:val="0"/>
                  <w:vAlign w:val="center"/>
                </w:tcPr>
                <w:p w14:paraId="2AE1D882">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雨污分流系统</w:t>
                  </w:r>
                </w:p>
              </w:tc>
              <w:tc>
                <w:tcPr>
                  <w:tcW w:w="777" w:type="dxa"/>
                  <w:noWrap w:val="0"/>
                  <w:vAlign w:val="center"/>
                </w:tcPr>
                <w:p w14:paraId="663CFC3B">
                  <w:pPr>
                    <w:jc w:val="center"/>
                    <w:rPr>
                      <w:rFonts w:hint="default" w:ascii="Times New Roman" w:hAnsi="Times New Roman" w:eastAsia="宋体" w:cs="Times New Roman"/>
                      <w:color w:val="auto"/>
                      <w:szCs w:val="21"/>
                      <w:lang w:val="en-GB" w:eastAsia="zh-TW"/>
                    </w:rPr>
                  </w:pPr>
                  <w:r>
                    <w:rPr>
                      <w:rFonts w:hint="default" w:ascii="Times New Roman" w:hAnsi="Times New Roman" w:eastAsia="宋体" w:cs="Times New Roman"/>
                      <w:color w:val="auto"/>
                      <w:szCs w:val="21"/>
                      <w:lang w:val="en-GB" w:eastAsia="zh-TW"/>
                    </w:rPr>
                    <w:t>1套</w:t>
                  </w:r>
                </w:p>
              </w:tc>
              <w:tc>
                <w:tcPr>
                  <w:tcW w:w="1276" w:type="dxa"/>
                  <w:noWrap w:val="0"/>
                  <w:vAlign w:val="center"/>
                </w:tcPr>
                <w:p w14:paraId="452DC3E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262" w:type="dxa"/>
                  <w:noWrap w:val="0"/>
                  <w:vAlign w:val="center"/>
                </w:tcPr>
                <w:p w14:paraId="73FF6B83">
                  <w:pPr>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环评提出</w:t>
                  </w:r>
                </w:p>
              </w:tc>
            </w:tr>
            <w:tr w14:paraId="5D0D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exact"/>
                <w:jc w:val="center"/>
              </w:trPr>
              <w:tc>
                <w:tcPr>
                  <w:tcW w:w="846" w:type="dxa"/>
                  <w:vMerge w:val="continue"/>
                  <w:noWrap w:val="0"/>
                  <w:vAlign w:val="center"/>
                </w:tcPr>
                <w:p w14:paraId="1C0A44BD">
                  <w:pPr>
                    <w:jc w:val="center"/>
                    <w:rPr>
                      <w:rFonts w:hint="default" w:ascii="Times New Roman" w:hAnsi="Times New Roman" w:eastAsia="宋体" w:cs="Times New Roman"/>
                      <w:color w:val="auto"/>
                      <w:szCs w:val="21"/>
                      <w:highlight w:val="yellow"/>
                    </w:rPr>
                  </w:pPr>
                </w:p>
              </w:tc>
              <w:tc>
                <w:tcPr>
                  <w:tcW w:w="1133" w:type="dxa"/>
                  <w:vMerge w:val="continue"/>
                  <w:noWrap w:val="0"/>
                  <w:vAlign w:val="center"/>
                </w:tcPr>
                <w:p w14:paraId="313EBDFA">
                  <w:pPr>
                    <w:jc w:val="center"/>
                    <w:rPr>
                      <w:rFonts w:hint="default" w:ascii="Times New Roman" w:hAnsi="Times New Roman" w:eastAsia="宋体" w:cs="Times New Roman"/>
                      <w:color w:val="auto"/>
                      <w:szCs w:val="21"/>
                      <w:highlight w:val="yellow"/>
                      <w:lang w:val="en-GB"/>
                    </w:rPr>
                  </w:pPr>
                </w:p>
              </w:tc>
              <w:tc>
                <w:tcPr>
                  <w:tcW w:w="3021" w:type="dxa"/>
                  <w:noWrap w:val="0"/>
                  <w:vAlign w:val="center"/>
                </w:tcPr>
                <w:p w14:paraId="5A3310C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化粪池（容积为4.0m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77" w:type="dxa"/>
                  <w:noWrap w:val="0"/>
                  <w:vAlign w:val="center"/>
                </w:tcPr>
                <w:p w14:paraId="07B9A241">
                  <w:pPr>
                    <w:jc w:val="center"/>
                    <w:rPr>
                      <w:rFonts w:hint="default" w:ascii="Times New Roman" w:hAnsi="Times New Roman" w:eastAsia="宋体" w:cs="Times New Roman"/>
                      <w:color w:val="auto"/>
                      <w:szCs w:val="21"/>
                      <w:lang w:val="en-GB" w:eastAsia="zh-TW"/>
                    </w:rPr>
                  </w:pPr>
                  <w:r>
                    <w:rPr>
                      <w:rFonts w:hint="default" w:ascii="Times New Roman" w:hAnsi="Times New Roman" w:eastAsia="宋体" w:cs="Times New Roman"/>
                      <w:color w:val="auto"/>
                      <w:szCs w:val="21"/>
                      <w:lang w:val="en-GB" w:eastAsia="zh-TW"/>
                    </w:rPr>
                    <w:t>1座</w:t>
                  </w:r>
                </w:p>
              </w:tc>
              <w:tc>
                <w:tcPr>
                  <w:tcW w:w="1276" w:type="dxa"/>
                  <w:noWrap w:val="0"/>
                  <w:vAlign w:val="center"/>
                </w:tcPr>
                <w:p w14:paraId="42EA91C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262" w:type="dxa"/>
                  <w:noWrap w:val="0"/>
                  <w:vAlign w:val="center"/>
                </w:tcPr>
                <w:p w14:paraId="63DA357E">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设计提出</w:t>
                  </w:r>
                </w:p>
              </w:tc>
            </w:tr>
            <w:tr w14:paraId="057D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846" w:type="dxa"/>
                  <w:vMerge w:val="continue"/>
                  <w:noWrap w:val="0"/>
                  <w:vAlign w:val="center"/>
                </w:tcPr>
                <w:p w14:paraId="6689D746">
                  <w:pPr>
                    <w:jc w:val="center"/>
                    <w:rPr>
                      <w:rFonts w:hint="default" w:ascii="Times New Roman" w:hAnsi="Times New Roman" w:eastAsia="宋体" w:cs="Times New Roman"/>
                      <w:color w:val="auto"/>
                      <w:szCs w:val="21"/>
                      <w:highlight w:val="yellow"/>
                    </w:rPr>
                  </w:pPr>
                </w:p>
              </w:tc>
              <w:tc>
                <w:tcPr>
                  <w:tcW w:w="1133" w:type="dxa"/>
                  <w:vMerge w:val="continue"/>
                  <w:noWrap w:val="0"/>
                  <w:vAlign w:val="center"/>
                </w:tcPr>
                <w:p w14:paraId="43FA2752">
                  <w:pPr>
                    <w:jc w:val="center"/>
                    <w:rPr>
                      <w:rFonts w:hint="default" w:ascii="Times New Roman" w:hAnsi="Times New Roman" w:eastAsia="宋体" w:cs="Times New Roman"/>
                      <w:color w:val="auto"/>
                      <w:szCs w:val="21"/>
                      <w:highlight w:val="yellow"/>
                      <w:lang w:val="en-GB"/>
                    </w:rPr>
                  </w:pPr>
                </w:p>
              </w:tc>
              <w:tc>
                <w:tcPr>
                  <w:tcW w:w="3021" w:type="dxa"/>
                  <w:noWrap w:val="0"/>
                  <w:vAlign w:val="center"/>
                </w:tcPr>
                <w:p w14:paraId="191C783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隔油池（容积为1.0m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777" w:type="dxa"/>
                  <w:noWrap w:val="0"/>
                  <w:vAlign w:val="center"/>
                </w:tcPr>
                <w:p w14:paraId="03B90C6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1个</w:t>
                  </w:r>
                </w:p>
              </w:tc>
              <w:tc>
                <w:tcPr>
                  <w:tcW w:w="1276" w:type="dxa"/>
                  <w:noWrap w:val="0"/>
                  <w:vAlign w:val="center"/>
                </w:tcPr>
                <w:p w14:paraId="6376033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1262" w:type="dxa"/>
                  <w:noWrap w:val="0"/>
                  <w:vAlign w:val="center"/>
                </w:tcPr>
                <w:p w14:paraId="39CB92FC">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设计提出</w:t>
                  </w:r>
                </w:p>
              </w:tc>
            </w:tr>
            <w:tr w14:paraId="08E7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exact"/>
                <w:jc w:val="center"/>
              </w:trPr>
              <w:tc>
                <w:tcPr>
                  <w:tcW w:w="846" w:type="dxa"/>
                  <w:vMerge w:val="continue"/>
                  <w:noWrap w:val="0"/>
                  <w:vAlign w:val="center"/>
                </w:tcPr>
                <w:p w14:paraId="1F82BFB6">
                  <w:pPr>
                    <w:jc w:val="center"/>
                    <w:rPr>
                      <w:rFonts w:hint="default" w:ascii="Times New Roman" w:hAnsi="Times New Roman" w:eastAsia="宋体" w:cs="Times New Roman"/>
                      <w:color w:val="auto"/>
                      <w:szCs w:val="21"/>
                      <w:highlight w:val="yellow"/>
                    </w:rPr>
                  </w:pPr>
                </w:p>
              </w:tc>
              <w:tc>
                <w:tcPr>
                  <w:tcW w:w="1133" w:type="dxa"/>
                  <w:vMerge w:val="continue"/>
                  <w:noWrap w:val="0"/>
                  <w:vAlign w:val="center"/>
                </w:tcPr>
                <w:p w14:paraId="62DC99E7">
                  <w:pPr>
                    <w:jc w:val="center"/>
                    <w:rPr>
                      <w:rFonts w:hint="default" w:ascii="Times New Roman" w:hAnsi="Times New Roman" w:eastAsia="宋体" w:cs="Times New Roman"/>
                      <w:color w:val="auto"/>
                      <w:szCs w:val="21"/>
                      <w:highlight w:val="yellow"/>
                      <w:lang w:val="en-GB"/>
                    </w:rPr>
                  </w:pPr>
                </w:p>
              </w:tc>
              <w:tc>
                <w:tcPr>
                  <w:tcW w:w="3021" w:type="dxa"/>
                  <w:noWrap w:val="0"/>
                  <w:vAlign w:val="center"/>
                </w:tcPr>
                <w:p w14:paraId="34FDF79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自建污水处理站（沉淀分离+厌氧生物+好氧生物处理工艺）处理后生产废水，处理规模为10m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/d。在污水处理站的末端设置1座贮水池，容积为10m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，用于贮存污水处理站处理后的废水，同时购置1辆密闭罐车用于废水的转运</w:t>
                  </w:r>
                </w:p>
              </w:tc>
              <w:tc>
                <w:tcPr>
                  <w:tcW w:w="777" w:type="dxa"/>
                  <w:noWrap w:val="0"/>
                  <w:vAlign w:val="center"/>
                </w:tcPr>
                <w:p w14:paraId="5B783D7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GB" w:eastAsia="zh-TW"/>
                    </w:rPr>
                    <w:t>1座</w:t>
                  </w:r>
                </w:p>
              </w:tc>
              <w:tc>
                <w:tcPr>
                  <w:tcW w:w="1276" w:type="dxa"/>
                  <w:noWrap w:val="0"/>
                  <w:vAlign w:val="center"/>
                </w:tcPr>
                <w:p w14:paraId="2CA701E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1262" w:type="dxa"/>
                  <w:noWrap w:val="0"/>
                  <w:vAlign w:val="center"/>
                </w:tcPr>
                <w:p w14:paraId="3F54642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环评提出</w:t>
                  </w:r>
                </w:p>
              </w:tc>
            </w:tr>
            <w:tr w14:paraId="225B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846" w:type="dxa"/>
                  <w:vMerge w:val="continue"/>
                  <w:noWrap w:val="0"/>
                  <w:vAlign w:val="center"/>
                </w:tcPr>
                <w:p w14:paraId="146519FC">
                  <w:pPr>
                    <w:jc w:val="center"/>
                    <w:rPr>
                      <w:rFonts w:hint="default" w:ascii="Times New Roman" w:hAnsi="Times New Roman" w:eastAsia="宋体" w:cs="Times New Roman"/>
                      <w:color w:val="auto"/>
                      <w:szCs w:val="21"/>
                    </w:rPr>
                  </w:pPr>
                </w:p>
              </w:tc>
              <w:tc>
                <w:tcPr>
                  <w:tcW w:w="1133" w:type="dxa"/>
                  <w:noWrap w:val="0"/>
                  <w:vAlign w:val="center"/>
                </w:tcPr>
                <w:p w14:paraId="0A254BF6">
                  <w:pPr>
                    <w:jc w:val="center"/>
                    <w:rPr>
                      <w:rFonts w:hint="default" w:ascii="Times New Roman" w:hAnsi="Times New Roman" w:eastAsia="宋体" w:cs="Times New Roman"/>
                      <w:color w:val="auto"/>
                      <w:szCs w:val="21"/>
                      <w:lang w:val="en-GB"/>
                    </w:rPr>
                  </w:pPr>
                  <w:r>
                    <w:rPr>
                      <w:rFonts w:hint="default" w:ascii="Times New Roman" w:hAnsi="Times New Roman" w:eastAsia="宋体" w:cs="Times New Roman"/>
                      <w:color w:val="auto"/>
                      <w:szCs w:val="21"/>
                      <w:lang w:val="en-GB"/>
                    </w:rPr>
                    <w:t>噪声</w:t>
                  </w:r>
                </w:p>
              </w:tc>
              <w:tc>
                <w:tcPr>
                  <w:tcW w:w="3021" w:type="dxa"/>
                  <w:noWrap w:val="0"/>
                  <w:vAlign w:val="center"/>
                </w:tcPr>
                <w:p w14:paraId="25C8A886">
                  <w:pPr>
                    <w:snapToGrid w:val="0"/>
                    <w:spacing w:line="360" w:lineRule="exact"/>
                    <w:jc w:val="center"/>
                    <w:rPr>
                      <w:rFonts w:hint="default" w:ascii="Times New Roman" w:hAnsi="Times New Roman" w:eastAsia="宋体" w:cs="Times New Roman"/>
                      <w:color w:val="auto"/>
                      <w:kern w:val="0"/>
                      <w:szCs w:val="21"/>
                    </w:rPr>
                  </w:pPr>
                  <w:r>
                    <w:rPr>
                      <w:rFonts w:hint="eastAsia"/>
                      <w:color w:val="auto"/>
                      <w:szCs w:val="21"/>
                    </w:rPr>
                    <w:t>软连接、减震垫；</w:t>
                  </w:r>
                  <w:r>
                    <w:rPr>
                      <w:rFonts w:hint="eastAsia"/>
                      <w:color w:val="auto"/>
                      <w:szCs w:val="21"/>
                      <w:lang w:val="en-US" w:eastAsia="zh-CN"/>
                    </w:rPr>
                    <w:t>车间隔声</w:t>
                  </w:r>
                </w:p>
              </w:tc>
              <w:tc>
                <w:tcPr>
                  <w:tcW w:w="777" w:type="dxa"/>
                  <w:noWrap w:val="0"/>
                  <w:vAlign w:val="center"/>
                </w:tcPr>
                <w:p w14:paraId="6D891D18">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1276" w:type="dxa"/>
                  <w:noWrap w:val="0"/>
                  <w:vAlign w:val="center"/>
                </w:tcPr>
                <w:p w14:paraId="45A93E5F">
                  <w:pPr>
                    <w:widowControl/>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2.0</w:t>
                  </w:r>
                </w:p>
              </w:tc>
              <w:tc>
                <w:tcPr>
                  <w:tcW w:w="1262" w:type="dxa"/>
                  <w:noWrap w:val="0"/>
                  <w:vAlign w:val="center"/>
                </w:tcPr>
                <w:p w14:paraId="4331E0C9">
                  <w:pPr>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环评提出</w:t>
                  </w:r>
                </w:p>
              </w:tc>
            </w:tr>
            <w:tr w14:paraId="3F9D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846" w:type="dxa"/>
                  <w:vMerge w:val="continue"/>
                  <w:noWrap w:val="0"/>
                  <w:vAlign w:val="center"/>
                </w:tcPr>
                <w:p w14:paraId="78C96D76">
                  <w:pPr>
                    <w:jc w:val="center"/>
                    <w:rPr>
                      <w:rFonts w:hint="default" w:ascii="Times New Roman" w:hAnsi="Times New Roman" w:eastAsia="宋体" w:cs="Times New Roman"/>
                      <w:color w:val="auto"/>
                      <w:szCs w:val="21"/>
                    </w:rPr>
                  </w:pPr>
                </w:p>
              </w:tc>
              <w:tc>
                <w:tcPr>
                  <w:tcW w:w="1133" w:type="dxa"/>
                  <w:noWrap w:val="0"/>
                  <w:vAlign w:val="center"/>
                </w:tcPr>
                <w:p w14:paraId="4C134B98">
                  <w:pPr>
                    <w:jc w:val="center"/>
                    <w:rPr>
                      <w:rFonts w:hint="default" w:ascii="Times New Roman" w:hAnsi="Times New Roman" w:eastAsia="宋体" w:cs="Times New Roman"/>
                      <w:color w:val="auto"/>
                      <w:szCs w:val="21"/>
                      <w:lang w:val="en-GB"/>
                    </w:rPr>
                  </w:pPr>
                  <w:r>
                    <w:rPr>
                      <w:rFonts w:hint="default" w:ascii="Times New Roman" w:hAnsi="Times New Roman" w:eastAsia="宋体" w:cs="Times New Roman"/>
                      <w:color w:val="auto"/>
                      <w:szCs w:val="21"/>
                      <w:lang w:val="en-GB"/>
                    </w:rPr>
                    <w:t>固废</w:t>
                  </w:r>
                </w:p>
              </w:tc>
              <w:tc>
                <w:tcPr>
                  <w:tcW w:w="3021" w:type="dxa"/>
                  <w:noWrap w:val="0"/>
                  <w:vAlign w:val="center"/>
                </w:tcPr>
                <w:p w14:paraId="5E61DB0B">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垃圾收集桶</w:t>
                  </w:r>
                </w:p>
              </w:tc>
              <w:tc>
                <w:tcPr>
                  <w:tcW w:w="777" w:type="dxa"/>
                  <w:noWrap w:val="0"/>
                  <w:vAlign w:val="center"/>
                </w:tcPr>
                <w:p w14:paraId="06E4FA84">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2个</w:t>
                  </w:r>
                </w:p>
              </w:tc>
              <w:tc>
                <w:tcPr>
                  <w:tcW w:w="1276" w:type="dxa"/>
                  <w:noWrap w:val="0"/>
                  <w:vAlign w:val="center"/>
                </w:tcPr>
                <w:p w14:paraId="59338FDD">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w:t>
                  </w:r>
                </w:p>
              </w:tc>
              <w:tc>
                <w:tcPr>
                  <w:tcW w:w="1262" w:type="dxa"/>
                  <w:noWrap w:val="0"/>
                  <w:vAlign w:val="center"/>
                </w:tcPr>
                <w:p w14:paraId="59D37CE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设计提出</w:t>
                  </w:r>
                </w:p>
              </w:tc>
            </w:tr>
            <w:tr w14:paraId="5AA3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exact"/>
                <w:jc w:val="center"/>
              </w:trPr>
              <w:tc>
                <w:tcPr>
                  <w:tcW w:w="846" w:type="dxa"/>
                  <w:vMerge w:val="continue"/>
                  <w:noWrap w:val="0"/>
                  <w:vAlign w:val="center"/>
                </w:tcPr>
                <w:p w14:paraId="4961153A">
                  <w:pPr>
                    <w:jc w:val="center"/>
                    <w:rPr>
                      <w:rFonts w:hint="default" w:ascii="Times New Roman" w:hAnsi="Times New Roman" w:eastAsia="宋体" w:cs="Times New Roman"/>
                      <w:color w:val="auto"/>
                      <w:szCs w:val="21"/>
                    </w:rPr>
                  </w:pPr>
                </w:p>
              </w:tc>
              <w:tc>
                <w:tcPr>
                  <w:tcW w:w="1133" w:type="dxa"/>
                  <w:noWrap w:val="0"/>
                  <w:vAlign w:val="center"/>
                </w:tcPr>
                <w:p w14:paraId="19FC67D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GB"/>
                    </w:rPr>
                    <w:t>地下水防治措施</w:t>
                  </w:r>
                </w:p>
              </w:tc>
              <w:tc>
                <w:tcPr>
                  <w:tcW w:w="3021" w:type="dxa"/>
                  <w:noWrap w:val="0"/>
                  <w:vAlign w:val="center"/>
                </w:tcPr>
                <w:p w14:paraId="32E1CE49">
                  <w:pPr>
                    <w:keepNext w:val="0"/>
                    <w:keepLines w:val="0"/>
                    <w:widowControl/>
                    <w:suppressLineNumbers w:val="0"/>
                    <w:jc w:val="center"/>
                    <w:rPr>
                      <w:rFonts w:hint="eastAsia" w:ascii="Times New Roman" w:hAnsi="Times New Roman" w:eastAsia="宋体" w:cs="Times New Roman"/>
                      <w:color w:val="auto"/>
                      <w:szCs w:val="21"/>
                      <w:lang w:val="en-GB" w:eastAsia="zh-CN"/>
                    </w:rPr>
                  </w:pPr>
                  <w:r>
                    <w:rPr>
                      <w:rFonts w:hint="eastAsia" w:ascii="宋体" w:hAnsi="宋体" w:eastAsia="宋体" w:cs="宋体"/>
                      <w:color w:val="auto"/>
                      <w:kern w:val="0"/>
                      <w:sz w:val="21"/>
                      <w:szCs w:val="21"/>
                      <w:lang w:val="en-US" w:eastAsia="zh-CN" w:bidi="ar"/>
                    </w:rPr>
                    <w:t>化粪池、废水收集池等采取防渗、防漏、防雨措施</w:t>
                  </w:r>
                </w:p>
              </w:tc>
              <w:tc>
                <w:tcPr>
                  <w:tcW w:w="777" w:type="dxa"/>
                  <w:noWrap w:val="0"/>
                  <w:vAlign w:val="center"/>
                </w:tcPr>
                <w:p w14:paraId="1EA8DA2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vAlign w:val="center"/>
                </w:tcPr>
                <w:p w14:paraId="02480EC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262" w:type="dxa"/>
                  <w:noWrap w:val="0"/>
                  <w:vAlign w:val="center"/>
                </w:tcPr>
                <w:p w14:paraId="3AA78E6D">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环评提出</w:t>
                  </w:r>
                </w:p>
              </w:tc>
            </w:tr>
            <w:tr w14:paraId="31A4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5777" w:type="dxa"/>
                  <w:gridSpan w:val="4"/>
                  <w:noWrap w:val="0"/>
                  <w:vAlign w:val="center"/>
                </w:tcPr>
                <w:p w14:paraId="06AC295E">
                  <w:pPr>
                    <w:jc w:val="center"/>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rPr>
                    <w:t>合计</w:t>
                  </w:r>
                </w:p>
              </w:tc>
              <w:tc>
                <w:tcPr>
                  <w:tcW w:w="1276" w:type="dxa"/>
                  <w:noWrap w:val="0"/>
                  <w:vAlign w:val="center"/>
                </w:tcPr>
                <w:p w14:paraId="4D55C8A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22.4</w:t>
                  </w:r>
                </w:p>
              </w:tc>
              <w:tc>
                <w:tcPr>
                  <w:tcW w:w="1262" w:type="dxa"/>
                  <w:noWrap w:val="0"/>
                  <w:vAlign w:val="center"/>
                </w:tcPr>
                <w:p w14:paraId="7573F62E">
                  <w:pPr>
                    <w:jc w:val="center"/>
                    <w:rPr>
                      <w:rFonts w:hint="default" w:ascii="Times New Roman" w:hAnsi="Times New Roman" w:eastAsia="宋体" w:cs="Times New Roman"/>
                      <w:color w:val="auto"/>
                      <w:szCs w:val="21"/>
                      <w:lang w:val="en-GB" w:eastAsia="zh-TW"/>
                    </w:rPr>
                  </w:pPr>
                </w:p>
              </w:tc>
            </w:tr>
          </w:tbl>
          <w:p w14:paraId="6C392583">
            <w:pPr>
              <w:rPr>
                <w:rFonts w:hint="default"/>
                <w:color w:val="auto"/>
                <w:lang w:val="en-US" w:eastAsia="zh-CN"/>
              </w:rPr>
            </w:pPr>
          </w:p>
          <w:p w14:paraId="6C3A9DAC">
            <w:pPr>
              <w:spacing w:line="360" w:lineRule="auto"/>
              <w:jc w:val="left"/>
              <w:rPr>
                <w:rFonts w:hint="eastAsia"/>
                <w:color w:val="auto"/>
                <w:lang w:eastAsia="zh-CN"/>
              </w:rPr>
            </w:pPr>
          </w:p>
        </w:tc>
      </w:tr>
      <w:tr w14:paraId="76113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 w:type="pct"/>
            <w:noWrap w:val="0"/>
            <w:vAlign w:val="center"/>
          </w:tcPr>
          <w:p w14:paraId="754AD5BC">
            <w:pPr>
              <w:pStyle w:val="29"/>
              <w:adjustRightInd w:val="0"/>
              <w:snapToGrid w:val="0"/>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b w:val="0"/>
                <w:bCs/>
                <w:color w:val="auto"/>
                <w:kern w:val="2"/>
                <w:sz w:val="24"/>
                <w:szCs w:val="24"/>
                <w:lang w:val="en-US" w:eastAsia="zh-CN" w:bidi="ar-SA"/>
              </w:rPr>
              <w:t>工艺流程和产排污环节</w:t>
            </w:r>
          </w:p>
        </w:tc>
        <w:tc>
          <w:tcPr>
            <w:tcW w:w="4779" w:type="pct"/>
            <w:noWrap w:val="0"/>
            <w:vAlign w:val="top"/>
          </w:tcPr>
          <w:p w14:paraId="329684D2">
            <w:pPr>
              <w:pStyle w:val="97"/>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一、施工期工艺流程</w:t>
            </w:r>
          </w:p>
          <w:p w14:paraId="4ED758A3">
            <w:pPr>
              <w:keepNext w:val="0"/>
              <w:keepLines w:val="0"/>
              <w:pageBreakBefore w:val="0"/>
              <w:widowControl w:val="0"/>
              <w:kinsoku/>
              <w:wordWrap/>
              <w:overflowPunct/>
              <w:topLinePunct w:val="0"/>
              <w:autoSpaceDE/>
              <w:autoSpaceDN/>
              <w:bidi w:val="0"/>
              <w:spacing w:line="360" w:lineRule="auto"/>
              <w:ind w:firstLine="480"/>
              <w:textAlignment w:val="auto"/>
              <w:rPr>
                <w:rFonts w:hint="eastAsia" w:hAnsi="宋体"/>
                <w:color w:val="auto"/>
                <w:sz w:val="24"/>
                <w:szCs w:val="24"/>
                <w:lang w:val="en-US" w:eastAsia="zh-CN"/>
              </w:rPr>
            </w:pPr>
            <w:r>
              <w:rPr>
                <w:rFonts w:hAnsi="宋体"/>
                <w:snapToGrid w:val="0"/>
                <w:color w:val="auto"/>
                <w:kern w:val="0"/>
                <w:sz w:val="24"/>
                <w:szCs w:val="24"/>
              </w:rPr>
              <w:t>该项目施工期</w:t>
            </w:r>
            <w:r>
              <w:rPr>
                <w:rFonts w:hint="eastAsia" w:hAnsi="宋体"/>
                <w:snapToGrid w:val="0"/>
                <w:color w:val="auto"/>
                <w:kern w:val="0"/>
                <w:sz w:val="24"/>
                <w:szCs w:val="24"/>
              </w:rPr>
              <w:t>计划为</w:t>
            </w:r>
            <w:r>
              <w:rPr>
                <w:rFonts w:hint="eastAsia" w:hAnsi="宋体"/>
                <w:snapToGrid w:val="0"/>
                <w:color w:val="auto"/>
                <w:kern w:val="0"/>
                <w:sz w:val="24"/>
                <w:szCs w:val="24"/>
                <w:lang w:val="en-US" w:eastAsia="zh-CN"/>
              </w:rPr>
              <w:t>3</w:t>
            </w:r>
            <w:r>
              <w:rPr>
                <w:rFonts w:hint="eastAsia" w:hAnsi="宋体"/>
                <w:snapToGrid w:val="0"/>
                <w:color w:val="auto"/>
                <w:kern w:val="0"/>
                <w:sz w:val="24"/>
                <w:szCs w:val="24"/>
              </w:rPr>
              <w:t>个月，</w:t>
            </w:r>
            <w:r>
              <w:rPr>
                <w:rFonts w:hAnsi="宋体"/>
                <w:snapToGrid w:val="0"/>
                <w:color w:val="auto"/>
                <w:kern w:val="0"/>
                <w:sz w:val="24"/>
                <w:szCs w:val="24"/>
              </w:rPr>
              <w:t>主要</w:t>
            </w:r>
            <w:r>
              <w:rPr>
                <w:rFonts w:hint="eastAsia" w:hAnsi="宋体"/>
                <w:snapToGrid w:val="0"/>
                <w:color w:val="auto"/>
                <w:kern w:val="0"/>
                <w:sz w:val="24"/>
                <w:szCs w:val="24"/>
              </w:rPr>
              <w:t>施工内容</w:t>
            </w:r>
            <w:r>
              <w:rPr>
                <w:rFonts w:hint="eastAsia" w:hAnsi="宋体"/>
                <w:snapToGrid w:val="0"/>
                <w:color w:val="auto"/>
                <w:kern w:val="0"/>
                <w:sz w:val="24"/>
                <w:szCs w:val="24"/>
                <w:lang w:val="en-US" w:eastAsia="zh-CN"/>
              </w:rPr>
              <w:t>比较简单，主要</w:t>
            </w:r>
            <w:r>
              <w:rPr>
                <w:rFonts w:hAnsi="宋体"/>
                <w:snapToGrid w:val="0"/>
                <w:color w:val="auto"/>
                <w:kern w:val="0"/>
                <w:sz w:val="24"/>
                <w:szCs w:val="24"/>
              </w:rPr>
              <w:t>为</w:t>
            </w:r>
            <w:r>
              <w:rPr>
                <w:rFonts w:hint="eastAsia" w:hAnsi="宋体"/>
                <w:snapToGrid w:val="0"/>
                <w:color w:val="auto"/>
                <w:kern w:val="0"/>
                <w:sz w:val="24"/>
                <w:szCs w:val="24"/>
                <w:lang w:val="en-US" w:eastAsia="zh-CN"/>
              </w:rPr>
              <w:t>设备安装调试、环保工程的施工，</w:t>
            </w:r>
            <w:r>
              <w:rPr>
                <w:rFonts w:hint="eastAsia"/>
                <w:bCs/>
                <w:color w:val="auto"/>
                <w:spacing w:val="4"/>
                <w:sz w:val="24"/>
                <w:szCs w:val="24"/>
                <w:lang w:val="en-US" w:eastAsia="zh-CN"/>
              </w:rPr>
              <w:t>不存在大型的建筑施工，</w:t>
            </w:r>
            <w:r>
              <w:rPr>
                <w:rFonts w:hint="eastAsia" w:hAnsi="宋体"/>
                <w:color w:val="auto"/>
                <w:sz w:val="24"/>
                <w:szCs w:val="24"/>
              </w:rPr>
              <w:t>项目施工人员约为</w:t>
            </w:r>
            <w:r>
              <w:rPr>
                <w:rFonts w:hint="eastAsia" w:hAnsi="宋体"/>
                <w:color w:val="auto"/>
                <w:sz w:val="24"/>
                <w:szCs w:val="24"/>
                <w:lang w:val="en-US" w:eastAsia="zh-CN"/>
              </w:rPr>
              <w:t>5</w:t>
            </w:r>
            <w:r>
              <w:rPr>
                <w:rFonts w:hint="eastAsia" w:hAnsi="宋体"/>
                <w:color w:val="auto"/>
                <w:sz w:val="24"/>
                <w:szCs w:val="24"/>
              </w:rPr>
              <w:t>人，不设置施工营地</w:t>
            </w:r>
            <w:r>
              <w:rPr>
                <w:rFonts w:hint="eastAsia" w:hAnsi="宋体"/>
                <w:color w:val="auto"/>
                <w:sz w:val="24"/>
                <w:szCs w:val="24"/>
                <w:lang w:eastAsia="zh-CN"/>
              </w:rPr>
              <w:t>，</w:t>
            </w:r>
            <w:r>
              <w:rPr>
                <w:rFonts w:hint="eastAsia" w:hAnsi="宋体"/>
                <w:color w:val="auto"/>
                <w:sz w:val="24"/>
                <w:szCs w:val="24"/>
              </w:rPr>
              <w:t>不</w:t>
            </w:r>
            <w:r>
              <w:rPr>
                <w:rFonts w:hint="eastAsia" w:hAnsi="宋体"/>
                <w:color w:val="auto"/>
                <w:sz w:val="24"/>
                <w:szCs w:val="24"/>
                <w:lang w:val="en-US" w:eastAsia="zh-CN"/>
              </w:rPr>
              <w:t>在</w:t>
            </w:r>
            <w:r>
              <w:rPr>
                <w:rFonts w:hint="eastAsia" w:hAnsi="宋体"/>
                <w:color w:val="auto"/>
                <w:sz w:val="24"/>
                <w:szCs w:val="24"/>
              </w:rPr>
              <w:t>场内食宿。施工期工艺流程及产污环节</w:t>
            </w:r>
            <w:r>
              <w:rPr>
                <w:rFonts w:hint="eastAsia" w:hAnsi="宋体"/>
                <w:color w:val="auto"/>
                <w:sz w:val="24"/>
                <w:szCs w:val="24"/>
                <w:lang w:val="en-US" w:eastAsia="zh-CN"/>
              </w:rPr>
              <w:t>如下：</w:t>
            </w:r>
          </w:p>
          <w:p w14:paraId="6A905E5E">
            <w:pPr>
              <w:keepNext w:val="0"/>
              <w:keepLines w:val="0"/>
              <w:pageBreakBefore w:val="0"/>
              <w:widowControl w:val="0"/>
              <w:kinsoku/>
              <w:wordWrap/>
              <w:overflowPunct/>
              <w:topLinePunct w:val="0"/>
              <w:autoSpaceDE/>
              <w:autoSpaceDN/>
              <w:bidi w:val="0"/>
              <w:spacing w:line="360" w:lineRule="auto"/>
              <w:ind w:firstLine="480"/>
              <w:jc w:val="center"/>
              <w:textAlignment w:val="auto"/>
              <w:rPr>
                <w:rFonts w:hint="eastAsia"/>
                <w:color w:val="auto"/>
              </w:rPr>
            </w:pPr>
            <w:r>
              <w:rPr>
                <w:rFonts w:hint="eastAsia"/>
                <w:color w:val="auto"/>
              </w:rPr>
              <w:object>
                <v:shape id="_x0000_i1026" o:spt="75" type="#_x0000_t75" style="height:41.95pt;width:300.4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1215858B">
            <w:pPr>
              <w:pStyle w:val="110"/>
              <w:ind w:firstLine="1754" w:firstLineChars="728"/>
              <w:jc w:val="both"/>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b/>
                <w:color w:val="auto"/>
              </w:rPr>
              <w:t>图</w:t>
            </w:r>
            <w:r>
              <w:rPr>
                <w:rFonts w:hint="eastAsia" w:ascii="Times New Roman" w:hAnsi="Times New Roman" w:cs="Times New Roman"/>
                <w:b/>
                <w:color w:val="auto"/>
                <w:lang w:val="en-US" w:eastAsia="zh-CN"/>
              </w:rPr>
              <w:t>2-2</w:t>
            </w:r>
            <w:r>
              <w:rPr>
                <w:rFonts w:hint="default" w:ascii="Times New Roman" w:hAnsi="Times New Roman" w:cs="Times New Roman"/>
                <w:b/>
                <w:color w:val="auto"/>
              </w:rPr>
              <w:t xml:space="preserve">   施工期工艺流程及产污节点图</w:t>
            </w:r>
          </w:p>
          <w:p w14:paraId="1A64131C">
            <w:pPr>
              <w:pStyle w:val="5"/>
              <w:keepNext/>
              <w:keepLines/>
              <w:pageBreakBefore w:val="0"/>
              <w:widowControl w:val="0"/>
              <w:kinsoku/>
              <w:wordWrap/>
              <w:overflowPunct/>
              <w:topLinePunct w:val="0"/>
              <w:autoSpaceDE/>
              <w:autoSpaceDN/>
              <w:bidi w:val="0"/>
              <w:adjustRightInd/>
              <w:snapToGrid/>
              <w:spacing w:before="0" w:beforeLines="0" w:after="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lang w:val="en-US" w:eastAsia="zh-CN"/>
              </w:rPr>
              <w:t>运营期</w:t>
            </w:r>
            <w:r>
              <w:rPr>
                <w:rFonts w:hint="eastAsia" w:ascii="Times New Roman" w:hAnsi="Times New Roman" w:eastAsia="宋体" w:cs="Times New Roman"/>
                <w:b/>
                <w:bCs/>
                <w:color w:val="auto"/>
                <w:sz w:val="24"/>
                <w:szCs w:val="24"/>
                <w:lang w:val="en-US" w:eastAsia="zh-CN"/>
              </w:rPr>
              <w:t>工艺流程及</w:t>
            </w:r>
            <w:r>
              <w:rPr>
                <w:rFonts w:hint="default" w:ascii="Times New Roman" w:hAnsi="Times New Roman" w:eastAsia="宋体" w:cs="Times New Roman"/>
                <w:b/>
                <w:bCs/>
                <w:color w:val="auto"/>
                <w:sz w:val="24"/>
                <w:szCs w:val="24"/>
                <w:lang w:val="en-US" w:eastAsia="zh-CN"/>
              </w:rPr>
              <w:t>产污节点分析</w:t>
            </w:r>
          </w:p>
          <w:p w14:paraId="30FD3C4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rPr>
            </w:pPr>
            <w:r>
              <w:rPr>
                <w:rFonts w:hint="eastAsia" w:ascii="宋体" w:hAnsi="宋体" w:eastAsia="宋体" w:cs="宋体"/>
                <w:b/>
                <w:bCs/>
                <w:color w:val="auto"/>
                <w:sz w:val="24"/>
                <w:szCs w:val="24"/>
                <w:lang w:val="en-US" w:eastAsia="zh-CN"/>
              </w:rPr>
              <w:t>1、初加工</w:t>
            </w:r>
            <w:r>
              <w:rPr>
                <w:rFonts w:hint="eastAsia" w:ascii="宋体" w:hAnsi="宋体" w:eastAsia="宋体" w:cs="宋体"/>
                <w:b/>
                <w:bCs/>
                <w:color w:val="auto"/>
                <w:sz w:val="24"/>
                <w:szCs w:val="24"/>
                <w:lang w:eastAsia="zh-CN"/>
              </w:rPr>
              <w:t>工艺流程</w:t>
            </w:r>
          </w:p>
          <w:p w14:paraId="7D3572FB">
            <w:pPr>
              <w:pStyle w:val="116"/>
              <w:rPr>
                <w:rFonts w:hint="eastAsia" w:eastAsia="oúì."/>
                <w:color w:val="auto"/>
                <w:sz w:val="24"/>
                <w:lang w:eastAsia="zh-CN"/>
              </w:rPr>
            </w:pPr>
          </w:p>
          <w:p w14:paraId="157ABB74">
            <w:pPr>
              <w:pStyle w:val="116"/>
              <w:tabs>
                <w:tab w:val="center" w:pos="4615"/>
                <w:tab w:val="left" w:pos="8023"/>
              </w:tabs>
              <w:spacing w:line="360" w:lineRule="auto"/>
              <w:jc w:val="left"/>
              <w:rPr>
                <w:rFonts w:hint="eastAsia" w:eastAsia="oúì."/>
                <w:color w:val="auto"/>
                <w:sz w:val="24"/>
                <w:szCs w:val="24"/>
                <w:lang w:eastAsia="zh-CN"/>
              </w:rPr>
            </w:pPr>
            <w:r>
              <w:rPr>
                <w:rFonts w:hint="eastAsia" w:ascii="宋体" w:hAnsi="宋体" w:eastAsia="宋体" w:cs="宋体"/>
                <w:b/>
                <w:bCs w:val="0"/>
                <w:color w:val="auto"/>
                <w:kern w:val="2"/>
                <w:sz w:val="24"/>
                <w:szCs w:val="24"/>
                <w:highlight w:val="none"/>
                <w:lang w:val="en-US" w:eastAsia="zh-CN" w:bidi="ar-SA"/>
              </w:rPr>
              <w:tab/>
            </w:r>
            <w:r>
              <w:rPr>
                <w:rFonts w:hint="eastAsia" w:ascii="宋体" w:hAnsi="宋体" w:eastAsia="宋体" w:cs="宋体"/>
                <w:b/>
                <w:bCs w:val="0"/>
                <w:color w:val="auto"/>
                <w:kern w:val="2"/>
                <w:sz w:val="24"/>
                <w:szCs w:val="24"/>
                <w:highlight w:val="none"/>
                <w:lang w:val="en-US" w:eastAsia="zh-CN" w:bidi="ar-SA"/>
              </w:rPr>
              <w:t xml:space="preserve"> </w:t>
            </w:r>
            <w:r>
              <w:rPr>
                <w:color w:val="auto"/>
                <w:sz w:val="24"/>
                <w:szCs w:val="24"/>
              </w:rPr>
              <w:object>
                <v:shape id="_x0000_i1027" o:spt="75" type="#_x0000_t75" style="height:441.95pt;width:263.35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r>
              <w:rPr>
                <w:rFonts w:hint="eastAsia"/>
                <w:color w:val="auto"/>
                <w:sz w:val="24"/>
                <w:szCs w:val="24"/>
                <w:lang w:eastAsia="zh-CN"/>
              </w:rPr>
              <w:tab/>
            </w:r>
          </w:p>
          <w:p w14:paraId="21CB66BD">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图2-3 项目初加工工艺流程及产污环节图</w:t>
            </w:r>
          </w:p>
          <w:p w14:paraId="1F683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初加工工艺流程简述：</w:t>
            </w:r>
          </w:p>
          <w:p w14:paraId="39071C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（1）料仓</w:t>
            </w:r>
          </w:p>
          <w:p w14:paraId="073CC5D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青果不在厂区内储存，满足1天的生产量即可。直接从附近基地采摘回来，通过运输倒进料仓里。</w:t>
            </w:r>
          </w:p>
          <w:p w14:paraId="661DEBD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（2）分级 </w:t>
            </w:r>
          </w:p>
          <w:p w14:paraId="39E9A1F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料仓里的青果经过螺旋提升装置进入青果筛分机进行青果分级，根据果子大小，分等级进入脱皮机，使脱皮干净，破损率少。</w:t>
            </w:r>
          </w:p>
          <w:p w14:paraId="117A69D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（4）脱皮</w:t>
            </w:r>
          </w:p>
          <w:p w14:paraId="1FF63C0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通过该脱皮机器让夏威夷果脱去外层青皮，留下壳果，脱净率在99%。</w:t>
            </w:r>
          </w:p>
          <w:p w14:paraId="6F3F172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（5）清洗</w:t>
            </w:r>
          </w:p>
          <w:p w14:paraId="040DABF0">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清洗机通过电机带动让果子翻滚，同时滚筒内壁有食品级毛刷以及水管喷淋，从而达到清洗表皮干净的效果。在清洗过程中不需要添加清洗剂。</w:t>
            </w:r>
          </w:p>
          <w:p w14:paraId="604D31A4">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（6）浮选</w:t>
            </w:r>
          </w:p>
          <w:p w14:paraId="2F4F412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 通过浮选机让夏威夷果浮选出大部分空壳果、落地果，提升夏威夷果的整体品质。</w:t>
            </w:r>
          </w:p>
          <w:p w14:paraId="533BA7B7">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（7）人工分拣</w:t>
            </w:r>
          </w:p>
          <w:p w14:paraId="3FACE004">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通过人工挑选出肉眼可见的碎果皮，坏果</w:t>
            </w:r>
          </w:p>
          <w:p w14:paraId="28E857BF">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（8）烘干</w:t>
            </w:r>
          </w:p>
          <w:p w14:paraId="07A67D2B">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新鲜壳果所含水分基本上在20%左右，不便于储存，通过电烘干装置把水分烘干至3%。</w:t>
            </w:r>
          </w:p>
          <w:p w14:paraId="24DC3880">
            <w:pPr>
              <w:pStyle w:val="21"/>
              <w:keepNext w:val="0"/>
              <w:keepLines w:val="0"/>
              <w:pageBreakBefore w:val="0"/>
              <w:widowControl w:val="0"/>
              <w:numPr>
                <w:ilvl w:val="0"/>
                <w:numId w:val="3"/>
              </w:numPr>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检测</w:t>
            </w:r>
          </w:p>
          <w:p w14:paraId="60CB931E">
            <w:pPr>
              <w:pStyle w:val="21"/>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由于病虫害存在，很多虫果肉眼无法分辨，通过X光机挑选出虫果，品质得到提升。</w:t>
            </w:r>
          </w:p>
          <w:p w14:paraId="59494917">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（10）干果分级</w:t>
            </w:r>
          </w:p>
          <w:p w14:paraId="0F9F6264">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  因为不同客户的需要，干果分级筛可以把果子直径筛分成18mm、20mm、22mm、24mm、26mm、26mm以上等不同等级,便于储存包装。</w:t>
            </w:r>
          </w:p>
          <w:p w14:paraId="4E0D64AD">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（11）入库冷藏</w:t>
            </w:r>
          </w:p>
          <w:p w14:paraId="27C11ECD">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干过分级后，输送至暂存仓内，临时储存加工出来的壳果。然后再进入生产车间的冷库进行冷藏保存，保存温度在0℃-5℃之间，湿度保持在3% 以内。</w:t>
            </w:r>
          </w:p>
          <w:p w14:paraId="6D56A96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开口笑深加工</w:t>
            </w:r>
            <w:r>
              <w:rPr>
                <w:rFonts w:hint="eastAsia" w:ascii="宋体" w:hAnsi="宋体" w:eastAsia="宋体" w:cs="宋体"/>
                <w:b/>
                <w:bCs/>
                <w:color w:val="auto"/>
                <w:sz w:val="24"/>
                <w:szCs w:val="24"/>
                <w:lang w:eastAsia="zh-CN"/>
              </w:rPr>
              <w:t>工艺流程</w:t>
            </w:r>
          </w:p>
          <w:p w14:paraId="55D97EE0">
            <w:pPr>
              <w:pStyle w:val="116"/>
              <w:tabs>
                <w:tab w:val="center" w:pos="4615"/>
                <w:tab w:val="left" w:pos="8023"/>
              </w:tabs>
              <w:spacing w:line="360" w:lineRule="auto"/>
              <w:jc w:val="center"/>
              <w:rPr>
                <w:rFonts w:hint="eastAsia" w:eastAsia="oúì."/>
                <w:color w:val="auto"/>
                <w:sz w:val="24"/>
                <w:szCs w:val="24"/>
                <w:lang w:eastAsia="zh-CN"/>
              </w:rPr>
            </w:pPr>
            <w:bookmarkStart w:id="229" w:name="_Toc6068"/>
            <w:r>
              <w:rPr>
                <w:rFonts w:hint="eastAsia" w:eastAsia="oúì."/>
                <w:color w:val="auto"/>
                <w:sz w:val="24"/>
                <w:szCs w:val="24"/>
                <w:lang w:eastAsia="zh-CN"/>
              </w:rPr>
              <w:object>
                <v:shape id="_x0000_i1028" o:spt="75" type="#_x0000_t75" style="height:485.35pt;width:291.0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051A9B34">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图2-4 项目开口笑深加工工艺流程及产污环节图</w:t>
            </w:r>
          </w:p>
          <w:bookmarkEnd w:id="229"/>
          <w:p w14:paraId="15C18489">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开口笑深加工工艺流程简述：</w:t>
            </w:r>
          </w:p>
          <w:p w14:paraId="76E610F1">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（1）坚果锯口</w:t>
            </w:r>
          </w:p>
          <w:p w14:paraId="7AC54A3C">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采用已经初加工后的脱皮壳果为原来进一步进行加工，采用3台开口机将外壳表面锯开，智能调控，270度到320度可调，便于人工撬开，开口干净，自带布袋。</w:t>
            </w:r>
          </w:p>
          <w:p w14:paraId="5ACE58FF">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（2）振动筛分</w:t>
            </w:r>
          </w:p>
          <w:p w14:paraId="0DD76020">
            <w:pPr>
              <w:pStyle w:val="21"/>
              <w:keepNext w:val="0"/>
              <w:keepLines w:val="0"/>
              <w:pageBreakBefore w:val="0"/>
              <w:widowControl w:val="0"/>
              <w:kinsoku/>
              <w:wordWrap/>
              <w:overflowPunct/>
              <w:topLinePunct w:val="0"/>
              <w:autoSpaceDE/>
              <w:autoSpaceDN/>
              <w:bidi w:val="0"/>
              <w:adjustRightInd/>
              <w:spacing w:line="360" w:lineRule="auto"/>
              <w:ind w:firstLine="720" w:firstLineChars="3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用于开口后壳果缝隙中存在少量粉尘，通过粉尘振动筛将粉尘筛除。</w:t>
            </w:r>
          </w:p>
          <w:p w14:paraId="728ECBA5">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（3）杀青</w:t>
            </w:r>
          </w:p>
          <w:p w14:paraId="6114D0F2">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坚果入味前必须进行高温杀菌处理，然后经过温差使料水被果实充分吸收。</w:t>
            </w:r>
          </w:p>
          <w:p w14:paraId="67EB1D27">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（4）入味</w:t>
            </w:r>
          </w:p>
          <w:p w14:paraId="7EDBD5BA">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是通过电机带动滚筒转动，让果子均匀在料池中均匀吸收料水（该料水主要是根据产品的口味进行调配，主要是用食盐、味精或者炼乳、食用香精香料等）。</w:t>
            </w:r>
          </w:p>
          <w:p w14:paraId="4342DF27">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（5）烘干杀菌</w:t>
            </w:r>
          </w:p>
          <w:p w14:paraId="3EB42757">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烘干系统，热源为电，内部结构为304食品级不锈钢材质，通过提升温度，最终达到提香提脆的目的。</w:t>
            </w:r>
          </w:p>
          <w:p w14:paraId="1E6D3133">
            <w:pPr>
              <w:pStyle w:val="21"/>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人工分拣</w:t>
            </w:r>
          </w:p>
          <w:p w14:paraId="23D48578">
            <w:pPr>
              <w:pStyle w:val="21"/>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人工分拣前通过暂存仓临时储存冷却，然后输送至人工分拣台上工人分拣出肉眼可见的残次品，提升整体的品质。</w:t>
            </w:r>
          </w:p>
          <w:p w14:paraId="2C97B750">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（8）包装</w:t>
            </w:r>
          </w:p>
          <w:p w14:paraId="0DA37C48">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采用电子打包称按照规格进行称重包装，自动缝包。根据客户所需产品重量设定，真空包装。</w:t>
            </w:r>
          </w:p>
          <w:p w14:paraId="48E95A38">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（9）入库冷藏</w:t>
            </w:r>
          </w:p>
          <w:p w14:paraId="5129131A">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  冷藏库保存，保存温度在0℃-5℃之间，便于长时间存放。</w:t>
            </w:r>
          </w:p>
          <w:p w14:paraId="0F7B88D0">
            <w:pPr>
              <w:pStyle w:val="21"/>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3、果仁深加工工艺</w:t>
            </w:r>
            <w:r>
              <w:rPr>
                <w:rFonts w:hint="eastAsia" w:ascii="宋体" w:hAnsi="宋体" w:eastAsia="宋体" w:cs="宋体"/>
                <w:b/>
                <w:bCs/>
                <w:color w:val="auto"/>
                <w:sz w:val="24"/>
                <w:szCs w:val="24"/>
                <w:lang w:eastAsia="zh-CN"/>
              </w:rPr>
              <w:t>流程</w:t>
            </w:r>
          </w:p>
          <w:p w14:paraId="34A85BFA">
            <w:pPr>
              <w:pStyle w:val="21"/>
              <w:keepNext w:val="0"/>
              <w:keepLines w:val="0"/>
              <w:pageBreakBefore w:val="0"/>
              <w:widowControl w:val="0"/>
              <w:kinsoku/>
              <w:wordWrap/>
              <w:overflowPunct/>
              <w:topLinePunct w:val="0"/>
              <w:autoSpaceDE/>
              <w:autoSpaceDN/>
              <w:bidi w:val="0"/>
              <w:adjustRightInd/>
              <w:spacing w:line="360" w:lineRule="auto"/>
              <w:ind w:firstLine="480" w:firstLineChars="20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object>
                <v:shape id="_x0000_i1029" o:spt="75" type="#_x0000_t75" style="height:488.3pt;width:289.55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44676222">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图2-5 项目果仁深加工工艺流程及产污环节图</w:t>
            </w:r>
          </w:p>
          <w:p w14:paraId="410857D0">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果仁深加工工艺流程简述：</w:t>
            </w:r>
          </w:p>
          <w:p w14:paraId="1A14E2C6">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（1）坚果取仁</w:t>
            </w:r>
          </w:p>
          <w:p w14:paraId="7AE8D541">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采用澳洲坚果取仁机，不锈钢材质，PLC数控屏显示，果子大小，果壳厚度可数控调节，整仁率高达80%。</w:t>
            </w:r>
          </w:p>
          <w:p w14:paraId="66BFDC39">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（2）果仁筛分</w:t>
            </w:r>
          </w:p>
          <w:p w14:paraId="39E8E81D">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用于取仁后壳果果仁分离。</w:t>
            </w:r>
          </w:p>
          <w:p w14:paraId="0CFB61AA">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（3）人工分拣</w:t>
            </w:r>
          </w:p>
          <w:p w14:paraId="26371F95">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工人在人工分拣台上分拣出部分存在果仁中的果壳。</w:t>
            </w:r>
          </w:p>
          <w:p w14:paraId="49EB6888">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（4）清洗</w:t>
            </w:r>
          </w:p>
          <w:p w14:paraId="71339893">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 通过清洗机，让果仁表皮的粉尘及碎壳清洗掉，保持果仁的品质，在清洗过程中不添加清洗剂。</w:t>
            </w:r>
          </w:p>
          <w:p w14:paraId="69E72F6D">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（5）烘干杀菌</w:t>
            </w:r>
          </w:p>
          <w:p w14:paraId="78E01FEF">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 烘干系统，热源为电，内部结构为304食品级不锈钢材质，通过提升温度，最终达到提香提脆的目的。</w:t>
            </w:r>
          </w:p>
          <w:p w14:paraId="3CD76FE2">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（6）果仁分等级</w:t>
            </w:r>
          </w:p>
          <w:p w14:paraId="00B14EFB">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工人在人工分拣台上分拣出不同等级的果仁</w:t>
            </w:r>
          </w:p>
          <w:p w14:paraId="2FBB29CE">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（7）包装</w:t>
            </w:r>
          </w:p>
          <w:p w14:paraId="26EC5600">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电子打包称：光电感应监控，自动缝包。根据客户所需产品重量设定，真空包装。</w:t>
            </w:r>
          </w:p>
          <w:p w14:paraId="2F940638">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（8）入库冷藏</w:t>
            </w:r>
          </w:p>
          <w:p w14:paraId="621F4EF6">
            <w:pPr>
              <w:pStyle w:val="21"/>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 xml:space="preserve"> 冷藏库保存，保存温度在0℃-5℃之间，便于长时间储存。</w:t>
            </w:r>
          </w:p>
          <w:p w14:paraId="28519280">
            <w:pPr>
              <w:pStyle w:val="32"/>
              <w:numPr>
                <w:ilvl w:val="0"/>
                <w:numId w:val="0"/>
              </w:numPr>
              <w:spacing w:line="360" w:lineRule="auto"/>
              <w:ind w:leftChars="0" w:firstLine="482" w:firstLineChars="200"/>
              <w:jc w:val="left"/>
              <w:rPr>
                <w:rFonts w:hint="eastAsia" w:ascii="Times New Roman" w:hAnsi="Times New Roman" w:eastAsia="宋体" w:cs="Times New Roman"/>
                <w:bCs/>
                <w:color w:val="auto"/>
                <w:sz w:val="24"/>
                <w:highlight w:val="none"/>
                <w:lang w:val="en-US" w:eastAsia="zh-CN"/>
              </w:rPr>
            </w:pPr>
            <w:r>
              <w:rPr>
                <w:rFonts w:hint="eastAsia" w:ascii="宋体" w:hAnsi="宋体" w:eastAsia="宋体" w:cs="宋体"/>
                <w:b/>
                <w:bCs/>
                <w:color w:val="auto"/>
                <w:kern w:val="2"/>
                <w:sz w:val="24"/>
                <w:szCs w:val="24"/>
                <w:lang w:val="en-US" w:eastAsia="zh-CN" w:bidi="ar-SA"/>
              </w:rPr>
              <w:t>4、物料平衡</w:t>
            </w:r>
          </w:p>
          <w:p w14:paraId="0403B6B5">
            <w:pPr>
              <w:pStyle w:val="31"/>
              <w:spacing w:line="240" w:lineRule="auto"/>
              <w:ind w:left="0" w:leftChars="0" w:firstLine="482" w:firstLineChars="200"/>
              <w:jc w:val="both"/>
              <w:rPr>
                <w:rFonts w:hint="eastAsia" w:ascii="宋体" w:hAnsi="宋体" w:eastAsia="宋体" w:cs="Times New Roman"/>
                <w:b/>
                <w:bCs w:val="0"/>
                <w:color w:val="auto"/>
                <w:sz w:val="24"/>
                <w:szCs w:val="24"/>
                <w:lang w:val="en-US" w:eastAsia="zh-CN"/>
              </w:rPr>
            </w:pPr>
            <w:r>
              <w:rPr>
                <w:rFonts w:hint="eastAsia" w:ascii="宋体" w:hAnsi="宋体" w:eastAsia="宋体" w:cs="宋体"/>
                <w:b/>
                <w:bCs/>
                <w:color w:val="auto"/>
                <w:kern w:val="2"/>
                <w:sz w:val="24"/>
                <w:szCs w:val="24"/>
                <w:lang w:val="en-US" w:eastAsia="zh-CN" w:bidi="ar-SA"/>
              </w:rPr>
              <w:t>①物料平衡表</w:t>
            </w:r>
          </w:p>
          <w:p w14:paraId="7C923ED3">
            <w:pPr>
              <w:spacing w:line="240" w:lineRule="auto"/>
              <w:ind w:firstLine="3132" w:firstLineChars="1300"/>
              <w:jc w:val="both"/>
              <w:rPr>
                <w:rFonts w:hint="default" w:ascii="宋体" w:hAnsi="宋体"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表2-</w:t>
            </w:r>
            <w:r>
              <w:rPr>
                <w:rFonts w:hint="eastAsia" w:ascii="Times New Roman" w:hAnsi="Times New Roman" w:eastAsia="宋体"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lang w:val="en-US" w:eastAsia="zh-CN"/>
              </w:rPr>
              <w:t xml:space="preserve"> 本项目物料平衡表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1749"/>
              <w:gridCol w:w="2719"/>
              <w:gridCol w:w="1960"/>
            </w:tblGrid>
            <w:tr w14:paraId="3BF4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7" w:type="pct"/>
                  <w:gridSpan w:val="2"/>
                  <w:noWrap w:val="0"/>
                  <w:vAlign w:val="center"/>
                </w:tcPr>
                <w:p w14:paraId="4AFA8631">
                  <w:pPr>
                    <w:jc w:val="center"/>
                    <w:rPr>
                      <w:rFonts w:hint="default"/>
                      <w:b/>
                      <w:bCs w:val="0"/>
                      <w:color w:val="auto"/>
                      <w:vertAlign w:val="baseline"/>
                      <w:lang w:val="en-US" w:eastAsia="zh-CN"/>
                    </w:rPr>
                  </w:pPr>
                  <w:r>
                    <w:rPr>
                      <w:rFonts w:hint="eastAsia"/>
                      <w:b/>
                      <w:bCs w:val="0"/>
                      <w:color w:val="auto"/>
                      <w:vertAlign w:val="baseline"/>
                      <w:lang w:val="en-US" w:eastAsia="zh-CN"/>
                    </w:rPr>
                    <w:t>投入（t/a）</w:t>
                  </w:r>
                </w:p>
              </w:tc>
              <w:tc>
                <w:tcPr>
                  <w:tcW w:w="2572" w:type="pct"/>
                  <w:gridSpan w:val="2"/>
                  <w:noWrap w:val="0"/>
                  <w:vAlign w:val="center"/>
                </w:tcPr>
                <w:p w14:paraId="6B6749B1">
                  <w:pPr>
                    <w:jc w:val="center"/>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b/>
                      <w:bCs/>
                      <w:color w:val="auto"/>
                      <w:vertAlign w:val="baseline"/>
                      <w:lang w:val="en-US" w:eastAsia="zh-CN"/>
                    </w:rPr>
                    <w:t>产出（t/a）</w:t>
                  </w:r>
                </w:p>
              </w:tc>
            </w:tr>
            <w:tr w14:paraId="25D1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466" w:type="pct"/>
                  <w:noWrap w:val="0"/>
                  <w:vAlign w:val="center"/>
                </w:tcPr>
                <w:p w14:paraId="20052AAF">
                  <w:pPr>
                    <w:jc w:val="center"/>
                    <w:rPr>
                      <w:rFonts w:hint="default"/>
                      <w:color w:val="auto"/>
                      <w:vertAlign w:val="baseline"/>
                      <w:lang w:val="en-US" w:eastAsia="zh-CN"/>
                    </w:rPr>
                  </w:pPr>
                  <w:r>
                    <w:rPr>
                      <w:rFonts w:hint="default" w:ascii="Times New Roman" w:hAnsi="Times New Roman" w:eastAsia="宋体" w:cs="Times New Roman"/>
                      <w:color w:val="auto"/>
                      <w:sz w:val="21"/>
                      <w:szCs w:val="21"/>
                      <w:vertAlign w:val="baseline"/>
                      <w:lang w:val="en-US" w:eastAsia="zh-CN"/>
                    </w:rPr>
                    <w:t>澳洲坚果</w:t>
                  </w:r>
                  <w:r>
                    <w:rPr>
                      <w:rFonts w:hint="eastAsia" w:ascii="Times New Roman" w:hAnsi="Times New Roman" w:eastAsia="宋体" w:cs="Times New Roman"/>
                      <w:color w:val="auto"/>
                      <w:sz w:val="21"/>
                      <w:szCs w:val="21"/>
                      <w:vertAlign w:val="baseline"/>
                      <w:lang w:val="en-US" w:eastAsia="zh-CN"/>
                    </w:rPr>
                    <w:t>青果</w:t>
                  </w:r>
                </w:p>
              </w:tc>
              <w:tc>
                <w:tcPr>
                  <w:tcW w:w="961" w:type="pct"/>
                  <w:noWrap w:val="0"/>
                  <w:vAlign w:val="center"/>
                </w:tcPr>
                <w:p w14:paraId="48C03549">
                  <w:pPr>
                    <w:jc w:val="center"/>
                    <w:rPr>
                      <w:rFonts w:hint="default"/>
                      <w:color w:val="auto"/>
                      <w:vertAlign w:val="baseline"/>
                      <w:lang w:val="en-US" w:eastAsia="zh-CN"/>
                    </w:rPr>
                  </w:pPr>
                  <w:r>
                    <w:rPr>
                      <w:rFonts w:hint="eastAsia" w:cs="Times New Roman"/>
                      <w:color w:val="auto"/>
                      <w:sz w:val="21"/>
                      <w:szCs w:val="21"/>
                      <w:vertAlign w:val="baseline"/>
                      <w:lang w:val="en-US" w:eastAsia="zh-CN"/>
                    </w:rPr>
                    <w:t>6600</w:t>
                  </w:r>
                </w:p>
              </w:tc>
              <w:tc>
                <w:tcPr>
                  <w:tcW w:w="1494" w:type="pct"/>
                  <w:noWrap w:val="0"/>
                  <w:vAlign w:val="center"/>
                </w:tcPr>
                <w:p w14:paraId="31AECCC4">
                  <w:p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成品</w:t>
                  </w:r>
                </w:p>
              </w:tc>
              <w:tc>
                <w:tcPr>
                  <w:tcW w:w="1077" w:type="pct"/>
                  <w:noWrap w:val="0"/>
                  <w:vAlign w:val="center"/>
                </w:tcPr>
                <w:p w14:paraId="2771E7B1">
                  <w:p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3000</w:t>
                  </w:r>
                </w:p>
              </w:tc>
            </w:tr>
            <w:tr w14:paraId="4984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66" w:type="pct"/>
                  <w:noWrap w:val="0"/>
                  <w:vAlign w:val="center"/>
                </w:tcPr>
                <w:p w14:paraId="0F4CA468">
                  <w:pPr>
                    <w:jc w:val="center"/>
                    <w:rPr>
                      <w:rFonts w:hint="default"/>
                      <w:color w:val="auto"/>
                      <w:kern w:val="2"/>
                      <w:sz w:val="21"/>
                      <w:szCs w:val="24"/>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澳洲坚果壳果</w:t>
                  </w:r>
                </w:p>
              </w:tc>
              <w:tc>
                <w:tcPr>
                  <w:tcW w:w="961" w:type="pct"/>
                  <w:noWrap w:val="0"/>
                  <w:vAlign w:val="center"/>
                </w:tcPr>
                <w:p w14:paraId="14D3930F">
                  <w:pPr>
                    <w:jc w:val="center"/>
                    <w:rPr>
                      <w:rFonts w:hint="default"/>
                      <w:color w:val="auto"/>
                      <w:kern w:val="2"/>
                      <w:sz w:val="21"/>
                      <w:szCs w:val="24"/>
                      <w:vertAlign w:val="baseline"/>
                      <w:lang w:val="en-US" w:eastAsia="zh-CN" w:bidi="ar-SA"/>
                    </w:rPr>
                  </w:pPr>
                  <w:r>
                    <w:rPr>
                      <w:rFonts w:hint="eastAsia" w:cs="Times New Roman"/>
                      <w:color w:val="auto"/>
                      <w:sz w:val="21"/>
                      <w:szCs w:val="21"/>
                      <w:vertAlign w:val="baseline"/>
                      <w:lang w:val="en-US" w:eastAsia="zh-CN"/>
                    </w:rPr>
                    <w:t>1300</w:t>
                  </w:r>
                </w:p>
              </w:tc>
              <w:tc>
                <w:tcPr>
                  <w:tcW w:w="1494" w:type="pct"/>
                  <w:noWrap w:val="0"/>
                  <w:vAlign w:val="center"/>
                </w:tcPr>
                <w:p w14:paraId="0FE7C269">
                  <w:pPr>
                    <w:jc w:val="center"/>
                    <w:rPr>
                      <w:rFonts w:hint="default"/>
                      <w:color w:val="auto"/>
                      <w:kern w:val="2"/>
                      <w:sz w:val="21"/>
                      <w:szCs w:val="24"/>
                      <w:vertAlign w:val="baseline"/>
                      <w:lang w:val="en-US" w:eastAsia="zh-CN" w:bidi="ar-SA"/>
                    </w:rPr>
                  </w:pPr>
                  <w:r>
                    <w:rPr>
                      <w:rFonts w:hint="eastAsia"/>
                      <w:color w:val="auto"/>
                      <w:kern w:val="2"/>
                      <w:sz w:val="21"/>
                      <w:szCs w:val="24"/>
                      <w:vertAlign w:val="baseline"/>
                      <w:lang w:val="en-US" w:eastAsia="zh-CN" w:bidi="ar-SA"/>
                    </w:rPr>
                    <w:t>水分蒸发损耗</w:t>
                  </w:r>
                </w:p>
              </w:tc>
              <w:tc>
                <w:tcPr>
                  <w:tcW w:w="1077" w:type="pct"/>
                  <w:noWrap w:val="0"/>
                  <w:vAlign w:val="center"/>
                </w:tcPr>
                <w:p w14:paraId="2810AE53">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1531.3593</w:t>
                  </w:r>
                </w:p>
              </w:tc>
            </w:tr>
            <w:tr w14:paraId="1BB7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6" w:type="pct"/>
                  <w:noWrap w:val="0"/>
                  <w:vAlign w:val="center"/>
                </w:tcPr>
                <w:p w14:paraId="5997F82E">
                  <w:pPr>
                    <w:jc w:val="center"/>
                    <w:rPr>
                      <w:rFonts w:hint="default"/>
                      <w:color w:val="auto"/>
                      <w:kern w:val="2"/>
                      <w:sz w:val="21"/>
                      <w:szCs w:val="24"/>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食用盐</w:t>
                  </w:r>
                </w:p>
              </w:tc>
              <w:tc>
                <w:tcPr>
                  <w:tcW w:w="961" w:type="pct"/>
                  <w:noWrap w:val="0"/>
                  <w:vAlign w:val="center"/>
                </w:tcPr>
                <w:p w14:paraId="44693774">
                  <w:pPr>
                    <w:jc w:val="center"/>
                    <w:rPr>
                      <w:rFonts w:hint="default"/>
                      <w:color w:val="auto"/>
                      <w:kern w:val="2"/>
                      <w:sz w:val="21"/>
                      <w:szCs w:val="24"/>
                      <w:vertAlign w:val="baseline"/>
                      <w:lang w:val="en-US" w:eastAsia="zh-CN" w:bidi="ar-SA"/>
                    </w:rPr>
                  </w:pPr>
                  <w:r>
                    <w:rPr>
                      <w:rFonts w:hint="eastAsia" w:cs="Times New Roman"/>
                      <w:color w:val="auto"/>
                      <w:sz w:val="21"/>
                      <w:szCs w:val="21"/>
                      <w:vertAlign w:val="baseline"/>
                      <w:lang w:val="en-US" w:eastAsia="zh-CN"/>
                    </w:rPr>
                    <w:t>0.3</w:t>
                  </w:r>
                </w:p>
              </w:tc>
              <w:tc>
                <w:tcPr>
                  <w:tcW w:w="1494" w:type="pct"/>
                  <w:noWrap w:val="0"/>
                  <w:vAlign w:val="center"/>
                </w:tcPr>
                <w:p w14:paraId="5A3A48A7">
                  <w:pPr>
                    <w:jc w:val="center"/>
                    <w:rPr>
                      <w:rFonts w:hint="default"/>
                      <w:color w:val="auto"/>
                      <w:kern w:val="2"/>
                      <w:sz w:val="21"/>
                      <w:szCs w:val="24"/>
                      <w:vertAlign w:val="baseline"/>
                      <w:lang w:val="en-US" w:eastAsia="zh-CN" w:bidi="ar-SA"/>
                    </w:rPr>
                  </w:pPr>
                  <w:r>
                    <w:rPr>
                      <w:rFonts w:hint="eastAsia"/>
                      <w:color w:val="auto"/>
                      <w:kern w:val="2"/>
                      <w:sz w:val="21"/>
                      <w:szCs w:val="24"/>
                      <w:vertAlign w:val="baseline"/>
                      <w:lang w:val="en-US" w:eastAsia="zh-CN" w:bidi="ar-SA"/>
                    </w:rPr>
                    <w:t>无组织粉尘排放</w:t>
                  </w:r>
                </w:p>
              </w:tc>
              <w:tc>
                <w:tcPr>
                  <w:tcW w:w="1077" w:type="pct"/>
                  <w:noWrap w:val="0"/>
                  <w:vAlign w:val="center"/>
                </w:tcPr>
                <w:p w14:paraId="0660EDAD">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0.2407</w:t>
                  </w:r>
                </w:p>
              </w:tc>
            </w:tr>
            <w:tr w14:paraId="72E7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pct"/>
                  <w:noWrap w:val="0"/>
                  <w:vAlign w:val="center"/>
                </w:tcPr>
                <w:p w14:paraId="7FD84387">
                  <w:pPr>
                    <w:jc w:val="center"/>
                    <w:rPr>
                      <w:rFonts w:hint="default"/>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白砂糖</w:t>
                  </w:r>
                </w:p>
              </w:tc>
              <w:tc>
                <w:tcPr>
                  <w:tcW w:w="961" w:type="pct"/>
                  <w:noWrap w:val="0"/>
                  <w:vAlign w:val="center"/>
                </w:tcPr>
                <w:p w14:paraId="39D26E1A">
                  <w:pPr>
                    <w:jc w:val="center"/>
                    <w:rPr>
                      <w:rFonts w:hint="default"/>
                      <w:color w:val="auto"/>
                      <w:vertAlign w:val="baseline"/>
                      <w:lang w:val="en-US" w:eastAsia="zh-CN"/>
                    </w:rPr>
                  </w:pPr>
                  <w:r>
                    <w:rPr>
                      <w:rFonts w:hint="eastAsia" w:cs="Times New Roman"/>
                      <w:color w:val="auto"/>
                      <w:sz w:val="21"/>
                      <w:szCs w:val="21"/>
                      <w:vertAlign w:val="baseline"/>
                      <w:lang w:val="en-US" w:eastAsia="zh-CN"/>
                    </w:rPr>
                    <w:t>0.3</w:t>
                  </w:r>
                </w:p>
              </w:tc>
              <w:tc>
                <w:tcPr>
                  <w:tcW w:w="1494" w:type="pct"/>
                  <w:noWrap w:val="0"/>
                  <w:vAlign w:val="center"/>
                </w:tcPr>
                <w:p w14:paraId="32DE24D3">
                  <w:pPr>
                    <w:jc w:val="center"/>
                    <w:rPr>
                      <w:rFonts w:hint="default"/>
                      <w:color w:val="auto"/>
                      <w:kern w:val="2"/>
                      <w:sz w:val="21"/>
                      <w:szCs w:val="24"/>
                      <w:vertAlign w:val="baseline"/>
                      <w:lang w:val="en-US" w:eastAsia="zh-CN" w:bidi="ar-SA"/>
                    </w:rPr>
                  </w:pPr>
                  <w:r>
                    <w:rPr>
                      <w:rFonts w:hint="eastAsia"/>
                      <w:color w:val="auto"/>
                      <w:kern w:val="2"/>
                      <w:sz w:val="21"/>
                      <w:szCs w:val="24"/>
                      <w:vertAlign w:val="baseline"/>
                      <w:lang w:val="en-US" w:eastAsia="zh-CN" w:bidi="ar-SA"/>
                    </w:rPr>
                    <w:t>果皮</w:t>
                  </w:r>
                </w:p>
              </w:tc>
              <w:tc>
                <w:tcPr>
                  <w:tcW w:w="1077" w:type="pct"/>
                  <w:noWrap w:val="0"/>
                  <w:vAlign w:val="center"/>
                </w:tcPr>
                <w:p w14:paraId="5DE2F570">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2310</w:t>
                  </w:r>
                </w:p>
              </w:tc>
            </w:tr>
            <w:tr w14:paraId="5913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pct"/>
                  <w:noWrap w:val="0"/>
                  <w:vAlign w:val="center"/>
                </w:tcPr>
                <w:p w14:paraId="117EC0BD">
                  <w:pPr>
                    <w:jc w:val="center"/>
                    <w:rPr>
                      <w:rFonts w:hint="default"/>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味精</w:t>
                  </w:r>
                </w:p>
              </w:tc>
              <w:tc>
                <w:tcPr>
                  <w:tcW w:w="961" w:type="pct"/>
                  <w:noWrap w:val="0"/>
                  <w:vAlign w:val="center"/>
                </w:tcPr>
                <w:p w14:paraId="0E5F95DB">
                  <w:pPr>
                    <w:jc w:val="center"/>
                    <w:rPr>
                      <w:rFonts w:hint="default"/>
                      <w:color w:val="auto"/>
                      <w:vertAlign w:val="baseline"/>
                      <w:lang w:val="en-US" w:eastAsia="zh-CN"/>
                    </w:rPr>
                  </w:pPr>
                  <w:r>
                    <w:rPr>
                      <w:rFonts w:hint="eastAsia" w:cs="Times New Roman"/>
                      <w:color w:val="auto"/>
                      <w:sz w:val="21"/>
                      <w:szCs w:val="21"/>
                      <w:vertAlign w:val="baseline"/>
                      <w:lang w:val="en-US" w:eastAsia="zh-CN"/>
                    </w:rPr>
                    <w:t>0.1</w:t>
                  </w:r>
                </w:p>
              </w:tc>
              <w:tc>
                <w:tcPr>
                  <w:tcW w:w="1494" w:type="pct"/>
                  <w:noWrap w:val="0"/>
                  <w:vAlign w:val="center"/>
                </w:tcPr>
                <w:p w14:paraId="493AD19D">
                  <w:pPr>
                    <w:jc w:val="center"/>
                    <w:rPr>
                      <w:rFonts w:hint="default"/>
                      <w:color w:val="auto"/>
                      <w:kern w:val="2"/>
                      <w:sz w:val="21"/>
                      <w:szCs w:val="24"/>
                      <w:vertAlign w:val="baseline"/>
                      <w:lang w:val="en-US" w:eastAsia="zh-CN" w:bidi="ar-SA"/>
                    </w:rPr>
                  </w:pPr>
                  <w:r>
                    <w:rPr>
                      <w:rFonts w:hint="eastAsia"/>
                      <w:color w:val="auto"/>
                      <w:kern w:val="2"/>
                      <w:sz w:val="21"/>
                      <w:szCs w:val="24"/>
                      <w:vertAlign w:val="baseline"/>
                      <w:lang w:val="en-US" w:eastAsia="zh-CN" w:bidi="ar-SA"/>
                    </w:rPr>
                    <w:t>果壳</w:t>
                  </w:r>
                </w:p>
              </w:tc>
              <w:tc>
                <w:tcPr>
                  <w:tcW w:w="1077" w:type="pct"/>
                  <w:noWrap w:val="0"/>
                  <w:vAlign w:val="center"/>
                </w:tcPr>
                <w:p w14:paraId="57D5DA57">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400</w:t>
                  </w:r>
                </w:p>
              </w:tc>
            </w:tr>
            <w:tr w14:paraId="069A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6" w:type="pct"/>
                  <w:noWrap w:val="0"/>
                  <w:vAlign w:val="center"/>
                </w:tcPr>
                <w:p w14:paraId="1C8DEF73">
                  <w:pPr>
                    <w:jc w:val="center"/>
                    <w:rPr>
                      <w:rFonts w:hint="default"/>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炼乳</w:t>
                  </w:r>
                </w:p>
              </w:tc>
              <w:tc>
                <w:tcPr>
                  <w:tcW w:w="961" w:type="pct"/>
                  <w:noWrap w:val="0"/>
                  <w:vAlign w:val="center"/>
                </w:tcPr>
                <w:p w14:paraId="47CA07B5">
                  <w:pPr>
                    <w:jc w:val="center"/>
                    <w:rPr>
                      <w:rFonts w:hint="default"/>
                      <w:color w:val="auto"/>
                      <w:vertAlign w:val="baseline"/>
                      <w:lang w:val="en-US" w:eastAsia="zh-CN"/>
                    </w:rPr>
                  </w:pPr>
                  <w:r>
                    <w:rPr>
                      <w:rFonts w:hint="eastAsia" w:cs="Times New Roman"/>
                      <w:color w:val="auto"/>
                      <w:sz w:val="21"/>
                      <w:szCs w:val="21"/>
                      <w:vertAlign w:val="baseline"/>
                      <w:lang w:val="en-US" w:eastAsia="zh-CN"/>
                    </w:rPr>
                    <w:t>0.3</w:t>
                  </w:r>
                </w:p>
              </w:tc>
              <w:tc>
                <w:tcPr>
                  <w:tcW w:w="1494" w:type="pct"/>
                  <w:noWrap w:val="0"/>
                  <w:vAlign w:val="center"/>
                </w:tcPr>
                <w:p w14:paraId="48031199">
                  <w:pPr>
                    <w:jc w:val="center"/>
                    <w:rPr>
                      <w:rFonts w:hint="default"/>
                      <w:color w:val="auto"/>
                      <w:kern w:val="2"/>
                      <w:sz w:val="21"/>
                      <w:szCs w:val="24"/>
                      <w:vertAlign w:val="baseline"/>
                      <w:lang w:val="en-US" w:eastAsia="zh-CN" w:bidi="ar-SA"/>
                    </w:rPr>
                  </w:pPr>
                  <w:r>
                    <w:rPr>
                      <w:rFonts w:hint="eastAsia"/>
                      <w:color w:val="auto"/>
                      <w:kern w:val="2"/>
                      <w:sz w:val="21"/>
                      <w:szCs w:val="24"/>
                      <w:vertAlign w:val="baseline"/>
                      <w:lang w:val="en-US" w:eastAsia="zh-CN" w:bidi="ar-SA"/>
                    </w:rPr>
                    <w:t>残次品及不合格品</w:t>
                  </w:r>
                </w:p>
              </w:tc>
              <w:tc>
                <w:tcPr>
                  <w:tcW w:w="1077" w:type="pct"/>
                  <w:noWrap w:val="0"/>
                  <w:vAlign w:val="center"/>
                </w:tcPr>
                <w:p w14:paraId="7E55C23F">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t>660</w:t>
                  </w:r>
                </w:p>
              </w:tc>
            </w:tr>
            <w:tr w14:paraId="34BA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6" w:type="pct"/>
                  <w:noWrap w:val="0"/>
                  <w:vAlign w:val="center"/>
                </w:tcPr>
                <w:p w14:paraId="54C57CEF">
                  <w:pPr>
                    <w:jc w:val="center"/>
                    <w:rPr>
                      <w:rFonts w:hint="default"/>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甜蜜素</w:t>
                  </w:r>
                </w:p>
              </w:tc>
              <w:tc>
                <w:tcPr>
                  <w:tcW w:w="961" w:type="pct"/>
                  <w:noWrap w:val="0"/>
                  <w:vAlign w:val="center"/>
                </w:tcPr>
                <w:p w14:paraId="74222ED9">
                  <w:pPr>
                    <w:jc w:val="center"/>
                    <w:rPr>
                      <w:rFonts w:hint="eastAsia"/>
                      <w:color w:val="auto"/>
                      <w:vertAlign w:val="baseline"/>
                      <w:lang w:val="en-US" w:eastAsia="zh-CN"/>
                    </w:rPr>
                  </w:pPr>
                  <w:r>
                    <w:rPr>
                      <w:rFonts w:hint="eastAsia" w:cs="Times New Roman"/>
                      <w:color w:val="auto"/>
                      <w:sz w:val="21"/>
                      <w:szCs w:val="21"/>
                      <w:vertAlign w:val="baseline"/>
                      <w:lang w:val="en-US" w:eastAsia="zh-CN"/>
                    </w:rPr>
                    <w:t>0.1</w:t>
                  </w:r>
                </w:p>
              </w:tc>
              <w:tc>
                <w:tcPr>
                  <w:tcW w:w="1494" w:type="pct"/>
                  <w:noWrap w:val="0"/>
                  <w:vAlign w:val="center"/>
                </w:tcPr>
                <w:p w14:paraId="7CD69DFE">
                  <w:pPr>
                    <w:jc w:val="center"/>
                    <w:rPr>
                      <w:rFonts w:hint="default"/>
                      <w:color w:val="auto"/>
                      <w:kern w:val="2"/>
                      <w:sz w:val="21"/>
                      <w:szCs w:val="24"/>
                      <w:vertAlign w:val="baseline"/>
                      <w:lang w:val="en-US" w:eastAsia="zh-CN" w:bidi="ar-SA"/>
                    </w:rPr>
                  </w:pPr>
                </w:p>
              </w:tc>
              <w:tc>
                <w:tcPr>
                  <w:tcW w:w="1077" w:type="pct"/>
                  <w:noWrap w:val="0"/>
                  <w:vAlign w:val="center"/>
                </w:tcPr>
                <w:p w14:paraId="36331681">
                  <w:pPr>
                    <w:jc w:val="center"/>
                    <w:rPr>
                      <w:rFonts w:hint="default" w:ascii="Times New Roman" w:hAnsi="Times New Roman" w:eastAsia="宋体" w:cs="Times New Roman"/>
                      <w:color w:val="auto"/>
                      <w:kern w:val="2"/>
                      <w:sz w:val="21"/>
                      <w:szCs w:val="24"/>
                      <w:vertAlign w:val="baseline"/>
                      <w:lang w:val="en-US" w:eastAsia="zh-CN" w:bidi="ar-SA"/>
                    </w:rPr>
                  </w:pPr>
                </w:p>
              </w:tc>
            </w:tr>
            <w:tr w14:paraId="2293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6" w:type="pct"/>
                  <w:noWrap w:val="0"/>
                  <w:vAlign w:val="center"/>
                </w:tcPr>
                <w:p w14:paraId="2BC5B722">
                  <w:pPr>
                    <w:jc w:val="center"/>
                    <w:rPr>
                      <w:rFonts w:hint="default"/>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食用香精香料</w:t>
                  </w:r>
                </w:p>
              </w:tc>
              <w:tc>
                <w:tcPr>
                  <w:tcW w:w="961" w:type="pct"/>
                  <w:noWrap w:val="0"/>
                  <w:vAlign w:val="center"/>
                </w:tcPr>
                <w:p w14:paraId="5052F9D9">
                  <w:pPr>
                    <w:jc w:val="center"/>
                    <w:rPr>
                      <w:rFonts w:hint="eastAsia"/>
                      <w:color w:val="auto"/>
                      <w:vertAlign w:val="baseline"/>
                      <w:lang w:val="en-US" w:eastAsia="zh-CN"/>
                    </w:rPr>
                  </w:pPr>
                  <w:r>
                    <w:rPr>
                      <w:rFonts w:hint="eastAsia" w:cs="Times New Roman"/>
                      <w:color w:val="auto"/>
                      <w:sz w:val="21"/>
                      <w:szCs w:val="21"/>
                      <w:vertAlign w:val="baseline"/>
                      <w:lang w:val="en-US" w:eastAsia="zh-CN"/>
                    </w:rPr>
                    <w:t>0.5</w:t>
                  </w:r>
                </w:p>
              </w:tc>
              <w:tc>
                <w:tcPr>
                  <w:tcW w:w="1494" w:type="pct"/>
                  <w:noWrap w:val="0"/>
                  <w:vAlign w:val="center"/>
                </w:tcPr>
                <w:p w14:paraId="331F5C20">
                  <w:pPr>
                    <w:jc w:val="center"/>
                    <w:rPr>
                      <w:rFonts w:hint="eastAsia"/>
                      <w:color w:val="auto"/>
                      <w:kern w:val="2"/>
                      <w:sz w:val="21"/>
                      <w:szCs w:val="24"/>
                      <w:vertAlign w:val="baseline"/>
                      <w:lang w:val="en-US" w:eastAsia="zh-CN" w:bidi="ar-SA"/>
                    </w:rPr>
                  </w:pPr>
                </w:p>
              </w:tc>
              <w:tc>
                <w:tcPr>
                  <w:tcW w:w="1077" w:type="pct"/>
                  <w:noWrap w:val="0"/>
                  <w:vAlign w:val="center"/>
                </w:tcPr>
                <w:p w14:paraId="23845856">
                  <w:pPr>
                    <w:jc w:val="center"/>
                    <w:rPr>
                      <w:rFonts w:hint="default" w:ascii="Times New Roman" w:hAnsi="Times New Roman" w:eastAsia="宋体" w:cs="Times New Roman"/>
                      <w:color w:val="auto"/>
                      <w:kern w:val="2"/>
                      <w:sz w:val="21"/>
                      <w:szCs w:val="24"/>
                      <w:vertAlign w:val="baseline"/>
                      <w:lang w:val="en-US" w:eastAsia="zh-CN" w:bidi="ar-SA"/>
                    </w:rPr>
                  </w:pPr>
                </w:p>
              </w:tc>
            </w:tr>
            <w:tr w14:paraId="4F90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466" w:type="pct"/>
                  <w:noWrap w:val="0"/>
                  <w:vAlign w:val="center"/>
                </w:tcPr>
                <w:p w14:paraId="2CFD2290">
                  <w:pPr>
                    <w:jc w:val="center"/>
                    <w:rPr>
                      <w:rFonts w:hint="eastAsia"/>
                      <w:color w:val="auto"/>
                      <w:vertAlign w:val="baseline"/>
                      <w:lang w:val="en-US" w:eastAsia="zh-CN"/>
                    </w:rPr>
                  </w:pPr>
                  <w:r>
                    <w:rPr>
                      <w:rFonts w:hint="eastAsia"/>
                      <w:color w:val="auto"/>
                      <w:vertAlign w:val="baseline"/>
                      <w:lang w:val="en-US" w:eastAsia="zh-CN"/>
                    </w:rPr>
                    <w:t>合计</w:t>
                  </w:r>
                </w:p>
              </w:tc>
              <w:tc>
                <w:tcPr>
                  <w:tcW w:w="961" w:type="pct"/>
                  <w:noWrap w:val="0"/>
                  <w:vAlign w:val="top"/>
                </w:tcPr>
                <w:p w14:paraId="03DB3754">
                  <w:pPr>
                    <w:jc w:val="center"/>
                    <w:rPr>
                      <w:rFonts w:hint="default"/>
                      <w:color w:val="auto"/>
                      <w:vertAlign w:val="baseline"/>
                      <w:lang w:val="en-US" w:eastAsia="zh-CN"/>
                    </w:rPr>
                  </w:pPr>
                  <w:r>
                    <w:rPr>
                      <w:rFonts w:hint="eastAsia"/>
                      <w:color w:val="auto"/>
                      <w:vertAlign w:val="baseline"/>
                      <w:lang w:val="en-US" w:eastAsia="zh-CN"/>
                    </w:rPr>
                    <w:t>7901.6</w:t>
                  </w:r>
                </w:p>
              </w:tc>
              <w:tc>
                <w:tcPr>
                  <w:tcW w:w="1494" w:type="pct"/>
                  <w:noWrap w:val="0"/>
                  <w:vAlign w:val="center"/>
                </w:tcPr>
                <w:p w14:paraId="256933BA">
                  <w:pPr>
                    <w:jc w:val="center"/>
                    <w:rPr>
                      <w:rFonts w:hint="eastAsia"/>
                      <w:color w:val="auto"/>
                      <w:vertAlign w:val="baseline"/>
                      <w:lang w:val="en-US" w:eastAsia="zh-CN"/>
                    </w:rPr>
                  </w:pPr>
                  <w:r>
                    <w:rPr>
                      <w:rFonts w:hint="eastAsia"/>
                      <w:color w:val="auto"/>
                      <w:vertAlign w:val="baseline"/>
                      <w:lang w:val="en-US" w:eastAsia="zh-CN"/>
                    </w:rPr>
                    <w:t>合计</w:t>
                  </w:r>
                </w:p>
              </w:tc>
              <w:tc>
                <w:tcPr>
                  <w:tcW w:w="1077" w:type="pct"/>
                  <w:noWrap w:val="0"/>
                  <w:vAlign w:val="center"/>
                </w:tcPr>
                <w:p w14:paraId="64C83DCC">
                  <w:p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7901.6</w:t>
                  </w:r>
                </w:p>
              </w:tc>
            </w:tr>
          </w:tbl>
          <w:p w14:paraId="7A661444">
            <w:pPr>
              <w:pStyle w:val="31"/>
              <w:ind w:left="0" w:leftChars="0" w:firstLine="482" w:firstLineChars="200"/>
              <w:jc w:val="both"/>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②物料平衡图</w:t>
            </w:r>
          </w:p>
          <w:p w14:paraId="53FFF9BE">
            <w:pPr>
              <w:rPr>
                <w:rFonts w:hint="eastAsia" w:ascii="宋体" w:hAnsi="宋体" w:eastAsia="宋体" w:cs="宋体"/>
                <w:b/>
                <w:bCs/>
                <w:color w:val="auto"/>
                <w:kern w:val="2"/>
                <w:sz w:val="24"/>
                <w:szCs w:val="24"/>
                <w:lang w:val="en-US" w:eastAsia="zh-CN" w:bidi="ar-SA"/>
              </w:rPr>
            </w:pPr>
          </w:p>
          <w:p w14:paraId="3576C56F">
            <w:pPr>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object>
                <v:shape id="_x0000_i1030" o:spt="75" type="#_x0000_t75" style="height:192.45pt;width:395.05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p>
          <w:p w14:paraId="491E95B1">
            <w:pPr>
              <w:pStyle w:val="16"/>
              <w:ind w:firstLine="2168" w:firstLineChars="900"/>
              <w:rPr>
                <w:rFonts w:hint="default" w:eastAsia="oúì."/>
                <w:color w:val="auto"/>
                <w:lang w:val="en-US" w:eastAsia="zh-CN"/>
              </w:rPr>
            </w:pPr>
            <w:r>
              <w:rPr>
                <w:rFonts w:hint="default" w:ascii="Times New Roman" w:hAnsi="Times New Roman" w:eastAsia="宋体" w:cs="Times New Roman"/>
                <w:b/>
                <w:bCs/>
                <w:color w:val="auto"/>
                <w:sz w:val="24"/>
                <w:szCs w:val="24"/>
                <w:lang w:val="en-US" w:eastAsia="zh-CN"/>
              </w:rPr>
              <w:t>图</w:t>
            </w:r>
            <w:r>
              <w:rPr>
                <w:rFonts w:hint="eastAsia" w:ascii="Times New Roman" w:hAnsi="Times New Roman" w:eastAsia="宋体" w:cs="Times New Roman"/>
                <w:b/>
                <w:bCs/>
                <w:color w:val="auto"/>
                <w:sz w:val="24"/>
                <w:szCs w:val="24"/>
                <w:lang w:val="en-US" w:eastAsia="zh-CN"/>
              </w:rPr>
              <w:t xml:space="preserve">2-6  </w:t>
            </w:r>
            <w:r>
              <w:rPr>
                <w:rFonts w:hint="default" w:ascii="Times New Roman" w:hAnsi="Times New Roman" w:eastAsia="宋体" w:cs="Times New Roman"/>
                <w:b/>
                <w:bCs/>
                <w:color w:val="auto"/>
                <w:sz w:val="24"/>
                <w:szCs w:val="24"/>
                <w:lang w:val="en-US" w:eastAsia="zh-CN"/>
              </w:rPr>
              <w:t>项目物料平衡图   单位t/a</w:t>
            </w:r>
          </w:p>
        </w:tc>
      </w:tr>
      <w:tr w14:paraId="0FB1B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7" w:hRule="atLeast"/>
          <w:jc w:val="center"/>
        </w:trPr>
        <w:tc>
          <w:tcPr>
            <w:tcW w:w="220" w:type="pct"/>
            <w:noWrap w:val="0"/>
            <w:vAlign w:val="center"/>
          </w:tcPr>
          <w:p w14:paraId="0225759E">
            <w:pPr>
              <w:pStyle w:val="29"/>
              <w:adjustRightInd w:val="0"/>
              <w:snapToGrid w:val="0"/>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b w:val="0"/>
                <w:bCs/>
                <w:color w:val="auto"/>
                <w:kern w:val="2"/>
                <w:sz w:val="24"/>
                <w:szCs w:val="24"/>
                <w:lang w:val="en-US" w:eastAsia="zh-CN" w:bidi="ar-SA"/>
              </w:rPr>
              <w:t>与项目有关的原有环境污染问题</w:t>
            </w:r>
          </w:p>
        </w:tc>
        <w:tc>
          <w:tcPr>
            <w:tcW w:w="4779" w:type="pct"/>
            <w:noWrap w:val="0"/>
            <w:vAlign w:val="top"/>
          </w:tcPr>
          <w:p w14:paraId="38243C29">
            <w:pPr>
              <w:pStyle w:val="13"/>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2"/>
              </w:rPr>
              <w:t>本项目为</w:t>
            </w:r>
            <w:r>
              <w:rPr>
                <w:rFonts w:hint="eastAsia" w:ascii="Times New Roman" w:hAnsi="Times New Roman" w:eastAsia="宋体" w:cs="Times New Roman"/>
                <w:color w:val="auto"/>
                <w:sz w:val="24"/>
                <w:szCs w:val="22"/>
                <w:lang w:val="en-US" w:eastAsia="zh-CN"/>
              </w:rPr>
              <w:t>新建</w:t>
            </w:r>
            <w:r>
              <w:rPr>
                <w:rFonts w:hint="default" w:ascii="Times New Roman" w:hAnsi="Times New Roman" w:eastAsia="宋体" w:cs="Times New Roman"/>
                <w:color w:val="auto"/>
                <w:sz w:val="24"/>
                <w:szCs w:val="22"/>
              </w:rPr>
              <w:t>项目，</w:t>
            </w:r>
            <w:r>
              <w:rPr>
                <w:rFonts w:hint="eastAsia" w:ascii="Times New Roman" w:hAnsi="Times New Roman" w:eastAsia="宋体" w:cs="Times New Roman"/>
                <w:color w:val="auto"/>
                <w:sz w:val="24"/>
                <w:szCs w:val="24"/>
                <w:lang w:val="en-US" w:eastAsia="zh-CN"/>
              </w:rPr>
              <w:t>根据环评人员现场调查，租用场地历史无工业企业存在，已建的标准化厂房</w:t>
            </w:r>
            <w:r>
              <w:rPr>
                <w:rFonts w:hint="eastAsia" w:ascii="Times New Roman" w:hAnsi="Times New Roman" w:eastAsia="宋体" w:cs="Times New Roman"/>
                <w:color w:val="auto"/>
                <w:sz w:val="24"/>
                <w:szCs w:val="22"/>
                <w:lang w:val="en-US" w:eastAsia="zh-CN"/>
              </w:rPr>
              <w:t>处置闲置状态，无历史遗留环境问题，因此无与本项目有关的原有污染问题。</w:t>
            </w:r>
          </w:p>
          <w:p w14:paraId="4A8341E1">
            <w:pPr>
              <w:pStyle w:val="32"/>
              <w:spacing w:line="360" w:lineRule="auto"/>
              <w:ind w:left="0" w:leftChars="0" w:firstLine="420" w:firstLineChars="200"/>
              <w:rPr>
                <w:rFonts w:hint="eastAsia" w:ascii="Times New Roman" w:eastAsia="宋体" w:cs="Times New Roman"/>
                <w:color w:val="auto"/>
                <w:lang w:val="en-US" w:eastAsia="zh-CN"/>
              </w:rPr>
            </w:pPr>
          </w:p>
        </w:tc>
      </w:tr>
    </w:tbl>
    <w:p w14:paraId="1136065A">
      <w:pPr>
        <w:pStyle w:val="29"/>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75037CE">
      <w:pPr>
        <w:pStyle w:val="3"/>
        <w:bidi w:val="0"/>
        <w:jc w:val="center"/>
        <w:rPr>
          <w:rFonts w:hint="eastAsia" w:ascii="Times New Roman" w:hAnsi="Times New Roman" w:cs="Times New Roman"/>
          <w:color w:val="auto"/>
        </w:rPr>
      </w:pPr>
      <w:bookmarkStart w:id="230" w:name="_Toc20509"/>
      <w:bookmarkStart w:id="231" w:name="_Toc27112"/>
      <w:bookmarkStart w:id="232" w:name="_Toc31451"/>
      <w:bookmarkStart w:id="233" w:name="_Toc15069"/>
      <w:r>
        <w:rPr>
          <w:rFonts w:hint="eastAsia" w:ascii="Times New Roman" w:hAnsi="Times New Roman" w:cs="Times New Roman"/>
          <w:color w:val="auto"/>
        </w:rPr>
        <w:t>三、区域环境质量现状、环境保护目标及评价标准</w:t>
      </w:r>
      <w:bookmarkEnd w:id="228"/>
      <w:bookmarkEnd w:id="230"/>
      <w:bookmarkEnd w:id="231"/>
      <w:bookmarkEnd w:id="232"/>
      <w:bookmarkEnd w:id="23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301"/>
      </w:tblGrid>
      <w:tr w14:paraId="233BC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6" w:hRule="atLeast"/>
          <w:jc w:val="center"/>
        </w:trPr>
        <w:tc>
          <w:tcPr>
            <w:tcW w:w="760" w:type="dxa"/>
            <w:noWrap w:val="0"/>
            <w:vAlign w:val="center"/>
          </w:tcPr>
          <w:p w14:paraId="17FAEDF2">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区域</w:t>
            </w:r>
          </w:p>
          <w:p w14:paraId="6F0085B6">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环境</w:t>
            </w:r>
          </w:p>
          <w:p w14:paraId="4044F02A">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质量</w:t>
            </w:r>
          </w:p>
          <w:p w14:paraId="04C44EB9">
            <w:pPr>
              <w:pStyle w:val="4"/>
              <w:bidi w:val="0"/>
              <w:jc w:val="center"/>
              <w:rPr>
                <w:rFonts w:hint="eastAsia" w:ascii="宋体" w:hAnsi="宋体" w:eastAsia="宋体" w:cs="宋体"/>
                <w:color w:val="auto"/>
                <w:kern w:val="0"/>
                <w:sz w:val="21"/>
                <w:szCs w:val="21"/>
              </w:rPr>
            </w:pPr>
            <w:r>
              <w:rPr>
                <w:rFonts w:hint="eastAsia" w:ascii="宋体" w:hAnsi="宋体" w:eastAsia="宋体" w:cs="宋体"/>
                <w:b w:val="0"/>
                <w:bCs/>
                <w:color w:val="auto"/>
                <w:sz w:val="24"/>
                <w:szCs w:val="24"/>
              </w:rPr>
              <w:t>现状</w:t>
            </w:r>
          </w:p>
        </w:tc>
        <w:tc>
          <w:tcPr>
            <w:tcW w:w="8301" w:type="dxa"/>
            <w:noWrap w:val="0"/>
            <w:vAlign w:val="center"/>
          </w:tcPr>
          <w:p w14:paraId="3C1EF60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rPr>
              <w:t>环境空气质量现状</w:t>
            </w:r>
          </w:p>
          <w:p w14:paraId="7D9314B8">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空气质量达标区判定</w:t>
            </w:r>
          </w:p>
          <w:p w14:paraId="17346C7F">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kern w:val="28"/>
                <w:sz w:val="24"/>
                <w:szCs w:val="24"/>
              </w:rPr>
              <w:t>项目</w:t>
            </w:r>
            <w:r>
              <w:rPr>
                <w:rFonts w:hint="eastAsia" w:ascii="Times New Roman" w:hAnsi="Times New Roman" w:eastAsia="宋体" w:cs="Times New Roman"/>
                <w:bCs/>
                <w:color w:val="auto"/>
                <w:kern w:val="28"/>
                <w:sz w:val="24"/>
                <w:szCs w:val="24"/>
                <w:lang w:val="en-US" w:eastAsia="zh-CN"/>
              </w:rPr>
              <w:t>位于云南省德宏州芒市中山乡芒丙村罗胡山</w:t>
            </w:r>
            <w:r>
              <w:rPr>
                <w:rFonts w:hint="default" w:ascii="Times New Roman" w:hAnsi="Times New Roman" w:eastAsia="宋体" w:cs="Times New Roman"/>
                <w:bCs/>
                <w:color w:val="auto"/>
                <w:kern w:val="28"/>
                <w:sz w:val="24"/>
                <w:szCs w:val="24"/>
              </w:rPr>
              <w:t>，</w:t>
            </w:r>
            <w:r>
              <w:rPr>
                <w:rFonts w:hint="default" w:ascii="Times New Roman" w:hAnsi="Times New Roman" w:eastAsia="宋体" w:cs="Times New Roman"/>
                <w:color w:val="auto"/>
                <w:sz w:val="24"/>
                <w:szCs w:val="24"/>
                <w:lang w:val="en-US" w:eastAsia="zh-CN"/>
              </w:rPr>
              <w:t>根据环境空气质量功能区的分类，项目区属于2类区，按GB3095-2012《环境空气质量标准》二级标准进行保护。</w:t>
            </w:r>
          </w:p>
          <w:p w14:paraId="71BC1ED0">
            <w:pPr>
              <w:pStyle w:val="13"/>
              <w:keepNext w:val="0"/>
              <w:keepLines w:val="0"/>
              <w:pageBreakBefore w:val="0"/>
              <w:widowControl w:val="0"/>
              <w:tabs>
                <w:tab w:val="left" w:pos="2411"/>
              </w:tabs>
              <w:kinsoku/>
              <w:wordWrap/>
              <w:overflowPunct/>
              <w:topLinePunct w:val="0"/>
              <w:autoSpaceDE/>
              <w:autoSpaceDN/>
              <w:bidi w:val="0"/>
              <w:adjustRightInd w:val="0"/>
              <w:snapToGrid/>
              <w:spacing w:before="0" w:after="0" w:line="360" w:lineRule="auto"/>
              <w:ind w:left="0" w:right="0" w:firstLine="480" w:firstLineChars="200"/>
              <w:textAlignment w:val="baseline"/>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根据《德宏州20</w:t>
            </w:r>
            <w:r>
              <w:rPr>
                <w:rFonts w:hint="eastAsia" w:hAnsi="Times New Roman" w:eastAsia="宋体" w:cs="Times New Roman"/>
                <w:color w:val="auto"/>
                <w:kern w:val="2"/>
                <w:sz w:val="24"/>
                <w:szCs w:val="24"/>
                <w:lang w:val="en-US" w:eastAsia="zh-CN" w:bidi="ar-SA"/>
              </w:rPr>
              <w:t>19</w:t>
            </w:r>
            <w:r>
              <w:rPr>
                <w:rFonts w:hint="default" w:ascii="Times New Roman" w:hAnsi="Times New Roman" w:eastAsia="宋体" w:cs="Times New Roman"/>
                <w:color w:val="auto"/>
                <w:kern w:val="2"/>
                <w:sz w:val="24"/>
                <w:szCs w:val="24"/>
                <w:lang w:val="en-US" w:eastAsia="zh-CN" w:bidi="ar-SA"/>
              </w:rPr>
              <w:t>年环境质量公报》，</w:t>
            </w:r>
            <w:r>
              <w:rPr>
                <w:rFonts w:hint="eastAsia" w:hAnsi="Times New Roman" w:eastAsia="宋体" w:cs="Times New Roman"/>
                <w:color w:val="auto"/>
                <w:kern w:val="2"/>
                <w:sz w:val="24"/>
                <w:szCs w:val="24"/>
                <w:lang w:val="en-US" w:eastAsia="zh-CN" w:bidi="ar-SA"/>
              </w:rPr>
              <w:t>芒市</w:t>
            </w:r>
            <w:r>
              <w:rPr>
                <w:rFonts w:hint="default" w:ascii="Times New Roman" w:hAnsi="Times New Roman" w:eastAsia="宋体" w:cs="Times New Roman"/>
                <w:color w:val="auto"/>
                <w:kern w:val="2"/>
                <w:sz w:val="24"/>
                <w:szCs w:val="24"/>
                <w:lang w:val="en-US" w:eastAsia="zh-CN" w:bidi="ar-SA"/>
              </w:rPr>
              <w:t>有效监测天数361天，优216天，比2018年多37天；良145 天，比 2018 年少14天；全年无超标天数。按空气质量指数（AQI） 评价，优良率为100%，与2018年相比上升6.1%。首要污染物为可吸入颗粒物、细颗粒物和臭氧。年度综合评价，芒市环境空气质量达二级标准。</w:t>
            </w:r>
          </w:p>
          <w:p w14:paraId="7CBAE172">
            <w:pPr>
              <w:pStyle w:val="13"/>
              <w:keepNext w:val="0"/>
              <w:keepLines w:val="0"/>
              <w:pageBreakBefore w:val="0"/>
              <w:widowControl w:val="0"/>
              <w:tabs>
                <w:tab w:val="left" w:pos="2411"/>
              </w:tabs>
              <w:kinsoku/>
              <w:wordWrap/>
              <w:overflowPunct/>
              <w:topLinePunct w:val="0"/>
              <w:autoSpaceDE/>
              <w:autoSpaceDN/>
              <w:bidi w:val="0"/>
              <w:adjustRightInd w:val="0"/>
              <w:snapToGrid/>
              <w:spacing w:before="0" w:after="0" w:line="360" w:lineRule="auto"/>
              <w:ind w:right="0"/>
              <w:jc w:val="center"/>
              <w:textAlignment w:val="baseline"/>
              <w:rPr>
                <w:rFonts w:hint="eastAsia" w:ascii="Times New Roman" w:hAnsi="Times New Roman" w:cs="Times New Roman"/>
                <w:b/>
                <w:color w:val="auto"/>
                <w:sz w:val="24"/>
                <w:szCs w:val="24"/>
                <w:vertAlign w:val="superscript"/>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 xml:space="preserve">3-1  </w:t>
            </w:r>
            <w:r>
              <w:rPr>
                <w:rFonts w:hint="eastAsia" w:ascii="Times New Roman" w:hAnsi="Times New Roman" w:eastAsia="宋体" w:cs="Times New Roman"/>
                <w:b/>
                <w:color w:val="auto"/>
                <w:sz w:val="24"/>
                <w:szCs w:val="24"/>
                <w:lang w:val="en-US" w:eastAsia="zh-CN"/>
              </w:rPr>
              <w:t>2019年德宏州</w:t>
            </w:r>
            <w:r>
              <w:rPr>
                <w:rFonts w:hint="default" w:ascii="Times New Roman" w:hAnsi="Times New Roman" w:eastAsia="宋体" w:cs="Times New Roman"/>
                <w:b/>
                <w:color w:val="auto"/>
                <w:sz w:val="24"/>
                <w:szCs w:val="24"/>
                <w:lang w:val="en-US" w:eastAsia="zh-CN"/>
              </w:rPr>
              <w:t>芒市</w:t>
            </w:r>
            <w:r>
              <w:rPr>
                <w:rFonts w:hint="default" w:ascii="Times New Roman" w:hAnsi="Times New Roman" w:eastAsia="宋体" w:cs="Times New Roman"/>
                <w:b/>
                <w:color w:val="auto"/>
                <w:sz w:val="24"/>
                <w:szCs w:val="24"/>
              </w:rPr>
              <w:t>环境空气检测结果一览表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176"/>
              <w:gridCol w:w="1132"/>
              <w:gridCol w:w="1098"/>
              <w:gridCol w:w="1095"/>
              <w:gridCol w:w="835"/>
              <w:gridCol w:w="1060"/>
              <w:gridCol w:w="958"/>
            </w:tblGrid>
            <w:tr w14:paraId="451B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897" w:type="dxa"/>
                  <w:gridSpan w:val="2"/>
                  <w:noWrap w:val="0"/>
                  <w:vAlign w:val="center"/>
                </w:tcPr>
                <w:p w14:paraId="75DF1A3E">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监测指标</w:t>
                  </w:r>
                </w:p>
              </w:tc>
              <w:tc>
                <w:tcPr>
                  <w:tcW w:w="1132" w:type="dxa"/>
                  <w:noWrap w:val="0"/>
                  <w:vAlign w:val="center"/>
                </w:tcPr>
                <w:p w14:paraId="586BCFFD">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二氧化硫（</w:t>
                  </w:r>
                  <w:r>
                    <w:rPr>
                      <w:rFonts w:hint="eastAsia" w:ascii="宋体" w:hAnsi="宋体" w:eastAsia="宋体" w:cs="宋体"/>
                      <w:b/>
                      <w:color w:val="auto"/>
                      <w:sz w:val="21"/>
                      <w:szCs w:val="21"/>
                    </w:rPr>
                    <w:t>mg/m</w:t>
                  </w:r>
                  <w:r>
                    <w:rPr>
                      <w:rFonts w:hint="eastAsia" w:ascii="宋体" w:hAnsi="宋体" w:eastAsia="宋体" w:cs="宋体"/>
                      <w:b/>
                      <w:color w:val="auto"/>
                      <w:sz w:val="21"/>
                      <w:szCs w:val="21"/>
                      <w:vertAlign w:val="superscript"/>
                    </w:rPr>
                    <w:t>3</w:t>
                  </w:r>
                  <w:r>
                    <w:rPr>
                      <w:rFonts w:hint="eastAsia" w:ascii="宋体" w:hAnsi="宋体" w:eastAsia="宋体" w:cs="宋体"/>
                      <w:b/>
                      <w:color w:val="auto"/>
                      <w:sz w:val="21"/>
                      <w:szCs w:val="21"/>
                      <w:vertAlign w:val="baseline"/>
                      <w:lang w:val="en-US" w:eastAsia="zh-CN"/>
                    </w:rPr>
                    <w:t>）</w:t>
                  </w:r>
                </w:p>
              </w:tc>
              <w:tc>
                <w:tcPr>
                  <w:tcW w:w="1098" w:type="dxa"/>
                  <w:noWrap w:val="0"/>
                  <w:vAlign w:val="center"/>
                </w:tcPr>
                <w:p w14:paraId="0A58143E">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二氧化氮（</w:t>
                  </w:r>
                  <w:r>
                    <w:rPr>
                      <w:rFonts w:hint="eastAsia" w:ascii="宋体" w:hAnsi="宋体" w:eastAsia="宋体" w:cs="宋体"/>
                      <w:b/>
                      <w:color w:val="auto"/>
                      <w:sz w:val="21"/>
                      <w:szCs w:val="21"/>
                    </w:rPr>
                    <w:t>mg/m</w:t>
                  </w:r>
                  <w:r>
                    <w:rPr>
                      <w:rFonts w:hint="eastAsia" w:ascii="宋体" w:hAnsi="宋体" w:eastAsia="宋体" w:cs="宋体"/>
                      <w:b/>
                      <w:color w:val="auto"/>
                      <w:sz w:val="21"/>
                      <w:szCs w:val="21"/>
                      <w:vertAlign w:val="superscript"/>
                    </w:rPr>
                    <w:t>3</w:t>
                  </w:r>
                  <w:r>
                    <w:rPr>
                      <w:rFonts w:hint="eastAsia" w:ascii="宋体" w:hAnsi="宋体" w:eastAsia="宋体" w:cs="宋体"/>
                      <w:b/>
                      <w:color w:val="auto"/>
                      <w:sz w:val="21"/>
                      <w:szCs w:val="21"/>
                      <w:vertAlign w:val="baseline"/>
                      <w:lang w:val="en-US" w:eastAsia="zh-CN"/>
                    </w:rPr>
                    <w:t>）</w:t>
                  </w:r>
                </w:p>
              </w:tc>
              <w:tc>
                <w:tcPr>
                  <w:tcW w:w="1095" w:type="dxa"/>
                  <w:noWrap w:val="0"/>
                  <w:vAlign w:val="center"/>
                </w:tcPr>
                <w:p w14:paraId="27232E5F">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一氧化碳（</w:t>
                  </w:r>
                  <w:r>
                    <w:rPr>
                      <w:rFonts w:hint="eastAsia" w:ascii="宋体" w:hAnsi="宋体" w:eastAsia="宋体" w:cs="宋体"/>
                      <w:b/>
                      <w:color w:val="auto"/>
                      <w:sz w:val="21"/>
                      <w:szCs w:val="21"/>
                    </w:rPr>
                    <w:t>mg/m</w:t>
                  </w:r>
                  <w:r>
                    <w:rPr>
                      <w:rFonts w:hint="eastAsia" w:ascii="宋体" w:hAnsi="宋体" w:eastAsia="宋体" w:cs="宋体"/>
                      <w:b/>
                      <w:color w:val="auto"/>
                      <w:sz w:val="21"/>
                      <w:szCs w:val="21"/>
                      <w:vertAlign w:val="superscript"/>
                    </w:rPr>
                    <w:t>3</w:t>
                  </w:r>
                  <w:r>
                    <w:rPr>
                      <w:rFonts w:hint="eastAsia" w:ascii="宋体" w:hAnsi="宋体" w:eastAsia="宋体" w:cs="宋体"/>
                      <w:b/>
                      <w:color w:val="auto"/>
                      <w:sz w:val="21"/>
                      <w:szCs w:val="21"/>
                      <w:vertAlign w:val="baseline"/>
                      <w:lang w:val="en-US" w:eastAsia="zh-CN"/>
                    </w:rPr>
                    <w:t>）</w:t>
                  </w:r>
                </w:p>
              </w:tc>
              <w:tc>
                <w:tcPr>
                  <w:tcW w:w="835" w:type="dxa"/>
                  <w:noWrap w:val="0"/>
                  <w:vAlign w:val="center"/>
                </w:tcPr>
                <w:p w14:paraId="2B8A7F40">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臭氧-8h</w:t>
                  </w:r>
                </w:p>
              </w:tc>
              <w:tc>
                <w:tcPr>
                  <w:tcW w:w="1060" w:type="dxa"/>
                  <w:noWrap w:val="0"/>
                  <w:vAlign w:val="center"/>
                </w:tcPr>
                <w:p w14:paraId="30E10621">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颗粒物（</w:t>
                  </w:r>
                  <w:r>
                    <w:rPr>
                      <w:rFonts w:hint="eastAsia" w:ascii="宋体" w:hAnsi="宋体" w:eastAsia="宋体" w:cs="宋体"/>
                      <w:b/>
                      <w:color w:val="auto"/>
                      <w:sz w:val="21"/>
                      <w:szCs w:val="21"/>
                    </w:rPr>
                    <w:t>mg/m</w:t>
                  </w:r>
                  <w:r>
                    <w:rPr>
                      <w:rFonts w:hint="eastAsia" w:ascii="宋体" w:hAnsi="宋体" w:eastAsia="宋体" w:cs="宋体"/>
                      <w:b/>
                      <w:color w:val="auto"/>
                      <w:sz w:val="21"/>
                      <w:szCs w:val="21"/>
                      <w:vertAlign w:val="superscript"/>
                    </w:rPr>
                    <w:t>3</w:t>
                  </w:r>
                  <w:r>
                    <w:rPr>
                      <w:rFonts w:hint="eastAsia" w:ascii="宋体" w:hAnsi="宋体" w:eastAsia="宋体" w:cs="宋体"/>
                      <w:b/>
                      <w:color w:val="auto"/>
                      <w:sz w:val="21"/>
                      <w:szCs w:val="21"/>
                      <w:vertAlign w:val="baseline"/>
                      <w:lang w:val="en-US" w:eastAsia="zh-CN"/>
                    </w:rPr>
                    <w:t>）</w:t>
                  </w:r>
                </w:p>
              </w:tc>
              <w:tc>
                <w:tcPr>
                  <w:tcW w:w="958" w:type="dxa"/>
                  <w:noWrap w:val="0"/>
                  <w:vAlign w:val="center"/>
                </w:tcPr>
                <w:p w14:paraId="68CF4F3B">
                  <w:pPr>
                    <w:pStyle w:val="16"/>
                    <w:jc w:val="center"/>
                    <w:rPr>
                      <w:rFonts w:hint="eastAsia" w:ascii="宋体" w:hAnsi="宋体" w:eastAsia="宋体" w:cs="宋体"/>
                      <w:b/>
                      <w:color w:val="auto"/>
                      <w:sz w:val="21"/>
                      <w:szCs w:val="21"/>
                      <w:vertAlign w:val="baseline"/>
                      <w:lang w:val="en-US" w:eastAsia="zh-CN"/>
                    </w:rPr>
                  </w:pPr>
                  <w:r>
                    <w:rPr>
                      <w:rFonts w:hint="eastAsia" w:ascii="宋体" w:hAnsi="宋体" w:eastAsia="宋体" w:cs="宋体"/>
                      <w:b/>
                      <w:color w:val="auto"/>
                      <w:sz w:val="21"/>
                      <w:szCs w:val="21"/>
                      <w:vertAlign w:val="baseline"/>
                      <w:lang w:val="en-US" w:eastAsia="zh-CN"/>
                    </w:rPr>
                    <w:t>细颗粒物（</w:t>
                  </w:r>
                  <w:r>
                    <w:rPr>
                      <w:rFonts w:hint="eastAsia" w:ascii="宋体" w:hAnsi="宋体" w:eastAsia="宋体" w:cs="宋体"/>
                      <w:b/>
                      <w:color w:val="auto"/>
                      <w:sz w:val="21"/>
                      <w:szCs w:val="21"/>
                    </w:rPr>
                    <w:t>mg/m</w:t>
                  </w:r>
                  <w:r>
                    <w:rPr>
                      <w:rFonts w:hint="eastAsia" w:ascii="宋体" w:hAnsi="宋体" w:eastAsia="宋体" w:cs="宋体"/>
                      <w:b/>
                      <w:color w:val="auto"/>
                      <w:sz w:val="21"/>
                      <w:szCs w:val="21"/>
                      <w:vertAlign w:val="superscript"/>
                    </w:rPr>
                    <w:t>3</w:t>
                  </w:r>
                  <w:r>
                    <w:rPr>
                      <w:rFonts w:hint="eastAsia" w:ascii="宋体" w:hAnsi="宋体" w:eastAsia="宋体" w:cs="宋体"/>
                      <w:b/>
                      <w:color w:val="auto"/>
                      <w:sz w:val="21"/>
                      <w:szCs w:val="21"/>
                      <w:vertAlign w:val="baseline"/>
                      <w:lang w:val="en-US" w:eastAsia="zh-CN"/>
                    </w:rPr>
                    <w:t>）</w:t>
                  </w:r>
                </w:p>
              </w:tc>
            </w:tr>
            <w:tr w14:paraId="4874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21" w:type="dxa"/>
                  <w:vMerge w:val="restart"/>
                  <w:noWrap w:val="0"/>
                  <w:vAlign w:val="center"/>
                </w:tcPr>
                <w:p w14:paraId="08BC2844">
                  <w:pPr>
                    <w:pStyle w:val="16"/>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芒市</w:t>
                  </w:r>
                </w:p>
              </w:tc>
              <w:tc>
                <w:tcPr>
                  <w:tcW w:w="1176" w:type="dxa"/>
                  <w:noWrap w:val="0"/>
                  <w:vAlign w:val="center"/>
                </w:tcPr>
                <w:p w14:paraId="796C4852">
                  <w:pPr>
                    <w:pStyle w:val="16"/>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年均值</w:t>
                  </w:r>
                </w:p>
              </w:tc>
              <w:tc>
                <w:tcPr>
                  <w:tcW w:w="1132" w:type="dxa"/>
                  <w:noWrap w:val="0"/>
                  <w:vAlign w:val="top"/>
                </w:tcPr>
                <w:p w14:paraId="0E343214">
                  <w:pPr>
                    <w:pStyle w:val="91"/>
                    <w:spacing w:line="224" w:lineRule="exact"/>
                    <w:ind w:left="95" w:leftChars="0" w:right="88"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0.012</w:t>
                  </w:r>
                </w:p>
              </w:tc>
              <w:tc>
                <w:tcPr>
                  <w:tcW w:w="1098" w:type="dxa"/>
                  <w:noWrap w:val="0"/>
                  <w:vAlign w:val="top"/>
                </w:tcPr>
                <w:p w14:paraId="488CAE71">
                  <w:pPr>
                    <w:pStyle w:val="91"/>
                    <w:spacing w:line="224" w:lineRule="exact"/>
                    <w:ind w:left="114" w:leftChars="0" w:right="104"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0.018</w:t>
                  </w:r>
                </w:p>
              </w:tc>
              <w:tc>
                <w:tcPr>
                  <w:tcW w:w="1095" w:type="dxa"/>
                  <w:noWrap w:val="0"/>
                  <w:vAlign w:val="top"/>
                </w:tcPr>
                <w:p w14:paraId="75B53617">
                  <w:pPr>
                    <w:pStyle w:val="91"/>
                    <w:spacing w:line="224" w:lineRule="exact"/>
                    <w:ind w:left="193" w:leftChars="0" w:right="186"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0.8</w:t>
                  </w:r>
                </w:p>
              </w:tc>
              <w:tc>
                <w:tcPr>
                  <w:tcW w:w="835" w:type="dxa"/>
                  <w:noWrap w:val="0"/>
                  <w:vAlign w:val="top"/>
                </w:tcPr>
                <w:p w14:paraId="7F8DD448">
                  <w:pPr>
                    <w:pStyle w:val="91"/>
                    <w:spacing w:line="224" w:lineRule="exact"/>
                    <w:ind w:left="106" w:leftChars="0" w:right="98"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0.077</w:t>
                  </w:r>
                </w:p>
              </w:tc>
              <w:tc>
                <w:tcPr>
                  <w:tcW w:w="1060" w:type="dxa"/>
                  <w:noWrap w:val="0"/>
                  <w:vAlign w:val="top"/>
                </w:tcPr>
                <w:p w14:paraId="3A15CC23">
                  <w:pPr>
                    <w:pStyle w:val="91"/>
                    <w:spacing w:line="224" w:lineRule="exact"/>
                    <w:ind w:left="112" w:leftChars="0" w:right="105"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0.044</w:t>
                  </w:r>
                </w:p>
              </w:tc>
              <w:tc>
                <w:tcPr>
                  <w:tcW w:w="958" w:type="dxa"/>
                  <w:noWrap w:val="0"/>
                  <w:vAlign w:val="top"/>
                </w:tcPr>
                <w:p w14:paraId="5DB6FE6E">
                  <w:pPr>
                    <w:pStyle w:val="91"/>
                    <w:spacing w:line="224" w:lineRule="exact"/>
                    <w:ind w:left="108" w:leftChars="0" w:right="106"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0.023</w:t>
                  </w:r>
                </w:p>
              </w:tc>
            </w:tr>
            <w:tr w14:paraId="3E7B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21" w:type="dxa"/>
                  <w:vMerge w:val="continue"/>
                  <w:noWrap w:val="0"/>
                  <w:vAlign w:val="center"/>
                </w:tcPr>
                <w:p w14:paraId="3E69B223">
                  <w:pPr>
                    <w:pStyle w:val="16"/>
                    <w:jc w:val="center"/>
                    <w:rPr>
                      <w:rFonts w:hint="eastAsia" w:ascii="宋体" w:hAnsi="宋体" w:eastAsia="宋体" w:cs="宋体"/>
                      <w:b w:val="0"/>
                      <w:bCs/>
                      <w:color w:val="auto"/>
                      <w:sz w:val="21"/>
                      <w:szCs w:val="21"/>
                      <w:vertAlign w:val="baseline"/>
                    </w:rPr>
                  </w:pPr>
                </w:p>
              </w:tc>
              <w:tc>
                <w:tcPr>
                  <w:tcW w:w="1176" w:type="dxa"/>
                  <w:noWrap w:val="0"/>
                  <w:vAlign w:val="center"/>
                </w:tcPr>
                <w:p w14:paraId="6016314A">
                  <w:pPr>
                    <w:pStyle w:val="16"/>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日均浓度范围</w:t>
                  </w:r>
                </w:p>
              </w:tc>
              <w:tc>
                <w:tcPr>
                  <w:tcW w:w="1132" w:type="dxa"/>
                  <w:noWrap w:val="0"/>
                  <w:vAlign w:val="top"/>
                </w:tcPr>
                <w:p w14:paraId="55FE2B35">
                  <w:pPr>
                    <w:pStyle w:val="91"/>
                    <w:spacing w:before="40" w:line="225" w:lineRule="exact"/>
                    <w:ind w:left="98" w:leftChars="0" w:right="88"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0.006～0.034</w:t>
                  </w:r>
                </w:p>
              </w:tc>
              <w:tc>
                <w:tcPr>
                  <w:tcW w:w="1098" w:type="dxa"/>
                  <w:noWrap w:val="0"/>
                  <w:vAlign w:val="top"/>
                </w:tcPr>
                <w:p w14:paraId="29A3FDB5">
                  <w:pPr>
                    <w:pStyle w:val="91"/>
                    <w:spacing w:before="40" w:line="225" w:lineRule="exact"/>
                    <w:ind w:left="113" w:leftChars="0" w:right="105"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0.006～0.034</w:t>
                  </w:r>
                </w:p>
              </w:tc>
              <w:tc>
                <w:tcPr>
                  <w:tcW w:w="1095" w:type="dxa"/>
                  <w:noWrap w:val="0"/>
                  <w:vAlign w:val="top"/>
                </w:tcPr>
                <w:p w14:paraId="3BF9665B">
                  <w:pPr>
                    <w:pStyle w:val="91"/>
                    <w:spacing w:before="40" w:line="225" w:lineRule="exact"/>
                    <w:ind w:left="195" w:leftChars="0" w:right="186"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0.6～1.4</w:t>
                  </w:r>
                </w:p>
              </w:tc>
              <w:tc>
                <w:tcPr>
                  <w:tcW w:w="835" w:type="dxa"/>
                  <w:noWrap w:val="0"/>
                  <w:vAlign w:val="top"/>
                </w:tcPr>
                <w:p w14:paraId="577FF3EA">
                  <w:pPr>
                    <w:pStyle w:val="91"/>
                    <w:spacing w:before="40" w:line="225" w:lineRule="exact"/>
                    <w:ind w:left="106" w:leftChars="0" w:right="98"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0.008～0.158</w:t>
                  </w:r>
                </w:p>
              </w:tc>
              <w:tc>
                <w:tcPr>
                  <w:tcW w:w="1060" w:type="dxa"/>
                  <w:noWrap w:val="0"/>
                  <w:vAlign w:val="top"/>
                </w:tcPr>
                <w:p w14:paraId="3BDB0771">
                  <w:pPr>
                    <w:pStyle w:val="91"/>
                    <w:spacing w:before="40" w:line="225" w:lineRule="exact"/>
                    <w:ind w:left="114" w:leftChars="0" w:right="105"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0.011～0.122</w:t>
                  </w:r>
                </w:p>
              </w:tc>
              <w:tc>
                <w:tcPr>
                  <w:tcW w:w="958" w:type="dxa"/>
                  <w:noWrap w:val="0"/>
                  <w:vAlign w:val="top"/>
                </w:tcPr>
                <w:p w14:paraId="4A9797E4">
                  <w:pPr>
                    <w:pStyle w:val="91"/>
                    <w:spacing w:before="40" w:line="225" w:lineRule="exact"/>
                    <w:ind w:left="111" w:leftChars="0" w:right="106" w:rightChars="0"/>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color w:val="auto"/>
                      <w:sz w:val="21"/>
                      <w:szCs w:val="21"/>
                    </w:rPr>
                    <w:t>0.008～0.066</w:t>
                  </w:r>
                </w:p>
              </w:tc>
            </w:tr>
          </w:tbl>
          <w:p w14:paraId="30580618">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根据《德宏州2020年环境质量状况公报》，芒市有效监测天数359天，优235天，良12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天，轻度污染天。按空气质量指数（AQI）评价，优良率为99.2%，与2019年相比下降0.8%。污染发生的时间为3~4月份。首要污染物为可吸入颗粒物、细颗粒物和臭氧。年度综合评价，芒市环境空气质量达到二级标准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环境空气质量综合指数2.83。具体的监测数据见表</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w:t>
            </w:r>
          </w:p>
          <w:p w14:paraId="431CB7FA">
            <w:pPr>
              <w:pStyle w:val="31"/>
              <w:spacing w:line="240" w:lineRule="auto"/>
              <w:ind w:firstLine="1602" w:firstLineChars="665"/>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color w:val="auto"/>
                <w:sz w:val="24"/>
              </w:rPr>
              <w:t>2020</w:t>
            </w:r>
            <w:r>
              <w:rPr>
                <w:rFonts w:hint="default" w:ascii="Times New Roman" w:hAnsi="Times New Roman" w:eastAsia="宋体" w:cs="Times New Roman"/>
                <w:b/>
                <w:color w:val="auto"/>
                <w:spacing w:val="-61"/>
                <w:sz w:val="24"/>
              </w:rPr>
              <w:t xml:space="preserve"> </w:t>
            </w:r>
            <w:r>
              <w:rPr>
                <w:rFonts w:hint="default" w:ascii="Times New Roman" w:hAnsi="Times New Roman" w:eastAsia="宋体" w:cs="Times New Roman"/>
                <w:b/>
                <w:color w:val="auto"/>
                <w:sz w:val="24"/>
              </w:rPr>
              <w:t>年德宏州</w:t>
            </w:r>
            <w:r>
              <w:rPr>
                <w:rFonts w:hint="default" w:ascii="Times New Roman" w:hAnsi="Times New Roman" w:eastAsia="宋体" w:cs="Times New Roman"/>
                <w:b/>
                <w:color w:val="auto"/>
                <w:sz w:val="24"/>
                <w:lang w:val="en-US" w:eastAsia="zh-CN"/>
              </w:rPr>
              <w:t>芒</w:t>
            </w:r>
            <w:r>
              <w:rPr>
                <w:rFonts w:hint="default" w:ascii="Times New Roman" w:hAnsi="Times New Roman" w:eastAsia="宋体" w:cs="Times New Roman"/>
                <w:b/>
                <w:color w:val="auto"/>
                <w:sz w:val="24"/>
              </w:rPr>
              <w:t>市城市空气监测结果</w:t>
            </w:r>
          </w:p>
          <w:tbl>
            <w:tblPr>
              <w:tblStyle w:val="34"/>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54"/>
              <w:gridCol w:w="960"/>
              <w:gridCol w:w="840"/>
              <w:gridCol w:w="917"/>
              <w:gridCol w:w="1008"/>
              <w:gridCol w:w="1065"/>
              <w:gridCol w:w="937"/>
              <w:gridCol w:w="624"/>
            </w:tblGrid>
            <w:tr w14:paraId="229E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70" w:type="dxa"/>
                  <w:noWrap w:val="0"/>
                  <w:vAlign w:val="center"/>
                </w:tcPr>
                <w:p w14:paraId="090D6FB2">
                  <w:pPr>
                    <w:pStyle w:val="91"/>
                    <w:spacing w:before="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w w:val="95"/>
                      <w:sz w:val="21"/>
                      <w:szCs w:val="21"/>
                    </w:rPr>
                    <w:t>监测</w:t>
                  </w:r>
                </w:p>
                <w:p w14:paraId="4A210F65">
                  <w:pPr>
                    <w:pStyle w:val="91"/>
                    <w:spacing w:before="43" w:line="232"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pacing w:val="-1"/>
                      <w:w w:val="95"/>
                      <w:sz w:val="21"/>
                      <w:szCs w:val="21"/>
                    </w:rPr>
                    <w:t>点位</w:t>
                  </w:r>
                </w:p>
              </w:tc>
              <w:tc>
                <w:tcPr>
                  <w:tcW w:w="1154" w:type="dxa"/>
                  <w:noWrap w:val="0"/>
                  <w:vAlign w:val="center"/>
                </w:tcPr>
                <w:p w14:paraId="0EA31470">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rPr>
                    <w:t>平均时间</w:t>
                  </w:r>
                </w:p>
              </w:tc>
              <w:tc>
                <w:tcPr>
                  <w:tcW w:w="960" w:type="dxa"/>
                  <w:noWrap w:val="0"/>
                  <w:vAlign w:val="center"/>
                </w:tcPr>
                <w:p w14:paraId="0271C4EF">
                  <w:pPr>
                    <w:pStyle w:val="91"/>
                    <w:spacing w:before="48"/>
                    <w:ind w:right="199"/>
                    <w:jc w:val="center"/>
                    <w:rPr>
                      <w:rFonts w:hint="default" w:ascii="Times New Roman" w:hAnsi="Times New Roman" w:cs="Times New Roman"/>
                      <w:b/>
                      <w:bCs/>
                      <w:color w:val="auto"/>
                      <w:position w:val="2"/>
                      <w:sz w:val="21"/>
                      <w:szCs w:val="21"/>
                      <w:vertAlign w:val="subscript"/>
                    </w:rPr>
                  </w:pPr>
                  <w:r>
                    <w:rPr>
                      <w:rFonts w:hint="default" w:ascii="Times New Roman" w:hAnsi="Times New Roman" w:cs="Times New Roman"/>
                      <w:b/>
                      <w:bCs/>
                      <w:color w:val="auto"/>
                      <w:position w:val="2"/>
                      <w:sz w:val="21"/>
                      <w:szCs w:val="21"/>
                    </w:rPr>
                    <w:t>SO</w:t>
                  </w:r>
                  <w:r>
                    <w:rPr>
                      <w:rFonts w:hint="default" w:ascii="Times New Roman" w:hAnsi="Times New Roman" w:cs="Times New Roman"/>
                      <w:b/>
                      <w:bCs/>
                      <w:color w:val="auto"/>
                      <w:position w:val="2"/>
                      <w:sz w:val="21"/>
                      <w:szCs w:val="21"/>
                      <w:vertAlign w:val="subscript"/>
                    </w:rPr>
                    <w:t>2</w:t>
                  </w:r>
                </w:p>
                <w:p w14:paraId="61C5CF66">
                  <w:pPr>
                    <w:pStyle w:val="91"/>
                    <w:spacing w:before="48"/>
                    <w:ind w:right="199"/>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840" w:type="dxa"/>
                  <w:noWrap w:val="0"/>
                  <w:vAlign w:val="center"/>
                </w:tcPr>
                <w:p w14:paraId="192BD8F5">
                  <w:pPr>
                    <w:pStyle w:val="91"/>
                    <w:spacing w:before="48"/>
                    <w:ind w:left="31" w:right="13"/>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NO</w:t>
                  </w:r>
                  <w:r>
                    <w:rPr>
                      <w:rFonts w:hint="default" w:ascii="Times New Roman" w:hAnsi="Times New Roman" w:cs="Times New Roman"/>
                      <w:b/>
                      <w:bCs/>
                      <w:color w:val="auto"/>
                      <w:position w:val="2"/>
                      <w:sz w:val="21"/>
                      <w:szCs w:val="21"/>
                      <w:vertAlign w:val="subscript"/>
                    </w:rPr>
                    <w:t>2</w:t>
                  </w:r>
                </w:p>
                <w:p w14:paraId="5314F995">
                  <w:pPr>
                    <w:pStyle w:val="91"/>
                    <w:spacing w:before="39" w:line="232" w:lineRule="exact"/>
                    <w:ind w:left="32" w:leftChars="0" w:right="13" w:righ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17" w:type="dxa"/>
                  <w:noWrap w:val="0"/>
                  <w:vAlign w:val="center"/>
                </w:tcPr>
                <w:p w14:paraId="7448BDBD">
                  <w:pPr>
                    <w:pStyle w:val="91"/>
                    <w:spacing w:before="48"/>
                    <w:ind w:left="106" w:right="8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PM</w:t>
                  </w:r>
                  <w:r>
                    <w:rPr>
                      <w:rFonts w:hint="default" w:ascii="Times New Roman" w:hAnsi="Times New Roman" w:cs="Times New Roman"/>
                      <w:b/>
                      <w:bCs/>
                      <w:color w:val="auto"/>
                      <w:position w:val="2"/>
                      <w:sz w:val="21"/>
                      <w:szCs w:val="21"/>
                      <w:vertAlign w:val="subscript"/>
                    </w:rPr>
                    <w:t>10</w:t>
                  </w:r>
                </w:p>
                <w:p w14:paraId="37451B86">
                  <w:pPr>
                    <w:pStyle w:val="91"/>
                    <w:spacing w:before="39" w:line="232" w:lineRule="exact"/>
                    <w:ind w:left="16" w:leftChars="0" w:right="-44" w:righ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pacing w:val="-7"/>
                      <w:sz w:val="21"/>
                      <w:szCs w:val="21"/>
                    </w:rPr>
                    <w:t>μg/m</w:t>
                  </w:r>
                  <w:r>
                    <w:rPr>
                      <w:rFonts w:hint="eastAsia" w:ascii="Times New Roman" w:hAnsi="Times New Roman" w:cs="Times New Roman"/>
                      <w:b/>
                      <w:bCs/>
                      <w:color w:val="auto"/>
                      <w:spacing w:val="-7"/>
                      <w:sz w:val="21"/>
                      <w:szCs w:val="21"/>
                      <w:vertAlign w:val="superscript"/>
                      <w:lang w:val="en-US" w:eastAsia="zh-CN"/>
                    </w:rPr>
                    <w:t>3</w:t>
                  </w:r>
                </w:p>
              </w:tc>
              <w:tc>
                <w:tcPr>
                  <w:tcW w:w="1008" w:type="dxa"/>
                  <w:noWrap w:val="0"/>
                  <w:vAlign w:val="center"/>
                </w:tcPr>
                <w:p w14:paraId="7BE4C9D9">
                  <w:pPr>
                    <w:pStyle w:val="91"/>
                    <w:spacing w:before="48"/>
                    <w:ind w:right="16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w w:val="105"/>
                      <w:position w:val="2"/>
                      <w:sz w:val="21"/>
                      <w:szCs w:val="21"/>
                    </w:rPr>
                    <w:t>PM</w:t>
                  </w:r>
                  <w:r>
                    <w:rPr>
                      <w:rFonts w:hint="default" w:ascii="Times New Roman" w:hAnsi="Times New Roman" w:cs="Times New Roman"/>
                      <w:b/>
                      <w:bCs/>
                      <w:color w:val="auto"/>
                      <w:w w:val="105"/>
                      <w:sz w:val="21"/>
                      <w:szCs w:val="21"/>
                      <w:vertAlign w:val="subscript"/>
                    </w:rPr>
                    <w:t>2.</w:t>
                  </w:r>
                  <w:r>
                    <w:rPr>
                      <w:rFonts w:hint="default" w:ascii="Times New Roman" w:hAnsi="Times New Roman" w:cs="Times New Roman"/>
                      <w:b/>
                      <w:bCs/>
                      <w:color w:val="auto"/>
                      <w:w w:val="105"/>
                      <w:sz w:val="21"/>
                      <w:szCs w:val="21"/>
                      <w:vertAlign w:val="subscript"/>
                      <w:lang w:val="en-US" w:eastAsia="zh-CN"/>
                    </w:rPr>
                    <w:t>5</w:t>
                  </w:r>
                </w:p>
                <w:p w14:paraId="1BF3402C">
                  <w:pPr>
                    <w:pStyle w:val="91"/>
                    <w:spacing w:before="56" w:line="232" w:lineRule="exact"/>
                    <w:ind w:left="14" w:leftChars="0" w:right="-15"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1065" w:type="dxa"/>
                  <w:noWrap w:val="0"/>
                  <w:vAlign w:val="center"/>
                </w:tcPr>
                <w:p w14:paraId="35495392">
                  <w:pPr>
                    <w:pStyle w:val="91"/>
                    <w:spacing w:before="48"/>
                    <w:ind w:right="199"/>
                    <w:jc w:val="center"/>
                    <w:rPr>
                      <w:rFonts w:hint="default" w:ascii="Times New Roman" w:hAnsi="Times New Roman" w:eastAsia="Times New Roman" w:cs="Times New Roman"/>
                      <w:b/>
                      <w:bCs/>
                      <w:color w:val="auto"/>
                      <w:position w:val="2"/>
                      <w:sz w:val="21"/>
                      <w:szCs w:val="21"/>
                    </w:rPr>
                  </w:pPr>
                  <w:r>
                    <w:rPr>
                      <w:rFonts w:hint="default" w:ascii="Times New Roman" w:hAnsi="Times New Roman" w:eastAsia="Times New Roman" w:cs="Times New Roman"/>
                      <w:b/>
                      <w:bCs/>
                      <w:color w:val="auto"/>
                      <w:position w:val="2"/>
                      <w:sz w:val="21"/>
                      <w:szCs w:val="21"/>
                    </w:rPr>
                    <w:t>CO</w:t>
                  </w:r>
                </w:p>
                <w:p w14:paraId="304F976A">
                  <w:pPr>
                    <w:pStyle w:val="91"/>
                    <w:spacing w:before="57" w:line="232" w:lineRule="exact"/>
                    <w:ind w:left="14" w:leftChars="0" w:right="-58"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37" w:type="dxa"/>
                  <w:noWrap w:val="0"/>
                  <w:vAlign w:val="center"/>
                </w:tcPr>
                <w:p w14:paraId="71A10117">
                  <w:pPr>
                    <w:pStyle w:val="91"/>
                    <w:spacing w:before="48"/>
                    <w:ind w:left="1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O</w:t>
                  </w:r>
                  <w:r>
                    <w:rPr>
                      <w:rFonts w:hint="default" w:ascii="Times New Roman" w:hAnsi="Times New Roman" w:cs="Times New Roman"/>
                      <w:b/>
                      <w:bCs/>
                      <w:color w:val="auto"/>
                      <w:position w:val="2"/>
                      <w:sz w:val="21"/>
                      <w:szCs w:val="21"/>
                      <w:vertAlign w:val="subscript"/>
                    </w:rPr>
                    <w:t>3</w:t>
                  </w:r>
                  <w:r>
                    <w:rPr>
                      <w:rFonts w:hint="default" w:ascii="Times New Roman" w:hAnsi="Times New Roman" w:cs="Times New Roman"/>
                      <w:b/>
                      <w:bCs/>
                      <w:color w:val="auto"/>
                      <w:position w:val="2"/>
                      <w:sz w:val="21"/>
                      <w:szCs w:val="21"/>
                      <w:vertAlign w:val="baseline"/>
                    </w:rPr>
                    <w:t>-8h</w:t>
                  </w:r>
                </w:p>
                <w:p w14:paraId="317FF4C4">
                  <w:pPr>
                    <w:pStyle w:val="91"/>
                    <w:spacing w:before="39" w:line="232" w:lineRule="exact"/>
                    <w:ind w:left="16" w:lef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624" w:type="dxa"/>
                  <w:noWrap w:val="0"/>
                  <w:vAlign w:val="center"/>
                </w:tcPr>
                <w:p w14:paraId="6861EC92">
                  <w:pPr>
                    <w:pStyle w:val="91"/>
                    <w:spacing w:before="37"/>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pacing w:val="-1"/>
                      <w:w w:val="95"/>
                      <w:sz w:val="21"/>
                      <w:szCs w:val="21"/>
                    </w:rPr>
                    <w:t>空气质量</w:t>
                  </w:r>
                </w:p>
              </w:tc>
            </w:tr>
            <w:tr w14:paraId="7552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70" w:type="dxa"/>
                  <w:vMerge w:val="restart"/>
                  <w:noWrap w:val="0"/>
                  <w:vAlign w:val="center"/>
                </w:tcPr>
                <w:p w14:paraId="5A6FBB93">
                  <w:pPr>
                    <w:jc w:val="center"/>
                    <w:rPr>
                      <w:rFonts w:hint="default" w:ascii="Times New Roman" w:hAnsi="Times New Roman" w:eastAsia="宋体" w:cs="Times New Roman"/>
                      <w:b w:val="0"/>
                      <w:bCs w:val="0"/>
                      <w:color w:val="auto"/>
                      <w:sz w:val="21"/>
                      <w:szCs w:val="21"/>
                      <w:vertAlign w:val="baseline"/>
                      <w:lang w:val="en-US" w:eastAsia="zh-CN"/>
                    </w:rPr>
                  </w:pPr>
                </w:p>
                <w:p w14:paraId="54317C00">
                  <w:pPr>
                    <w:jc w:val="center"/>
                    <w:rPr>
                      <w:rFonts w:hint="default" w:ascii="Times New Roman" w:hAnsi="Times New Roman" w:eastAsia="宋体" w:cs="Times New Roman"/>
                      <w:b w:val="0"/>
                      <w:bCs w:val="0"/>
                      <w:color w:val="auto"/>
                      <w:sz w:val="21"/>
                      <w:szCs w:val="21"/>
                      <w:vertAlign w:val="baseline"/>
                      <w:lang w:val="en-US" w:eastAsia="zh-CN"/>
                    </w:rPr>
                  </w:pPr>
                </w:p>
                <w:p w14:paraId="45B9A21B">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芒市</w:t>
                  </w:r>
                </w:p>
              </w:tc>
              <w:tc>
                <w:tcPr>
                  <w:tcW w:w="1154" w:type="dxa"/>
                  <w:noWrap w:val="0"/>
                  <w:vAlign w:val="center"/>
                </w:tcPr>
                <w:p w14:paraId="7643109F">
                  <w:pPr>
                    <w:pStyle w:val="91"/>
                    <w:spacing w:before="35"/>
                    <w:ind w:right="13"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color w:val="auto"/>
                      <w:sz w:val="21"/>
                      <w:szCs w:val="21"/>
                    </w:rPr>
                    <w:t>日均值范围</w:t>
                  </w:r>
                </w:p>
              </w:tc>
              <w:tc>
                <w:tcPr>
                  <w:tcW w:w="960" w:type="dxa"/>
                  <w:noWrap w:val="0"/>
                  <w:vAlign w:val="center"/>
                </w:tcPr>
                <w:p w14:paraId="491722E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3～25</w:t>
                  </w:r>
                </w:p>
              </w:tc>
              <w:tc>
                <w:tcPr>
                  <w:tcW w:w="840" w:type="dxa"/>
                  <w:noWrap w:val="0"/>
                  <w:vAlign w:val="center"/>
                </w:tcPr>
                <w:p w14:paraId="5A5102B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8～42</w:t>
                  </w:r>
                </w:p>
              </w:tc>
              <w:tc>
                <w:tcPr>
                  <w:tcW w:w="917" w:type="dxa"/>
                  <w:noWrap w:val="0"/>
                  <w:vAlign w:val="center"/>
                </w:tcPr>
                <w:p w14:paraId="7AFF1CD5">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11～160</w:t>
                  </w:r>
                </w:p>
              </w:tc>
              <w:tc>
                <w:tcPr>
                  <w:tcW w:w="1008" w:type="dxa"/>
                  <w:noWrap w:val="0"/>
                  <w:vAlign w:val="center"/>
                </w:tcPr>
                <w:p w14:paraId="0CD6A870">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6～102</w:t>
                  </w:r>
                </w:p>
              </w:tc>
              <w:tc>
                <w:tcPr>
                  <w:tcW w:w="1065" w:type="dxa"/>
                  <w:noWrap w:val="0"/>
                  <w:vAlign w:val="center"/>
                </w:tcPr>
                <w:p w14:paraId="715E7DC3">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0.4～1.5</w:t>
                  </w:r>
                </w:p>
              </w:tc>
              <w:tc>
                <w:tcPr>
                  <w:tcW w:w="937" w:type="dxa"/>
                  <w:noWrap w:val="0"/>
                  <w:vAlign w:val="center"/>
                </w:tcPr>
                <w:p w14:paraId="090C985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lang w:val="en-US" w:eastAsia="zh-CN"/>
                    </w:rPr>
                    <w:t>9</w:t>
                  </w:r>
                  <w:r>
                    <w:rPr>
                      <w:rFonts w:hint="default" w:ascii="Times New Roman" w:hAnsi="Times New Roman" w:cs="Times New Roman"/>
                      <w:color w:val="auto"/>
                      <w:sz w:val="21"/>
                      <w:szCs w:val="21"/>
                    </w:rPr>
                    <w:t>～168</w:t>
                  </w:r>
                </w:p>
              </w:tc>
              <w:tc>
                <w:tcPr>
                  <w:tcW w:w="624" w:type="dxa"/>
                  <w:vMerge w:val="restart"/>
                  <w:noWrap w:val="0"/>
                  <w:vAlign w:val="center"/>
                </w:tcPr>
                <w:p w14:paraId="30E01ABB">
                  <w:pPr>
                    <w:jc w:val="center"/>
                    <w:rPr>
                      <w:rFonts w:hint="default" w:ascii="Times New Roman" w:hAnsi="Times New Roman" w:cs="Times New Roman"/>
                      <w:color w:val="auto"/>
                      <w:sz w:val="21"/>
                      <w:szCs w:val="21"/>
                    </w:rPr>
                  </w:pPr>
                </w:p>
                <w:p w14:paraId="4E747BB9">
                  <w:pPr>
                    <w:jc w:val="center"/>
                    <w:rPr>
                      <w:rFonts w:hint="default" w:ascii="Times New Roman" w:hAnsi="Times New Roman" w:cs="Times New Roman"/>
                      <w:color w:val="auto"/>
                      <w:sz w:val="21"/>
                      <w:szCs w:val="21"/>
                    </w:rPr>
                  </w:pPr>
                </w:p>
                <w:p w14:paraId="65DC9EE3">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color w:val="auto"/>
                      <w:sz w:val="21"/>
                      <w:szCs w:val="21"/>
                    </w:rPr>
                    <w:t>二级</w:t>
                  </w:r>
                </w:p>
              </w:tc>
            </w:tr>
            <w:tr w14:paraId="5AA1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70" w:type="dxa"/>
                  <w:vMerge w:val="continue"/>
                  <w:noWrap w:val="0"/>
                  <w:vAlign w:val="center"/>
                </w:tcPr>
                <w:p w14:paraId="09F9F3E5">
                  <w:pPr>
                    <w:jc w:val="center"/>
                    <w:rPr>
                      <w:rFonts w:hint="default" w:ascii="Times New Roman" w:hAnsi="Times New Roman" w:eastAsia="宋体" w:cs="Times New Roman"/>
                      <w:b/>
                      <w:bCs/>
                      <w:color w:val="auto"/>
                      <w:sz w:val="21"/>
                      <w:szCs w:val="21"/>
                      <w:vertAlign w:val="baseline"/>
                      <w:lang w:val="en-US" w:eastAsia="zh-CN"/>
                    </w:rPr>
                  </w:pPr>
                </w:p>
              </w:tc>
              <w:tc>
                <w:tcPr>
                  <w:tcW w:w="1154" w:type="dxa"/>
                  <w:noWrap w:val="0"/>
                  <w:vAlign w:val="center"/>
                </w:tcPr>
                <w:p w14:paraId="2AE2D9D9">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w:t>
                  </w:r>
                </w:p>
              </w:tc>
              <w:tc>
                <w:tcPr>
                  <w:tcW w:w="960" w:type="dxa"/>
                  <w:noWrap w:val="0"/>
                  <w:vAlign w:val="center"/>
                </w:tcPr>
                <w:p w14:paraId="6E91F50E">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w:t>
                  </w:r>
                </w:p>
              </w:tc>
              <w:tc>
                <w:tcPr>
                  <w:tcW w:w="840" w:type="dxa"/>
                  <w:noWrap w:val="0"/>
                  <w:vAlign w:val="center"/>
                </w:tcPr>
                <w:p w14:paraId="776B8818">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19</w:t>
                  </w:r>
                </w:p>
              </w:tc>
              <w:tc>
                <w:tcPr>
                  <w:tcW w:w="917" w:type="dxa"/>
                  <w:noWrap w:val="0"/>
                  <w:vAlign w:val="center"/>
                </w:tcPr>
                <w:p w14:paraId="56312CEE">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42</w:t>
                  </w:r>
                </w:p>
              </w:tc>
              <w:tc>
                <w:tcPr>
                  <w:tcW w:w="1008" w:type="dxa"/>
                  <w:noWrap w:val="0"/>
                  <w:vAlign w:val="center"/>
                </w:tcPr>
                <w:p w14:paraId="621AE68D">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22</w:t>
                  </w:r>
                </w:p>
              </w:tc>
              <w:tc>
                <w:tcPr>
                  <w:tcW w:w="1065" w:type="dxa"/>
                  <w:noWrap w:val="0"/>
                  <w:vAlign w:val="center"/>
                </w:tcPr>
                <w:p w14:paraId="34D94A7A">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0.8</w:t>
                  </w:r>
                </w:p>
              </w:tc>
              <w:tc>
                <w:tcPr>
                  <w:tcW w:w="937" w:type="dxa"/>
                  <w:noWrap w:val="0"/>
                  <w:vAlign w:val="center"/>
                </w:tcPr>
                <w:p w14:paraId="146FC5C7">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71</w:t>
                  </w:r>
                </w:p>
              </w:tc>
              <w:tc>
                <w:tcPr>
                  <w:tcW w:w="624" w:type="dxa"/>
                  <w:vMerge w:val="continue"/>
                  <w:noWrap w:val="0"/>
                  <w:vAlign w:val="center"/>
                </w:tcPr>
                <w:p w14:paraId="467C667C">
                  <w:pPr>
                    <w:jc w:val="center"/>
                    <w:rPr>
                      <w:rFonts w:hint="default" w:ascii="Times New Roman" w:hAnsi="Times New Roman" w:eastAsia="宋体" w:cs="Times New Roman"/>
                      <w:b/>
                      <w:bCs/>
                      <w:color w:val="auto"/>
                      <w:sz w:val="21"/>
                      <w:szCs w:val="21"/>
                      <w:vertAlign w:val="baseline"/>
                      <w:lang w:val="en-US" w:eastAsia="zh-CN"/>
                    </w:rPr>
                  </w:pPr>
                </w:p>
              </w:tc>
            </w:tr>
            <w:tr w14:paraId="24D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70" w:type="dxa"/>
                  <w:vMerge w:val="continue"/>
                  <w:noWrap w:val="0"/>
                  <w:vAlign w:val="center"/>
                </w:tcPr>
                <w:p w14:paraId="35130711">
                  <w:pPr>
                    <w:jc w:val="center"/>
                    <w:rPr>
                      <w:rFonts w:hint="default" w:ascii="Times New Roman" w:hAnsi="Times New Roman" w:eastAsia="宋体" w:cs="Times New Roman"/>
                      <w:b/>
                      <w:bCs/>
                      <w:color w:val="auto"/>
                      <w:sz w:val="21"/>
                      <w:szCs w:val="21"/>
                      <w:vertAlign w:val="baseline"/>
                      <w:lang w:val="en-US" w:eastAsia="zh-CN"/>
                    </w:rPr>
                  </w:pPr>
                </w:p>
              </w:tc>
              <w:tc>
                <w:tcPr>
                  <w:tcW w:w="1154" w:type="dxa"/>
                  <w:noWrap w:val="0"/>
                  <w:vAlign w:val="center"/>
                </w:tcPr>
                <w:p w14:paraId="5656C310">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百分位数浓度</w:t>
                  </w:r>
                </w:p>
              </w:tc>
              <w:tc>
                <w:tcPr>
                  <w:tcW w:w="960" w:type="dxa"/>
                  <w:noWrap w:val="0"/>
                  <w:vAlign w:val="center"/>
                </w:tcPr>
                <w:p w14:paraId="5575ABDB">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17</w:t>
                  </w:r>
                </w:p>
              </w:tc>
              <w:tc>
                <w:tcPr>
                  <w:tcW w:w="840" w:type="dxa"/>
                  <w:noWrap w:val="0"/>
                  <w:vAlign w:val="center"/>
                </w:tcPr>
                <w:p w14:paraId="2D06B1C1">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34</w:t>
                  </w:r>
                </w:p>
              </w:tc>
              <w:tc>
                <w:tcPr>
                  <w:tcW w:w="917" w:type="dxa"/>
                  <w:noWrap w:val="0"/>
                  <w:vAlign w:val="center"/>
                </w:tcPr>
                <w:p w14:paraId="3EB1C3C4">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86</w:t>
                  </w:r>
                </w:p>
              </w:tc>
              <w:tc>
                <w:tcPr>
                  <w:tcW w:w="1008" w:type="dxa"/>
                  <w:noWrap w:val="0"/>
                  <w:vAlign w:val="center"/>
                </w:tcPr>
                <w:p w14:paraId="75DD4091">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44</w:t>
                  </w:r>
                </w:p>
              </w:tc>
              <w:tc>
                <w:tcPr>
                  <w:tcW w:w="1065" w:type="dxa"/>
                  <w:noWrap w:val="0"/>
                  <w:vAlign w:val="center"/>
                </w:tcPr>
                <w:p w14:paraId="755BD2EF">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p>
              </w:tc>
              <w:tc>
                <w:tcPr>
                  <w:tcW w:w="937" w:type="dxa"/>
                  <w:noWrap w:val="0"/>
                  <w:vAlign w:val="center"/>
                </w:tcPr>
                <w:p w14:paraId="1114E31B">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115</w:t>
                  </w:r>
                </w:p>
              </w:tc>
              <w:tc>
                <w:tcPr>
                  <w:tcW w:w="624" w:type="dxa"/>
                  <w:vMerge w:val="continue"/>
                  <w:noWrap w:val="0"/>
                  <w:vAlign w:val="center"/>
                </w:tcPr>
                <w:p w14:paraId="12123582">
                  <w:pPr>
                    <w:jc w:val="center"/>
                    <w:rPr>
                      <w:rFonts w:hint="default" w:ascii="Times New Roman" w:hAnsi="Times New Roman" w:eastAsia="宋体" w:cs="Times New Roman"/>
                      <w:b/>
                      <w:bCs/>
                      <w:color w:val="auto"/>
                      <w:sz w:val="21"/>
                      <w:szCs w:val="21"/>
                      <w:vertAlign w:val="baseline"/>
                      <w:lang w:val="en-US" w:eastAsia="zh-CN"/>
                    </w:rPr>
                  </w:pPr>
                </w:p>
              </w:tc>
            </w:tr>
            <w:tr w14:paraId="3CF4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0" w:type="dxa"/>
                  <w:vMerge w:val="continue"/>
                  <w:noWrap w:val="0"/>
                  <w:vAlign w:val="center"/>
                </w:tcPr>
                <w:p w14:paraId="02F5C154">
                  <w:pPr>
                    <w:jc w:val="center"/>
                    <w:rPr>
                      <w:rFonts w:hint="default" w:ascii="Times New Roman" w:hAnsi="Times New Roman" w:eastAsia="宋体" w:cs="Times New Roman"/>
                      <w:b/>
                      <w:bCs/>
                      <w:color w:val="auto"/>
                      <w:sz w:val="21"/>
                      <w:szCs w:val="21"/>
                      <w:vertAlign w:val="baseline"/>
                      <w:lang w:val="en-US" w:eastAsia="zh-CN"/>
                    </w:rPr>
                  </w:pPr>
                </w:p>
              </w:tc>
              <w:tc>
                <w:tcPr>
                  <w:tcW w:w="1154" w:type="dxa"/>
                  <w:noWrap w:val="0"/>
                  <w:vAlign w:val="center"/>
                </w:tcPr>
                <w:p w14:paraId="2BA5D948">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所属类别</w:t>
                  </w:r>
                </w:p>
              </w:tc>
              <w:tc>
                <w:tcPr>
                  <w:tcW w:w="960" w:type="dxa"/>
                  <w:noWrap w:val="0"/>
                  <w:vAlign w:val="center"/>
                </w:tcPr>
                <w:p w14:paraId="4BBB8D71">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840" w:type="dxa"/>
                  <w:noWrap w:val="0"/>
                  <w:vAlign w:val="center"/>
                </w:tcPr>
                <w:p w14:paraId="3985E235">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917" w:type="dxa"/>
                  <w:noWrap w:val="0"/>
                  <w:vAlign w:val="center"/>
                </w:tcPr>
                <w:p w14:paraId="7878DCED">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1008" w:type="dxa"/>
                  <w:noWrap w:val="0"/>
                  <w:vAlign w:val="center"/>
                </w:tcPr>
                <w:p w14:paraId="278E4E03">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1065" w:type="dxa"/>
                  <w:noWrap w:val="0"/>
                  <w:vAlign w:val="center"/>
                </w:tcPr>
                <w:p w14:paraId="4ED1AA4C">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937" w:type="dxa"/>
                  <w:noWrap w:val="0"/>
                  <w:vAlign w:val="center"/>
                </w:tcPr>
                <w:p w14:paraId="551508F1">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624" w:type="dxa"/>
                  <w:vMerge w:val="continue"/>
                  <w:noWrap w:val="0"/>
                  <w:vAlign w:val="center"/>
                </w:tcPr>
                <w:p w14:paraId="5C8E012A">
                  <w:pPr>
                    <w:jc w:val="center"/>
                    <w:rPr>
                      <w:rFonts w:hint="default" w:ascii="Times New Roman" w:hAnsi="Times New Roman" w:eastAsia="宋体" w:cs="Times New Roman"/>
                      <w:b/>
                      <w:bCs/>
                      <w:color w:val="auto"/>
                      <w:sz w:val="21"/>
                      <w:szCs w:val="21"/>
                      <w:vertAlign w:val="baseline"/>
                      <w:lang w:val="en-US" w:eastAsia="zh-CN"/>
                    </w:rPr>
                  </w:pPr>
                </w:p>
              </w:tc>
            </w:tr>
          </w:tbl>
          <w:p w14:paraId="1985606C">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2021年德宏州环境状况公报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2021年芒市</w:t>
            </w:r>
            <w:r>
              <w:rPr>
                <w:rFonts w:hint="default" w:ascii="Times New Roman" w:hAnsi="Times New Roman" w:eastAsia="宋体" w:cs="Times New Roman"/>
                <w:color w:val="auto"/>
                <w:sz w:val="24"/>
                <w:szCs w:val="24"/>
                <w:lang w:val="en-US" w:eastAsia="zh-CN"/>
              </w:rPr>
              <w:t>有效监测天数</w:t>
            </w:r>
            <w:r>
              <w:rPr>
                <w:rFonts w:hint="eastAsia" w:ascii="Times New Roman" w:hAnsi="Times New Roman" w:eastAsia="宋体" w:cs="Times New Roman"/>
                <w:color w:val="auto"/>
                <w:sz w:val="24"/>
                <w:szCs w:val="24"/>
                <w:lang w:val="en-US" w:eastAsia="zh-CN"/>
              </w:rPr>
              <w:t>362</w:t>
            </w:r>
            <w:r>
              <w:rPr>
                <w:rFonts w:hint="default" w:ascii="Times New Roman" w:hAnsi="Times New Roman" w:eastAsia="宋体" w:cs="Times New Roman"/>
                <w:color w:val="auto"/>
                <w:sz w:val="24"/>
                <w:szCs w:val="24"/>
                <w:lang w:val="en-US" w:eastAsia="zh-CN"/>
              </w:rPr>
              <w:t xml:space="preserve"> 天，优</w:t>
            </w:r>
            <w:r>
              <w:rPr>
                <w:rFonts w:hint="eastAsia" w:ascii="Times New Roman" w:hAnsi="Times New Roman" w:eastAsia="宋体" w:cs="Times New Roman"/>
                <w:color w:val="auto"/>
                <w:sz w:val="24"/>
                <w:szCs w:val="24"/>
                <w:lang w:val="en-US" w:eastAsia="zh-CN"/>
              </w:rPr>
              <w:t>良天数为</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352</w:t>
            </w:r>
            <w:r>
              <w:rPr>
                <w:rFonts w:hint="default" w:ascii="Times New Roman" w:hAnsi="Times New Roman" w:eastAsia="宋体" w:cs="Times New Roman"/>
                <w:color w:val="auto"/>
                <w:sz w:val="24"/>
                <w:szCs w:val="24"/>
                <w:lang w:val="en-US" w:eastAsia="zh-CN"/>
              </w:rPr>
              <w:t>天，</w:t>
            </w:r>
            <w:r>
              <w:rPr>
                <w:rFonts w:hint="eastAsia" w:ascii="Times New Roman" w:hAnsi="Times New Roman" w:eastAsia="宋体" w:cs="Times New Roman"/>
                <w:color w:val="auto"/>
                <w:sz w:val="24"/>
                <w:szCs w:val="24"/>
                <w:lang w:val="en-US" w:eastAsia="zh-CN"/>
              </w:rPr>
              <w:t>按空气质量指数（AQI）评价，环境空气优良率为97.2%，与 2020年相比下降了2.0%。</w:t>
            </w:r>
            <w:r>
              <w:rPr>
                <w:rFonts w:hint="default" w:ascii="Times New Roman" w:hAnsi="Times New Roman" w:eastAsia="宋体" w:cs="Times New Roman"/>
                <w:color w:val="auto"/>
                <w:sz w:val="24"/>
                <w:szCs w:val="24"/>
                <w:lang w:val="en-US" w:eastAsia="zh-CN"/>
              </w:rPr>
              <w:t>2021年，污染天数集中在1～4月，其中3～4月最为突出</w:t>
            </w:r>
            <w:r>
              <w:rPr>
                <w:rFonts w:hint="eastAsia" w:ascii="Times New Roman" w:hAnsi="Times New Roman" w:eastAsia="宋体" w:cs="Times New Roman"/>
                <w:color w:val="auto"/>
                <w:sz w:val="24"/>
                <w:szCs w:val="24"/>
                <w:lang w:val="en-US" w:eastAsia="zh-CN"/>
              </w:rPr>
              <w:t>，首要污染物是</w:t>
            </w:r>
            <w:r>
              <w:rPr>
                <w:rFonts w:hint="default" w:ascii="Times New Roman" w:hAnsi="Times New Roman" w:eastAsia="仿宋" w:cs="Times New Roman"/>
                <w:color w:val="auto"/>
                <w:sz w:val="24"/>
                <w:szCs w:val="24"/>
              </w:rPr>
              <w:t>O</w:t>
            </w:r>
            <w:r>
              <w:rPr>
                <w:rFonts w:hint="default" w:ascii="Times New Roman" w:hAnsi="Times New Roman" w:eastAsia="仿宋" w:cs="Times New Roman"/>
                <w:color w:val="auto"/>
                <w:sz w:val="24"/>
                <w:szCs w:val="24"/>
                <w:vertAlign w:val="subscript"/>
              </w:rPr>
              <w:t>3</w:t>
            </w:r>
            <w:r>
              <w:rPr>
                <w:rFonts w:hint="eastAsia" w:ascii="Times New Roman" w:hAnsi="Times New Roman" w:eastAsia="宋体" w:cs="Times New Roman"/>
                <w:color w:val="auto"/>
                <w:sz w:val="24"/>
                <w:szCs w:val="24"/>
                <w:lang w:val="en-US" w:eastAsia="zh-CN"/>
              </w:rPr>
              <w:t>。年度综合评价，芒市环境空气质量达二级标准，环境空气质量综合指数为3.12。</w:t>
            </w:r>
            <w:r>
              <w:rPr>
                <w:rFonts w:hint="default" w:ascii="Times New Roman" w:hAnsi="Times New Roman" w:eastAsia="宋体" w:cs="Times New Roman"/>
                <w:color w:val="auto"/>
                <w:sz w:val="24"/>
                <w:szCs w:val="24"/>
                <w:lang w:val="en-US" w:eastAsia="zh-CN"/>
              </w:rPr>
              <w:t>具体的监测数据见表</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571E821D">
            <w:pPr>
              <w:pStyle w:val="31"/>
              <w:spacing w:line="240" w:lineRule="auto"/>
              <w:ind w:firstLine="723" w:firstLineChars="3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2021年德宏州</w:t>
            </w:r>
            <w:r>
              <w:rPr>
                <w:rFonts w:hint="eastAsia" w:ascii="Times New Roman" w:hAnsi="Times New Roman" w:eastAsia="宋体" w:cs="Times New Roman"/>
                <w:b/>
                <w:bCs/>
                <w:color w:val="auto"/>
                <w:sz w:val="24"/>
                <w:szCs w:val="24"/>
                <w:lang w:val="en-US" w:eastAsia="zh-CN"/>
              </w:rPr>
              <w:t>芒市</w:t>
            </w:r>
            <w:r>
              <w:rPr>
                <w:rFonts w:hint="default" w:ascii="Times New Roman" w:hAnsi="Times New Roman" w:eastAsia="宋体" w:cs="Times New Roman"/>
                <w:b/>
                <w:bCs/>
                <w:color w:val="auto"/>
                <w:sz w:val="24"/>
                <w:szCs w:val="24"/>
                <w:lang w:val="en-US" w:eastAsia="zh-CN"/>
              </w:rPr>
              <w:t>城市环境空气质量类别评价表</w:t>
            </w:r>
          </w:p>
          <w:tbl>
            <w:tblPr>
              <w:tblStyle w:val="34"/>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591"/>
              <w:gridCol w:w="591"/>
              <w:gridCol w:w="591"/>
              <w:gridCol w:w="591"/>
              <w:gridCol w:w="591"/>
              <w:gridCol w:w="591"/>
              <w:gridCol w:w="591"/>
              <w:gridCol w:w="591"/>
              <w:gridCol w:w="591"/>
              <w:gridCol w:w="591"/>
              <w:gridCol w:w="591"/>
              <w:gridCol w:w="594"/>
              <w:gridCol w:w="596"/>
            </w:tblGrid>
            <w:tr w14:paraId="6C49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447" w:type="dxa"/>
                  <w:vMerge w:val="restart"/>
                  <w:tcBorders>
                    <w:bottom w:val="single" w:color="auto" w:sz="4" w:space="0"/>
                    <w:right w:val="single" w:color="auto" w:sz="4" w:space="0"/>
                  </w:tcBorders>
                  <w:noWrap w:val="0"/>
                  <w:vAlign w:val="center"/>
                </w:tcPr>
                <w:p w14:paraId="50BE8035">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w:t>
                  </w:r>
                </w:p>
              </w:tc>
              <w:tc>
                <w:tcPr>
                  <w:tcW w:w="1182" w:type="dxa"/>
                  <w:gridSpan w:val="2"/>
                  <w:tcBorders>
                    <w:left w:val="single" w:color="auto" w:sz="4" w:space="0"/>
                    <w:bottom w:val="single" w:color="auto" w:sz="4" w:space="0"/>
                    <w:right w:val="single" w:color="auto" w:sz="4" w:space="0"/>
                  </w:tcBorders>
                  <w:noWrap w:val="0"/>
                  <w:vAlign w:val="center"/>
                </w:tcPr>
                <w:p w14:paraId="6193CA31">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p w14:paraId="11D478EA">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2" w:type="dxa"/>
                  <w:gridSpan w:val="2"/>
                  <w:tcBorders>
                    <w:left w:val="single" w:color="auto" w:sz="4" w:space="0"/>
                    <w:bottom w:val="single" w:color="auto" w:sz="4" w:space="0"/>
                    <w:right w:val="single" w:color="auto" w:sz="4" w:space="0"/>
                  </w:tcBorders>
                  <w:noWrap w:val="0"/>
                  <w:vAlign w:val="center"/>
                </w:tcPr>
                <w:p w14:paraId="05089E0B">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p w14:paraId="0EC601E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2" w:type="dxa"/>
                  <w:gridSpan w:val="2"/>
                  <w:tcBorders>
                    <w:left w:val="single" w:color="auto" w:sz="4" w:space="0"/>
                    <w:bottom w:val="single" w:color="auto" w:sz="4" w:space="0"/>
                    <w:right w:val="single" w:color="auto" w:sz="4" w:space="0"/>
                  </w:tcBorders>
                  <w:noWrap w:val="0"/>
                  <w:vAlign w:val="center"/>
                </w:tcPr>
                <w:p w14:paraId="014A7275">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p w14:paraId="5268AACD">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2" w:type="dxa"/>
                  <w:gridSpan w:val="2"/>
                  <w:tcBorders>
                    <w:left w:val="single" w:color="auto" w:sz="4" w:space="0"/>
                    <w:bottom w:val="single" w:color="auto" w:sz="4" w:space="0"/>
                    <w:right w:val="single" w:color="auto" w:sz="4" w:space="0"/>
                  </w:tcBorders>
                  <w:noWrap w:val="0"/>
                  <w:vAlign w:val="center"/>
                </w:tcPr>
                <w:p w14:paraId="14320A2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p w14:paraId="0AD3054B">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2" w:type="dxa"/>
                  <w:gridSpan w:val="2"/>
                  <w:tcBorders>
                    <w:left w:val="single" w:color="auto" w:sz="4" w:space="0"/>
                    <w:bottom w:val="single" w:color="auto" w:sz="4" w:space="0"/>
                    <w:right w:val="single" w:color="auto" w:sz="4" w:space="0"/>
                  </w:tcBorders>
                  <w:noWrap w:val="0"/>
                  <w:vAlign w:val="center"/>
                </w:tcPr>
                <w:p w14:paraId="0B4B1A6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p w14:paraId="37EFFF2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5" w:type="dxa"/>
                  <w:gridSpan w:val="2"/>
                  <w:tcBorders>
                    <w:left w:val="single" w:color="auto" w:sz="4" w:space="0"/>
                    <w:bottom w:val="single" w:color="auto" w:sz="4" w:space="0"/>
                    <w:right w:val="single" w:color="auto" w:sz="4" w:space="0"/>
                  </w:tcBorders>
                  <w:noWrap w:val="0"/>
                  <w:vAlign w:val="center"/>
                </w:tcPr>
                <w:p w14:paraId="5165EBB2">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-8h</w:t>
                  </w:r>
                </w:p>
                <w:p w14:paraId="481A9263">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96" w:type="dxa"/>
                  <w:vMerge w:val="restart"/>
                  <w:tcBorders>
                    <w:left w:val="single" w:color="auto" w:sz="4" w:space="0"/>
                    <w:bottom w:val="single" w:color="auto" w:sz="4" w:space="0"/>
                  </w:tcBorders>
                  <w:noWrap w:val="0"/>
                  <w:vAlign w:val="center"/>
                </w:tcPr>
                <w:p w14:paraId="1438BBA2">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p w14:paraId="2EB3012D">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14:paraId="0A59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blHeader/>
                <w:jc w:val="center"/>
              </w:trPr>
              <w:tc>
                <w:tcPr>
                  <w:tcW w:w="447" w:type="dxa"/>
                  <w:vMerge w:val="continue"/>
                  <w:tcBorders>
                    <w:top w:val="single" w:color="auto" w:sz="4" w:space="0"/>
                    <w:bottom w:val="single" w:color="auto" w:sz="4" w:space="0"/>
                    <w:right w:val="single" w:color="auto" w:sz="4" w:space="0"/>
                  </w:tcBorders>
                  <w:noWrap w:val="0"/>
                  <w:vAlign w:val="center"/>
                </w:tcPr>
                <w:p w14:paraId="60591199">
                  <w:pPr>
                    <w:pStyle w:val="91"/>
                    <w:spacing w:before="38"/>
                    <w:ind w:left="31" w:leftChars="0" w:right="15" w:rightChars="0"/>
                    <w:jc w:val="center"/>
                    <w:rPr>
                      <w:rFonts w:hint="default" w:ascii="Times New Roman" w:hAnsi="Times New Roman" w:eastAsia="宋体" w:cs="Times New Roman"/>
                      <w:color w:val="auto"/>
                      <w:sz w:val="21"/>
                      <w:szCs w:val="21"/>
                    </w:rPr>
                  </w:pPr>
                </w:p>
              </w:tc>
              <w:tc>
                <w:tcPr>
                  <w:tcW w:w="591" w:type="dxa"/>
                  <w:tcBorders>
                    <w:top w:val="single" w:color="auto" w:sz="4" w:space="0"/>
                    <w:left w:val="single" w:color="auto" w:sz="4" w:space="0"/>
                    <w:bottom w:val="single" w:color="auto" w:sz="4" w:space="0"/>
                    <w:right w:val="single" w:color="auto" w:sz="4" w:space="0"/>
                  </w:tcBorders>
                  <w:noWrap w:val="0"/>
                  <w:vAlign w:val="center"/>
                </w:tcPr>
                <w:p w14:paraId="0682346A">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47F3245D">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98百分位</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1E55D541">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55C407F9">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98百分位</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69A5720F">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251B8356">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95百分位</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3C62FF7F">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7A89B2B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95百分位</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36A9C2B4">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11B6A851">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95百分位</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03549E7D">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年均值</w:t>
                  </w:r>
                </w:p>
              </w:tc>
              <w:tc>
                <w:tcPr>
                  <w:tcW w:w="594" w:type="dxa"/>
                  <w:tcBorders>
                    <w:top w:val="single" w:color="auto" w:sz="4" w:space="0"/>
                    <w:left w:val="single" w:color="auto" w:sz="4" w:space="0"/>
                    <w:bottom w:val="single" w:color="auto" w:sz="4" w:space="0"/>
                    <w:right w:val="single" w:color="auto" w:sz="4" w:space="0"/>
                  </w:tcBorders>
                  <w:noWrap w:val="0"/>
                  <w:vAlign w:val="center"/>
                </w:tcPr>
                <w:p w14:paraId="1C0429DF">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90百分位</w:t>
                  </w:r>
                </w:p>
              </w:tc>
              <w:tc>
                <w:tcPr>
                  <w:tcW w:w="596" w:type="dxa"/>
                  <w:vMerge w:val="continue"/>
                  <w:tcBorders>
                    <w:top w:val="single" w:color="auto" w:sz="4" w:space="0"/>
                    <w:left w:val="single" w:color="auto" w:sz="4" w:space="0"/>
                    <w:bottom w:val="single" w:color="auto" w:sz="4" w:space="0"/>
                  </w:tcBorders>
                  <w:noWrap w:val="0"/>
                  <w:vAlign w:val="center"/>
                </w:tcPr>
                <w:p w14:paraId="5D14C91B">
                  <w:pPr>
                    <w:pStyle w:val="91"/>
                    <w:spacing w:before="38"/>
                    <w:ind w:left="31" w:leftChars="0" w:right="15" w:rightChars="0"/>
                    <w:jc w:val="center"/>
                    <w:rPr>
                      <w:rFonts w:hint="default" w:ascii="Times New Roman" w:hAnsi="Times New Roman" w:eastAsia="宋体" w:cs="Times New Roman"/>
                      <w:color w:val="auto"/>
                      <w:sz w:val="21"/>
                      <w:szCs w:val="21"/>
                    </w:rPr>
                  </w:pPr>
                </w:p>
              </w:tc>
            </w:tr>
            <w:tr w14:paraId="5D70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7" w:type="dxa"/>
                  <w:vMerge w:val="restart"/>
                  <w:tcBorders>
                    <w:top w:val="single" w:color="auto" w:sz="4" w:space="0"/>
                    <w:right w:val="single" w:color="auto" w:sz="4" w:space="0"/>
                  </w:tcBorders>
                  <w:noWrap w:val="0"/>
                  <w:vAlign w:val="center"/>
                </w:tcPr>
                <w:p w14:paraId="15C6766A">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芒</w:t>
                  </w:r>
                  <w:r>
                    <w:rPr>
                      <w:rFonts w:hint="default" w:ascii="Times New Roman" w:hAnsi="Times New Roman" w:eastAsia="宋体" w:cs="Times New Roman"/>
                      <w:color w:val="auto"/>
                      <w:sz w:val="21"/>
                      <w:szCs w:val="21"/>
                    </w:rPr>
                    <w:t>市</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3391E55D">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705FCCAE">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412A5B1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6D06AB71">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302132AE">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6003AF2C">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10B06ED2">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4DED1F16">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39D56165">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1B32283A">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91" w:type="dxa"/>
                  <w:tcBorders>
                    <w:top w:val="single" w:color="auto" w:sz="4" w:space="0"/>
                    <w:left w:val="single" w:color="auto" w:sz="4" w:space="0"/>
                    <w:bottom w:val="single" w:color="auto" w:sz="4" w:space="0"/>
                    <w:right w:val="single" w:color="auto" w:sz="4" w:space="0"/>
                  </w:tcBorders>
                  <w:noWrap w:val="0"/>
                  <w:vAlign w:val="center"/>
                </w:tcPr>
                <w:p w14:paraId="697F24F0">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594" w:type="dxa"/>
                  <w:tcBorders>
                    <w:top w:val="single" w:color="auto" w:sz="4" w:space="0"/>
                    <w:left w:val="single" w:color="auto" w:sz="4" w:space="0"/>
                    <w:bottom w:val="single" w:color="auto" w:sz="4" w:space="0"/>
                    <w:right w:val="single" w:color="auto" w:sz="4" w:space="0"/>
                  </w:tcBorders>
                  <w:noWrap w:val="0"/>
                  <w:vAlign w:val="center"/>
                </w:tcPr>
                <w:p w14:paraId="7F55019B">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596" w:type="dxa"/>
                  <w:vMerge w:val="restart"/>
                  <w:tcBorders>
                    <w:top w:val="single" w:color="auto" w:sz="4" w:space="0"/>
                    <w:left w:val="single" w:color="auto" w:sz="4" w:space="0"/>
                  </w:tcBorders>
                  <w:noWrap w:val="0"/>
                  <w:vAlign w:val="center"/>
                </w:tcPr>
                <w:p w14:paraId="6638ADDC">
                  <w:pPr>
                    <w:pStyle w:val="91"/>
                    <w:spacing w:before="38"/>
                    <w:ind w:left="31" w:leftChars="0" w:right="15"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r>
            <w:tr w14:paraId="1565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47" w:type="dxa"/>
                  <w:vMerge w:val="continue"/>
                  <w:tcBorders>
                    <w:right w:val="single" w:color="auto" w:sz="4" w:space="0"/>
                  </w:tcBorders>
                  <w:noWrap w:val="0"/>
                  <w:vAlign w:val="center"/>
                </w:tcPr>
                <w:p w14:paraId="1B2E5D49">
                  <w:pPr>
                    <w:widowControl/>
                    <w:autoSpaceDE w:val="0"/>
                    <w:spacing w:line="200" w:lineRule="exact"/>
                    <w:jc w:val="center"/>
                    <w:textAlignment w:val="bottom"/>
                    <w:rPr>
                      <w:rFonts w:hint="default" w:ascii="Times New Roman" w:hAnsi="Times New Roman" w:eastAsia="宋体" w:cs="Times New Roman"/>
                      <w:color w:val="auto"/>
                      <w:sz w:val="21"/>
                      <w:szCs w:val="21"/>
                    </w:rPr>
                  </w:pPr>
                </w:p>
              </w:tc>
              <w:tc>
                <w:tcPr>
                  <w:tcW w:w="591" w:type="dxa"/>
                  <w:tcBorders>
                    <w:top w:val="single" w:color="auto" w:sz="4" w:space="0"/>
                    <w:left w:val="single" w:color="auto" w:sz="4" w:space="0"/>
                    <w:right w:val="single" w:color="auto" w:sz="4" w:space="0"/>
                  </w:tcBorders>
                  <w:noWrap w:val="0"/>
                  <w:vAlign w:val="center"/>
                </w:tcPr>
                <w:p w14:paraId="20A0ED2E">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一级</w:t>
                  </w:r>
                </w:p>
              </w:tc>
              <w:tc>
                <w:tcPr>
                  <w:tcW w:w="591" w:type="dxa"/>
                  <w:tcBorders>
                    <w:top w:val="single" w:color="auto" w:sz="4" w:space="0"/>
                    <w:left w:val="single" w:color="auto" w:sz="4" w:space="0"/>
                    <w:right w:val="single" w:color="auto" w:sz="4" w:space="0"/>
                  </w:tcBorders>
                  <w:noWrap w:val="0"/>
                  <w:vAlign w:val="center"/>
                </w:tcPr>
                <w:p w14:paraId="451922A4">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一级</w:t>
                  </w:r>
                </w:p>
              </w:tc>
              <w:tc>
                <w:tcPr>
                  <w:tcW w:w="591" w:type="dxa"/>
                  <w:tcBorders>
                    <w:top w:val="single" w:color="auto" w:sz="4" w:space="0"/>
                    <w:left w:val="single" w:color="auto" w:sz="4" w:space="0"/>
                    <w:right w:val="single" w:color="auto" w:sz="4" w:space="0"/>
                  </w:tcBorders>
                  <w:noWrap w:val="0"/>
                  <w:vAlign w:val="center"/>
                </w:tcPr>
                <w:p w14:paraId="612679C1">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一级</w:t>
                  </w:r>
                </w:p>
              </w:tc>
              <w:tc>
                <w:tcPr>
                  <w:tcW w:w="591" w:type="dxa"/>
                  <w:tcBorders>
                    <w:top w:val="single" w:color="auto" w:sz="4" w:space="0"/>
                    <w:left w:val="single" w:color="auto" w:sz="4" w:space="0"/>
                    <w:right w:val="single" w:color="auto" w:sz="4" w:space="0"/>
                  </w:tcBorders>
                  <w:noWrap w:val="0"/>
                  <w:vAlign w:val="center"/>
                </w:tcPr>
                <w:p w14:paraId="0B911D9F">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一级</w:t>
                  </w:r>
                </w:p>
              </w:tc>
              <w:tc>
                <w:tcPr>
                  <w:tcW w:w="591" w:type="dxa"/>
                  <w:tcBorders>
                    <w:top w:val="single" w:color="auto" w:sz="4" w:space="0"/>
                    <w:left w:val="single" w:color="auto" w:sz="4" w:space="0"/>
                    <w:right w:val="single" w:color="auto" w:sz="4" w:space="0"/>
                  </w:tcBorders>
                  <w:noWrap w:val="0"/>
                  <w:vAlign w:val="center"/>
                </w:tcPr>
                <w:p w14:paraId="6C9CBBE5">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591" w:type="dxa"/>
                  <w:tcBorders>
                    <w:top w:val="single" w:color="auto" w:sz="4" w:space="0"/>
                    <w:left w:val="single" w:color="auto" w:sz="4" w:space="0"/>
                    <w:right w:val="single" w:color="auto" w:sz="4" w:space="0"/>
                  </w:tcBorders>
                  <w:noWrap w:val="0"/>
                  <w:vAlign w:val="center"/>
                </w:tcPr>
                <w:p w14:paraId="20FA8EE2">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591" w:type="dxa"/>
                  <w:tcBorders>
                    <w:top w:val="single" w:color="auto" w:sz="4" w:space="0"/>
                    <w:left w:val="single" w:color="auto" w:sz="4" w:space="0"/>
                    <w:right w:val="single" w:color="auto" w:sz="4" w:space="0"/>
                  </w:tcBorders>
                  <w:noWrap w:val="0"/>
                  <w:vAlign w:val="center"/>
                </w:tcPr>
                <w:p w14:paraId="66A1A14C">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591" w:type="dxa"/>
                  <w:tcBorders>
                    <w:top w:val="single" w:color="auto" w:sz="4" w:space="0"/>
                    <w:left w:val="single" w:color="auto" w:sz="4" w:space="0"/>
                    <w:right w:val="single" w:color="auto" w:sz="4" w:space="0"/>
                  </w:tcBorders>
                  <w:noWrap w:val="0"/>
                  <w:vAlign w:val="center"/>
                </w:tcPr>
                <w:p w14:paraId="7313DF94">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591" w:type="dxa"/>
                  <w:tcBorders>
                    <w:top w:val="single" w:color="auto" w:sz="4" w:space="0"/>
                    <w:left w:val="single" w:color="auto" w:sz="4" w:space="0"/>
                    <w:right w:val="single" w:color="auto" w:sz="4" w:space="0"/>
                  </w:tcBorders>
                  <w:noWrap w:val="0"/>
                  <w:vAlign w:val="center"/>
                </w:tcPr>
                <w:p w14:paraId="2739D8C5">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1" w:type="dxa"/>
                  <w:tcBorders>
                    <w:top w:val="single" w:color="auto" w:sz="4" w:space="0"/>
                    <w:left w:val="single" w:color="auto" w:sz="4" w:space="0"/>
                    <w:right w:val="single" w:color="auto" w:sz="4" w:space="0"/>
                  </w:tcBorders>
                  <w:noWrap w:val="0"/>
                  <w:vAlign w:val="center"/>
                </w:tcPr>
                <w:p w14:paraId="1CF6D065">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一级</w:t>
                  </w:r>
                </w:p>
              </w:tc>
              <w:tc>
                <w:tcPr>
                  <w:tcW w:w="591" w:type="dxa"/>
                  <w:tcBorders>
                    <w:top w:val="single" w:color="auto" w:sz="4" w:space="0"/>
                    <w:left w:val="single" w:color="auto" w:sz="4" w:space="0"/>
                    <w:right w:val="single" w:color="auto" w:sz="4" w:space="0"/>
                  </w:tcBorders>
                  <w:noWrap w:val="0"/>
                  <w:vAlign w:val="center"/>
                </w:tcPr>
                <w:p w14:paraId="1B03C1C0">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4" w:type="dxa"/>
                  <w:tcBorders>
                    <w:top w:val="single" w:color="auto" w:sz="4" w:space="0"/>
                    <w:left w:val="single" w:color="auto" w:sz="4" w:space="0"/>
                    <w:right w:val="single" w:color="auto" w:sz="4" w:space="0"/>
                  </w:tcBorders>
                  <w:noWrap w:val="0"/>
                  <w:vAlign w:val="center"/>
                </w:tcPr>
                <w:p w14:paraId="2E5F4054">
                  <w:pPr>
                    <w:pStyle w:val="91"/>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596" w:type="dxa"/>
                  <w:vMerge w:val="continue"/>
                  <w:tcBorders>
                    <w:left w:val="single" w:color="auto" w:sz="4" w:space="0"/>
                  </w:tcBorders>
                  <w:noWrap w:val="0"/>
                  <w:vAlign w:val="center"/>
                </w:tcPr>
                <w:p w14:paraId="4E7A1E00">
                  <w:pPr>
                    <w:widowControl/>
                    <w:autoSpaceDE w:val="0"/>
                    <w:spacing w:line="200" w:lineRule="exact"/>
                    <w:jc w:val="center"/>
                    <w:textAlignment w:val="bottom"/>
                    <w:rPr>
                      <w:rFonts w:hint="default" w:ascii="Times New Roman" w:hAnsi="Times New Roman" w:eastAsia="宋体" w:cs="Times New Roman"/>
                      <w:color w:val="auto"/>
                      <w:sz w:val="21"/>
                      <w:szCs w:val="21"/>
                    </w:rPr>
                  </w:pPr>
                </w:p>
              </w:tc>
            </w:tr>
          </w:tbl>
          <w:p w14:paraId="0E8CB62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bCs/>
                <w:color w:val="auto"/>
                <w:kern w:val="28"/>
                <w:sz w:val="24"/>
                <w:szCs w:val="24"/>
              </w:rPr>
            </w:pPr>
            <w:r>
              <w:rPr>
                <w:rFonts w:hint="default" w:ascii="Times New Roman" w:hAnsi="Times New Roman" w:eastAsia="宋体" w:cs="Times New Roman"/>
                <w:bCs/>
                <w:color w:val="auto"/>
                <w:kern w:val="28"/>
                <w:sz w:val="24"/>
                <w:szCs w:val="24"/>
              </w:rPr>
              <w:t>从</w:t>
            </w:r>
            <w:r>
              <w:rPr>
                <w:rFonts w:hint="eastAsia" w:ascii="Times New Roman" w:hAnsi="Times New Roman" w:eastAsia="宋体" w:cs="Times New Roman"/>
                <w:bCs/>
                <w:color w:val="auto"/>
                <w:kern w:val="28"/>
                <w:sz w:val="24"/>
                <w:szCs w:val="24"/>
                <w:lang w:val="en-US" w:eastAsia="zh-CN"/>
              </w:rPr>
              <w:t>近3年</w:t>
            </w:r>
            <w:r>
              <w:rPr>
                <w:rFonts w:hint="default" w:ascii="Times New Roman" w:hAnsi="Times New Roman" w:eastAsia="宋体" w:cs="Times New Roman"/>
                <w:color w:val="auto"/>
                <w:sz w:val="24"/>
                <w:szCs w:val="24"/>
                <w:lang w:val="en-US" w:eastAsia="zh-CN"/>
              </w:rPr>
              <w:t>德宏州环境质量状况</w:t>
            </w:r>
            <w:r>
              <w:rPr>
                <w:rFonts w:hint="eastAsia" w:ascii="Times New Roman" w:hAnsi="Times New Roman" w:eastAsia="宋体" w:cs="Times New Roman"/>
                <w:color w:val="auto"/>
                <w:sz w:val="24"/>
                <w:szCs w:val="24"/>
                <w:lang w:val="en-US" w:eastAsia="zh-CN"/>
              </w:rPr>
              <w:t>报告</w:t>
            </w:r>
            <w:r>
              <w:rPr>
                <w:rFonts w:hint="eastAsia" w:ascii="Times New Roman" w:hAnsi="Times New Roman" w:eastAsia="宋体" w:cs="Times New Roman"/>
                <w:bCs/>
                <w:color w:val="auto"/>
                <w:kern w:val="28"/>
                <w:sz w:val="24"/>
                <w:szCs w:val="24"/>
                <w:lang w:val="en-US" w:eastAsia="zh-CN"/>
              </w:rPr>
              <w:t>的</w:t>
            </w:r>
            <w:r>
              <w:rPr>
                <w:rFonts w:hint="default" w:ascii="Times New Roman" w:hAnsi="Times New Roman" w:eastAsia="宋体" w:cs="Times New Roman"/>
                <w:bCs/>
                <w:color w:val="auto"/>
                <w:kern w:val="28"/>
                <w:sz w:val="24"/>
                <w:szCs w:val="24"/>
              </w:rPr>
              <w:t>监测数据来看</w:t>
            </w:r>
            <w:r>
              <w:rPr>
                <w:rFonts w:hint="eastAsia" w:ascii="Times New Roman" w:hAnsi="Times New Roman" w:eastAsia="宋体" w:cs="Times New Roman"/>
                <w:bCs/>
                <w:color w:val="auto"/>
                <w:kern w:val="28"/>
                <w:sz w:val="24"/>
                <w:szCs w:val="24"/>
                <w:lang w:eastAsia="zh-CN"/>
              </w:rPr>
              <w:t>，</w:t>
            </w:r>
            <w:r>
              <w:rPr>
                <w:rFonts w:hint="eastAsia" w:ascii="Times New Roman" w:hAnsi="Times New Roman" w:eastAsia="宋体" w:cs="Times New Roman"/>
                <w:bCs/>
                <w:color w:val="auto"/>
                <w:kern w:val="28"/>
                <w:sz w:val="24"/>
                <w:szCs w:val="24"/>
              </w:rPr>
              <w:t>区域</w:t>
            </w:r>
            <w:r>
              <w:rPr>
                <w:rFonts w:hint="default" w:ascii="Times New Roman" w:hAnsi="Times New Roman" w:eastAsia="宋体" w:cs="Times New Roman"/>
                <w:bCs/>
                <w:color w:val="auto"/>
                <w:kern w:val="28"/>
                <w:sz w:val="24"/>
                <w:szCs w:val="24"/>
              </w:rPr>
              <w:t>PM</w:t>
            </w:r>
            <w:r>
              <w:rPr>
                <w:rFonts w:hint="default" w:ascii="Times New Roman" w:hAnsi="Times New Roman" w:eastAsia="宋体" w:cs="Times New Roman"/>
                <w:bCs/>
                <w:color w:val="auto"/>
                <w:kern w:val="28"/>
                <w:sz w:val="24"/>
                <w:szCs w:val="24"/>
                <w:vertAlign w:val="subscript"/>
              </w:rPr>
              <w:t>10</w:t>
            </w:r>
            <w:r>
              <w:rPr>
                <w:rFonts w:hint="eastAsia" w:ascii="Times New Roman" w:hAnsi="Times New Roman" w:eastAsia="宋体" w:cs="Times New Roman"/>
                <w:bCs/>
                <w:color w:val="auto"/>
                <w:kern w:val="28"/>
                <w:sz w:val="24"/>
                <w:szCs w:val="24"/>
              </w:rPr>
              <w:t>、</w:t>
            </w:r>
            <w:r>
              <w:rPr>
                <w:rFonts w:hint="default" w:ascii="Times New Roman" w:hAnsi="Times New Roman" w:eastAsia="宋体" w:cs="Times New Roman"/>
                <w:bCs/>
                <w:color w:val="auto"/>
                <w:kern w:val="28"/>
                <w:sz w:val="24"/>
                <w:szCs w:val="24"/>
              </w:rPr>
              <w:t>PM</w:t>
            </w:r>
            <w:r>
              <w:rPr>
                <w:rFonts w:hint="default" w:ascii="Times New Roman" w:hAnsi="Times New Roman" w:eastAsia="宋体" w:cs="Times New Roman"/>
                <w:bCs/>
                <w:color w:val="auto"/>
                <w:kern w:val="28"/>
                <w:sz w:val="24"/>
                <w:szCs w:val="24"/>
                <w:vertAlign w:val="subscript"/>
              </w:rPr>
              <w:t>2.5</w:t>
            </w:r>
            <w:r>
              <w:rPr>
                <w:rFonts w:hint="eastAsia" w:ascii="Times New Roman" w:hAnsi="Times New Roman" w:eastAsia="宋体" w:cs="Times New Roman"/>
                <w:bCs/>
                <w:color w:val="auto"/>
                <w:kern w:val="28"/>
                <w:sz w:val="24"/>
                <w:szCs w:val="24"/>
              </w:rPr>
              <w:t>、</w:t>
            </w:r>
            <w:r>
              <w:rPr>
                <w:rFonts w:hint="default" w:ascii="Times New Roman" w:hAnsi="Times New Roman" w:eastAsia="宋体" w:cs="Times New Roman"/>
                <w:bCs/>
                <w:color w:val="auto"/>
                <w:kern w:val="28"/>
                <w:sz w:val="24"/>
                <w:szCs w:val="24"/>
              </w:rPr>
              <w:t>SO</w:t>
            </w:r>
            <w:r>
              <w:rPr>
                <w:rFonts w:hint="default" w:ascii="Times New Roman" w:hAnsi="Times New Roman" w:eastAsia="宋体" w:cs="Times New Roman"/>
                <w:bCs/>
                <w:color w:val="auto"/>
                <w:kern w:val="28"/>
                <w:sz w:val="24"/>
                <w:szCs w:val="24"/>
                <w:vertAlign w:val="subscript"/>
              </w:rPr>
              <w:t>2</w:t>
            </w:r>
            <w:r>
              <w:rPr>
                <w:rFonts w:hint="eastAsia" w:ascii="Times New Roman" w:hAnsi="Times New Roman" w:eastAsia="宋体" w:cs="Times New Roman"/>
                <w:bCs/>
                <w:color w:val="auto"/>
                <w:kern w:val="28"/>
                <w:sz w:val="24"/>
                <w:szCs w:val="24"/>
              </w:rPr>
              <w:t>、</w:t>
            </w:r>
            <w:r>
              <w:rPr>
                <w:rFonts w:hint="default" w:ascii="Times New Roman" w:hAnsi="Times New Roman" w:eastAsia="宋体" w:cs="Times New Roman"/>
                <w:bCs/>
                <w:color w:val="auto"/>
                <w:kern w:val="28"/>
                <w:sz w:val="24"/>
                <w:szCs w:val="24"/>
              </w:rPr>
              <w:t>NO</w:t>
            </w:r>
            <w:r>
              <w:rPr>
                <w:rFonts w:hint="default" w:ascii="Times New Roman" w:hAnsi="Times New Roman" w:eastAsia="宋体" w:cs="Times New Roman"/>
                <w:bCs/>
                <w:color w:val="auto"/>
                <w:kern w:val="28"/>
                <w:sz w:val="24"/>
                <w:szCs w:val="24"/>
                <w:vertAlign w:val="subscript"/>
              </w:rPr>
              <w:t>2</w:t>
            </w:r>
            <w:r>
              <w:rPr>
                <w:rFonts w:hint="eastAsia" w:ascii="Times New Roman" w:hAnsi="Times New Roman" w:eastAsia="宋体" w:cs="Times New Roman"/>
                <w:bCs/>
                <w:color w:val="auto"/>
                <w:kern w:val="28"/>
                <w:sz w:val="24"/>
                <w:szCs w:val="24"/>
              </w:rPr>
              <w:t>、</w:t>
            </w:r>
            <w:r>
              <w:rPr>
                <w:rFonts w:hint="default" w:ascii="Times New Roman" w:hAnsi="Times New Roman" w:eastAsia="宋体" w:cs="Times New Roman"/>
                <w:bCs/>
                <w:color w:val="auto"/>
                <w:kern w:val="28"/>
                <w:sz w:val="24"/>
                <w:szCs w:val="24"/>
              </w:rPr>
              <w:t>CO</w:t>
            </w:r>
            <w:r>
              <w:rPr>
                <w:rFonts w:hint="eastAsia" w:ascii="Times New Roman" w:hAnsi="Times New Roman" w:eastAsia="宋体" w:cs="Times New Roman"/>
                <w:bCs/>
                <w:color w:val="auto"/>
                <w:kern w:val="28"/>
                <w:sz w:val="24"/>
                <w:szCs w:val="24"/>
              </w:rPr>
              <w:t>、</w:t>
            </w:r>
            <w:r>
              <w:rPr>
                <w:rFonts w:hint="default" w:ascii="Times New Roman" w:hAnsi="Times New Roman" w:eastAsia="宋体" w:cs="Times New Roman"/>
                <w:bCs/>
                <w:color w:val="auto"/>
                <w:kern w:val="28"/>
                <w:sz w:val="24"/>
                <w:szCs w:val="24"/>
              </w:rPr>
              <w:t>O</w:t>
            </w:r>
            <w:r>
              <w:rPr>
                <w:rFonts w:hint="default" w:ascii="Times New Roman" w:hAnsi="Times New Roman" w:eastAsia="宋体" w:cs="Times New Roman"/>
                <w:bCs/>
                <w:color w:val="auto"/>
                <w:kern w:val="28"/>
                <w:sz w:val="24"/>
                <w:szCs w:val="24"/>
                <w:vertAlign w:val="subscript"/>
              </w:rPr>
              <w:t>3</w:t>
            </w:r>
            <w:r>
              <w:rPr>
                <w:rFonts w:hint="eastAsia" w:ascii="Times New Roman" w:hAnsi="Times New Roman" w:eastAsia="宋体" w:cs="Times New Roman"/>
                <w:bCs/>
                <w:color w:val="auto"/>
                <w:kern w:val="28"/>
                <w:sz w:val="24"/>
                <w:szCs w:val="24"/>
              </w:rPr>
              <w:t>六项污染物</w:t>
            </w:r>
            <w:r>
              <w:rPr>
                <w:rFonts w:hint="default" w:ascii="Times New Roman" w:hAnsi="Times New Roman" w:eastAsia="宋体" w:cs="Times New Roman"/>
                <w:bCs/>
                <w:color w:val="auto"/>
                <w:kern w:val="28"/>
                <w:sz w:val="24"/>
                <w:szCs w:val="24"/>
              </w:rPr>
              <w:t>均达到《环境空气质量标准》（GB3095-2012）二级标准要求，</w:t>
            </w:r>
            <w:r>
              <w:rPr>
                <w:rFonts w:hint="eastAsia" w:ascii="Times New Roman" w:hAnsi="Times New Roman" w:eastAsia="宋体" w:cs="Times New Roman"/>
                <w:bCs/>
                <w:color w:val="auto"/>
                <w:kern w:val="28"/>
                <w:sz w:val="24"/>
                <w:szCs w:val="24"/>
              </w:rPr>
              <w:t>为达标区，环境空气质量良好。</w:t>
            </w:r>
          </w:p>
          <w:p w14:paraId="2FC0DDC3">
            <w:pPr>
              <w:numPr>
                <w:ilvl w:val="0"/>
                <w:numId w:val="6"/>
              </w:numPr>
              <w:adjustRightInd w:val="0"/>
              <w:snapToGrid w:val="0"/>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其他污染因子、特征污染因子环境质量现状</w:t>
            </w:r>
          </w:p>
          <w:p w14:paraId="286A8224">
            <w:pPr>
              <w:pStyle w:val="116"/>
              <w:numPr>
                <w:ilvl w:val="0"/>
                <w:numId w:val="0"/>
              </w:numPr>
              <w:spacing w:line="360" w:lineRule="auto"/>
              <w:ind w:firstLine="480" w:firstLineChars="200"/>
              <w:rPr>
                <w:rFonts w:hint="default" w:ascii="Times New Roman" w:hAnsi="Times New Roman" w:eastAsia="宋体" w:cs="Times New Roman"/>
                <w:bCs/>
                <w:color w:val="auto"/>
                <w:kern w:val="28"/>
                <w:sz w:val="24"/>
                <w:szCs w:val="24"/>
                <w:lang w:val="en-US" w:eastAsia="zh-CN" w:bidi="ar-SA"/>
              </w:rPr>
            </w:pPr>
            <w:r>
              <w:rPr>
                <w:rFonts w:hint="eastAsia" w:ascii="Times New Roman" w:hAnsi="Times New Roman" w:eastAsia="宋体" w:cs="Times New Roman"/>
                <w:bCs/>
                <w:color w:val="auto"/>
                <w:kern w:val="28"/>
                <w:sz w:val="24"/>
                <w:szCs w:val="24"/>
                <w:lang w:val="en-US" w:eastAsia="zh-CN" w:bidi="ar-SA"/>
              </w:rPr>
              <w:t>本项目委托云南浩辰环保科技有限公司，于202</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年</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月</w:t>
            </w:r>
            <w:r>
              <w:rPr>
                <w:rFonts w:hint="eastAsia" w:ascii="Times New Roman" w:eastAsia="宋体" w:cs="Times New Roman"/>
                <w:bCs/>
                <w:color w:val="auto"/>
                <w:kern w:val="28"/>
                <w:sz w:val="24"/>
                <w:szCs w:val="24"/>
                <w:lang w:val="en-US" w:eastAsia="zh-CN" w:bidi="ar-SA"/>
              </w:rPr>
              <w:t>1</w:t>
            </w:r>
            <w:r>
              <w:rPr>
                <w:rFonts w:hint="eastAsia" w:ascii="Times New Roman" w:hAnsi="Times New Roman" w:eastAsia="宋体" w:cs="Times New Roman"/>
                <w:bCs/>
                <w:color w:val="auto"/>
                <w:kern w:val="28"/>
                <w:sz w:val="24"/>
                <w:szCs w:val="24"/>
                <w:lang w:val="en-US" w:eastAsia="zh-CN" w:bidi="ar-SA"/>
              </w:rPr>
              <w:t>日-202</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年</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月2日，对项目所在地的特征污染因子（TSP）质量现状进行了补充监测。</w:t>
            </w:r>
          </w:p>
          <w:p w14:paraId="7A0BCE40">
            <w:pPr>
              <w:adjustRightInd w:val="0"/>
              <w:snapToGrid w:val="0"/>
              <w:spacing w:line="360" w:lineRule="auto"/>
              <w:ind w:firstLine="480" w:firstLineChars="200"/>
              <w:jc w:val="left"/>
              <w:rPr>
                <w:rFonts w:hint="default"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rPr>
              <w:t>监测点位</w:t>
            </w:r>
            <w:r>
              <w:rPr>
                <w:rFonts w:hint="eastAsia" w:ascii="Times New Roman" w:hAnsi="Times New Roman" w:eastAsia="宋体" w:cs="Times New Roman"/>
                <w:b w:val="0"/>
                <w:bCs w:val="0"/>
                <w:color w:val="auto"/>
                <w:sz w:val="24"/>
                <w:lang w:val="en-US" w:eastAsia="zh-CN"/>
              </w:rPr>
              <w:t>:在项目下风向布设1个大气环境监测点</w:t>
            </w:r>
            <w:r>
              <w:rPr>
                <w:rFonts w:hint="default" w:ascii="Times New Roman" w:hAnsi="Times New Roman" w:eastAsia="宋体" w:cs="Times New Roman"/>
                <w:b w:val="0"/>
                <w:bCs w:val="0"/>
                <w:color w:val="auto"/>
                <w:sz w:val="24"/>
                <w:lang w:eastAsia="zh-CN"/>
              </w:rPr>
              <w:t>；</w:t>
            </w:r>
          </w:p>
          <w:p w14:paraId="1074D384">
            <w:pPr>
              <w:adjustRightInd w:val="0"/>
              <w:snapToGrid w:val="0"/>
              <w:spacing w:line="360" w:lineRule="auto"/>
              <w:ind w:firstLine="480" w:firstLineChars="200"/>
              <w:jc w:val="left"/>
              <w:rPr>
                <w:rFonts w:hint="default"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2）</w:t>
            </w:r>
            <w:r>
              <w:rPr>
                <w:rFonts w:hint="default" w:ascii="Times New Roman" w:hAnsi="Times New Roman" w:eastAsia="宋体" w:cs="Times New Roman"/>
                <w:b w:val="0"/>
                <w:bCs w:val="0"/>
                <w:color w:val="auto"/>
                <w:sz w:val="24"/>
              </w:rPr>
              <w:t>监测项目：</w:t>
            </w:r>
            <w:r>
              <w:rPr>
                <w:rFonts w:hint="eastAsia" w:eastAsia="宋体" w:cs="Times New Roman"/>
                <w:b w:val="0"/>
                <w:bCs w:val="0"/>
                <w:color w:val="auto"/>
                <w:sz w:val="24"/>
                <w:lang w:val="en-US" w:eastAsia="zh-CN"/>
              </w:rPr>
              <w:t>TSP</w:t>
            </w:r>
            <w:r>
              <w:rPr>
                <w:rFonts w:hint="default" w:ascii="Times New Roman" w:hAnsi="Times New Roman" w:eastAsia="宋体" w:cs="Times New Roman"/>
                <w:b w:val="0"/>
                <w:bCs w:val="0"/>
                <w:color w:val="auto"/>
                <w:sz w:val="24"/>
                <w:lang w:eastAsia="zh-CN"/>
              </w:rPr>
              <w:t>；</w:t>
            </w:r>
          </w:p>
          <w:p w14:paraId="447291B5">
            <w:pPr>
              <w:pStyle w:val="129"/>
              <w:spacing w:line="360" w:lineRule="auto"/>
              <w:ind w:firstLine="480" w:firstLineChars="200"/>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3）</w:t>
            </w:r>
            <w:r>
              <w:rPr>
                <w:rFonts w:hint="default" w:ascii="Times New Roman" w:hAnsi="Times New Roman" w:eastAsia="宋体" w:cs="Times New Roman"/>
                <w:b w:val="0"/>
                <w:bCs w:val="0"/>
                <w:color w:val="auto"/>
                <w:sz w:val="24"/>
                <w:szCs w:val="24"/>
              </w:rPr>
              <w:t>监测时段：日均浓度值。</w:t>
            </w:r>
          </w:p>
          <w:p w14:paraId="4AEF37DD">
            <w:pPr>
              <w:pStyle w:val="16"/>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4）监测频次：</w:t>
            </w:r>
            <w:r>
              <w:rPr>
                <w:rFonts w:hint="default" w:ascii="Times New Roman" w:hAnsi="Times New Roman" w:eastAsia="宋体" w:cs="Times New Roman"/>
                <w:b w:val="0"/>
                <w:bCs w:val="0"/>
                <w:color w:val="auto"/>
                <w:sz w:val="24"/>
                <w:szCs w:val="24"/>
              </w:rPr>
              <w:t>TSP</w:t>
            </w:r>
            <w:r>
              <w:rPr>
                <w:rFonts w:hint="default" w:ascii="Times New Roman" w:hAnsi="Times New Roman" w:eastAsia="宋体" w:cs="Times New Roman"/>
                <w:b w:val="0"/>
                <w:bCs w:val="0"/>
                <w:color w:val="auto"/>
                <w:sz w:val="24"/>
              </w:rPr>
              <w:t>连续</w:t>
            </w:r>
            <w:r>
              <w:rPr>
                <w:rFonts w:hint="default" w:ascii="Times New Roman" w:hAnsi="Times New Roman" w:eastAsia="宋体" w:cs="Times New Roman"/>
                <w:b w:val="0"/>
                <w:bCs w:val="0"/>
                <w:color w:val="auto"/>
                <w:sz w:val="24"/>
                <w:lang w:val="en-US" w:eastAsia="zh-CN"/>
              </w:rPr>
              <w:t>3</w:t>
            </w:r>
            <w:r>
              <w:rPr>
                <w:rFonts w:hint="default" w:ascii="Times New Roman" w:hAnsi="Times New Roman" w:eastAsia="宋体" w:cs="Times New Roman"/>
                <w:b w:val="0"/>
                <w:bCs w:val="0"/>
                <w:color w:val="auto"/>
                <w:sz w:val="24"/>
              </w:rPr>
              <w:t>天采样</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每天1次</w:t>
            </w:r>
            <w:r>
              <w:rPr>
                <w:rFonts w:hint="default" w:ascii="Times New Roman" w:hAnsi="Times New Roman" w:eastAsia="宋体" w:cs="Times New Roman"/>
                <w:b w:val="0"/>
                <w:bCs w:val="0"/>
                <w:color w:val="auto"/>
                <w:sz w:val="24"/>
              </w:rPr>
              <w:t>。监测时请记录采样期间气象参数(</w:t>
            </w:r>
            <w:r>
              <w:rPr>
                <w:rFonts w:hint="default" w:ascii="Times New Roman" w:hAnsi="Times New Roman" w:eastAsia="宋体"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包括气温、气压、风向、风速、天气状况</w:t>
            </w:r>
            <w:r>
              <w:rPr>
                <w:rFonts w:hint="default" w:ascii="Times New Roman" w:hAnsi="Times New Roman" w:eastAsia="宋体"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w:t>
            </w:r>
          </w:p>
          <w:p w14:paraId="4FC49A57">
            <w:pPr>
              <w:widowControl w:val="0"/>
              <w:numPr>
                <w:ilvl w:val="0"/>
                <w:numId w:val="0"/>
              </w:numPr>
              <w:spacing w:line="360" w:lineRule="auto"/>
              <w:ind w:left="0" w:leftChars="0" w:firstLine="480" w:firstLineChars="200"/>
              <w:jc w:val="left"/>
              <w:rPr>
                <w:rFonts w:hint="default" w:ascii="Times New Roman" w:hAnsi="Times New Roman" w:eastAsia="宋体" w:cs="Times New Roman"/>
                <w:b w:val="0"/>
                <w:bCs w:val="0"/>
                <w:color w:val="auto"/>
                <w:kern w:val="28"/>
                <w:sz w:val="24"/>
                <w:szCs w:val="24"/>
                <w:vertAlign w:val="baseline"/>
                <w:lang w:val="en-US" w:eastAsia="zh-CN" w:bidi="ar-SA"/>
              </w:rPr>
            </w:pPr>
            <w:r>
              <w:rPr>
                <w:rFonts w:hint="default" w:ascii="Times New Roman" w:hAnsi="Times New Roman" w:eastAsia="宋体" w:cs="Times New Roman"/>
                <w:b w:val="0"/>
                <w:bCs w:val="0"/>
                <w:color w:val="auto"/>
                <w:kern w:val="28"/>
                <w:sz w:val="24"/>
                <w:szCs w:val="24"/>
                <w:lang w:val="en-US" w:eastAsia="zh-CN" w:bidi="ar-SA"/>
              </w:rPr>
              <w:t>（5）评价标准：TSP执行</w:t>
            </w:r>
            <w:r>
              <w:rPr>
                <w:rFonts w:hint="default" w:ascii="Times New Roman" w:hAnsi="Times New Roman" w:eastAsia="宋体" w:cs="Times New Roman"/>
                <w:b w:val="0"/>
                <w:bCs w:val="0"/>
                <w:color w:val="auto"/>
                <w:sz w:val="24"/>
                <w:szCs w:val="24"/>
                <w:lang w:val="en-US" w:eastAsia="zh-CN"/>
              </w:rPr>
              <w:t>《环境空气质量标准》（GB309</w:t>
            </w:r>
            <w:r>
              <w:rPr>
                <w:rFonts w:hint="default" w:ascii="Times New Roman" w:hAnsi="Times New Roman" w:cs="Times New Roman"/>
                <w:b w:val="0"/>
                <w:bCs w:val="0"/>
                <w:color w:val="auto"/>
                <w:sz w:val="24"/>
                <w:szCs w:val="24"/>
                <w:lang w:val="en-US" w:eastAsia="zh-CN"/>
              </w:rPr>
              <w:t>5-2012）二级标准限值：总悬浮颗粒物 24小时平均</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300</w:t>
            </w:r>
            <w:r>
              <w:rPr>
                <w:rFonts w:hint="default" w:ascii="Times New Roman" w:hAnsi="Times New Roman" w:eastAsia="宋体" w:cs="Times New Roman"/>
                <w:b w:val="0"/>
                <w:bCs w:val="0"/>
                <w:i w:val="0"/>
                <w:iCs w:val="0"/>
                <w:caps w:val="0"/>
                <w:color w:val="auto"/>
                <w:spacing w:val="0"/>
                <w:sz w:val="24"/>
                <w:szCs w:val="24"/>
                <w:shd w:val="clear" w:color="auto" w:fill="FFFFFF"/>
              </w:rPr>
              <w:t>μg</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w:t>
            </w:r>
            <w:r>
              <w:rPr>
                <w:rFonts w:hint="default" w:ascii="Times New Roman" w:hAnsi="Times New Roman" w:eastAsia="宋体" w:cs="Times New Roman"/>
                <w:b w:val="0"/>
                <w:bCs w:val="0"/>
                <w:color w:val="auto"/>
                <w:spacing w:val="-4"/>
                <w:kern w:val="2"/>
                <w:sz w:val="24"/>
                <w:szCs w:val="24"/>
                <w:vertAlign w:val="baseline"/>
                <w:lang w:val="en-US" w:eastAsia="zh-CN" w:bidi="ar-SA"/>
              </w:rPr>
              <w:t>m</w:t>
            </w:r>
            <w:r>
              <w:rPr>
                <w:rFonts w:hint="default" w:ascii="Times New Roman" w:hAnsi="Times New Roman" w:eastAsia="宋体" w:cs="Times New Roman"/>
                <w:b w:val="0"/>
                <w:bCs w:val="0"/>
                <w:color w:val="auto"/>
                <w:spacing w:val="-4"/>
                <w:kern w:val="2"/>
                <w:sz w:val="24"/>
                <w:szCs w:val="24"/>
                <w:vertAlign w:val="superscript"/>
                <w:lang w:val="en-US" w:eastAsia="zh-CN" w:bidi="ar-SA"/>
              </w:rPr>
              <w:t>3</w:t>
            </w:r>
            <w:r>
              <w:rPr>
                <w:rFonts w:hint="eastAsia" w:ascii="宋体" w:hAnsi="宋体" w:eastAsia="宋体" w:cs="宋体"/>
                <w:b w:val="0"/>
                <w:bCs w:val="0"/>
                <w:color w:val="auto"/>
                <w:spacing w:val="-4"/>
                <w:kern w:val="2"/>
                <w:sz w:val="24"/>
                <w:szCs w:val="24"/>
                <w:vertAlign w:val="baseline"/>
                <w:lang w:val="en-US" w:eastAsia="zh-CN" w:bidi="ar-SA"/>
              </w:rPr>
              <w:t>。</w:t>
            </w:r>
          </w:p>
          <w:p w14:paraId="07FCCC45">
            <w:pPr>
              <w:pStyle w:val="7"/>
              <w:numPr>
                <w:ilvl w:val="0"/>
                <w:numId w:val="0"/>
              </w:numPr>
              <w:spacing w:line="360" w:lineRule="auto"/>
              <w:ind w:firstLine="480" w:firstLineChars="200"/>
              <w:rPr>
                <w:rFonts w:hint="eastAsia" w:ascii="Times New Roman" w:hAnsi="Times New Roman" w:eastAsia="宋体" w:cs="Times New Roman"/>
                <w:b w:val="0"/>
                <w:bCs w:val="0"/>
                <w:color w:val="auto"/>
                <w:kern w:val="28"/>
                <w:sz w:val="24"/>
                <w:szCs w:val="24"/>
                <w:lang w:val="en-US" w:eastAsia="zh-CN" w:bidi="ar-SA"/>
              </w:rPr>
            </w:pPr>
            <w:r>
              <w:rPr>
                <w:rFonts w:hint="eastAsia" w:ascii="Times New Roman" w:hAnsi="Times New Roman" w:eastAsia="宋体" w:cs="Times New Roman"/>
                <w:b w:val="0"/>
                <w:bCs w:val="0"/>
                <w:color w:val="auto"/>
                <w:kern w:val="28"/>
                <w:sz w:val="24"/>
                <w:szCs w:val="24"/>
                <w:lang w:val="en-US" w:eastAsia="zh-CN" w:bidi="ar-SA"/>
              </w:rPr>
              <w:t>（6）监测结果及评价</w:t>
            </w:r>
          </w:p>
          <w:p w14:paraId="4A85B799">
            <w:pPr>
              <w:pStyle w:val="7"/>
              <w:numPr>
                <w:ilvl w:val="0"/>
                <w:numId w:val="0"/>
              </w:numPr>
              <w:spacing w:line="360" w:lineRule="auto"/>
              <w:ind w:firstLine="480" w:firstLineChars="200"/>
              <w:rPr>
                <w:rFonts w:hint="eastAsia" w:ascii="Times New Roman" w:hAnsi="Times New Roman" w:eastAsia="宋体" w:cs="Times New Roman"/>
                <w:bCs/>
                <w:color w:val="auto"/>
                <w:kern w:val="28"/>
                <w:sz w:val="24"/>
                <w:szCs w:val="24"/>
                <w:lang w:val="en-US" w:eastAsia="zh-CN" w:bidi="ar-SA"/>
              </w:rPr>
            </w:pPr>
            <w:r>
              <w:rPr>
                <w:rFonts w:hint="eastAsia" w:ascii="Times New Roman" w:hAnsi="Times New Roman" w:eastAsia="宋体" w:cs="Times New Roman"/>
                <w:bCs/>
                <w:color w:val="auto"/>
                <w:kern w:val="28"/>
                <w:sz w:val="24"/>
                <w:szCs w:val="24"/>
                <w:lang w:val="en-US" w:eastAsia="zh-CN" w:bidi="ar-SA"/>
              </w:rPr>
              <w:t>监测结果见表3-4。</w:t>
            </w:r>
          </w:p>
          <w:p w14:paraId="0EE37315">
            <w:pPr>
              <w:pStyle w:val="16"/>
              <w:numPr>
                <w:ilvl w:val="0"/>
                <w:numId w:val="0"/>
              </w:numPr>
              <w:spacing w:line="360" w:lineRule="auto"/>
              <w:ind w:leftChars="0"/>
              <w:jc w:val="center"/>
              <w:rPr>
                <w:rFonts w:hint="default" w:ascii="Times New Roman" w:hAnsi="Times New Roman" w:eastAsia="宋体" w:cs="Times New Roman"/>
                <w:b/>
                <w:bCs/>
                <w:color w:val="auto"/>
                <w:kern w:val="2"/>
                <w:sz w:val="24"/>
                <w:szCs w:val="24"/>
                <w:vertAlign w:val="superscript"/>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3-4</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 xml:space="preserve"> 其他污染物现状监测</w:t>
            </w:r>
            <w:r>
              <w:rPr>
                <w:rFonts w:hint="default" w:ascii="Times New Roman" w:hAnsi="Times New Roman" w:eastAsia="宋体" w:cs="Times New Roman"/>
                <w:b/>
                <w:bCs/>
                <w:color w:val="auto"/>
                <w:kern w:val="2"/>
                <w:sz w:val="24"/>
                <w:szCs w:val="24"/>
                <w:lang w:val="en-US" w:eastAsia="zh-CN" w:bidi="ar-SA"/>
              </w:rPr>
              <w:t>结果一览表   单位：µg/m</w:t>
            </w:r>
            <w:r>
              <w:rPr>
                <w:rFonts w:hint="default" w:ascii="Times New Roman" w:hAnsi="Times New Roman" w:eastAsia="宋体" w:cs="Times New Roman"/>
                <w:b/>
                <w:bCs/>
                <w:color w:val="auto"/>
                <w:kern w:val="2"/>
                <w:sz w:val="24"/>
                <w:szCs w:val="24"/>
                <w:vertAlign w:val="superscript"/>
                <w:lang w:val="en-US" w:eastAsia="zh-CN" w:bidi="ar-SA"/>
              </w:rPr>
              <w:t>3</w:t>
            </w:r>
          </w:p>
          <w:tbl>
            <w:tblPr>
              <w:tblStyle w:val="33"/>
              <w:tblW w:w="8109"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732"/>
              <w:gridCol w:w="1365"/>
              <w:gridCol w:w="1157"/>
              <w:gridCol w:w="1965"/>
              <w:gridCol w:w="945"/>
              <w:gridCol w:w="672"/>
              <w:gridCol w:w="633"/>
            </w:tblGrid>
            <w:tr w14:paraId="097335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97" w:hRule="atLeast"/>
                <w:jc w:val="center"/>
              </w:trPr>
              <w:tc>
                <w:tcPr>
                  <w:tcW w:w="394" w:type="pct"/>
                  <w:noWrap w:val="0"/>
                  <w:vAlign w:val="center"/>
                </w:tcPr>
                <w:p w14:paraId="40ABC2FB">
                  <w:pPr>
                    <w:tabs>
                      <w:tab w:val="right" w:pos="8906"/>
                    </w:tabs>
                    <w:spacing w:line="240" w:lineRule="auto"/>
                    <w:ind w:lef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val="en-US" w:eastAsia="zh-CN"/>
                    </w:rPr>
                    <w:t>监测</w:t>
                  </w:r>
                  <w:r>
                    <w:rPr>
                      <w:rFonts w:hint="default" w:ascii="Times New Roman" w:hAnsi="Times New Roman" w:cs="Times New Roman"/>
                      <w:b/>
                      <w:color w:val="auto"/>
                      <w:sz w:val="21"/>
                      <w:szCs w:val="21"/>
                    </w:rPr>
                    <w:t>点位</w:t>
                  </w:r>
                </w:p>
              </w:tc>
              <w:tc>
                <w:tcPr>
                  <w:tcW w:w="451" w:type="pct"/>
                  <w:noWrap w:val="0"/>
                  <w:vAlign w:val="center"/>
                </w:tcPr>
                <w:p w14:paraId="74DEC917">
                  <w:pPr>
                    <w:tabs>
                      <w:tab w:val="right" w:pos="8906"/>
                    </w:tabs>
                    <w:spacing w:line="240" w:lineRule="auto"/>
                    <w:ind w:left="0"/>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污染物</w:t>
                  </w:r>
                </w:p>
              </w:tc>
              <w:tc>
                <w:tcPr>
                  <w:tcW w:w="841" w:type="pct"/>
                  <w:noWrap w:val="0"/>
                  <w:vAlign w:val="center"/>
                </w:tcPr>
                <w:p w14:paraId="1FAB6E4A">
                  <w:pPr>
                    <w:tabs>
                      <w:tab w:val="right" w:pos="8906"/>
                    </w:tabs>
                    <w:spacing w:line="240" w:lineRule="auto"/>
                    <w:ind w:left="0" w:leftChars="0"/>
                    <w:jc w:val="center"/>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采样</w:t>
                  </w:r>
                  <w:r>
                    <w:rPr>
                      <w:rFonts w:hint="default" w:ascii="Times New Roman" w:hAnsi="Times New Roman" w:cs="Times New Roman"/>
                      <w:b/>
                      <w:color w:val="auto"/>
                      <w:sz w:val="21"/>
                      <w:szCs w:val="21"/>
                    </w:rPr>
                    <w:t>日期</w:t>
                  </w:r>
                </w:p>
              </w:tc>
              <w:tc>
                <w:tcPr>
                  <w:tcW w:w="713" w:type="pct"/>
                  <w:noWrap w:val="0"/>
                  <w:vAlign w:val="center"/>
                </w:tcPr>
                <w:p w14:paraId="46D60289">
                  <w:pPr>
                    <w:tabs>
                      <w:tab w:val="right" w:pos="8906"/>
                    </w:tabs>
                    <w:spacing w:line="240" w:lineRule="auto"/>
                    <w:ind w:left="0"/>
                    <w:jc w:val="center"/>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时间</w:t>
                  </w:r>
                </w:p>
              </w:tc>
              <w:tc>
                <w:tcPr>
                  <w:tcW w:w="1211" w:type="pct"/>
                  <w:noWrap w:val="0"/>
                  <w:vAlign w:val="center"/>
                </w:tcPr>
                <w:p w14:paraId="78434529">
                  <w:pPr>
                    <w:tabs>
                      <w:tab w:val="right" w:pos="8906"/>
                    </w:tabs>
                    <w:spacing w:line="240" w:lineRule="auto"/>
                    <w:ind w:lef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样品编号</w:t>
                  </w:r>
                </w:p>
              </w:tc>
              <w:tc>
                <w:tcPr>
                  <w:tcW w:w="582" w:type="pct"/>
                  <w:noWrap w:val="0"/>
                  <w:vAlign w:val="center"/>
                </w:tcPr>
                <w:p w14:paraId="0A794455">
                  <w:pPr>
                    <w:tabs>
                      <w:tab w:val="right" w:pos="8906"/>
                    </w:tabs>
                    <w:spacing w:line="240" w:lineRule="auto"/>
                    <w:ind w:lef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监测浓度</w:t>
                  </w:r>
                </w:p>
              </w:tc>
              <w:tc>
                <w:tcPr>
                  <w:tcW w:w="414" w:type="pct"/>
                  <w:noWrap w:val="0"/>
                  <w:vAlign w:val="center"/>
                </w:tcPr>
                <w:p w14:paraId="06A9E5EE">
                  <w:pPr>
                    <w:tabs>
                      <w:tab w:val="right" w:pos="8906"/>
                    </w:tabs>
                    <w:spacing w:line="240" w:lineRule="auto"/>
                    <w:ind w:lef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评价标准</w:t>
                  </w:r>
                </w:p>
              </w:tc>
              <w:tc>
                <w:tcPr>
                  <w:tcW w:w="390" w:type="pct"/>
                  <w:noWrap w:val="0"/>
                  <w:vAlign w:val="center"/>
                </w:tcPr>
                <w:p w14:paraId="4C5505F6">
                  <w:pPr>
                    <w:tabs>
                      <w:tab w:val="right" w:pos="8906"/>
                    </w:tabs>
                    <w:spacing w:line="240" w:lineRule="auto"/>
                    <w:ind w:lef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达标情况</w:t>
                  </w:r>
                </w:p>
              </w:tc>
            </w:tr>
            <w:tr w14:paraId="673CD8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vMerge w:val="restart"/>
                  <w:noWrap w:val="0"/>
                  <w:vAlign w:val="center"/>
                </w:tcPr>
                <w:p w14:paraId="3B607126">
                  <w:pPr>
                    <w:pStyle w:val="29"/>
                    <w:keepNext w:val="0"/>
                    <w:keepLines w:val="0"/>
                    <w:widowControl/>
                    <w:suppressLineNumbers w:val="0"/>
                    <w:spacing w:line="240" w:lineRule="auto"/>
                    <w:ind w:left="0" w:firstLine="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项目区下风向</w:t>
                  </w:r>
                </w:p>
              </w:tc>
              <w:tc>
                <w:tcPr>
                  <w:tcW w:w="451" w:type="pct"/>
                  <w:vMerge w:val="restart"/>
                  <w:noWrap w:val="0"/>
                  <w:vAlign w:val="center"/>
                </w:tcPr>
                <w:p w14:paraId="5702DD7D">
                  <w:pPr>
                    <w:autoSpaceDN w:val="0"/>
                    <w:spacing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TSP</w:t>
                  </w:r>
                </w:p>
              </w:tc>
              <w:tc>
                <w:tcPr>
                  <w:tcW w:w="1555" w:type="pct"/>
                  <w:gridSpan w:val="2"/>
                  <w:noWrap w:val="0"/>
                  <w:vAlign w:val="center"/>
                </w:tcPr>
                <w:p w14:paraId="61F5C801">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2023.03.0</w:t>
                  </w: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(10:</w:t>
                  </w:r>
                  <w:r>
                    <w:rPr>
                      <w:rFonts w:hint="eastAsia" w:ascii="Times New Roman" w:hAnsi="Times New Roman" w:eastAsia="宋体" w:cs="Times New Roman"/>
                      <w:color w:val="auto"/>
                      <w:kern w:val="0"/>
                      <w:sz w:val="21"/>
                      <w:szCs w:val="21"/>
                      <w:lang w:val="en-US" w:eastAsia="zh-CN" w:bidi="ar-SA"/>
                    </w:rPr>
                    <w:t>00</w:t>
                  </w:r>
                  <w:r>
                    <w:rPr>
                      <w:rFonts w:hint="default" w:ascii="Times New Roman" w:hAnsi="Times New Roman" w:eastAsia="宋体" w:cs="Times New Roman"/>
                      <w:color w:val="auto"/>
                      <w:kern w:val="0"/>
                      <w:sz w:val="21"/>
                      <w:szCs w:val="21"/>
                      <w:lang w:val="en-US" w:eastAsia="zh-CN" w:bidi="ar-SA"/>
                    </w:rPr>
                    <w:t>)~2023.03.0</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(10:</w:t>
                  </w:r>
                  <w:r>
                    <w:rPr>
                      <w:rFonts w:hint="eastAsia" w:ascii="Times New Roman" w:hAnsi="Times New Roman" w:eastAsia="宋体" w:cs="Times New Roman"/>
                      <w:color w:val="auto"/>
                      <w:kern w:val="0"/>
                      <w:sz w:val="21"/>
                      <w:szCs w:val="21"/>
                      <w:lang w:val="en-US" w:eastAsia="zh-CN" w:bidi="ar-SA"/>
                    </w:rPr>
                    <w:t>00</w:t>
                  </w:r>
                  <w:r>
                    <w:rPr>
                      <w:rFonts w:hint="default" w:ascii="Times New Roman" w:hAnsi="Times New Roman" w:eastAsia="宋体" w:cs="Times New Roman"/>
                      <w:color w:val="auto"/>
                      <w:kern w:val="0"/>
                      <w:sz w:val="21"/>
                      <w:szCs w:val="21"/>
                      <w:lang w:val="en-US" w:eastAsia="zh-CN" w:bidi="ar-SA"/>
                    </w:rPr>
                    <w:t>)</w:t>
                  </w:r>
                </w:p>
              </w:tc>
              <w:tc>
                <w:tcPr>
                  <w:tcW w:w="1211" w:type="pct"/>
                  <w:noWrap w:val="0"/>
                  <w:vAlign w:val="center"/>
                </w:tcPr>
                <w:p w14:paraId="6E2991C2">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23030</w:t>
                  </w:r>
                  <w:r>
                    <w:rPr>
                      <w:rFonts w:hint="eastAsia" w:ascii="Times New Roman" w:hAnsi="Times New Roman" w:eastAsia="宋体" w:cs="Times New Roman"/>
                      <w:color w:val="auto"/>
                      <w:kern w:val="0"/>
                      <w:sz w:val="21"/>
                      <w:szCs w:val="21"/>
                      <w:lang w:val="en-US" w:eastAsia="zh-CN" w:bidi="ar-SA"/>
                    </w:rPr>
                    <w:t>32</w:t>
                  </w:r>
                  <w:r>
                    <w:rPr>
                      <w:rFonts w:hint="default" w:ascii="Times New Roman" w:hAnsi="Times New Roman" w:eastAsia="宋体" w:cs="Times New Roman"/>
                      <w:color w:val="auto"/>
                      <w:kern w:val="0"/>
                      <w:sz w:val="21"/>
                      <w:szCs w:val="21"/>
                      <w:lang w:val="en-US" w:eastAsia="zh-CN" w:bidi="ar-SA"/>
                    </w:rPr>
                    <w:t>HQ01-1A</w:t>
                  </w:r>
                </w:p>
              </w:tc>
              <w:tc>
                <w:tcPr>
                  <w:tcW w:w="582" w:type="pct"/>
                  <w:noWrap w:val="0"/>
                  <w:vAlign w:val="center"/>
                </w:tcPr>
                <w:p w14:paraId="78E225CC">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38</w:t>
                  </w:r>
                </w:p>
              </w:tc>
              <w:tc>
                <w:tcPr>
                  <w:tcW w:w="414" w:type="pct"/>
                  <w:vMerge w:val="restart"/>
                  <w:noWrap w:val="0"/>
                  <w:vAlign w:val="center"/>
                </w:tcPr>
                <w:p w14:paraId="02DC9AA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300</w:t>
                  </w:r>
                </w:p>
              </w:tc>
              <w:tc>
                <w:tcPr>
                  <w:tcW w:w="390" w:type="pct"/>
                  <w:noWrap w:val="0"/>
                  <w:vAlign w:val="center"/>
                </w:tcPr>
                <w:p w14:paraId="42C1871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达标</w:t>
                  </w:r>
                </w:p>
              </w:tc>
            </w:tr>
            <w:tr w14:paraId="1054BD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vMerge w:val="continue"/>
                  <w:noWrap w:val="0"/>
                  <w:vAlign w:val="center"/>
                </w:tcPr>
                <w:p w14:paraId="07927A57">
                  <w:pPr>
                    <w:tabs>
                      <w:tab w:val="right" w:pos="8906"/>
                    </w:tabs>
                    <w:spacing w:line="240" w:lineRule="auto"/>
                    <w:ind w:left="0"/>
                    <w:jc w:val="center"/>
                    <w:rPr>
                      <w:rFonts w:hint="default" w:ascii="Times New Roman" w:hAnsi="Times New Roman" w:cs="Times New Roman"/>
                      <w:b w:val="0"/>
                      <w:bCs w:val="0"/>
                      <w:color w:val="auto"/>
                      <w:sz w:val="21"/>
                      <w:szCs w:val="21"/>
                    </w:rPr>
                  </w:pPr>
                </w:p>
              </w:tc>
              <w:tc>
                <w:tcPr>
                  <w:tcW w:w="451" w:type="pct"/>
                  <w:vMerge w:val="continue"/>
                  <w:noWrap w:val="0"/>
                  <w:vAlign w:val="center"/>
                </w:tcPr>
                <w:p w14:paraId="601FB598">
                  <w:pPr>
                    <w:tabs>
                      <w:tab w:val="right" w:pos="8906"/>
                    </w:tabs>
                    <w:spacing w:line="240" w:lineRule="auto"/>
                    <w:ind w:left="0" w:leftChars="0"/>
                    <w:jc w:val="center"/>
                    <w:rPr>
                      <w:rFonts w:hint="default" w:ascii="Times New Roman" w:hAnsi="Times New Roman" w:eastAsia="宋体" w:cs="Times New Roman"/>
                      <w:b w:val="0"/>
                      <w:bCs w:val="0"/>
                      <w:color w:val="auto"/>
                      <w:sz w:val="21"/>
                      <w:szCs w:val="21"/>
                      <w:lang w:val="en-US" w:eastAsia="zh-CN"/>
                    </w:rPr>
                  </w:pPr>
                </w:p>
              </w:tc>
              <w:tc>
                <w:tcPr>
                  <w:tcW w:w="1555" w:type="pct"/>
                  <w:gridSpan w:val="2"/>
                  <w:noWrap w:val="0"/>
                  <w:vAlign w:val="center"/>
                </w:tcPr>
                <w:p w14:paraId="17892DB9">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2023.03.0</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(10:</w:t>
                  </w: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0)~2023.03.0</w:t>
                  </w: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(10:</w:t>
                  </w: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0)</w:t>
                  </w:r>
                </w:p>
              </w:tc>
              <w:tc>
                <w:tcPr>
                  <w:tcW w:w="1211" w:type="pct"/>
                  <w:noWrap w:val="0"/>
                  <w:vAlign w:val="center"/>
                </w:tcPr>
                <w:p w14:paraId="2BEDF979">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23030</w:t>
                  </w:r>
                  <w:r>
                    <w:rPr>
                      <w:rFonts w:hint="eastAsia" w:ascii="Times New Roman" w:hAnsi="Times New Roman" w:eastAsia="宋体" w:cs="Times New Roman"/>
                      <w:color w:val="auto"/>
                      <w:kern w:val="0"/>
                      <w:sz w:val="21"/>
                      <w:szCs w:val="21"/>
                      <w:lang w:val="en-US" w:eastAsia="zh-CN" w:bidi="ar-SA"/>
                    </w:rPr>
                    <w:t>32</w:t>
                  </w:r>
                  <w:r>
                    <w:rPr>
                      <w:rFonts w:hint="default" w:ascii="Times New Roman" w:hAnsi="Times New Roman" w:eastAsia="宋体" w:cs="Times New Roman"/>
                      <w:color w:val="auto"/>
                      <w:kern w:val="0"/>
                      <w:sz w:val="21"/>
                      <w:szCs w:val="21"/>
                      <w:lang w:val="en-US" w:eastAsia="zh-CN" w:bidi="ar-SA"/>
                    </w:rPr>
                    <w:t>HQ01-2A</w:t>
                  </w:r>
                </w:p>
              </w:tc>
              <w:tc>
                <w:tcPr>
                  <w:tcW w:w="582" w:type="pct"/>
                  <w:noWrap w:val="0"/>
                  <w:vAlign w:val="center"/>
                </w:tcPr>
                <w:p w14:paraId="495D51FE">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36</w:t>
                  </w:r>
                </w:p>
              </w:tc>
              <w:tc>
                <w:tcPr>
                  <w:tcW w:w="414" w:type="pct"/>
                  <w:vMerge w:val="continue"/>
                  <w:noWrap w:val="0"/>
                  <w:vAlign w:val="center"/>
                </w:tcPr>
                <w:p w14:paraId="79180D3C">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sz w:val="21"/>
                      <w:szCs w:val="21"/>
                      <w:lang w:val="en-US" w:eastAsia="zh-CN"/>
                    </w:rPr>
                  </w:pPr>
                </w:p>
              </w:tc>
              <w:tc>
                <w:tcPr>
                  <w:tcW w:w="390" w:type="pct"/>
                  <w:noWrap w:val="0"/>
                  <w:vAlign w:val="center"/>
                </w:tcPr>
                <w:p w14:paraId="69FA2985">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达标</w:t>
                  </w:r>
                </w:p>
              </w:tc>
            </w:tr>
            <w:tr w14:paraId="451B8E6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4" w:type="pct"/>
                  <w:vMerge w:val="continue"/>
                  <w:noWrap w:val="0"/>
                  <w:vAlign w:val="center"/>
                </w:tcPr>
                <w:p w14:paraId="69111900">
                  <w:pPr>
                    <w:tabs>
                      <w:tab w:val="right" w:pos="8906"/>
                    </w:tabs>
                    <w:spacing w:line="240" w:lineRule="auto"/>
                    <w:ind w:left="0"/>
                    <w:jc w:val="center"/>
                    <w:rPr>
                      <w:rFonts w:hint="default" w:ascii="Times New Roman" w:hAnsi="Times New Roman" w:cs="Times New Roman"/>
                      <w:b w:val="0"/>
                      <w:bCs w:val="0"/>
                      <w:color w:val="auto"/>
                      <w:sz w:val="21"/>
                      <w:szCs w:val="21"/>
                    </w:rPr>
                  </w:pPr>
                </w:p>
              </w:tc>
              <w:tc>
                <w:tcPr>
                  <w:tcW w:w="451" w:type="pct"/>
                  <w:vMerge w:val="continue"/>
                  <w:noWrap w:val="0"/>
                  <w:vAlign w:val="center"/>
                </w:tcPr>
                <w:p w14:paraId="3E10BF7C">
                  <w:pPr>
                    <w:autoSpaceDN w:val="0"/>
                    <w:spacing w:line="240" w:lineRule="auto"/>
                    <w:ind w:left="0" w:leftChars="0"/>
                    <w:jc w:val="center"/>
                    <w:textAlignment w:val="center"/>
                    <w:rPr>
                      <w:rFonts w:hint="default" w:ascii="Times New Roman" w:hAnsi="Times New Roman" w:eastAsia="宋体" w:cs="Times New Roman"/>
                      <w:b w:val="0"/>
                      <w:bCs w:val="0"/>
                      <w:color w:val="auto"/>
                      <w:sz w:val="21"/>
                      <w:szCs w:val="21"/>
                      <w:lang w:val="en-US" w:eastAsia="zh-CN"/>
                    </w:rPr>
                  </w:pPr>
                </w:p>
              </w:tc>
              <w:tc>
                <w:tcPr>
                  <w:tcW w:w="1555" w:type="pct"/>
                  <w:gridSpan w:val="2"/>
                  <w:noWrap w:val="0"/>
                  <w:vAlign w:val="center"/>
                </w:tcPr>
                <w:p w14:paraId="495C92A4">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2023.03.0</w:t>
                  </w: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w:t>
                  </w:r>
                  <w:r>
                    <w:rPr>
                      <w:rFonts w:hint="default" w:ascii="Times New Roman" w:hAnsi="Times New Roman" w:eastAsia="宋体" w:cs="Times New Roman"/>
                      <w:color w:val="auto"/>
                      <w:kern w:val="0"/>
                      <w:sz w:val="21"/>
                      <w:szCs w:val="21"/>
                      <w:lang w:val="en-US" w:eastAsia="zh-CN" w:bidi="ar-SA"/>
                    </w:rPr>
                    <w:t>)~2023.03.0</w:t>
                  </w:r>
                  <w:r>
                    <w:rPr>
                      <w:rFonts w:hint="eastAsia" w:ascii="Times New Roman" w:hAnsi="Times New Roman" w:eastAsia="宋体"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00</w:t>
                  </w:r>
                  <w:r>
                    <w:rPr>
                      <w:rFonts w:hint="default" w:ascii="Times New Roman" w:hAnsi="Times New Roman" w:eastAsia="宋体" w:cs="Times New Roman"/>
                      <w:color w:val="auto"/>
                      <w:kern w:val="0"/>
                      <w:sz w:val="21"/>
                      <w:szCs w:val="21"/>
                      <w:lang w:val="en-US" w:eastAsia="zh-CN" w:bidi="ar-SA"/>
                    </w:rPr>
                    <w:t>)</w:t>
                  </w:r>
                </w:p>
              </w:tc>
              <w:tc>
                <w:tcPr>
                  <w:tcW w:w="1211" w:type="pct"/>
                  <w:noWrap w:val="0"/>
                  <w:vAlign w:val="center"/>
                </w:tcPr>
                <w:p w14:paraId="5F784B65">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23030</w:t>
                  </w:r>
                  <w:r>
                    <w:rPr>
                      <w:rFonts w:hint="eastAsia" w:ascii="Times New Roman" w:hAnsi="Times New Roman" w:eastAsia="宋体" w:cs="Times New Roman"/>
                      <w:color w:val="auto"/>
                      <w:kern w:val="0"/>
                      <w:sz w:val="21"/>
                      <w:szCs w:val="21"/>
                      <w:lang w:val="en-US" w:eastAsia="zh-CN" w:bidi="ar-SA"/>
                    </w:rPr>
                    <w:t>32</w:t>
                  </w:r>
                  <w:r>
                    <w:rPr>
                      <w:rFonts w:hint="default" w:ascii="Times New Roman" w:hAnsi="Times New Roman" w:eastAsia="宋体" w:cs="Times New Roman"/>
                      <w:color w:val="auto"/>
                      <w:kern w:val="0"/>
                      <w:sz w:val="21"/>
                      <w:szCs w:val="21"/>
                      <w:lang w:val="en-US" w:eastAsia="zh-CN" w:bidi="ar-SA"/>
                    </w:rPr>
                    <w:t>HQ01-3A</w:t>
                  </w:r>
                </w:p>
              </w:tc>
              <w:tc>
                <w:tcPr>
                  <w:tcW w:w="582" w:type="pct"/>
                  <w:noWrap w:val="0"/>
                  <w:vAlign w:val="center"/>
                </w:tcPr>
                <w:p w14:paraId="21F1E6EF">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c>
                <w:tcPr>
                  <w:tcW w:w="414" w:type="pct"/>
                  <w:vMerge w:val="continue"/>
                  <w:noWrap w:val="0"/>
                  <w:vAlign w:val="center"/>
                </w:tcPr>
                <w:p w14:paraId="45291025">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sz w:val="21"/>
                      <w:szCs w:val="21"/>
                      <w:lang w:val="en-US" w:eastAsia="zh-CN"/>
                    </w:rPr>
                  </w:pPr>
                </w:p>
              </w:tc>
              <w:tc>
                <w:tcPr>
                  <w:tcW w:w="390" w:type="pct"/>
                  <w:noWrap w:val="0"/>
                  <w:vAlign w:val="center"/>
                </w:tcPr>
                <w:p w14:paraId="46627700">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达标</w:t>
                  </w:r>
                </w:p>
              </w:tc>
            </w:tr>
          </w:tbl>
          <w:p w14:paraId="7257AD99">
            <w:pPr>
              <w:pStyle w:val="7"/>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Cs/>
                <w:color w:val="auto"/>
                <w:kern w:val="28"/>
                <w:sz w:val="24"/>
                <w:szCs w:val="24"/>
                <w:lang w:val="en-US" w:eastAsia="zh-CN" w:bidi="ar-SA"/>
              </w:rPr>
            </w:pPr>
            <w:r>
              <w:rPr>
                <w:rFonts w:hint="eastAsia" w:ascii="Times New Roman" w:hAnsi="Times New Roman" w:eastAsia="宋体" w:cs="Times New Roman"/>
                <w:bCs/>
                <w:color w:val="auto"/>
                <w:kern w:val="28"/>
                <w:sz w:val="24"/>
                <w:szCs w:val="24"/>
                <w:lang w:val="en-US" w:eastAsia="zh-CN" w:bidi="ar-SA"/>
              </w:rPr>
              <w:t>根据监测结果可知，项目所在区域监测点位TSP能够达到</w:t>
            </w:r>
            <w:r>
              <w:rPr>
                <w:rFonts w:hint="eastAsia"/>
                <w:color w:val="auto"/>
                <w:sz w:val="24"/>
                <w:szCs w:val="24"/>
                <w:lang w:val="en-US" w:eastAsia="zh-CN"/>
              </w:rPr>
              <w:t>《环境空气质量标准》（GB3095-2012）二级标准限值。</w:t>
            </w:r>
          </w:p>
          <w:p w14:paraId="258E238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rPr>
            </w:pPr>
            <w:r>
              <w:rPr>
                <w:rFonts w:hint="eastAsia" w:ascii="Times New Roman" w:hAnsi="Times New Roman" w:eastAsia="宋体" w:cs="Times New Roman"/>
                <w:b/>
                <w:bCs/>
                <w:color w:val="auto"/>
                <w:sz w:val="24"/>
                <w:szCs w:val="24"/>
                <w:lang w:val="en-US" w:eastAsia="zh-CN"/>
              </w:rPr>
              <w:t>二</w:t>
            </w:r>
            <w:r>
              <w:rPr>
                <w:rFonts w:hint="eastAsia" w:ascii="宋体" w:hAnsi="宋体" w:eastAsia="宋体" w:cs="宋体"/>
                <w:b/>
                <w:bCs/>
                <w:color w:val="auto"/>
                <w:sz w:val="24"/>
                <w:szCs w:val="24"/>
              </w:rPr>
              <w:t>、水环境质量现状</w:t>
            </w:r>
          </w:p>
          <w:p w14:paraId="4706BE2F">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地表水环境质量现状</w:t>
            </w:r>
          </w:p>
          <w:p w14:paraId="38297398">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项目西侧2000m处为</w:t>
            </w:r>
            <w:r>
              <w:rPr>
                <w:rFonts w:hint="default" w:ascii="Times New Roman" w:hAnsi="Times New Roman" w:eastAsia="宋体" w:cs="Times New Roman"/>
                <w:color w:val="auto"/>
                <w:sz w:val="24"/>
                <w:szCs w:val="24"/>
                <w:lang w:val="en-US" w:eastAsia="zh-CN"/>
              </w:rPr>
              <w:t>曼辛河</w:t>
            </w:r>
            <w:r>
              <w:rPr>
                <w:rFonts w:hint="eastAsia" w:ascii="Times New Roman" w:hAnsi="Times New Roman" w:eastAsia="宋体" w:cs="Times New Roman"/>
                <w:color w:val="auto"/>
                <w:sz w:val="24"/>
                <w:szCs w:val="24"/>
                <w:lang w:val="en-US" w:eastAsia="zh-CN"/>
              </w:rPr>
              <w:t>，属于怒江流域，</w:t>
            </w:r>
            <w:r>
              <w:rPr>
                <w:rFonts w:hint="eastAsia" w:ascii="Times New Roman" w:hAnsi="Times New Roman" w:eastAsia="宋体" w:cs="Times New Roman"/>
                <w:color w:val="auto"/>
                <w:sz w:val="24"/>
                <w:szCs w:val="24"/>
                <w:lang w:val="en-GB" w:eastAsia="zh-CN"/>
              </w:rPr>
              <w:t>水功能区划为农业用水、工业用水，</w:t>
            </w:r>
            <w:r>
              <w:rPr>
                <w:rFonts w:hint="default" w:ascii="Times New Roman" w:hAnsi="Times New Roman" w:eastAsia="宋体" w:cs="Times New Roman"/>
                <w:color w:val="auto"/>
                <w:sz w:val="24"/>
                <w:szCs w:val="24"/>
                <w:lang w:val="en-GB" w:eastAsia="zh-CN"/>
              </w:rPr>
              <w:t>根据《德宏州人民政府关于水功能区划复核和调整报告》（德政复</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2014</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257号）区划水质标准，水质类别属于III</w:t>
            </w:r>
            <w:r>
              <w:rPr>
                <w:rFonts w:hint="eastAsia"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val="en-GB" w:eastAsia="zh-CN"/>
              </w:rPr>
              <w:t>水体，执行《地表水环境质量标准》</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GB3838-2002</w:t>
            </w:r>
            <w:r>
              <w:rPr>
                <w:rFonts w:hint="eastAsia"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GB" w:eastAsia="zh-CN"/>
              </w:rPr>
              <w:t>中的Ⅲ类标准。</w:t>
            </w:r>
          </w:p>
          <w:p w14:paraId="238BAE5A">
            <w:pPr>
              <w:pStyle w:val="116"/>
              <w:numPr>
                <w:ilvl w:val="0"/>
                <w:numId w:val="0"/>
              </w:numPr>
              <w:spacing w:line="360" w:lineRule="auto"/>
              <w:ind w:firstLine="480" w:firstLineChars="200"/>
              <w:rPr>
                <w:rFonts w:hint="default" w:ascii="Times New Roman" w:hAnsi="Times New Roman" w:eastAsia="宋体" w:cs="Times New Roman"/>
                <w:bCs/>
                <w:color w:val="auto"/>
                <w:kern w:val="28"/>
                <w:sz w:val="24"/>
                <w:szCs w:val="24"/>
                <w:lang w:val="en-US" w:eastAsia="zh-CN" w:bidi="ar-SA"/>
              </w:rPr>
            </w:pPr>
            <w:r>
              <w:rPr>
                <w:rFonts w:hint="eastAsia" w:ascii="Times New Roman" w:hAnsi="Times New Roman" w:eastAsia="宋体" w:cs="Times New Roman"/>
                <w:bCs/>
                <w:color w:val="auto"/>
                <w:kern w:val="28"/>
                <w:sz w:val="24"/>
                <w:szCs w:val="24"/>
                <w:lang w:val="en-US" w:eastAsia="zh-CN" w:bidi="ar-SA"/>
              </w:rPr>
              <w:t>为了更好的了解地表水水质现状，特委托云南浩辰环保科技有限公司，于202</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年</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月</w:t>
            </w:r>
            <w:r>
              <w:rPr>
                <w:rFonts w:hint="eastAsia" w:ascii="Times New Roman" w:eastAsia="宋体" w:cs="Times New Roman"/>
                <w:bCs/>
                <w:color w:val="auto"/>
                <w:kern w:val="28"/>
                <w:sz w:val="24"/>
                <w:szCs w:val="24"/>
                <w:lang w:val="en-US" w:eastAsia="zh-CN" w:bidi="ar-SA"/>
              </w:rPr>
              <w:t>1</w:t>
            </w:r>
            <w:r>
              <w:rPr>
                <w:rFonts w:hint="eastAsia" w:ascii="Times New Roman" w:hAnsi="Times New Roman" w:eastAsia="宋体" w:cs="Times New Roman"/>
                <w:bCs/>
                <w:color w:val="auto"/>
                <w:kern w:val="28"/>
                <w:sz w:val="24"/>
                <w:szCs w:val="24"/>
                <w:lang w:val="en-US" w:eastAsia="zh-CN" w:bidi="ar-SA"/>
              </w:rPr>
              <w:t>日-202</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年</w:t>
            </w:r>
            <w:r>
              <w:rPr>
                <w:rFonts w:hint="eastAsia" w:ascii="Times New Roman" w:eastAsia="宋体" w:cs="Times New Roman"/>
                <w:bCs/>
                <w:color w:val="auto"/>
                <w:kern w:val="28"/>
                <w:sz w:val="24"/>
                <w:szCs w:val="24"/>
                <w:lang w:val="en-US" w:eastAsia="zh-CN" w:bidi="ar-SA"/>
              </w:rPr>
              <w:t>3</w:t>
            </w:r>
            <w:r>
              <w:rPr>
                <w:rFonts w:hint="eastAsia" w:ascii="Times New Roman" w:hAnsi="Times New Roman" w:eastAsia="宋体" w:cs="Times New Roman"/>
                <w:bCs/>
                <w:color w:val="auto"/>
                <w:kern w:val="28"/>
                <w:sz w:val="24"/>
                <w:szCs w:val="24"/>
                <w:lang w:val="en-US" w:eastAsia="zh-CN" w:bidi="ar-SA"/>
              </w:rPr>
              <w:t>月</w:t>
            </w:r>
            <w:r>
              <w:rPr>
                <w:rFonts w:hint="eastAsia" w:ascii="Times New Roman" w:eastAsia="宋体" w:cs="Times New Roman"/>
                <w:bCs/>
                <w:color w:val="auto"/>
                <w:kern w:val="28"/>
                <w:sz w:val="24"/>
                <w:szCs w:val="24"/>
                <w:lang w:val="en-US" w:eastAsia="zh-CN" w:bidi="ar-SA"/>
              </w:rPr>
              <w:t>2</w:t>
            </w:r>
            <w:r>
              <w:rPr>
                <w:rFonts w:hint="eastAsia" w:ascii="Times New Roman" w:hAnsi="Times New Roman" w:eastAsia="宋体" w:cs="Times New Roman"/>
                <w:bCs/>
                <w:color w:val="auto"/>
                <w:kern w:val="28"/>
                <w:sz w:val="24"/>
                <w:szCs w:val="24"/>
                <w:lang w:val="en-US" w:eastAsia="zh-CN" w:bidi="ar-SA"/>
              </w:rPr>
              <w:t>日</w:t>
            </w:r>
            <w:r>
              <w:rPr>
                <w:rFonts w:hint="eastAsia" w:ascii="Times New Roman" w:eastAsia="宋体" w:cs="Times New Roman"/>
                <w:bCs/>
                <w:color w:val="auto"/>
                <w:kern w:val="28"/>
                <w:sz w:val="24"/>
                <w:szCs w:val="24"/>
                <w:lang w:val="en-US" w:eastAsia="zh-CN" w:bidi="ar-SA"/>
              </w:rPr>
              <w:t>，</w:t>
            </w:r>
            <w:r>
              <w:rPr>
                <w:rFonts w:hint="eastAsia" w:ascii="Times New Roman" w:hAnsi="Times New Roman" w:cs="Times New Roman"/>
                <w:color w:val="auto"/>
              </w:rPr>
              <w:t>2</w:t>
            </w:r>
            <w:r>
              <w:rPr>
                <w:rFonts w:ascii="Times New Roman" w:hAnsi="Times New Roman" w:cs="Times New Roman"/>
                <w:color w:val="auto"/>
              </w:rPr>
              <w:t>023</w:t>
            </w:r>
            <w:r>
              <w:rPr>
                <w:rFonts w:hint="eastAsia" w:ascii="Times New Roman" w:hAnsi="Times New Roman" w:cs="Times New Roman"/>
                <w:color w:val="auto"/>
                <w:lang w:val="en-US" w:eastAsia="zh-CN"/>
              </w:rPr>
              <w:t>年</w:t>
            </w:r>
            <w:r>
              <w:rPr>
                <w:rFonts w:ascii="Times New Roman" w:hAnsi="Times New Roman" w:cs="Times New Roman"/>
                <w:color w:val="auto"/>
              </w:rPr>
              <w:t>5</w:t>
            </w:r>
            <w:r>
              <w:rPr>
                <w:rFonts w:hint="eastAsia" w:ascii="Times New Roman" w:hAnsi="Times New Roman" w:cs="Times New Roman"/>
                <w:color w:val="auto"/>
                <w:lang w:val="en-US" w:eastAsia="zh-CN"/>
              </w:rPr>
              <w:t>月</w:t>
            </w:r>
            <w:r>
              <w:rPr>
                <w:rFonts w:ascii="Times New Roman" w:hAnsi="Times New Roman" w:cs="Times New Roman"/>
                <w:color w:val="auto"/>
              </w:rPr>
              <w:t>4</w:t>
            </w:r>
            <w:r>
              <w:rPr>
                <w:rFonts w:hint="eastAsia" w:ascii="Times New Roman" w:hAnsi="Times New Roman" w:cs="Times New Roman"/>
                <w:color w:val="auto"/>
                <w:lang w:val="en-US" w:eastAsia="zh-CN"/>
              </w:rPr>
              <w:t>日</w:t>
            </w:r>
            <w:r>
              <w:rPr>
                <w:rFonts w:ascii="Times New Roman" w:hAnsi="Times New Roman" w:cs="Times New Roman"/>
                <w:color w:val="auto"/>
              </w:rPr>
              <w:t>-2023</w:t>
            </w:r>
            <w:r>
              <w:rPr>
                <w:rFonts w:hint="eastAsia" w:ascii="Times New Roman" w:hAnsi="Times New Roman" w:cs="Times New Roman"/>
                <w:color w:val="auto"/>
                <w:lang w:val="en-US" w:eastAsia="zh-CN"/>
              </w:rPr>
              <w:t>年</w:t>
            </w:r>
            <w:r>
              <w:rPr>
                <w:rFonts w:ascii="Times New Roman" w:hAnsi="Times New Roman" w:cs="Times New Roman"/>
                <w:color w:val="auto"/>
              </w:rPr>
              <w:t>5</w:t>
            </w:r>
            <w:r>
              <w:rPr>
                <w:rFonts w:hint="eastAsia" w:ascii="Times New Roman" w:hAnsi="Times New Roman" w:cs="Times New Roman"/>
                <w:color w:val="auto"/>
                <w:lang w:val="en-US" w:eastAsia="zh-CN"/>
              </w:rPr>
              <w:t>月</w:t>
            </w:r>
            <w:r>
              <w:rPr>
                <w:rFonts w:ascii="Times New Roman" w:hAnsi="Times New Roman" w:cs="Times New Roman"/>
                <w:color w:val="auto"/>
              </w:rPr>
              <w:t>6</w:t>
            </w:r>
            <w:r>
              <w:rPr>
                <w:rFonts w:hint="eastAsia" w:ascii="Times New Roman" w:hAnsi="Times New Roman" w:cs="Times New Roman"/>
                <w:color w:val="auto"/>
                <w:lang w:val="en-US" w:eastAsia="zh-CN"/>
              </w:rPr>
              <w:t>日</w:t>
            </w:r>
            <w:r>
              <w:rPr>
                <w:rFonts w:hint="eastAsia" w:ascii="Times New Roman" w:hAnsi="Times New Roman" w:eastAsia="宋体" w:cs="Times New Roman"/>
                <w:bCs/>
                <w:color w:val="auto"/>
                <w:kern w:val="28"/>
                <w:sz w:val="24"/>
                <w:szCs w:val="24"/>
                <w:lang w:val="en-US" w:eastAsia="zh-CN" w:bidi="ar-SA"/>
              </w:rPr>
              <w:t>，对项目所在地的地表水环境质量现状进行了补充监测。</w:t>
            </w:r>
          </w:p>
          <w:p w14:paraId="4671AC1D">
            <w:pPr>
              <w:adjustRightInd w:val="0"/>
              <w:snapToGrid w:val="0"/>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（1）监测布点</w:t>
            </w:r>
          </w:p>
          <w:p w14:paraId="11ED57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项目区附近曼辛河与崇岗孔河交汇处断面</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点位坐标E</w:t>
            </w:r>
            <w:r>
              <w:rPr>
                <w:rFonts w:hint="default" w:ascii="Times New Roman" w:hAnsi="Times New Roman" w:eastAsia="宋体" w:cs="Times New Roman"/>
                <w:color w:val="auto"/>
                <w:sz w:val="24"/>
              </w:rPr>
              <w:t>98°33′2.30028″,</w:t>
            </w:r>
            <w:r>
              <w:rPr>
                <w:rFonts w:hint="default" w:ascii="Times New Roman" w:hAnsi="Times New Roman" w:eastAsia="宋体" w:cs="Times New Roman"/>
                <w:color w:val="auto"/>
                <w:sz w:val="24"/>
                <w:lang w:val="en-US" w:eastAsia="zh-CN"/>
              </w:rPr>
              <w:t>N</w:t>
            </w:r>
            <w:r>
              <w:rPr>
                <w:rFonts w:hint="default" w:ascii="Times New Roman" w:hAnsi="Times New Roman" w:eastAsia="宋体" w:cs="Times New Roman"/>
                <w:color w:val="auto"/>
                <w:sz w:val="24"/>
              </w:rPr>
              <w:t>24°7′37.26372″</w:t>
            </w:r>
            <w:r>
              <w:rPr>
                <w:rFonts w:hint="eastAsia" w:ascii="Times New Roman" w:hAnsi="Times New Roman" w:eastAsia="宋体" w:cs="Times New Roman"/>
                <w:color w:val="auto"/>
                <w:sz w:val="24"/>
                <w:lang w:val="en-US" w:eastAsia="zh-CN"/>
              </w:rPr>
              <w:t>。</w:t>
            </w:r>
          </w:p>
          <w:p w14:paraId="0710E5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s="Times New Roman"/>
                <w:b w:val="0"/>
                <w:bCs/>
                <w:color w:val="auto"/>
                <w:sz w:val="24"/>
              </w:rPr>
            </w:pPr>
            <w:r>
              <w:rPr>
                <w:rFonts w:hint="eastAsia" w:eastAsia="宋体" w:cs="Times New Roman"/>
                <w:b w:val="0"/>
                <w:bCs/>
                <w:color w:val="auto"/>
                <w:sz w:val="24"/>
              </w:rPr>
              <w:t>（</w:t>
            </w:r>
            <w:r>
              <w:rPr>
                <w:rFonts w:eastAsia="宋体" w:cs="Times New Roman"/>
                <w:b w:val="0"/>
                <w:bCs/>
                <w:color w:val="auto"/>
                <w:sz w:val="24"/>
              </w:rPr>
              <w:t>2</w:t>
            </w:r>
            <w:r>
              <w:rPr>
                <w:rFonts w:hint="eastAsia" w:eastAsia="宋体" w:cs="Times New Roman"/>
                <w:b w:val="0"/>
                <w:bCs/>
                <w:color w:val="auto"/>
                <w:sz w:val="24"/>
              </w:rPr>
              <w:t>）</w:t>
            </w:r>
            <w:r>
              <w:rPr>
                <w:rFonts w:hAnsi="宋体" w:eastAsia="宋体" w:cs="Times New Roman"/>
                <w:b w:val="0"/>
                <w:bCs/>
                <w:color w:val="auto"/>
                <w:sz w:val="24"/>
              </w:rPr>
              <w:t>监测项目</w:t>
            </w:r>
          </w:p>
          <w:p w14:paraId="4097428F">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lang w:val="en-US" w:eastAsia="zh-CN"/>
              </w:rPr>
            </w:pPr>
            <w:r>
              <w:rPr>
                <w:color w:val="auto"/>
                <w:sz w:val="24"/>
              </w:rPr>
              <w:t>pH、</w:t>
            </w:r>
            <w:r>
              <w:rPr>
                <w:rFonts w:hint="eastAsia"/>
                <w:color w:val="auto"/>
                <w:sz w:val="24"/>
              </w:rPr>
              <w:t>悬浮物（</w:t>
            </w:r>
            <w:r>
              <w:rPr>
                <w:color w:val="auto"/>
                <w:sz w:val="24"/>
              </w:rPr>
              <w:t>SS</w:t>
            </w:r>
            <w:r>
              <w:rPr>
                <w:rFonts w:hint="eastAsia"/>
                <w:color w:val="auto"/>
                <w:sz w:val="24"/>
              </w:rPr>
              <w:t>）</w:t>
            </w:r>
            <w:r>
              <w:rPr>
                <w:color w:val="auto"/>
                <w:sz w:val="24"/>
              </w:rPr>
              <w:t>、COD</w:t>
            </w:r>
            <w:r>
              <w:rPr>
                <w:rFonts w:hint="eastAsia"/>
                <w:color w:val="auto"/>
                <w:sz w:val="24"/>
              </w:rPr>
              <w:t>cr</w:t>
            </w:r>
            <w:r>
              <w:rPr>
                <w:color w:val="auto"/>
                <w:sz w:val="24"/>
              </w:rPr>
              <w:t>、BOD</w:t>
            </w:r>
            <w:r>
              <w:rPr>
                <w:color w:val="auto"/>
                <w:sz w:val="24"/>
                <w:vertAlign w:val="subscript"/>
              </w:rPr>
              <w:t>5</w:t>
            </w:r>
            <w:r>
              <w:rPr>
                <w:rFonts w:hint="eastAsia"/>
                <w:color w:val="auto"/>
                <w:sz w:val="24"/>
              </w:rPr>
              <w:t>、</w:t>
            </w:r>
            <w:r>
              <w:rPr>
                <w:color w:val="auto"/>
                <w:sz w:val="24"/>
              </w:rPr>
              <w:t>氨氮、</w:t>
            </w:r>
            <w:r>
              <w:rPr>
                <w:rFonts w:hint="eastAsia"/>
                <w:color w:val="auto"/>
                <w:sz w:val="24"/>
              </w:rPr>
              <w:t>DO（溶解氧）、</w:t>
            </w:r>
            <w:r>
              <w:rPr>
                <w:color w:val="auto"/>
                <w:sz w:val="24"/>
              </w:rPr>
              <w:t>总磷、</w:t>
            </w:r>
            <w:r>
              <w:rPr>
                <w:rFonts w:hint="eastAsia"/>
                <w:color w:val="auto"/>
                <w:sz w:val="24"/>
              </w:rPr>
              <w:t>总氮、</w:t>
            </w:r>
            <w:r>
              <w:rPr>
                <w:color w:val="auto"/>
                <w:sz w:val="24"/>
              </w:rPr>
              <w:t>石油类、</w:t>
            </w:r>
            <w:r>
              <w:rPr>
                <w:rFonts w:hint="eastAsia"/>
                <w:color w:val="auto"/>
                <w:sz w:val="24"/>
              </w:rPr>
              <w:t>粪大肠菌群</w:t>
            </w:r>
            <w:r>
              <w:rPr>
                <w:rFonts w:hint="eastAsia"/>
                <w:color w:val="auto"/>
                <w:sz w:val="24"/>
                <w:lang w:eastAsia="zh-CN"/>
              </w:rPr>
              <w:t>、</w:t>
            </w:r>
            <w:r>
              <w:rPr>
                <w:rFonts w:hint="eastAsia"/>
                <w:color w:val="auto"/>
                <w:sz w:val="24"/>
                <w:lang w:val="en-US" w:eastAsia="zh-CN"/>
              </w:rPr>
              <w:t>阴离子表面活性剂</w:t>
            </w:r>
            <w:r>
              <w:rPr>
                <w:rFonts w:hint="eastAsia"/>
                <w:color w:val="auto"/>
                <w:sz w:val="24"/>
                <w:lang w:eastAsia="zh-CN"/>
              </w:rPr>
              <w:t>、</w:t>
            </w:r>
            <w:r>
              <w:rPr>
                <w:rFonts w:hint="eastAsia"/>
                <w:color w:val="auto"/>
                <w:sz w:val="24"/>
                <w:lang w:val="en-US" w:eastAsia="zh-CN"/>
              </w:rPr>
              <w:t>水温、铜、锌、氟化物、硒、砷、汞、镉、铬、铅、氰化物、挥发酚、硫化物。</w:t>
            </w:r>
          </w:p>
          <w:p w14:paraId="1D8E56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b w:val="0"/>
                <w:bCs/>
                <w:color w:val="auto"/>
                <w:sz w:val="24"/>
              </w:rPr>
            </w:pPr>
            <w:r>
              <w:rPr>
                <w:rFonts w:eastAsia="宋体" w:cs="Times New Roman"/>
                <w:b w:val="0"/>
                <w:bCs/>
                <w:color w:val="auto"/>
                <w:sz w:val="24"/>
              </w:rPr>
              <w:t>（3）监测时间及频率</w:t>
            </w:r>
          </w:p>
          <w:p w14:paraId="679760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b w:val="0"/>
                <w:bCs/>
                <w:color w:val="auto"/>
                <w:sz w:val="24"/>
                <w:lang w:val="en-US" w:eastAsia="zh-CN"/>
              </w:rPr>
            </w:pPr>
            <w:r>
              <w:rPr>
                <w:rFonts w:eastAsia="宋体" w:cs="Times New Roman"/>
                <w:b w:val="0"/>
                <w:bCs/>
                <w:color w:val="auto"/>
                <w:sz w:val="24"/>
              </w:rPr>
              <w:t>连续监测</w:t>
            </w:r>
            <w:r>
              <w:rPr>
                <w:rFonts w:hint="eastAsia" w:eastAsia="宋体" w:cs="Times New Roman"/>
                <w:b w:val="0"/>
                <w:bCs/>
                <w:color w:val="auto"/>
                <w:sz w:val="24"/>
              </w:rPr>
              <w:t>3</w:t>
            </w:r>
            <w:r>
              <w:rPr>
                <w:rFonts w:eastAsia="宋体" w:cs="Times New Roman"/>
                <w:b w:val="0"/>
                <w:bCs/>
                <w:color w:val="auto"/>
                <w:sz w:val="24"/>
              </w:rPr>
              <w:t>天，每天监测1次</w:t>
            </w:r>
            <w:r>
              <w:rPr>
                <w:rFonts w:hint="eastAsia" w:eastAsia="宋体" w:cs="Times New Roman"/>
                <w:b w:val="0"/>
                <w:bCs/>
                <w:color w:val="auto"/>
                <w:sz w:val="24"/>
              </w:rPr>
              <w:t>。</w:t>
            </w:r>
          </w:p>
          <w:p w14:paraId="17A0D1CF">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kern w:val="28"/>
                <w:sz w:val="24"/>
                <w:szCs w:val="24"/>
                <w:lang w:val="en-US" w:eastAsia="zh-CN" w:bidi="ar-SA"/>
              </w:rPr>
            </w:pPr>
            <w:r>
              <w:rPr>
                <w:rFonts w:hint="eastAsia" w:ascii="Times New Roman" w:hAnsi="Times New Roman" w:eastAsia="宋体" w:cs="Times New Roman"/>
                <w:b w:val="0"/>
                <w:bCs/>
                <w:color w:val="auto"/>
                <w:kern w:val="28"/>
                <w:sz w:val="24"/>
                <w:szCs w:val="24"/>
                <w:lang w:val="en-US" w:eastAsia="zh-CN" w:bidi="ar-SA"/>
              </w:rPr>
              <w:t>（4）监测结果及评价</w:t>
            </w:r>
          </w:p>
          <w:p w14:paraId="5CE8F202">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kern w:val="28"/>
                <w:sz w:val="24"/>
                <w:szCs w:val="24"/>
                <w:lang w:val="en-US" w:eastAsia="zh-CN" w:bidi="ar-SA"/>
              </w:rPr>
            </w:pPr>
            <w:r>
              <w:rPr>
                <w:rFonts w:hint="eastAsia" w:ascii="Times New Roman" w:hAnsi="Times New Roman" w:eastAsia="宋体" w:cs="Times New Roman"/>
                <w:bCs/>
                <w:color w:val="auto"/>
                <w:kern w:val="28"/>
                <w:sz w:val="24"/>
                <w:szCs w:val="24"/>
                <w:lang w:val="en-US" w:eastAsia="zh-CN" w:bidi="ar-SA"/>
              </w:rPr>
              <w:t>监测结果见表3-5。</w:t>
            </w:r>
          </w:p>
          <w:p w14:paraId="7600FFD3">
            <w:pPr>
              <w:spacing w:after="108" w:afterLines="30" w:line="400" w:lineRule="exact"/>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表3-5 地表水检测结果一览表</w:t>
            </w:r>
          </w:p>
          <w:tbl>
            <w:tblPr>
              <w:tblStyle w:val="33"/>
              <w:tblW w:w="75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2"/>
              <w:gridCol w:w="1086"/>
              <w:gridCol w:w="1486"/>
              <w:gridCol w:w="1094"/>
              <w:gridCol w:w="930"/>
              <w:gridCol w:w="584"/>
              <w:gridCol w:w="706"/>
              <w:gridCol w:w="796"/>
            </w:tblGrid>
            <w:tr w14:paraId="44E4C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842" w:type="dxa"/>
                  <w:noWrap w:val="0"/>
                  <w:tcMar>
                    <w:top w:w="15" w:type="dxa"/>
                    <w:left w:w="15" w:type="dxa"/>
                    <w:bottom w:w="15" w:type="dxa"/>
                    <w:right w:w="15" w:type="dxa"/>
                  </w:tcMar>
                  <w:vAlign w:val="center"/>
                </w:tcPr>
                <w:p w14:paraId="220456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1086" w:type="dxa"/>
                  <w:noWrap w:val="0"/>
                  <w:tcMar>
                    <w:top w:w="15" w:type="dxa"/>
                    <w:left w:w="15" w:type="dxa"/>
                    <w:bottom w:w="15" w:type="dxa"/>
                    <w:right w:w="15" w:type="dxa"/>
                  </w:tcMar>
                  <w:vAlign w:val="center"/>
                </w:tcPr>
                <w:p w14:paraId="062E90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分析项目</w:t>
                  </w:r>
                </w:p>
              </w:tc>
              <w:tc>
                <w:tcPr>
                  <w:tcW w:w="1486" w:type="dxa"/>
                  <w:noWrap w:val="0"/>
                  <w:tcMar>
                    <w:top w:w="15" w:type="dxa"/>
                    <w:left w:w="15" w:type="dxa"/>
                    <w:bottom w:w="15" w:type="dxa"/>
                    <w:right w:w="15" w:type="dxa"/>
                  </w:tcMar>
                  <w:vAlign w:val="center"/>
                </w:tcPr>
                <w:p w14:paraId="045135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采样日期</w:t>
                  </w:r>
                </w:p>
              </w:tc>
              <w:tc>
                <w:tcPr>
                  <w:tcW w:w="1094" w:type="dxa"/>
                  <w:noWrap w:val="0"/>
                  <w:tcMar>
                    <w:top w:w="15" w:type="dxa"/>
                    <w:left w:w="15" w:type="dxa"/>
                    <w:bottom w:w="15" w:type="dxa"/>
                    <w:right w:w="15" w:type="dxa"/>
                  </w:tcMar>
                  <w:vAlign w:val="center"/>
                </w:tcPr>
                <w:p w14:paraId="25DE7A82">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样品编号</w:t>
                  </w:r>
                </w:p>
              </w:tc>
              <w:tc>
                <w:tcPr>
                  <w:tcW w:w="930" w:type="dxa"/>
                  <w:tcBorders>
                    <w:right w:val="single" w:color="auto" w:sz="4" w:space="0"/>
                  </w:tcBorders>
                  <w:noWrap w:val="0"/>
                  <w:tcMar>
                    <w:top w:w="15" w:type="dxa"/>
                    <w:left w:w="15" w:type="dxa"/>
                    <w:bottom w:w="15" w:type="dxa"/>
                    <w:right w:w="15" w:type="dxa"/>
                  </w:tcMar>
                  <w:vAlign w:val="center"/>
                </w:tcPr>
                <w:p w14:paraId="1216F53D">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Cs w:val="21"/>
                      <w:highlight w:val="none"/>
                      <w:lang w:val="en-US" w:eastAsia="zh-CN"/>
                    </w:rPr>
                    <w:t>项目区附近曼辛河与崇岗孔河交汇处断面</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095D8D6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706" w:type="dxa"/>
                  <w:tcBorders>
                    <w:left w:val="single" w:color="auto" w:sz="4" w:space="0"/>
                  </w:tcBorders>
                  <w:noWrap w:val="0"/>
                  <w:tcMar>
                    <w:top w:w="15" w:type="dxa"/>
                    <w:left w:w="15" w:type="dxa"/>
                    <w:bottom w:w="15" w:type="dxa"/>
                    <w:right w:w="15" w:type="dxa"/>
                  </w:tcMar>
                  <w:vAlign w:val="center"/>
                </w:tcPr>
                <w:p w14:paraId="46B946D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796" w:type="dxa"/>
                  <w:noWrap w:val="0"/>
                  <w:vAlign w:val="center"/>
                </w:tcPr>
                <w:p w14:paraId="3F3581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r>
            <w:tr w14:paraId="5033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restart"/>
                  <w:noWrap w:val="0"/>
                  <w:tcMar>
                    <w:top w:w="15" w:type="dxa"/>
                    <w:left w:w="15" w:type="dxa"/>
                    <w:bottom w:w="15" w:type="dxa"/>
                    <w:right w:w="15" w:type="dxa"/>
                  </w:tcMar>
                  <w:vAlign w:val="center"/>
                </w:tcPr>
                <w:p w14:paraId="1F1BB1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1086" w:type="dxa"/>
                  <w:vMerge w:val="restart"/>
                  <w:noWrap w:val="0"/>
                  <w:tcMar>
                    <w:top w:w="15" w:type="dxa"/>
                    <w:left w:w="15" w:type="dxa"/>
                    <w:bottom w:w="15" w:type="dxa"/>
                    <w:right w:w="15" w:type="dxa"/>
                  </w:tcMar>
                  <w:vAlign w:val="center"/>
                </w:tcPr>
                <w:p w14:paraId="03168F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pH</w:t>
                  </w:r>
                </w:p>
              </w:tc>
              <w:tc>
                <w:tcPr>
                  <w:tcW w:w="1486" w:type="dxa"/>
                  <w:noWrap w:val="0"/>
                  <w:tcMar>
                    <w:top w:w="15" w:type="dxa"/>
                    <w:left w:w="15" w:type="dxa"/>
                    <w:bottom w:w="15" w:type="dxa"/>
                    <w:right w:w="15" w:type="dxa"/>
                  </w:tcMar>
                  <w:vAlign w:val="center"/>
                </w:tcPr>
                <w:p w14:paraId="3D29B4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0FA60981">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23289C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7.16</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67582F0">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6-9</w:t>
                  </w:r>
                </w:p>
              </w:tc>
              <w:tc>
                <w:tcPr>
                  <w:tcW w:w="706" w:type="dxa"/>
                  <w:tcBorders>
                    <w:left w:val="single" w:color="auto" w:sz="4" w:space="0"/>
                  </w:tcBorders>
                  <w:noWrap w:val="0"/>
                  <w:tcMar>
                    <w:top w:w="15" w:type="dxa"/>
                    <w:left w:w="15" w:type="dxa"/>
                    <w:bottom w:w="15" w:type="dxa"/>
                    <w:right w:w="15" w:type="dxa"/>
                  </w:tcMar>
                  <w:vAlign w:val="center"/>
                </w:tcPr>
                <w:p w14:paraId="2741A9F2">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78A9FF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无量纲</w:t>
                  </w:r>
                </w:p>
              </w:tc>
            </w:tr>
            <w:tr w14:paraId="0B3A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63C6F109">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2F9685C4">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60ADF1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731A1055">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381FDF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7.17</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01AADA6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6-9</w:t>
                  </w:r>
                </w:p>
              </w:tc>
              <w:tc>
                <w:tcPr>
                  <w:tcW w:w="706" w:type="dxa"/>
                  <w:tcBorders>
                    <w:left w:val="single" w:color="auto" w:sz="4" w:space="0"/>
                  </w:tcBorders>
                  <w:noWrap w:val="0"/>
                  <w:tcMar>
                    <w:top w:w="15" w:type="dxa"/>
                    <w:left w:w="15" w:type="dxa"/>
                    <w:bottom w:w="15" w:type="dxa"/>
                    <w:right w:w="15" w:type="dxa"/>
                  </w:tcMar>
                  <w:vAlign w:val="center"/>
                </w:tcPr>
                <w:p w14:paraId="14E3813E">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533A4D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无量纲</w:t>
                  </w:r>
                </w:p>
              </w:tc>
            </w:tr>
            <w:tr w14:paraId="0504A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000B629A">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17642F93">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4CADA0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7C0D19D0">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320CB50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7.18</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64F86A4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6-9</w:t>
                  </w:r>
                </w:p>
              </w:tc>
              <w:tc>
                <w:tcPr>
                  <w:tcW w:w="706" w:type="dxa"/>
                  <w:tcBorders>
                    <w:left w:val="single" w:color="auto" w:sz="4" w:space="0"/>
                  </w:tcBorders>
                  <w:noWrap w:val="0"/>
                  <w:tcMar>
                    <w:top w:w="15" w:type="dxa"/>
                    <w:left w:w="15" w:type="dxa"/>
                    <w:bottom w:w="15" w:type="dxa"/>
                    <w:right w:w="15" w:type="dxa"/>
                  </w:tcMar>
                  <w:vAlign w:val="center"/>
                </w:tcPr>
                <w:p w14:paraId="60FDBB59">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33BE4A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无量纲</w:t>
                  </w:r>
                </w:p>
              </w:tc>
            </w:tr>
            <w:tr w14:paraId="03A8C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3EA4BC60">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0BD3F6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悬浮物</w:t>
                  </w:r>
                </w:p>
              </w:tc>
              <w:tc>
                <w:tcPr>
                  <w:tcW w:w="1486" w:type="dxa"/>
                  <w:noWrap w:val="0"/>
                  <w:tcMar>
                    <w:top w:w="15" w:type="dxa"/>
                    <w:left w:w="15" w:type="dxa"/>
                    <w:bottom w:w="15" w:type="dxa"/>
                    <w:right w:w="15" w:type="dxa"/>
                  </w:tcMar>
                  <w:vAlign w:val="center"/>
                </w:tcPr>
                <w:p w14:paraId="35B138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25501C94">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2CED8D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9</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3E1BCB08">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06" w:type="dxa"/>
                  <w:tcBorders>
                    <w:left w:val="single" w:color="auto" w:sz="4" w:space="0"/>
                  </w:tcBorders>
                  <w:noWrap w:val="0"/>
                  <w:tcMar>
                    <w:top w:w="15" w:type="dxa"/>
                    <w:left w:w="15" w:type="dxa"/>
                    <w:bottom w:w="15" w:type="dxa"/>
                    <w:right w:w="15" w:type="dxa"/>
                  </w:tcMar>
                  <w:vAlign w:val="center"/>
                </w:tcPr>
                <w:p w14:paraId="7E4F65B2">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96" w:type="dxa"/>
                  <w:noWrap w:val="0"/>
                  <w:vAlign w:val="center"/>
                </w:tcPr>
                <w:p w14:paraId="3CCA965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5B4FE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01906321">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22C2CDB2">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6CF82F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63D9C4F6">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6254622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8</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5E952234">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06" w:type="dxa"/>
                  <w:tcBorders>
                    <w:left w:val="single" w:color="auto" w:sz="4" w:space="0"/>
                  </w:tcBorders>
                  <w:noWrap w:val="0"/>
                  <w:tcMar>
                    <w:top w:w="15" w:type="dxa"/>
                    <w:left w:w="15" w:type="dxa"/>
                    <w:bottom w:w="15" w:type="dxa"/>
                    <w:right w:w="15" w:type="dxa"/>
                  </w:tcMar>
                  <w:vAlign w:val="center"/>
                </w:tcPr>
                <w:p w14:paraId="0F516AFA">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96" w:type="dxa"/>
                  <w:noWrap w:val="0"/>
                  <w:vAlign w:val="center"/>
                </w:tcPr>
                <w:p w14:paraId="48F9324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40B32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1FCE4BCF">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72B44EB6">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73CE73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3A6F0012">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47A62D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8</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504F1EB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06" w:type="dxa"/>
                  <w:tcBorders>
                    <w:left w:val="single" w:color="auto" w:sz="4" w:space="0"/>
                  </w:tcBorders>
                  <w:noWrap w:val="0"/>
                  <w:tcMar>
                    <w:top w:w="15" w:type="dxa"/>
                    <w:left w:w="15" w:type="dxa"/>
                    <w:bottom w:w="15" w:type="dxa"/>
                    <w:right w:w="15" w:type="dxa"/>
                  </w:tcMar>
                  <w:vAlign w:val="center"/>
                </w:tcPr>
                <w:p w14:paraId="457DFE02">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96" w:type="dxa"/>
                  <w:noWrap w:val="0"/>
                  <w:vAlign w:val="center"/>
                </w:tcPr>
                <w:p w14:paraId="3668479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7B9A6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2A6479BA">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61E167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化学需氧量</w:t>
                  </w:r>
                </w:p>
              </w:tc>
              <w:tc>
                <w:tcPr>
                  <w:tcW w:w="1486" w:type="dxa"/>
                  <w:noWrap w:val="0"/>
                  <w:tcMar>
                    <w:top w:w="15" w:type="dxa"/>
                    <w:left w:w="15" w:type="dxa"/>
                    <w:bottom w:w="15" w:type="dxa"/>
                    <w:right w:w="15" w:type="dxa"/>
                  </w:tcMar>
                  <w:vAlign w:val="center"/>
                </w:tcPr>
                <w:p w14:paraId="01604B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1A2DD52C">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0D222CF5">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7714DA7">
                  <w:pPr>
                    <w:tabs>
                      <w:tab w:val="center" w:pos="378"/>
                      <w:tab w:val="left" w:pos="532"/>
                    </w:tabs>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ab/>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eastAsia="zh-CN"/>
                    </w:rPr>
                    <w:tab/>
                  </w:r>
                  <w:r>
                    <w:rPr>
                      <w:rFonts w:hint="default" w:ascii="Times New Roman" w:hAnsi="Times New Roman" w:eastAsia="宋体" w:cs="Times New Roman"/>
                      <w:color w:val="auto"/>
                      <w:kern w:val="2"/>
                      <w:sz w:val="21"/>
                      <w:szCs w:val="21"/>
                      <w:highlight w:val="none"/>
                      <w:lang w:val="en-US" w:eastAsia="zh-CN"/>
                    </w:rPr>
                    <w:t>20</w:t>
                  </w:r>
                </w:p>
              </w:tc>
              <w:tc>
                <w:tcPr>
                  <w:tcW w:w="706" w:type="dxa"/>
                  <w:tcBorders>
                    <w:left w:val="single" w:color="auto" w:sz="4" w:space="0"/>
                  </w:tcBorders>
                  <w:noWrap w:val="0"/>
                  <w:tcMar>
                    <w:top w:w="15" w:type="dxa"/>
                    <w:left w:w="15" w:type="dxa"/>
                    <w:bottom w:w="15" w:type="dxa"/>
                    <w:right w:w="15" w:type="dxa"/>
                  </w:tcMar>
                  <w:vAlign w:val="center"/>
                </w:tcPr>
                <w:p w14:paraId="20D7B70C">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4D2167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73064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280F692">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3E7556D6">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71B538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63990B2E">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57951ADB">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9</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49903321">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20</w:t>
                  </w:r>
                </w:p>
              </w:tc>
              <w:tc>
                <w:tcPr>
                  <w:tcW w:w="706" w:type="dxa"/>
                  <w:tcBorders>
                    <w:left w:val="single" w:color="auto" w:sz="4" w:space="0"/>
                  </w:tcBorders>
                  <w:noWrap w:val="0"/>
                  <w:tcMar>
                    <w:top w:w="15" w:type="dxa"/>
                    <w:left w:w="15" w:type="dxa"/>
                    <w:bottom w:w="15" w:type="dxa"/>
                    <w:right w:w="15" w:type="dxa"/>
                  </w:tcMar>
                  <w:vAlign w:val="center"/>
                </w:tcPr>
                <w:p w14:paraId="2B29259B">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5FB619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1A17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E7D59ED">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4F21D785">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052816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57DE8AD3">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5A6B7687">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11</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C1F9BD2">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20</w:t>
                  </w:r>
                </w:p>
              </w:tc>
              <w:tc>
                <w:tcPr>
                  <w:tcW w:w="706" w:type="dxa"/>
                  <w:tcBorders>
                    <w:left w:val="single" w:color="auto" w:sz="4" w:space="0"/>
                  </w:tcBorders>
                  <w:noWrap w:val="0"/>
                  <w:tcMar>
                    <w:top w:w="15" w:type="dxa"/>
                    <w:left w:w="15" w:type="dxa"/>
                    <w:bottom w:w="15" w:type="dxa"/>
                    <w:right w:w="15" w:type="dxa"/>
                  </w:tcMar>
                  <w:vAlign w:val="center"/>
                </w:tcPr>
                <w:p w14:paraId="5333EA81">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0463AC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4DB5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3204A076">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69BFD9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五日生化需氧量</w:t>
                  </w:r>
                </w:p>
              </w:tc>
              <w:tc>
                <w:tcPr>
                  <w:tcW w:w="1486" w:type="dxa"/>
                  <w:noWrap w:val="0"/>
                  <w:tcMar>
                    <w:top w:w="15" w:type="dxa"/>
                    <w:left w:w="15" w:type="dxa"/>
                    <w:bottom w:w="15" w:type="dxa"/>
                    <w:right w:w="15" w:type="dxa"/>
                  </w:tcMar>
                  <w:vAlign w:val="center"/>
                </w:tcPr>
                <w:p w14:paraId="25AEEA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554EBD0B">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5C080CFB">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1.2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04EA80BF">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4</w:t>
                  </w:r>
                </w:p>
              </w:tc>
              <w:tc>
                <w:tcPr>
                  <w:tcW w:w="706" w:type="dxa"/>
                  <w:tcBorders>
                    <w:left w:val="single" w:color="auto" w:sz="4" w:space="0"/>
                  </w:tcBorders>
                  <w:noWrap w:val="0"/>
                  <w:tcMar>
                    <w:top w:w="15" w:type="dxa"/>
                    <w:left w:w="15" w:type="dxa"/>
                    <w:bottom w:w="15" w:type="dxa"/>
                    <w:right w:w="15" w:type="dxa"/>
                  </w:tcMar>
                  <w:vAlign w:val="center"/>
                </w:tcPr>
                <w:p w14:paraId="36CD722F">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46261A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69625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35E07E9F">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48E19C97">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1F6018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3EBD52F6">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1D62100B">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EF8CC1A">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4</w:t>
                  </w:r>
                </w:p>
              </w:tc>
              <w:tc>
                <w:tcPr>
                  <w:tcW w:w="706" w:type="dxa"/>
                  <w:tcBorders>
                    <w:left w:val="single" w:color="auto" w:sz="4" w:space="0"/>
                  </w:tcBorders>
                  <w:noWrap w:val="0"/>
                  <w:tcMar>
                    <w:top w:w="15" w:type="dxa"/>
                    <w:left w:w="15" w:type="dxa"/>
                    <w:bottom w:w="15" w:type="dxa"/>
                    <w:right w:w="15" w:type="dxa"/>
                  </w:tcMar>
                  <w:vAlign w:val="center"/>
                </w:tcPr>
                <w:p w14:paraId="41E1B6F6">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351909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6AD5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FC22A8E">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3B57F1DF">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7E0A4F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056EC2D7">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55C6BAFF">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1.2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56004804">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4</w:t>
                  </w:r>
                </w:p>
              </w:tc>
              <w:tc>
                <w:tcPr>
                  <w:tcW w:w="706" w:type="dxa"/>
                  <w:tcBorders>
                    <w:left w:val="single" w:color="auto" w:sz="4" w:space="0"/>
                  </w:tcBorders>
                  <w:noWrap w:val="0"/>
                  <w:tcMar>
                    <w:top w:w="15" w:type="dxa"/>
                    <w:left w:w="15" w:type="dxa"/>
                    <w:bottom w:w="15" w:type="dxa"/>
                    <w:right w:w="15" w:type="dxa"/>
                  </w:tcMar>
                  <w:vAlign w:val="center"/>
                </w:tcPr>
                <w:p w14:paraId="46227B5E">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125E61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76858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27B98085">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7EFEEA4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氨氮</w:t>
                  </w:r>
                </w:p>
                <w:p w14:paraId="3ACC52BD">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0303AD1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7D74EED8">
                  <w:pPr>
                    <w:widowControl w:val="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26509C4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0.025L</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09759E7F">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w:t>
                  </w:r>
                </w:p>
              </w:tc>
              <w:tc>
                <w:tcPr>
                  <w:tcW w:w="706" w:type="dxa"/>
                  <w:tcBorders>
                    <w:left w:val="single" w:color="auto" w:sz="4" w:space="0"/>
                  </w:tcBorders>
                  <w:noWrap w:val="0"/>
                  <w:tcMar>
                    <w:top w:w="15" w:type="dxa"/>
                    <w:left w:w="15" w:type="dxa"/>
                    <w:bottom w:w="15" w:type="dxa"/>
                    <w:right w:w="15" w:type="dxa"/>
                  </w:tcMar>
                  <w:vAlign w:val="center"/>
                </w:tcPr>
                <w:p w14:paraId="3BE3B79A">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6C57B8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41D0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2514F54">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6756ABE2">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034B6E6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1223824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257BEB5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0.025L</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2E8B1129">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w:t>
                  </w:r>
                </w:p>
              </w:tc>
              <w:tc>
                <w:tcPr>
                  <w:tcW w:w="706" w:type="dxa"/>
                  <w:tcBorders>
                    <w:left w:val="single" w:color="auto" w:sz="4" w:space="0"/>
                  </w:tcBorders>
                  <w:noWrap w:val="0"/>
                  <w:tcMar>
                    <w:top w:w="15" w:type="dxa"/>
                    <w:left w:w="15" w:type="dxa"/>
                    <w:bottom w:w="15" w:type="dxa"/>
                    <w:right w:w="15" w:type="dxa"/>
                  </w:tcMar>
                  <w:vAlign w:val="center"/>
                </w:tcPr>
                <w:p w14:paraId="7FDEAB0D">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1F6E5B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2FFA2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38D0F3DE">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49DF480A">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309DF1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0785CFC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1AD64A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0.025L</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3F446E1F">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w:t>
                  </w:r>
                </w:p>
              </w:tc>
              <w:tc>
                <w:tcPr>
                  <w:tcW w:w="706" w:type="dxa"/>
                  <w:tcBorders>
                    <w:left w:val="single" w:color="auto" w:sz="4" w:space="0"/>
                  </w:tcBorders>
                  <w:noWrap w:val="0"/>
                  <w:tcMar>
                    <w:top w:w="15" w:type="dxa"/>
                    <w:left w:w="15" w:type="dxa"/>
                    <w:bottom w:w="15" w:type="dxa"/>
                    <w:right w:w="15" w:type="dxa"/>
                  </w:tcMar>
                  <w:vAlign w:val="center"/>
                </w:tcPr>
                <w:p w14:paraId="7BF9B94F">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3DD775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6927D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66E0C5D7">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5D46C3D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溶解氧</w:t>
                  </w:r>
                </w:p>
                <w:p w14:paraId="45177181">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49597F5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44D801B0">
                  <w:pPr>
                    <w:widowControl w:val="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7B76CA71">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6.95</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5302D5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w:t>
                  </w:r>
                </w:p>
              </w:tc>
              <w:tc>
                <w:tcPr>
                  <w:tcW w:w="706" w:type="dxa"/>
                  <w:tcBorders>
                    <w:left w:val="single" w:color="auto" w:sz="4" w:space="0"/>
                  </w:tcBorders>
                  <w:noWrap w:val="0"/>
                  <w:tcMar>
                    <w:top w:w="15" w:type="dxa"/>
                    <w:left w:w="15" w:type="dxa"/>
                    <w:bottom w:w="15" w:type="dxa"/>
                    <w:right w:w="15" w:type="dxa"/>
                  </w:tcMar>
                  <w:vAlign w:val="center"/>
                </w:tcPr>
                <w:p w14:paraId="16D061FB">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634793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2B6BC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0C90BC31">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58DF7466">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6207E61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4AB0C99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23BFC9DF">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6.98</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77EE3230">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≥5</w:t>
                  </w:r>
                </w:p>
              </w:tc>
              <w:tc>
                <w:tcPr>
                  <w:tcW w:w="706" w:type="dxa"/>
                  <w:tcBorders>
                    <w:left w:val="single" w:color="auto" w:sz="4" w:space="0"/>
                  </w:tcBorders>
                  <w:noWrap w:val="0"/>
                  <w:tcMar>
                    <w:top w:w="15" w:type="dxa"/>
                    <w:left w:w="15" w:type="dxa"/>
                    <w:bottom w:w="15" w:type="dxa"/>
                    <w:right w:w="15" w:type="dxa"/>
                  </w:tcMar>
                  <w:vAlign w:val="center"/>
                </w:tcPr>
                <w:p w14:paraId="1709276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23B3BD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065A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5C76D34A">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0F7E6E0E">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2FD2E1A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7F17AAC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1AD3B561">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6.97</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4AA3668E">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≥5</w:t>
                  </w:r>
                </w:p>
              </w:tc>
              <w:tc>
                <w:tcPr>
                  <w:tcW w:w="706" w:type="dxa"/>
                  <w:tcBorders>
                    <w:left w:val="single" w:color="auto" w:sz="4" w:space="0"/>
                  </w:tcBorders>
                  <w:noWrap w:val="0"/>
                  <w:tcMar>
                    <w:top w:w="15" w:type="dxa"/>
                    <w:left w:w="15" w:type="dxa"/>
                    <w:bottom w:w="15" w:type="dxa"/>
                    <w:right w:w="15" w:type="dxa"/>
                  </w:tcMar>
                  <w:vAlign w:val="center"/>
                </w:tcPr>
                <w:p w14:paraId="4047CDDC">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61FC0F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53D7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1CBBFF03">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303D7B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总磷</w:t>
                  </w:r>
                </w:p>
              </w:tc>
              <w:tc>
                <w:tcPr>
                  <w:tcW w:w="1486" w:type="dxa"/>
                  <w:noWrap w:val="0"/>
                  <w:tcMar>
                    <w:top w:w="15" w:type="dxa"/>
                    <w:left w:w="15" w:type="dxa"/>
                    <w:bottom w:w="15" w:type="dxa"/>
                    <w:right w:w="15" w:type="dxa"/>
                  </w:tcMar>
                  <w:vAlign w:val="center"/>
                </w:tcPr>
                <w:p w14:paraId="285C7A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6662F97A">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6E7A62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0.01</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3808D71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0.2</w:t>
                  </w:r>
                </w:p>
              </w:tc>
              <w:tc>
                <w:tcPr>
                  <w:tcW w:w="706" w:type="dxa"/>
                  <w:tcBorders>
                    <w:left w:val="single" w:color="auto" w:sz="4" w:space="0"/>
                  </w:tcBorders>
                  <w:noWrap w:val="0"/>
                  <w:tcMar>
                    <w:top w:w="15" w:type="dxa"/>
                    <w:left w:w="15" w:type="dxa"/>
                    <w:bottom w:w="15" w:type="dxa"/>
                    <w:right w:w="15" w:type="dxa"/>
                  </w:tcMar>
                  <w:vAlign w:val="center"/>
                </w:tcPr>
                <w:p w14:paraId="321E8E98">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65D3F0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75B83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05F2A6EC">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1451D200">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5D0387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28F56CD2">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68D9FA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0.02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EF72CBD">
                  <w:pPr>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0.2</w:t>
                  </w:r>
                </w:p>
              </w:tc>
              <w:tc>
                <w:tcPr>
                  <w:tcW w:w="706" w:type="dxa"/>
                  <w:tcBorders>
                    <w:left w:val="single" w:color="auto" w:sz="4" w:space="0"/>
                  </w:tcBorders>
                  <w:noWrap w:val="0"/>
                  <w:tcMar>
                    <w:top w:w="15" w:type="dxa"/>
                    <w:left w:w="15" w:type="dxa"/>
                    <w:bottom w:w="15" w:type="dxa"/>
                    <w:right w:w="15" w:type="dxa"/>
                  </w:tcMar>
                  <w:vAlign w:val="center"/>
                </w:tcPr>
                <w:p w14:paraId="62888DEC">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19E851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21DE0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F266BC7">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063F40AC">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504FAE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17BAD41C">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049881A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0.01</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2AA2C688">
                  <w:pPr>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0.2</w:t>
                  </w:r>
                </w:p>
              </w:tc>
              <w:tc>
                <w:tcPr>
                  <w:tcW w:w="706" w:type="dxa"/>
                  <w:tcBorders>
                    <w:left w:val="single" w:color="auto" w:sz="4" w:space="0"/>
                  </w:tcBorders>
                  <w:noWrap w:val="0"/>
                  <w:tcMar>
                    <w:top w:w="15" w:type="dxa"/>
                    <w:left w:w="15" w:type="dxa"/>
                    <w:bottom w:w="15" w:type="dxa"/>
                    <w:right w:w="15" w:type="dxa"/>
                  </w:tcMar>
                  <w:vAlign w:val="center"/>
                </w:tcPr>
                <w:p w14:paraId="4C6F7BE8">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68DE2F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6DE20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08B9CD0A">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36B4BA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总氮</w:t>
                  </w:r>
                </w:p>
              </w:tc>
              <w:tc>
                <w:tcPr>
                  <w:tcW w:w="1486" w:type="dxa"/>
                  <w:noWrap w:val="0"/>
                  <w:tcMar>
                    <w:top w:w="15" w:type="dxa"/>
                    <w:left w:w="15" w:type="dxa"/>
                    <w:bottom w:w="15" w:type="dxa"/>
                    <w:right w:w="15" w:type="dxa"/>
                  </w:tcMar>
                  <w:vAlign w:val="center"/>
                </w:tcPr>
                <w:p w14:paraId="0BF9C8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4AFEBF5A">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5B71E7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0.84</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2763FC1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w:t>
                  </w:r>
                </w:p>
              </w:tc>
              <w:tc>
                <w:tcPr>
                  <w:tcW w:w="706" w:type="dxa"/>
                  <w:tcBorders>
                    <w:left w:val="single" w:color="auto" w:sz="4" w:space="0"/>
                  </w:tcBorders>
                  <w:noWrap w:val="0"/>
                  <w:tcMar>
                    <w:top w:w="15" w:type="dxa"/>
                    <w:left w:w="15" w:type="dxa"/>
                    <w:bottom w:w="15" w:type="dxa"/>
                    <w:right w:w="15" w:type="dxa"/>
                  </w:tcMar>
                  <w:vAlign w:val="center"/>
                </w:tcPr>
                <w:p w14:paraId="70CB51E0">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77C7A7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793E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16E028BE">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00E2D789">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68DFD8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5611FCE9">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49234F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0.77</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54967AA8">
                  <w:pPr>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w:t>
                  </w:r>
                </w:p>
              </w:tc>
              <w:tc>
                <w:tcPr>
                  <w:tcW w:w="706" w:type="dxa"/>
                  <w:tcBorders>
                    <w:left w:val="single" w:color="auto" w:sz="4" w:space="0"/>
                  </w:tcBorders>
                  <w:noWrap w:val="0"/>
                  <w:tcMar>
                    <w:top w:w="15" w:type="dxa"/>
                    <w:left w:w="15" w:type="dxa"/>
                    <w:bottom w:w="15" w:type="dxa"/>
                    <w:right w:w="15" w:type="dxa"/>
                  </w:tcMar>
                  <w:vAlign w:val="center"/>
                </w:tcPr>
                <w:p w14:paraId="6CB1CF47">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06F714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6F992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3EE29C9D">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4C3EC348">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1E23C3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370F807F">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45F9D1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0.80</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602326B3">
                  <w:pPr>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w:t>
                  </w:r>
                </w:p>
              </w:tc>
              <w:tc>
                <w:tcPr>
                  <w:tcW w:w="706" w:type="dxa"/>
                  <w:tcBorders>
                    <w:left w:val="single" w:color="auto" w:sz="4" w:space="0"/>
                  </w:tcBorders>
                  <w:noWrap w:val="0"/>
                  <w:tcMar>
                    <w:top w:w="15" w:type="dxa"/>
                    <w:left w:w="15" w:type="dxa"/>
                    <w:bottom w:w="15" w:type="dxa"/>
                    <w:right w:w="15" w:type="dxa"/>
                  </w:tcMar>
                  <w:vAlign w:val="center"/>
                </w:tcPr>
                <w:p w14:paraId="2540E392">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1B20F6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11F9A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E5E8A23">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28C0C4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石油类</w:t>
                  </w:r>
                </w:p>
              </w:tc>
              <w:tc>
                <w:tcPr>
                  <w:tcW w:w="1486" w:type="dxa"/>
                  <w:noWrap w:val="0"/>
                  <w:tcMar>
                    <w:top w:w="15" w:type="dxa"/>
                    <w:left w:w="15" w:type="dxa"/>
                    <w:bottom w:w="15" w:type="dxa"/>
                    <w:right w:w="15" w:type="dxa"/>
                  </w:tcMar>
                  <w:vAlign w:val="center"/>
                </w:tcPr>
                <w:p w14:paraId="086105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3CE9115C">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694833D1">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0.02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32070155">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0.05</w:t>
                  </w:r>
                </w:p>
              </w:tc>
              <w:tc>
                <w:tcPr>
                  <w:tcW w:w="706" w:type="dxa"/>
                  <w:tcBorders>
                    <w:left w:val="single" w:color="auto" w:sz="4" w:space="0"/>
                  </w:tcBorders>
                  <w:noWrap w:val="0"/>
                  <w:tcMar>
                    <w:top w:w="15" w:type="dxa"/>
                    <w:left w:w="15" w:type="dxa"/>
                    <w:bottom w:w="15" w:type="dxa"/>
                    <w:right w:w="15" w:type="dxa"/>
                  </w:tcMar>
                  <w:vAlign w:val="center"/>
                </w:tcPr>
                <w:p w14:paraId="0FB9BFE2">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4E3D5A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14859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0E2207C1">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0A3618F1">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32F9F8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05E5FC1E">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0B13EA72">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0.01</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162BA1F7">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0.05</w:t>
                  </w:r>
                </w:p>
              </w:tc>
              <w:tc>
                <w:tcPr>
                  <w:tcW w:w="706" w:type="dxa"/>
                  <w:tcBorders>
                    <w:left w:val="single" w:color="auto" w:sz="4" w:space="0"/>
                  </w:tcBorders>
                  <w:noWrap w:val="0"/>
                  <w:tcMar>
                    <w:top w:w="15" w:type="dxa"/>
                    <w:left w:w="15" w:type="dxa"/>
                    <w:bottom w:w="15" w:type="dxa"/>
                    <w:right w:w="15" w:type="dxa"/>
                  </w:tcMar>
                  <w:vAlign w:val="center"/>
                </w:tcPr>
                <w:p w14:paraId="6B5C185A">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3DDE8A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1DD0F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774F987F">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1A43C718">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6F9003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24ACC57E">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384613E3">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0.01</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2A729691">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0.05</w:t>
                  </w:r>
                </w:p>
              </w:tc>
              <w:tc>
                <w:tcPr>
                  <w:tcW w:w="706" w:type="dxa"/>
                  <w:tcBorders>
                    <w:left w:val="single" w:color="auto" w:sz="4" w:space="0"/>
                  </w:tcBorders>
                  <w:noWrap w:val="0"/>
                  <w:tcMar>
                    <w:top w:w="15" w:type="dxa"/>
                    <w:left w:w="15" w:type="dxa"/>
                    <w:bottom w:w="15" w:type="dxa"/>
                    <w:right w:w="15" w:type="dxa"/>
                  </w:tcMar>
                  <w:vAlign w:val="center"/>
                </w:tcPr>
                <w:p w14:paraId="50991387">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29F5B2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66B2F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CDA0ABD">
                  <w:pPr>
                    <w:jc w:val="center"/>
                    <w:rPr>
                      <w:rFonts w:hint="default" w:ascii="Times New Roman" w:hAnsi="Times New Roman" w:eastAsia="宋体" w:cs="Times New Roman"/>
                      <w:color w:val="auto"/>
                      <w:sz w:val="21"/>
                      <w:szCs w:val="21"/>
                      <w:highlight w:val="none"/>
                    </w:rPr>
                  </w:pPr>
                </w:p>
              </w:tc>
              <w:tc>
                <w:tcPr>
                  <w:tcW w:w="1086" w:type="dxa"/>
                  <w:vMerge w:val="restart"/>
                  <w:noWrap w:val="0"/>
                  <w:tcMar>
                    <w:top w:w="15" w:type="dxa"/>
                    <w:left w:w="15" w:type="dxa"/>
                    <w:bottom w:w="15" w:type="dxa"/>
                    <w:right w:w="15" w:type="dxa"/>
                  </w:tcMar>
                  <w:vAlign w:val="center"/>
                </w:tcPr>
                <w:p w14:paraId="191986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粪大肠菌群</w:t>
                  </w:r>
                </w:p>
              </w:tc>
              <w:tc>
                <w:tcPr>
                  <w:tcW w:w="1486" w:type="dxa"/>
                  <w:noWrap w:val="0"/>
                  <w:tcMar>
                    <w:top w:w="15" w:type="dxa"/>
                    <w:left w:w="15" w:type="dxa"/>
                    <w:bottom w:w="15" w:type="dxa"/>
                    <w:right w:w="15" w:type="dxa"/>
                  </w:tcMar>
                  <w:vAlign w:val="center"/>
                </w:tcPr>
                <w:p w14:paraId="5CE539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1ADCB28D">
                  <w:pPr>
                    <w:widowControl w:val="0"/>
                    <w:contextualSpacing/>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78B46592">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3.9×10</w:t>
                  </w:r>
                  <w:r>
                    <w:rPr>
                      <w:rFonts w:hint="default" w:ascii="Times New Roman" w:hAnsi="Times New Roman" w:eastAsia="宋体" w:cs="Times New Roman"/>
                      <w:color w:val="auto"/>
                      <w:sz w:val="21"/>
                      <w:szCs w:val="21"/>
                      <w:highlight w:val="none"/>
                      <w:vertAlign w:val="superscript"/>
                      <w:lang w:val="en-US" w:eastAsia="zh-CN"/>
                    </w:rPr>
                    <w:t>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0F34D07E">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10000</w:t>
                  </w:r>
                </w:p>
              </w:tc>
              <w:tc>
                <w:tcPr>
                  <w:tcW w:w="706" w:type="dxa"/>
                  <w:tcBorders>
                    <w:left w:val="single" w:color="auto" w:sz="4" w:space="0"/>
                  </w:tcBorders>
                  <w:noWrap w:val="0"/>
                  <w:tcMar>
                    <w:top w:w="15" w:type="dxa"/>
                    <w:left w:w="15" w:type="dxa"/>
                    <w:bottom w:w="15" w:type="dxa"/>
                    <w:right w:w="15" w:type="dxa"/>
                  </w:tcMar>
                  <w:vAlign w:val="center"/>
                </w:tcPr>
                <w:p w14:paraId="3BFFF5A4">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73B4E2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3F3D2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7AA46FD2">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22DE8F3C">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44B37B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375C702B">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6D0B8952">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4.0×10</w:t>
                  </w:r>
                  <w:r>
                    <w:rPr>
                      <w:rFonts w:hint="default" w:ascii="Times New Roman" w:hAnsi="Times New Roman" w:eastAsia="宋体" w:cs="Times New Roman"/>
                      <w:color w:val="auto"/>
                      <w:sz w:val="21"/>
                      <w:szCs w:val="21"/>
                      <w:highlight w:val="none"/>
                      <w:vertAlign w:val="superscript"/>
                      <w:lang w:val="en-US" w:eastAsia="zh-CN"/>
                    </w:rPr>
                    <w:t>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29640254">
                  <w:pPr>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10000</w:t>
                  </w:r>
                </w:p>
              </w:tc>
              <w:tc>
                <w:tcPr>
                  <w:tcW w:w="706" w:type="dxa"/>
                  <w:tcBorders>
                    <w:left w:val="single" w:color="auto" w:sz="4" w:space="0"/>
                  </w:tcBorders>
                  <w:noWrap w:val="0"/>
                  <w:tcMar>
                    <w:top w:w="15" w:type="dxa"/>
                    <w:left w:w="15" w:type="dxa"/>
                    <w:bottom w:w="15" w:type="dxa"/>
                    <w:right w:w="15" w:type="dxa"/>
                  </w:tcMar>
                  <w:vAlign w:val="center"/>
                </w:tcPr>
                <w:p w14:paraId="4A83BA85">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748E60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r>
            <w:tr w14:paraId="134E7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2860F74C">
                  <w:pPr>
                    <w:jc w:val="center"/>
                    <w:rPr>
                      <w:rFonts w:hint="default" w:ascii="Times New Roman" w:hAnsi="Times New Roman" w:eastAsia="宋体" w:cs="Times New Roman"/>
                      <w:color w:val="auto"/>
                      <w:sz w:val="21"/>
                      <w:szCs w:val="21"/>
                      <w:highlight w:val="none"/>
                    </w:rPr>
                  </w:pPr>
                </w:p>
              </w:tc>
              <w:tc>
                <w:tcPr>
                  <w:tcW w:w="1086" w:type="dxa"/>
                  <w:vMerge w:val="continue"/>
                  <w:tcBorders>
                    <w:bottom w:val="single" w:color="auto" w:sz="4" w:space="0"/>
                  </w:tcBorders>
                  <w:noWrap w:val="0"/>
                  <w:tcMar>
                    <w:top w:w="15" w:type="dxa"/>
                    <w:left w:w="15" w:type="dxa"/>
                    <w:bottom w:w="15" w:type="dxa"/>
                    <w:right w:w="15" w:type="dxa"/>
                  </w:tcMar>
                  <w:vAlign w:val="center"/>
                </w:tcPr>
                <w:p w14:paraId="6B68A461">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0A5E8EA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75C18A2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73F22FE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3.3×10</w:t>
                  </w:r>
                  <w:r>
                    <w:rPr>
                      <w:rFonts w:hint="default" w:ascii="Times New Roman" w:hAnsi="Times New Roman" w:eastAsia="宋体" w:cs="Times New Roman"/>
                      <w:color w:val="auto"/>
                      <w:sz w:val="21"/>
                      <w:szCs w:val="21"/>
                      <w:highlight w:val="none"/>
                      <w:vertAlign w:val="superscript"/>
                      <w:lang w:val="en-US" w:eastAsia="zh-CN"/>
                    </w:rPr>
                    <w:t>2</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412EF35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10000</w:t>
                  </w:r>
                </w:p>
              </w:tc>
              <w:tc>
                <w:tcPr>
                  <w:tcW w:w="706" w:type="dxa"/>
                  <w:tcBorders>
                    <w:left w:val="single" w:color="auto" w:sz="4" w:space="0"/>
                  </w:tcBorders>
                  <w:noWrap w:val="0"/>
                  <w:tcMar>
                    <w:top w:w="15" w:type="dxa"/>
                    <w:left w:w="15" w:type="dxa"/>
                    <w:bottom w:w="15" w:type="dxa"/>
                    <w:right w:w="15" w:type="dxa"/>
                  </w:tcMar>
                  <w:vAlign w:val="center"/>
                </w:tcPr>
                <w:p w14:paraId="6869BE5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35C06BC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6686E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42" w:type="dxa"/>
                  <w:vMerge w:val="continue"/>
                  <w:noWrap w:val="0"/>
                  <w:tcMar>
                    <w:top w:w="15" w:type="dxa"/>
                    <w:left w:w="15" w:type="dxa"/>
                    <w:bottom w:w="15" w:type="dxa"/>
                    <w:right w:w="15" w:type="dxa"/>
                  </w:tcMar>
                  <w:vAlign w:val="center"/>
                </w:tcPr>
                <w:p w14:paraId="53AB378B">
                  <w:pPr>
                    <w:jc w:val="center"/>
                    <w:rPr>
                      <w:rFonts w:hint="default" w:ascii="Times New Roman" w:hAnsi="Times New Roman" w:eastAsia="宋体" w:cs="Times New Roman"/>
                      <w:color w:val="auto"/>
                      <w:sz w:val="21"/>
                      <w:szCs w:val="21"/>
                      <w:highlight w:val="none"/>
                    </w:rPr>
                  </w:pPr>
                </w:p>
              </w:tc>
              <w:tc>
                <w:tcPr>
                  <w:tcW w:w="1086" w:type="dxa"/>
                  <w:vMerge w:val="restart"/>
                  <w:tcBorders>
                    <w:top w:val="single" w:color="auto" w:sz="4" w:space="0"/>
                  </w:tcBorders>
                  <w:noWrap w:val="0"/>
                  <w:tcMar>
                    <w:top w:w="15" w:type="dxa"/>
                    <w:left w:w="15" w:type="dxa"/>
                    <w:bottom w:w="15" w:type="dxa"/>
                    <w:right w:w="15" w:type="dxa"/>
                  </w:tcMar>
                  <w:vAlign w:val="center"/>
                </w:tcPr>
                <w:p w14:paraId="7890841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阴离子表面活性剂</w:t>
                  </w:r>
                </w:p>
                <w:p w14:paraId="4B5940FA">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0C88EFC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2023.03.01</w:t>
                  </w:r>
                </w:p>
              </w:tc>
              <w:tc>
                <w:tcPr>
                  <w:tcW w:w="1094" w:type="dxa"/>
                  <w:noWrap w:val="0"/>
                  <w:tcMar>
                    <w:top w:w="15" w:type="dxa"/>
                    <w:left w:w="15" w:type="dxa"/>
                    <w:bottom w:w="15" w:type="dxa"/>
                    <w:right w:w="15" w:type="dxa"/>
                  </w:tcMar>
                  <w:vAlign w:val="center"/>
                </w:tcPr>
                <w:p w14:paraId="7C27D68F">
                  <w:pPr>
                    <w:widowControl w:val="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DB01-1-1</w:t>
                  </w:r>
                </w:p>
              </w:tc>
              <w:tc>
                <w:tcPr>
                  <w:tcW w:w="930" w:type="dxa"/>
                  <w:tcBorders>
                    <w:right w:val="single" w:color="auto" w:sz="4" w:space="0"/>
                  </w:tcBorders>
                  <w:noWrap w:val="0"/>
                  <w:tcMar>
                    <w:top w:w="15" w:type="dxa"/>
                    <w:left w:w="15" w:type="dxa"/>
                    <w:bottom w:w="15" w:type="dxa"/>
                    <w:right w:w="15" w:type="dxa"/>
                  </w:tcMar>
                  <w:vAlign w:val="center"/>
                </w:tcPr>
                <w:p w14:paraId="1EFE948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50B36B9A">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0.2</w:t>
                  </w:r>
                </w:p>
              </w:tc>
              <w:tc>
                <w:tcPr>
                  <w:tcW w:w="706" w:type="dxa"/>
                  <w:tcBorders>
                    <w:left w:val="single" w:color="auto" w:sz="4" w:space="0"/>
                  </w:tcBorders>
                  <w:noWrap w:val="0"/>
                  <w:tcMar>
                    <w:top w:w="15" w:type="dxa"/>
                    <w:left w:w="15" w:type="dxa"/>
                    <w:bottom w:w="15" w:type="dxa"/>
                    <w:right w:w="15" w:type="dxa"/>
                  </w:tcMar>
                  <w:vAlign w:val="center"/>
                </w:tcPr>
                <w:p w14:paraId="7F400FD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4ADFA97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7E4D5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65E0B1FE">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30426FC1">
                  <w:pPr>
                    <w:jc w:val="center"/>
                    <w:rPr>
                      <w:rFonts w:hint="default" w:ascii="Times New Roman" w:hAnsi="Times New Roman" w:eastAsia="宋体" w:cs="Times New Roman"/>
                      <w:color w:val="auto"/>
                      <w:sz w:val="21"/>
                      <w:szCs w:val="21"/>
                      <w:highlight w:val="none"/>
                    </w:rPr>
                  </w:pPr>
                </w:p>
              </w:tc>
              <w:tc>
                <w:tcPr>
                  <w:tcW w:w="1486" w:type="dxa"/>
                  <w:tcBorders>
                    <w:top w:val="single" w:color="auto" w:sz="4" w:space="0"/>
                  </w:tcBorders>
                  <w:noWrap w:val="0"/>
                  <w:tcMar>
                    <w:top w:w="15" w:type="dxa"/>
                    <w:left w:w="15" w:type="dxa"/>
                    <w:bottom w:w="15" w:type="dxa"/>
                    <w:right w:w="15" w:type="dxa"/>
                  </w:tcMar>
                  <w:vAlign w:val="center"/>
                </w:tcPr>
                <w:p w14:paraId="7043BFD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2023.03.02</w:t>
                  </w:r>
                </w:p>
              </w:tc>
              <w:tc>
                <w:tcPr>
                  <w:tcW w:w="1094" w:type="dxa"/>
                  <w:noWrap w:val="0"/>
                  <w:tcMar>
                    <w:top w:w="15" w:type="dxa"/>
                    <w:left w:w="15" w:type="dxa"/>
                    <w:bottom w:w="15" w:type="dxa"/>
                    <w:right w:w="15" w:type="dxa"/>
                  </w:tcMar>
                  <w:vAlign w:val="center"/>
                </w:tcPr>
                <w:p w14:paraId="5C5C9DA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15781C1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31AB2881">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0.2</w:t>
                  </w:r>
                </w:p>
              </w:tc>
              <w:tc>
                <w:tcPr>
                  <w:tcW w:w="706" w:type="dxa"/>
                  <w:tcBorders>
                    <w:left w:val="single" w:color="auto" w:sz="4" w:space="0"/>
                  </w:tcBorders>
                  <w:noWrap w:val="0"/>
                  <w:tcMar>
                    <w:top w:w="15" w:type="dxa"/>
                    <w:left w:w="15" w:type="dxa"/>
                    <w:bottom w:w="15" w:type="dxa"/>
                    <w:right w:w="15" w:type="dxa"/>
                  </w:tcMar>
                  <w:vAlign w:val="center"/>
                </w:tcPr>
                <w:p w14:paraId="117F320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3C1605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595A6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42" w:type="dxa"/>
                  <w:vMerge w:val="continue"/>
                  <w:noWrap w:val="0"/>
                  <w:tcMar>
                    <w:top w:w="15" w:type="dxa"/>
                    <w:left w:w="15" w:type="dxa"/>
                    <w:bottom w:w="15" w:type="dxa"/>
                    <w:right w:w="15" w:type="dxa"/>
                  </w:tcMar>
                  <w:vAlign w:val="center"/>
                </w:tcPr>
                <w:p w14:paraId="420498FE">
                  <w:pPr>
                    <w:jc w:val="center"/>
                    <w:rPr>
                      <w:rFonts w:hint="default" w:ascii="Times New Roman" w:hAnsi="Times New Roman" w:eastAsia="宋体" w:cs="Times New Roman"/>
                      <w:color w:val="auto"/>
                      <w:sz w:val="21"/>
                      <w:szCs w:val="21"/>
                      <w:highlight w:val="none"/>
                    </w:rPr>
                  </w:pPr>
                </w:p>
              </w:tc>
              <w:tc>
                <w:tcPr>
                  <w:tcW w:w="1086" w:type="dxa"/>
                  <w:vMerge w:val="continue"/>
                  <w:noWrap w:val="0"/>
                  <w:tcMar>
                    <w:top w:w="15" w:type="dxa"/>
                    <w:left w:w="15" w:type="dxa"/>
                    <w:bottom w:w="15" w:type="dxa"/>
                    <w:right w:w="15" w:type="dxa"/>
                  </w:tcMar>
                  <w:vAlign w:val="center"/>
                </w:tcPr>
                <w:p w14:paraId="27628A8E">
                  <w:pPr>
                    <w:jc w:val="center"/>
                    <w:rPr>
                      <w:rFonts w:hint="default" w:ascii="Times New Roman" w:hAnsi="Times New Roman" w:eastAsia="宋体" w:cs="Times New Roman"/>
                      <w:color w:val="auto"/>
                      <w:sz w:val="21"/>
                      <w:szCs w:val="21"/>
                      <w:highlight w:val="none"/>
                    </w:rPr>
                  </w:pPr>
                </w:p>
              </w:tc>
              <w:tc>
                <w:tcPr>
                  <w:tcW w:w="1486" w:type="dxa"/>
                  <w:noWrap w:val="0"/>
                  <w:tcMar>
                    <w:top w:w="15" w:type="dxa"/>
                    <w:left w:w="15" w:type="dxa"/>
                    <w:bottom w:w="15" w:type="dxa"/>
                    <w:right w:w="15" w:type="dxa"/>
                  </w:tcMar>
                  <w:vAlign w:val="center"/>
                </w:tcPr>
                <w:p w14:paraId="5B904AA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2023.03.03</w:t>
                  </w:r>
                </w:p>
              </w:tc>
              <w:tc>
                <w:tcPr>
                  <w:tcW w:w="1094" w:type="dxa"/>
                  <w:noWrap w:val="0"/>
                  <w:tcMar>
                    <w:top w:w="15" w:type="dxa"/>
                    <w:left w:w="15" w:type="dxa"/>
                    <w:bottom w:w="15" w:type="dxa"/>
                    <w:right w:w="15" w:type="dxa"/>
                  </w:tcMar>
                  <w:vAlign w:val="center"/>
                </w:tcPr>
                <w:p w14:paraId="59AA588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2303032</w:t>
                  </w:r>
                  <w:r>
                    <w:rPr>
                      <w:rFonts w:hint="default" w:ascii="Times New Roman" w:hAnsi="Times New Roman" w:eastAsia="宋体" w:cs="Times New Roman"/>
                      <w:color w:val="auto"/>
                      <w:kern w:val="2"/>
                      <w:sz w:val="21"/>
                      <w:szCs w:val="21"/>
                      <w:highlight w:val="none"/>
                    </w:rPr>
                    <w:t>DB01-</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-1</w:t>
                  </w:r>
                </w:p>
              </w:tc>
              <w:tc>
                <w:tcPr>
                  <w:tcW w:w="930" w:type="dxa"/>
                  <w:tcBorders>
                    <w:right w:val="single" w:color="auto" w:sz="4" w:space="0"/>
                  </w:tcBorders>
                  <w:noWrap w:val="0"/>
                  <w:tcMar>
                    <w:top w:w="15" w:type="dxa"/>
                    <w:left w:w="15" w:type="dxa"/>
                    <w:bottom w:w="15" w:type="dxa"/>
                    <w:right w:w="15" w:type="dxa"/>
                  </w:tcMar>
                  <w:vAlign w:val="center"/>
                </w:tcPr>
                <w:p w14:paraId="222BD43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584" w:type="dxa"/>
                  <w:tcBorders>
                    <w:left w:val="single" w:color="auto" w:sz="4" w:space="0"/>
                    <w:right w:val="single" w:color="auto" w:sz="4" w:space="0"/>
                  </w:tcBorders>
                  <w:noWrap w:val="0"/>
                  <w:tcMar>
                    <w:top w:w="15" w:type="dxa"/>
                    <w:left w:w="15" w:type="dxa"/>
                    <w:bottom w:w="15" w:type="dxa"/>
                    <w:right w:w="15" w:type="dxa"/>
                  </w:tcMar>
                  <w:vAlign w:val="center"/>
                </w:tcPr>
                <w:p w14:paraId="6EC27BAB">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0.2</w:t>
                  </w:r>
                </w:p>
              </w:tc>
              <w:tc>
                <w:tcPr>
                  <w:tcW w:w="706" w:type="dxa"/>
                  <w:tcBorders>
                    <w:left w:val="single" w:color="auto" w:sz="4" w:space="0"/>
                  </w:tcBorders>
                  <w:noWrap w:val="0"/>
                  <w:tcMar>
                    <w:top w:w="15" w:type="dxa"/>
                    <w:left w:w="15" w:type="dxa"/>
                    <w:bottom w:w="15" w:type="dxa"/>
                    <w:right w:w="15" w:type="dxa"/>
                  </w:tcMar>
                  <w:vAlign w:val="center"/>
                </w:tcPr>
                <w:p w14:paraId="6664486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796" w:type="dxa"/>
                  <w:noWrap w:val="0"/>
                  <w:vAlign w:val="center"/>
                </w:tcPr>
                <w:p w14:paraId="7D05DBA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mg/L</w:t>
                  </w:r>
                </w:p>
              </w:tc>
            </w:tr>
            <w:tr w14:paraId="59231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7524" w:type="dxa"/>
                  <w:gridSpan w:val="8"/>
                  <w:noWrap w:val="0"/>
                  <w:tcMar>
                    <w:top w:w="15" w:type="dxa"/>
                    <w:left w:w="15" w:type="dxa"/>
                    <w:bottom w:w="15" w:type="dxa"/>
                    <w:right w:w="15" w:type="dxa"/>
                  </w:tcMar>
                  <w:vAlign w:val="center"/>
                </w:tcPr>
                <w:p w14:paraId="28BBBC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r>
                    <w:rPr>
                      <w:rFonts w:hint="default" w:ascii="Times New Roman" w:hAnsi="Times New Roman" w:eastAsia="宋体" w:cs="Times New Roman"/>
                      <w:bCs/>
                      <w:color w:val="auto"/>
                      <w:sz w:val="21"/>
                      <w:szCs w:val="21"/>
                      <w:highlight w:val="none"/>
                    </w:rPr>
                    <w:t>检测结果后面带有字母“L”表示检测结果低于该检测方法检出限。</w:t>
                  </w:r>
                </w:p>
              </w:tc>
            </w:tr>
          </w:tbl>
          <w:p w14:paraId="29BF4223">
            <w:pPr>
              <w:spacing w:after="108" w:afterLines="30" w:line="400" w:lineRule="exact"/>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续表3-5 地表水检测结果一览表</w:t>
            </w:r>
          </w:p>
          <w:tbl>
            <w:tblPr>
              <w:tblStyle w:val="33"/>
              <w:tblW w:w="81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94"/>
              <w:gridCol w:w="1500"/>
              <w:gridCol w:w="1800"/>
              <w:gridCol w:w="1455"/>
              <w:gridCol w:w="540"/>
              <w:gridCol w:w="112"/>
              <w:gridCol w:w="478"/>
              <w:gridCol w:w="1078"/>
            </w:tblGrid>
            <w:tr w14:paraId="38A06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1194" w:type="dxa"/>
                  <w:noWrap w:val="0"/>
                  <w:tcMar>
                    <w:top w:w="15" w:type="dxa"/>
                    <w:left w:w="15" w:type="dxa"/>
                    <w:bottom w:w="15" w:type="dxa"/>
                    <w:right w:w="15" w:type="dxa"/>
                  </w:tcMar>
                  <w:vAlign w:val="center"/>
                </w:tcPr>
                <w:p w14:paraId="717349CF">
                  <w:pPr>
                    <w:jc w:val="center"/>
                    <w:rPr>
                      <w:rFonts w:ascii="Times New Roman" w:hAnsi="Times New Roman" w:cs="Times New Roman"/>
                      <w:color w:val="auto"/>
                    </w:rPr>
                  </w:pPr>
                  <w:r>
                    <w:rPr>
                      <w:rFonts w:ascii="Times New Roman" w:hAnsi="Times New Roman" w:cs="Times New Roman"/>
                      <w:color w:val="auto"/>
                    </w:rPr>
                    <w:t>分析项目</w:t>
                  </w:r>
                </w:p>
              </w:tc>
              <w:tc>
                <w:tcPr>
                  <w:tcW w:w="1500" w:type="dxa"/>
                  <w:noWrap w:val="0"/>
                  <w:tcMar>
                    <w:top w:w="15" w:type="dxa"/>
                    <w:left w:w="15" w:type="dxa"/>
                    <w:bottom w:w="15" w:type="dxa"/>
                    <w:right w:w="15" w:type="dxa"/>
                  </w:tcMar>
                  <w:vAlign w:val="center"/>
                </w:tcPr>
                <w:p w14:paraId="5C481C61">
                  <w:pPr>
                    <w:jc w:val="center"/>
                    <w:rPr>
                      <w:rFonts w:ascii="Times New Roman" w:hAnsi="Times New Roman" w:cs="Times New Roman"/>
                      <w:color w:val="auto"/>
                    </w:rPr>
                  </w:pPr>
                  <w:r>
                    <w:rPr>
                      <w:rFonts w:ascii="Times New Roman" w:hAnsi="Times New Roman" w:cs="Times New Roman"/>
                      <w:color w:val="auto"/>
                    </w:rPr>
                    <w:t>采样日期</w:t>
                  </w:r>
                </w:p>
              </w:tc>
              <w:tc>
                <w:tcPr>
                  <w:tcW w:w="1800" w:type="dxa"/>
                  <w:noWrap w:val="0"/>
                  <w:tcMar>
                    <w:top w:w="15" w:type="dxa"/>
                    <w:left w:w="15" w:type="dxa"/>
                    <w:bottom w:w="15" w:type="dxa"/>
                    <w:right w:w="15" w:type="dxa"/>
                  </w:tcMar>
                  <w:vAlign w:val="center"/>
                </w:tcPr>
                <w:p w14:paraId="3BD85AF1">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样品编号</w:t>
                  </w:r>
                </w:p>
              </w:tc>
              <w:tc>
                <w:tcPr>
                  <w:tcW w:w="1455" w:type="dxa"/>
                  <w:tcBorders>
                    <w:right w:val="single" w:color="auto" w:sz="4" w:space="0"/>
                  </w:tcBorders>
                  <w:noWrap w:val="0"/>
                  <w:tcMar>
                    <w:top w:w="15" w:type="dxa"/>
                    <w:left w:w="15" w:type="dxa"/>
                    <w:bottom w:w="15" w:type="dxa"/>
                    <w:right w:w="15" w:type="dxa"/>
                  </w:tcMar>
                  <w:vAlign w:val="center"/>
                </w:tcPr>
                <w:p w14:paraId="773A3EB1">
                  <w:pPr>
                    <w:jc w:val="center"/>
                    <w:rPr>
                      <w:rFonts w:ascii="Times New Roman" w:hAnsi="Times New Roman" w:cs="Times New Roman"/>
                      <w:color w:val="auto"/>
                      <w:kern w:val="2"/>
                    </w:rPr>
                  </w:pPr>
                  <w:r>
                    <w:rPr>
                      <w:rFonts w:hint="eastAsia" w:ascii="Times New Roman" w:hAnsi="Times New Roman" w:cs="Times New Roman"/>
                      <w:color w:val="auto"/>
                      <w:szCs w:val="21"/>
                    </w:rPr>
                    <w:t>项目区附近曼辛河流与崇岗孔河交汇处断面</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4479EF5C">
                  <w:pPr>
                    <w:jc w:val="center"/>
                    <w:rPr>
                      <w:rFonts w:hint="eastAsia" w:ascii="Times New Roman" w:hAnsi="Times New Roman" w:cs="Times New Roman"/>
                      <w:color w:val="auto"/>
                      <w:szCs w:val="21"/>
                    </w:rPr>
                  </w:pPr>
                  <w:r>
                    <w:rPr>
                      <w:rFonts w:hint="default" w:ascii="Times New Roman" w:hAnsi="Times New Roman" w:eastAsia="宋体" w:cs="Times New Roman"/>
                      <w:color w:val="auto"/>
                      <w:sz w:val="21"/>
                      <w:szCs w:val="21"/>
                      <w:highlight w:val="none"/>
                      <w:lang w:val="en-US" w:eastAsia="zh-CN"/>
                    </w:rPr>
                    <w:t>标准值</w:t>
                  </w:r>
                </w:p>
              </w:tc>
              <w:tc>
                <w:tcPr>
                  <w:tcW w:w="478" w:type="dxa"/>
                  <w:tcBorders>
                    <w:left w:val="single" w:color="auto" w:sz="4" w:space="0"/>
                  </w:tcBorders>
                  <w:noWrap w:val="0"/>
                  <w:tcMar>
                    <w:top w:w="15" w:type="dxa"/>
                    <w:left w:w="15" w:type="dxa"/>
                    <w:bottom w:w="15" w:type="dxa"/>
                    <w:right w:w="15" w:type="dxa"/>
                  </w:tcMar>
                  <w:vAlign w:val="center"/>
                </w:tcPr>
                <w:p w14:paraId="3236707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1078" w:type="dxa"/>
                  <w:noWrap w:val="0"/>
                  <w:vAlign w:val="center"/>
                </w:tcPr>
                <w:p w14:paraId="029AA27B">
                  <w:pPr>
                    <w:jc w:val="center"/>
                    <w:rPr>
                      <w:rFonts w:ascii="Times New Roman" w:hAnsi="Times New Roman" w:cs="Times New Roman"/>
                      <w:color w:val="auto"/>
                    </w:rPr>
                  </w:pPr>
                  <w:r>
                    <w:rPr>
                      <w:rFonts w:ascii="Times New Roman" w:hAnsi="Times New Roman" w:cs="Times New Roman"/>
                      <w:color w:val="auto"/>
                    </w:rPr>
                    <w:t>单位</w:t>
                  </w:r>
                </w:p>
              </w:tc>
            </w:tr>
            <w:tr w14:paraId="03462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407A9AC5">
                  <w:pPr>
                    <w:jc w:val="center"/>
                    <w:rPr>
                      <w:rFonts w:ascii="Times New Roman" w:hAnsi="Times New Roman" w:cs="Times New Roman"/>
                      <w:color w:val="auto"/>
                    </w:rPr>
                  </w:pPr>
                  <w:r>
                    <w:rPr>
                      <w:rFonts w:hint="eastAsia" w:ascii="Times New Roman" w:hAnsi="Times New Roman" w:cs="Times New Roman"/>
                      <w:color w:val="auto"/>
                      <w:szCs w:val="21"/>
                    </w:rPr>
                    <w:t>水温</w:t>
                  </w:r>
                </w:p>
              </w:tc>
              <w:tc>
                <w:tcPr>
                  <w:tcW w:w="1500" w:type="dxa"/>
                  <w:noWrap w:val="0"/>
                  <w:tcMar>
                    <w:top w:w="15" w:type="dxa"/>
                    <w:left w:w="15" w:type="dxa"/>
                    <w:bottom w:w="15" w:type="dxa"/>
                    <w:right w:w="15" w:type="dxa"/>
                  </w:tcMar>
                  <w:vAlign w:val="center"/>
                </w:tcPr>
                <w:p w14:paraId="58DDBF12">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4909BBBB">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7056CCFC">
                  <w:pPr>
                    <w:jc w:val="center"/>
                    <w:textAlignment w:val="cente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1.7</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7C9B6293">
                  <w:pPr>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478" w:type="dxa"/>
                  <w:tcBorders>
                    <w:left w:val="single" w:color="auto" w:sz="4" w:space="0"/>
                  </w:tcBorders>
                  <w:noWrap w:val="0"/>
                  <w:tcMar>
                    <w:top w:w="15" w:type="dxa"/>
                    <w:left w:w="15" w:type="dxa"/>
                    <w:bottom w:w="15" w:type="dxa"/>
                    <w:right w:w="15" w:type="dxa"/>
                  </w:tcMar>
                  <w:vAlign w:val="center"/>
                </w:tcPr>
                <w:p w14:paraId="408BA816">
                  <w:pPr>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w:t>
                  </w:r>
                </w:p>
              </w:tc>
              <w:tc>
                <w:tcPr>
                  <w:tcW w:w="1078" w:type="dxa"/>
                  <w:noWrap w:val="0"/>
                  <w:vAlign w:val="center"/>
                </w:tcPr>
                <w:p w14:paraId="5FCFEA8A">
                  <w:pPr>
                    <w:jc w:val="center"/>
                    <w:rPr>
                      <w:rFonts w:ascii="Times New Roman" w:hAnsi="Times New Roman" w:cs="Times New Roman"/>
                      <w:color w:val="auto"/>
                    </w:rPr>
                  </w:pPr>
                  <w:r>
                    <w:rPr>
                      <w:rFonts w:hint="eastAsia" w:ascii="Times New Roman" w:hAnsi="Times New Roman" w:cs="Times New Roman"/>
                      <w:color w:val="auto"/>
                    </w:rPr>
                    <w:t>℃</w:t>
                  </w:r>
                </w:p>
              </w:tc>
            </w:tr>
            <w:tr w14:paraId="1A308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2561CABE">
                  <w:pPr>
                    <w:jc w:val="center"/>
                    <w:rPr>
                      <w:rFonts w:ascii="Times New Roman" w:hAnsi="Times New Roman" w:cs="Times New Roman"/>
                      <w:color w:val="auto"/>
                      <w:szCs w:val="21"/>
                    </w:rPr>
                  </w:pPr>
                </w:p>
              </w:tc>
              <w:tc>
                <w:tcPr>
                  <w:tcW w:w="1500" w:type="dxa"/>
                  <w:noWrap w:val="0"/>
                  <w:tcMar>
                    <w:top w:w="15" w:type="dxa"/>
                    <w:left w:w="15" w:type="dxa"/>
                    <w:bottom w:w="15" w:type="dxa"/>
                    <w:right w:w="15" w:type="dxa"/>
                  </w:tcMar>
                  <w:vAlign w:val="center"/>
                </w:tcPr>
                <w:p w14:paraId="042B6843">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2746D215">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3528D02C">
                  <w:pPr>
                    <w:jc w:val="center"/>
                    <w:textAlignment w:val="cente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2.1</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71FC1AEE">
                  <w:pPr>
                    <w:jc w:val="center"/>
                    <w:textAlignment w:val="center"/>
                    <w:rPr>
                      <w:rFonts w:hint="eastAsia" w:ascii="Times New Roman" w:hAnsi="Times New Roman" w:cs="Times New Roman"/>
                      <w:color w:val="auto"/>
                    </w:rPr>
                  </w:pPr>
                  <w:r>
                    <w:rPr>
                      <w:rFonts w:hint="eastAsia" w:ascii="Times New Roman" w:hAnsi="Times New Roman" w:cs="Times New Roman"/>
                      <w:color w:val="auto"/>
                      <w:lang w:val="en-US" w:eastAsia="zh-CN"/>
                    </w:rPr>
                    <w:t>/</w:t>
                  </w:r>
                </w:p>
              </w:tc>
              <w:tc>
                <w:tcPr>
                  <w:tcW w:w="478" w:type="dxa"/>
                  <w:tcBorders>
                    <w:left w:val="single" w:color="auto" w:sz="4" w:space="0"/>
                  </w:tcBorders>
                  <w:noWrap w:val="0"/>
                  <w:tcMar>
                    <w:top w:w="15" w:type="dxa"/>
                    <w:left w:w="15" w:type="dxa"/>
                    <w:bottom w:w="15" w:type="dxa"/>
                    <w:right w:w="15" w:type="dxa"/>
                  </w:tcMar>
                  <w:vAlign w:val="center"/>
                </w:tcPr>
                <w:p w14:paraId="7E8D3ABB">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lang w:val="en-US" w:eastAsia="zh-CN"/>
                    </w:rPr>
                    <w:t>/</w:t>
                  </w:r>
                </w:p>
              </w:tc>
              <w:tc>
                <w:tcPr>
                  <w:tcW w:w="1078" w:type="dxa"/>
                  <w:noWrap w:val="0"/>
                  <w:vAlign w:val="center"/>
                </w:tcPr>
                <w:p w14:paraId="14212F59">
                  <w:pPr>
                    <w:jc w:val="center"/>
                    <w:rPr>
                      <w:rFonts w:ascii="Times New Roman" w:hAnsi="Times New Roman" w:cs="Times New Roman"/>
                      <w:color w:val="auto"/>
                    </w:rPr>
                  </w:pPr>
                  <w:r>
                    <w:rPr>
                      <w:rFonts w:hint="eastAsia" w:ascii="Times New Roman" w:hAnsi="Times New Roman" w:cs="Times New Roman"/>
                      <w:color w:val="auto"/>
                    </w:rPr>
                    <w:t>℃</w:t>
                  </w:r>
                </w:p>
              </w:tc>
            </w:tr>
            <w:tr w14:paraId="5A6D0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62D79961">
                  <w:pPr>
                    <w:jc w:val="center"/>
                    <w:rPr>
                      <w:rFonts w:ascii="Times New Roman" w:hAnsi="Times New Roman" w:cs="Times New Roman"/>
                      <w:color w:val="auto"/>
                      <w:szCs w:val="21"/>
                    </w:rPr>
                  </w:pPr>
                </w:p>
              </w:tc>
              <w:tc>
                <w:tcPr>
                  <w:tcW w:w="1500" w:type="dxa"/>
                  <w:noWrap w:val="0"/>
                  <w:tcMar>
                    <w:top w:w="15" w:type="dxa"/>
                    <w:left w:w="15" w:type="dxa"/>
                    <w:bottom w:w="15" w:type="dxa"/>
                    <w:right w:w="15" w:type="dxa"/>
                  </w:tcMar>
                  <w:vAlign w:val="center"/>
                </w:tcPr>
                <w:p w14:paraId="5A0C2331">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00B35D79">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16AF069E">
                  <w:pPr>
                    <w:jc w:val="center"/>
                    <w:textAlignment w:val="center"/>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1.8</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380A8E27">
                  <w:pPr>
                    <w:jc w:val="center"/>
                    <w:textAlignment w:val="center"/>
                    <w:rPr>
                      <w:rFonts w:hint="eastAsia" w:ascii="Times New Roman" w:hAnsi="Times New Roman" w:cs="Times New Roman"/>
                      <w:color w:val="auto"/>
                    </w:rPr>
                  </w:pPr>
                  <w:r>
                    <w:rPr>
                      <w:rFonts w:hint="eastAsia" w:ascii="Times New Roman" w:hAnsi="Times New Roman" w:cs="Times New Roman"/>
                      <w:color w:val="auto"/>
                      <w:lang w:val="en-US" w:eastAsia="zh-CN"/>
                    </w:rPr>
                    <w:t>/</w:t>
                  </w:r>
                </w:p>
              </w:tc>
              <w:tc>
                <w:tcPr>
                  <w:tcW w:w="478" w:type="dxa"/>
                  <w:tcBorders>
                    <w:left w:val="single" w:color="auto" w:sz="4" w:space="0"/>
                  </w:tcBorders>
                  <w:noWrap w:val="0"/>
                  <w:tcMar>
                    <w:top w:w="15" w:type="dxa"/>
                    <w:left w:w="15" w:type="dxa"/>
                    <w:bottom w:w="15" w:type="dxa"/>
                    <w:right w:w="15" w:type="dxa"/>
                  </w:tcMar>
                  <w:vAlign w:val="center"/>
                </w:tcPr>
                <w:p w14:paraId="08F94CF8">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lang w:val="en-US" w:eastAsia="zh-CN"/>
                    </w:rPr>
                    <w:t>/</w:t>
                  </w:r>
                </w:p>
              </w:tc>
              <w:tc>
                <w:tcPr>
                  <w:tcW w:w="1078" w:type="dxa"/>
                  <w:noWrap w:val="0"/>
                  <w:vAlign w:val="center"/>
                </w:tcPr>
                <w:p w14:paraId="6F508307">
                  <w:pPr>
                    <w:jc w:val="center"/>
                    <w:rPr>
                      <w:rFonts w:ascii="Times New Roman" w:hAnsi="Times New Roman" w:cs="Times New Roman"/>
                      <w:color w:val="auto"/>
                    </w:rPr>
                  </w:pPr>
                  <w:r>
                    <w:rPr>
                      <w:rFonts w:hint="eastAsia" w:ascii="Times New Roman" w:hAnsi="Times New Roman" w:cs="Times New Roman"/>
                      <w:color w:val="auto"/>
                    </w:rPr>
                    <w:t>℃</w:t>
                  </w:r>
                </w:p>
              </w:tc>
            </w:tr>
            <w:tr w14:paraId="054AA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4546051E">
                  <w:pPr>
                    <w:jc w:val="center"/>
                    <w:rPr>
                      <w:rFonts w:ascii="Times New Roman" w:hAnsi="Times New Roman" w:cs="Times New Roman"/>
                      <w:color w:val="auto"/>
                    </w:rPr>
                  </w:pPr>
                  <w:r>
                    <w:rPr>
                      <w:rFonts w:hint="eastAsia" w:ascii="Times New Roman" w:hAnsi="Times New Roman" w:cs="Times New Roman"/>
                      <w:color w:val="auto"/>
                    </w:rPr>
                    <w:t>铜</w:t>
                  </w:r>
                </w:p>
              </w:tc>
              <w:tc>
                <w:tcPr>
                  <w:tcW w:w="1500" w:type="dxa"/>
                  <w:noWrap w:val="0"/>
                  <w:tcMar>
                    <w:top w:w="15" w:type="dxa"/>
                    <w:left w:w="15" w:type="dxa"/>
                    <w:bottom w:w="15" w:type="dxa"/>
                    <w:right w:w="15" w:type="dxa"/>
                  </w:tcMar>
                  <w:vAlign w:val="center"/>
                </w:tcPr>
                <w:p w14:paraId="5717EA75">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4A28DEB0">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6AD5B847">
                  <w:pPr>
                    <w:jc w:val="center"/>
                    <w:textAlignment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59BF343F">
                  <w:pPr>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20487DAB">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37D2919C">
                  <w:pPr>
                    <w:jc w:val="center"/>
                    <w:rPr>
                      <w:rFonts w:ascii="Times New Roman" w:hAnsi="Times New Roman" w:cs="Times New Roman"/>
                      <w:color w:val="auto"/>
                    </w:rPr>
                  </w:pPr>
                  <w:r>
                    <w:rPr>
                      <w:rFonts w:ascii="Times New Roman" w:hAnsi="Times New Roman" w:cs="Times New Roman"/>
                      <w:color w:val="auto"/>
                    </w:rPr>
                    <w:t>mg/L</w:t>
                  </w:r>
                </w:p>
              </w:tc>
            </w:tr>
            <w:tr w14:paraId="5620A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26F4E2A7">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2C57A6D1">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0543FC1E">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293D3E42">
                  <w:pPr>
                    <w:jc w:val="center"/>
                    <w:textAlignment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1584869E">
                  <w:pPr>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4C536BA1">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8BF9936">
                  <w:pPr>
                    <w:jc w:val="center"/>
                    <w:rPr>
                      <w:rFonts w:ascii="Times New Roman" w:hAnsi="Times New Roman" w:cs="Times New Roman"/>
                      <w:color w:val="auto"/>
                    </w:rPr>
                  </w:pPr>
                  <w:r>
                    <w:rPr>
                      <w:rFonts w:ascii="Times New Roman" w:hAnsi="Times New Roman" w:cs="Times New Roman"/>
                      <w:color w:val="auto"/>
                    </w:rPr>
                    <w:t>mg/L</w:t>
                  </w:r>
                </w:p>
              </w:tc>
            </w:tr>
            <w:tr w14:paraId="60B21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7983E2E2">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6AC99897">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772C46F1">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462D2C56">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264BC74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37F7FC88">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21530395">
                  <w:pPr>
                    <w:jc w:val="center"/>
                    <w:rPr>
                      <w:rFonts w:ascii="Times New Roman" w:hAnsi="Times New Roman" w:cs="Times New Roman"/>
                      <w:color w:val="auto"/>
                    </w:rPr>
                  </w:pPr>
                  <w:r>
                    <w:rPr>
                      <w:rFonts w:ascii="Times New Roman" w:hAnsi="Times New Roman" w:cs="Times New Roman"/>
                      <w:color w:val="auto"/>
                    </w:rPr>
                    <w:t>mg/L</w:t>
                  </w:r>
                </w:p>
              </w:tc>
            </w:tr>
            <w:tr w14:paraId="5AC7E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77CC340B">
                  <w:pPr>
                    <w:jc w:val="center"/>
                    <w:rPr>
                      <w:rFonts w:ascii="Times New Roman" w:hAnsi="Times New Roman" w:cs="Times New Roman"/>
                      <w:color w:val="auto"/>
                    </w:rPr>
                  </w:pPr>
                  <w:r>
                    <w:rPr>
                      <w:rFonts w:hint="eastAsia" w:ascii="Times New Roman" w:hAnsi="Times New Roman" w:cs="Times New Roman"/>
                      <w:color w:val="auto"/>
                    </w:rPr>
                    <w:t>锌</w:t>
                  </w:r>
                </w:p>
              </w:tc>
              <w:tc>
                <w:tcPr>
                  <w:tcW w:w="1500" w:type="dxa"/>
                  <w:noWrap w:val="0"/>
                  <w:tcMar>
                    <w:top w:w="15" w:type="dxa"/>
                    <w:left w:w="15" w:type="dxa"/>
                    <w:bottom w:w="15" w:type="dxa"/>
                    <w:right w:w="15" w:type="dxa"/>
                  </w:tcMar>
                  <w:vAlign w:val="center"/>
                </w:tcPr>
                <w:p w14:paraId="55C9F9BA">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6F2A560F">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7FEC1E7F">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02CF81E7">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3A9027AD">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3BAD8AA">
                  <w:pPr>
                    <w:jc w:val="center"/>
                    <w:rPr>
                      <w:rFonts w:ascii="Times New Roman" w:hAnsi="Times New Roman" w:cs="Times New Roman"/>
                      <w:color w:val="auto"/>
                    </w:rPr>
                  </w:pPr>
                  <w:r>
                    <w:rPr>
                      <w:rFonts w:ascii="Times New Roman" w:hAnsi="Times New Roman" w:cs="Times New Roman"/>
                      <w:color w:val="auto"/>
                    </w:rPr>
                    <w:t>mg/L</w:t>
                  </w:r>
                </w:p>
              </w:tc>
            </w:tr>
            <w:tr w14:paraId="3D79E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3D70C01">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6E361578">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173C2715">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31BD4DB0">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672F080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7CDA18FB">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7DF294D6">
                  <w:pPr>
                    <w:jc w:val="center"/>
                    <w:rPr>
                      <w:rFonts w:ascii="Times New Roman" w:hAnsi="Times New Roman" w:cs="Times New Roman"/>
                      <w:color w:val="auto"/>
                    </w:rPr>
                  </w:pPr>
                  <w:r>
                    <w:rPr>
                      <w:rFonts w:ascii="Times New Roman" w:hAnsi="Times New Roman" w:cs="Times New Roman"/>
                      <w:color w:val="auto"/>
                    </w:rPr>
                    <w:t>mg/L</w:t>
                  </w:r>
                </w:p>
              </w:tc>
            </w:tr>
            <w:tr w14:paraId="5E101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3D76E82">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271B7E39">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04BB4D01">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7C2FE09E">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04F9BD7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18892BDE">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58F56A7">
                  <w:pPr>
                    <w:jc w:val="center"/>
                    <w:rPr>
                      <w:rFonts w:ascii="Times New Roman" w:hAnsi="Times New Roman" w:cs="Times New Roman"/>
                      <w:color w:val="auto"/>
                    </w:rPr>
                  </w:pPr>
                  <w:r>
                    <w:rPr>
                      <w:rFonts w:ascii="Times New Roman" w:hAnsi="Times New Roman" w:cs="Times New Roman"/>
                      <w:color w:val="auto"/>
                    </w:rPr>
                    <w:t>mg/L</w:t>
                  </w:r>
                </w:p>
              </w:tc>
            </w:tr>
            <w:tr w14:paraId="06A0C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6F91526A">
                  <w:pPr>
                    <w:jc w:val="center"/>
                    <w:rPr>
                      <w:rFonts w:ascii="Times New Roman" w:hAnsi="Times New Roman" w:cs="Times New Roman"/>
                      <w:color w:val="auto"/>
                    </w:rPr>
                  </w:pPr>
                  <w:r>
                    <w:rPr>
                      <w:rFonts w:hint="eastAsia" w:ascii="Times New Roman" w:hAnsi="Times New Roman" w:cs="Times New Roman"/>
                      <w:color w:val="auto"/>
                    </w:rPr>
                    <w:t>氟化物</w:t>
                  </w:r>
                </w:p>
              </w:tc>
              <w:tc>
                <w:tcPr>
                  <w:tcW w:w="1500" w:type="dxa"/>
                  <w:noWrap w:val="0"/>
                  <w:tcMar>
                    <w:top w:w="15" w:type="dxa"/>
                    <w:left w:w="15" w:type="dxa"/>
                    <w:bottom w:w="15" w:type="dxa"/>
                    <w:right w:w="15" w:type="dxa"/>
                  </w:tcMar>
                  <w:vAlign w:val="center"/>
                </w:tcPr>
                <w:p w14:paraId="7A504D12">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7BD691A2">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18817C37">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4AA7E3A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645BF873">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01AC3A2">
                  <w:pPr>
                    <w:jc w:val="center"/>
                    <w:rPr>
                      <w:rFonts w:ascii="Times New Roman" w:hAnsi="Times New Roman" w:cs="Times New Roman"/>
                      <w:color w:val="auto"/>
                    </w:rPr>
                  </w:pPr>
                  <w:r>
                    <w:rPr>
                      <w:rFonts w:ascii="Times New Roman" w:hAnsi="Times New Roman" w:cs="Times New Roman"/>
                      <w:color w:val="auto"/>
                    </w:rPr>
                    <w:t>mg/L</w:t>
                  </w:r>
                </w:p>
              </w:tc>
            </w:tr>
            <w:tr w14:paraId="0BFD3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3BD10E78">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4029E5C6">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2122B57A">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478C9A62">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0B3995B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5E26D715">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05E9A010">
                  <w:pPr>
                    <w:jc w:val="center"/>
                    <w:rPr>
                      <w:rFonts w:ascii="Times New Roman" w:hAnsi="Times New Roman" w:cs="Times New Roman"/>
                      <w:color w:val="auto"/>
                    </w:rPr>
                  </w:pPr>
                  <w:r>
                    <w:rPr>
                      <w:rFonts w:ascii="Times New Roman" w:hAnsi="Times New Roman" w:cs="Times New Roman"/>
                      <w:color w:val="auto"/>
                    </w:rPr>
                    <w:t>mg/L</w:t>
                  </w:r>
                </w:p>
              </w:tc>
            </w:tr>
            <w:tr w14:paraId="6021E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0B3227BC">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4AB7D7AC">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794B4D4F">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2DB62A51">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.05L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73FF4D3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w:t>
                  </w:r>
                </w:p>
              </w:tc>
              <w:tc>
                <w:tcPr>
                  <w:tcW w:w="478" w:type="dxa"/>
                  <w:tcBorders>
                    <w:left w:val="single" w:color="auto" w:sz="4" w:space="0"/>
                  </w:tcBorders>
                  <w:noWrap w:val="0"/>
                  <w:tcMar>
                    <w:top w:w="15" w:type="dxa"/>
                    <w:left w:w="15" w:type="dxa"/>
                    <w:bottom w:w="15" w:type="dxa"/>
                    <w:right w:w="15" w:type="dxa"/>
                  </w:tcMar>
                  <w:vAlign w:val="center"/>
                </w:tcPr>
                <w:p w14:paraId="17EE6406">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6D7B2736">
                  <w:pPr>
                    <w:jc w:val="center"/>
                    <w:rPr>
                      <w:rFonts w:ascii="Times New Roman" w:hAnsi="Times New Roman" w:cs="Times New Roman"/>
                      <w:color w:val="auto"/>
                    </w:rPr>
                  </w:pPr>
                  <w:r>
                    <w:rPr>
                      <w:rFonts w:ascii="Times New Roman" w:hAnsi="Times New Roman" w:cs="Times New Roman"/>
                      <w:color w:val="auto"/>
                    </w:rPr>
                    <w:t>mg/L</w:t>
                  </w:r>
                </w:p>
              </w:tc>
            </w:tr>
            <w:tr w14:paraId="51527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61B3A1E1">
                  <w:pPr>
                    <w:jc w:val="center"/>
                    <w:rPr>
                      <w:rFonts w:ascii="Times New Roman" w:hAnsi="Times New Roman" w:cs="Times New Roman"/>
                      <w:color w:val="auto"/>
                    </w:rPr>
                  </w:pPr>
                  <w:r>
                    <w:rPr>
                      <w:rFonts w:hint="eastAsia" w:ascii="Times New Roman" w:hAnsi="Times New Roman" w:cs="Times New Roman"/>
                      <w:color w:val="auto"/>
                    </w:rPr>
                    <w:t>硒</w:t>
                  </w:r>
                </w:p>
              </w:tc>
              <w:tc>
                <w:tcPr>
                  <w:tcW w:w="1500" w:type="dxa"/>
                  <w:noWrap w:val="0"/>
                  <w:tcMar>
                    <w:top w:w="15" w:type="dxa"/>
                    <w:left w:w="15" w:type="dxa"/>
                    <w:bottom w:w="15" w:type="dxa"/>
                    <w:right w:w="15" w:type="dxa"/>
                  </w:tcMar>
                  <w:vAlign w:val="center"/>
                </w:tcPr>
                <w:p w14:paraId="037115F5">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16D74A92">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474B1221">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30D046F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0.01</w:t>
                  </w:r>
                </w:p>
              </w:tc>
              <w:tc>
                <w:tcPr>
                  <w:tcW w:w="478" w:type="dxa"/>
                  <w:tcBorders>
                    <w:left w:val="single" w:color="auto" w:sz="4" w:space="0"/>
                  </w:tcBorders>
                  <w:noWrap w:val="0"/>
                  <w:tcMar>
                    <w:top w:w="15" w:type="dxa"/>
                    <w:left w:w="15" w:type="dxa"/>
                    <w:bottom w:w="15" w:type="dxa"/>
                    <w:right w:w="15" w:type="dxa"/>
                  </w:tcMar>
                  <w:vAlign w:val="center"/>
                </w:tcPr>
                <w:p w14:paraId="391F60F4">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72B34733">
                  <w:pPr>
                    <w:jc w:val="center"/>
                    <w:rPr>
                      <w:rFonts w:ascii="Times New Roman" w:hAnsi="Times New Roman" w:cs="Times New Roman"/>
                      <w:color w:val="auto"/>
                    </w:rPr>
                  </w:pPr>
                  <w:r>
                    <w:rPr>
                      <w:rFonts w:ascii="Times New Roman" w:hAnsi="Times New Roman" w:cs="Times New Roman"/>
                      <w:color w:val="auto"/>
                    </w:rPr>
                    <w:t>mg/L</w:t>
                  </w:r>
                </w:p>
              </w:tc>
            </w:tr>
            <w:tr w14:paraId="4299C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0CE36E43">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583F7470">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3F5D2913">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1DFDED96">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3D691CC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0.01</w:t>
                  </w:r>
                </w:p>
              </w:tc>
              <w:tc>
                <w:tcPr>
                  <w:tcW w:w="478" w:type="dxa"/>
                  <w:tcBorders>
                    <w:left w:val="single" w:color="auto" w:sz="4" w:space="0"/>
                  </w:tcBorders>
                  <w:noWrap w:val="0"/>
                  <w:tcMar>
                    <w:top w:w="15" w:type="dxa"/>
                    <w:left w:w="15" w:type="dxa"/>
                    <w:bottom w:w="15" w:type="dxa"/>
                    <w:right w:w="15" w:type="dxa"/>
                  </w:tcMar>
                  <w:vAlign w:val="center"/>
                </w:tcPr>
                <w:p w14:paraId="4719C923">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4D3F38CB">
                  <w:pPr>
                    <w:jc w:val="center"/>
                    <w:rPr>
                      <w:rFonts w:ascii="Times New Roman" w:hAnsi="Times New Roman" w:cs="Times New Roman"/>
                      <w:color w:val="auto"/>
                    </w:rPr>
                  </w:pPr>
                  <w:r>
                    <w:rPr>
                      <w:rFonts w:ascii="Times New Roman" w:hAnsi="Times New Roman" w:cs="Times New Roman"/>
                      <w:color w:val="auto"/>
                    </w:rPr>
                    <w:t>mg/L</w:t>
                  </w:r>
                </w:p>
              </w:tc>
            </w:tr>
            <w:tr w14:paraId="240AF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7C8E3BF6">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59904B36">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2FD9BB08">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59FEE9B9">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18F57C1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0.01</w:t>
                  </w:r>
                </w:p>
              </w:tc>
              <w:tc>
                <w:tcPr>
                  <w:tcW w:w="478" w:type="dxa"/>
                  <w:tcBorders>
                    <w:left w:val="single" w:color="auto" w:sz="4" w:space="0"/>
                  </w:tcBorders>
                  <w:noWrap w:val="0"/>
                  <w:tcMar>
                    <w:top w:w="15" w:type="dxa"/>
                    <w:left w:w="15" w:type="dxa"/>
                    <w:bottom w:w="15" w:type="dxa"/>
                    <w:right w:w="15" w:type="dxa"/>
                  </w:tcMar>
                  <w:vAlign w:val="center"/>
                </w:tcPr>
                <w:p w14:paraId="721B4EB1">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2E1BF98A">
                  <w:pPr>
                    <w:jc w:val="center"/>
                    <w:rPr>
                      <w:rFonts w:ascii="Times New Roman" w:hAnsi="Times New Roman" w:cs="Times New Roman"/>
                      <w:color w:val="auto"/>
                    </w:rPr>
                  </w:pPr>
                  <w:r>
                    <w:rPr>
                      <w:rFonts w:ascii="Times New Roman" w:hAnsi="Times New Roman" w:cs="Times New Roman"/>
                      <w:color w:val="auto"/>
                    </w:rPr>
                    <w:t>mg/L</w:t>
                  </w:r>
                </w:p>
              </w:tc>
            </w:tr>
            <w:tr w14:paraId="3260D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2F9EA4E3">
                  <w:pPr>
                    <w:jc w:val="center"/>
                    <w:rPr>
                      <w:rFonts w:ascii="Times New Roman" w:hAnsi="Times New Roman" w:cs="Times New Roman"/>
                      <w:color w:val="auto"/>
                    </w:rPr>
                  </w:pPr>
                  <w:r>
                    <w:rPr>
                      <w:rFonts w:hint="eastAsia" w:ascii="Times New Roman" w:hAnsi="Times New Roman" w:cs="Times New Roman"/>
                      <w:color w:val="auto"/>
                    </w:rPr>
                    <w:t>砷</w:t>
                  </w:r>
                </w:p>
              </w:tc>
              <w:tc>
                <w:tcPr>
                  <w:tcW w:w="1500" w:type="dxa"/>
                  <w:noWrap w:val="0"/>
                  <w:tcMar>
                    <w:top w:w="15" w:type="dxa"/>
                    <w:left w:w="15" w:type="dxa"/>
                    <w:bottom w:w="15" w:type="dxa"/>
                    <w:right w:w="15" w:type="dxa"/>
                  </w:tcMar>
                  <w:vAlign w:val="center"/>
                </w:tcPr>
                <w:p w14:paraId="002E7727">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4D6CF2E6">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592F2E85">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.0003L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194CF43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59C0E261">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7CDD5C5C">
                  <w:pPr>
                    <w:jc w:val="center"/>
                    <w:rPr>
                      <w:rFonts w:ascii="Times New Roman" w:hAnsi="Times New Roman" w:cs="Times New Roman"/>
                      <w:color w:val="auto"/>
                    </w:rPr>
                  </w:pPr>
                  <w:r>
                    <w:rPr>
                      <w:rFonts w:ascii="Times New Roman" w:hAnsi="Times New Roman" w:cs="Times New Roman"/>
                      <w:color w:val="auto"/>
                    </w:rPr>
                    <w:t>mg/L</w:t>
                  </w:r>
                </w:p>
              </w:tc>
            </w:tr>
            <w:tr w14:paraId="2A413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8174136">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20962077">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15B9FFB4">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2798F2F5">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.0003L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05412A2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1420C2D9">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69CBE21">
                  <w:pPr>
                    <w:jc w:val="center"/>
                    <w:rPr>
                      <w:rFonts w:ascii="Times New Roman" w:hAnsi="Times New Roman" w:cs="Times New Roman"/>
                      <w:color w:val="auto"/>
                    </w:rPr>
                  </w:pPr>
                  <w:r>
                    <w:rPr>
                      <w:rFonts w:ascii="Times New Roman" w:hAnsi="Times New Roman" w:cs="Times New Roman"/>
                      <w:color w:val="auto"/>
                    </w:rPr>
                    <w:t>mg/L</w:t>
                  </w:r>
                </w:p>
              </w:tc>
            </w:tr>
            <w:tr w14:paraId="23F7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86DAF1F">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064092C7">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04EBF7D1">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194A1D85">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.0003L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1C72314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10D06B62">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68024EC2">
                  <w:pPr>
                    <w:jc w:val="center"/>
                    <w:rPr>
                      <w:rFonts w:ascii="Times New Roman" w:hAnsi="Times New Roman" w:cs="Times New Roman"/>
                      <w:color w:val="auto"/>
                    </w:rPr>
                  </w:pPr>
                  <w:r>
                    <w:rPr>
                      <w:rFonts w:ascii="Times New Roman" w:hAnsi="Times New Roman" w:cs="Times New Roman"/>
                      <w:color w:val="auto"/>
                    </w:rPr>
                    <w:t>mg/L</w:t>
                  </w:r>
                </w:p>
              </w:tc>
            </w:tr>
            <w:tr w14:paraId="6B06C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6F7291D3">
                  <w:pPr>
                    <w:jc w:val="center"/>
                    <w:rPr>
                      <w:rFonts w:ascii="Times New Roman" w:hAnsi="Times New Roman" w:cs="Times New Roman"/>
                      <w:color w:val="auto"/>
                    </w:rPr>
                  </w:pPr>
                  <w:r>
                    <w:rPr>
                      <w:rFonts w:hint="eastAsia" w:ascii="Times New Roman" w:hAnsi="Times New Roman" w:cs="Times New Roman"/>
                      <w:color w:val="auto"/>
                    </w:rPr>
                    <w:t>汞</w:t>
                  </w:r>
                </w:p>
              </w:tc>
              <w:tc>
                <w:tcPr>
                  <w:tcW w:w="1500" w:type="dxa"/>
                  <w:noWrap w:val="0"/>
                  <w:tcMar>
                    <w:top w:w="15" w:type="dxa"/>
                    <w:left w:w="15" w:type="dxa"/>
                    <w:bottom w:w="15" w:type="dxa"/>
                    <w:right w:w="15" w:type="dxa"/>
                  </w:tcMar>
                  <w:vAlign w:val="center"/>
                </w:tcPr>
                <w:p w14:paraId="3780A253">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402066AE">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23D79C11">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2F16A48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0.0001</w:t>
                  </w:r>
                </w:p>
              </w:tc>
              <w:tc>
                <w:tcPr>
                  <w:tcW w:w="478" w:type="dxa"/>
                  <w:tcBorders>
                    <w:left w:val="single" w:color="auto" w:sz="4" w:space="0"/>
                  </w:tcBorders>
                  <w:noWrap w:val="0"/>
                  <w:tcMar>
                    <w:top w:w="15" w:type="dxa"/>
                    <w:left w:w="15" w:type="dxa"/>
                    <w:bottom w:w="15" w:type="dxa"/>
                    <w:right w:w="15" w:type="dxa"/>
                  </w:tcMar>
                  <w:vAlign w:val="center"/>
                </w:tcPr>
                <w:p w14:paraId="4BAAA681">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40828919">
                  <w:pPr>
                    <w:jc w:val="center"/>
                    <w:rPr>
                      <w:rFonts w:ascii="Times New Roman" w:hAnsi="Times New Roman" w:cs="Times New Roman"/>
                      <w:color w:val="auto"/>
                    </w:rPr>
                  </w:pPr>
                  <w:r>
                    <w:rPr>
                      <w:rFonts w:ascii="Times New Roman" w:hAnsi="Times New Roman" w:cs="Times New Roman"/>
                      <w:color w:val="auto"/>
                    </w:rPr>
                    <w:t>mg/L</w:t>
                  </w:r>
                </w:p>
              </w:tc>
            </w:tr>
            <w:tr w14:paraId="64A66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59201421">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7832F9DB">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29DE63D9">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51A30D24">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3F6FC29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0.0001</w:t>
                  </w:r>
                </w:p>
              </w:tc>
              <w:tc>
                <w:tcPr>
                  <w:tcW w:w="478" w:type="dxa"/>
                  <w:tcBorders>
                    <w:left w:val="single" w:color="auto" w:sz="4" w:space="0"/>
                  </w:tcBorders>
                  <w:noWrap w:val="0"/>
                  <w:tcMar>
                    <w:top w:w="15" w:type="dxa"/>
                    <w:left w:w="15" w:type="dxa"/>
                    <w:bottom w:w="15" w:type="dxa"/>
                    <w:right w:w="15" w:type="dxa"/>
                  </w:tcMar>
                  <w:vAlign w:val="center"/>
                </w:tcPr>
                <w:p w14:paraId="53C473F8">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705AEB85">
                  <w:pPr>
                    <w:jc w:val="center"/>
                    <w:rPr>
                      <w:rFonts w:ascii="Times New Roman" w:hAnsi="Times New Roman" w:cs="Times New Roman"/>
                      <w:color w:val="auto"/>
                    </w:rPr>
                  </w:pPr>
                  <w:r>
                    <w:rPr>
                      <w:rFonts w:ascii="Times New Roman" w:hAnsi="Times New Roman" w:cs="Times New Roman"/>
                      <w:color w:val="auto"/>
                    </w:rPr>
                    <w:t>mg/L</w:t>
                  </w:r>
                </w:p>
              </w:tc>
            </w:tr>
            <w:tr w14:paraId="14E5A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5BA1C184">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39AAF2F7">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33893862">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09819BCE">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695944B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0.0001</w:t>
                  </w:r>
                </w:p>
              </w:tc>
              <w:tc>
                <w:tcPr>
                  <w:tcW w:w="478" w:type="dxa"/>
                  <w:tcBorders>
                    <w:left w:val="single" w:color="auto" w:sz="4" w:space="0"/>
                  </w:tcBorders>
                  <w:noWrap w:val="0"/>
                  <w:tcMar>
                    <w:top w:w="15" w:type="dxa"/>
                    <w:left w:w="15" w:type="dxa"/>
                    <w:bottom w:w="15" w:type="dxa"/>
                    <w:right w:w="15" w:type="dxa"/>
                  </w:tcMar>
                  <w:vAlign w:val="center"/>
                </w:tcPr>
                <w:p w14:paraId="20ECBFFD">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781DDD54">
                  <w:pPr>
                    <w:jc w:val="center"/>
                    <w:rPr>
                      <w:rFonts w:ascii="Times New Roman" w:hAnsi="Times New Roman" w:cs="Times New Roman"/>
                      <w:color w:val="auto"/>
                    </w:rPr>
                  </w:pPr>
                  <w:r>
                    <w:rPr>
                      <w:rFonts w:ascii="Times New Roman" w:hAnsi="Times New Roman" w:cs="Times New Roman"/>
                      <w:color w:val="auto"/>
                    </w:rPr>
                    <w:t>mg/L</w:t>
                  </w:r>
                </w:p>
              </w:tc>
            </w:tr>
            <w:tr w14:paraId="22358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351E5D5E">
                  <w:pPr>
                    <w:jc w:val="center"/>
                    <w:rPr>
                      <w:rFonts w:ascii="Times New Roman" w:hAnsi="Times New Roman" w:cs="Times New Roman"/>
                      <w:color w:val="auto"/>
                    </w:rPr>
                  </w:pPr>
                  <w:r>
                    <w:rPr>
                      <w:rFonts w:hint="eastAsia" w:ascii="Times New Roman" w:hAnsi="Times New Roman" w:cs="Times New Roman"/>
                      <w:color w:val="auto"/>
                    </w:rPr>
                    <w:t>镉</w:t>
                  </w:r>
                </w:p>
              </w:tc>
              <w:tc>
                <w:tcPr>
                  <w:tcW w:w="1500" w:type="dxa"/>
                  <w:noWrap w:val="0"/>
                  <w:tcMar>
                    <w:top w:w="15" w:type="dxa"/>
                    <w:left w:w="15" w:type="dxa"/>
                    <w:bottom w:w="15" w:type="dxa"/>
                    <w:right w:w="15" w:type="dxa"/>
                  </w:tcMar>
                  <w:vAlign w:val="center"/>
                </w:tcPr>
                <w:p w14:paraId="2501CB53">
                  <w:pPr>
                    <w:jc w:val="center"/>
                    <w:rPr>
                      <w:rFonts w:ascii="Times New Roman" w:hAnsi="Times New Roman" w:cs="Times New Roman"/>
                      <w:color w:val="auto"/>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433869A9">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00C0C5F2">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.0001L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3FCDBB5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0.005</w:t>
                  </w:r>
                </w:p>
              </w:tc>
              <w:tc>
                <w:tcPr>
                  <w:tcW w:w="478" w:type="dxa"/>
                  <w:tcBorders>
                    <w:left w:val="single" w:color="auto" w:sz="4" w:space="0"/>
                  </w:tcBorders>
                  <w:noWrap w:val="0"/>
                  <w:tcMar>
                    <w:top w:w="15" w:type="dxa"/>
                    <w:left w:w="15" w:type="dxa"/>
                    <w:bottom w:w="15" w:type="dxa"/>
                    <w:right w:w="15" w:type="dxa"/>
                  </w:tcMar>
                  <w:vAlign w:val="center"/>
                </w:tcPr>
                <w:p w14:paraId="72A182B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0A0CF2E0">
                  <w:pPr>
                    <w:jc w:val="center"/>
                    <w:rPr>
                      <w:rFonts w:ascii="Times New Roman" w:hAnsi="Times New Roman" w:cs="Times New Roman"/>
                      <w:color w:val="auto"/>
                    </w:rPr>
                  </w:pPr>
                  <w:r>
                    <w:rPr>
                      <w:rFonts w:ascii="Times New Roman" w:hAnsi="Times New Roman" w:cs="Times New Roman"/>
                      <w:color w:val="auto"/>
                    </w:rPr>
                    <w:t>mg/L</w:t>
                  </w:r>
                </w:p>
              </w:tc>
            </w:tr>
            <w:tr w14:paraId="5B937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69BBC678">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4BC782CB">
                  <w:pPr>
                    <w:jc w:val="center"/>
                    <w:rPr>
                      <w:rFonts w:ascii="Times New Roman" w:hAnsi="Times New Roman" w:cs="Times New Roman"/>
                      <w:color w:val="auto"/>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623DF905">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0EFBCD1D">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.0001L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54B0502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0.005</w:t>
                  </w:r>
                </w:p>
              </w:tc>
              <w:tc>
                <w:tcPr>
                  <w:tcW w:w="478" w:type="dxa"/>
                  <w:tcBorders>
                    <w:left w:val="single" w:color="auto" w:sz="4" w:space="0"/>
                  </w:tcBorders>
                  <w:noWrap w:val="0"/>
                  <w:tcMar>
                    <w:top w:w="15" w:type="dxa"/>
                    <w:left w:w="15" w:type="dxa"/>
                    <w:bottom w:w="15" w:type="dxa"/>
                    <w:right w:w="15" w:type="dxa"/>
                  </w:tcMar>
                  <w:vAlign w:val="center"/>
                </w:tcPr>
                <w:p w14:paraId="32EEAB14">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36E906B3">
                  <w:pPr>
                    <w:jc w:val="center"/>
                    <w:rPr>
                      <w:rFonts w:ascii="Times New Roman" w:hAnsi="Times New Roman" w:cs="Times New Roman"/>
                      <w:color w:val="auto"/>
                    </w:rPr>
                  </w:pPr>
                  <w:r>
                    <w:rPr>
                      <w:rFonts w:ascii="Times New Roman" w:hAnsi="Times New Roman" w:cs="Times New Roman"/>
                      <w:color w:val="auto"/>
                    </w:rPr>
                    <w:t>mg/L</w:t>
                  </w:r>
                </w:p>
              </w:tc>
            </w:tr>
            <w:tr w14:paraId="47A07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A12D007">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49757514">
                  <w:pPr>
                    <w:jc w:val="center"/>
                    <w:rPr>
                      <w:rFonts w:ascii="Times New Roman" w:hAnsi="Times New Roman" w:cs="Times New Roman"/>
                      <w:color w:val="auto"/>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72AA691C">
                  <w:pPr>
                    <w:widowControl w:val="0"/>
                    <w:contextualSpacing/>
                    <w:jc w:val="center"/>
                    <w:rPr>
                      <w:rFonts w:ascii="Times New Roman" w:hAnsi="Times New Roman" w:cs="Times New Roman"/>
                      <w:color w:val="auto"/>
                      <w:kern w:val="2"/>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61F90C84">
                  <w:pPr>
                    <w:jc w:val="center"/>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.0001L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41B3373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0.005</w:t>
                  </w:r>
                </w:p>
              </w:tc>
              <w:tc>
                <w:tcPr>
                  <w:tcW w:w="478" w:type="dxa"/>
                  <w:tcBorders>
                    <w:left w:val="single" w:color="auto" w:sz="4" w:space="0"/>
                  </w:tcBorders>
                  <w:noWrap w:val="0"/>
                  <w:tcMar>
                    <w:top w:w="15" w:type="dxa"/>
                    <w:left w:w="15" w:type="dxa"/>
                    <w:bottom w:w="15" w:type="dxa"/>
                    <w:right w:w="15" w:type="dxa"/>
                  </w:tcMar>
                  <w:vAlign w:val="center"/>
                </w:tcPr>
                <w:p w14:paraId="66C2B928">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6360F48C">
                  <w:pPr>
                    <w:jc w:val="center"/>
                    <w:rPr>
                      <w:rFonts w:ascii="Times New Roman" w:hAnsi="Times New Roman" w:cs="Times New Roman"/>
                      <w:color w:val="auto"/>
                    </w:rPr>
                  </w:pPr>
                  <w:r>
                    <w:rPr>
                      <w:rFonts w:ascii="Times New Roman" w:hAnsi="Times New Roman" w:cs="Times New Roman"/>
                      <w:color w:val="auto"/>
                    </w:rPr>
                    <w:t>mg/L</w:t>
                  </w:r>
                </w:p>
              </w:tc>
            </w:tr>
            <w:tr w14:paraId="05CBA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61755525">
                  <w:pPr>
                    <w:jc w:val="center"/>
                    <w:rPr>
                      <w:rFonts w:ascii="Times New Roman" w:hAnsi="Times New Roman" w:cs="Times New Roman"/>
                      <w:color w:val="auto"/>
                      <w:kern w:val="2"/>
                      <w:sz w:val="21"/>
                      <w:szCs w:val="24"/>
                      <w:lang w:val="en-US" w:eastAsia="zh-CN" w:bidi="ar-SA"/>
                    </w:rPr>
                  </w:pPr>
                  <w:r>
                    <w:rPr>
                      <w:rFonts w:hint="eastAsia" w:ascii="Times New Roman" w:hAnsi="Times New Roman" w:cs="Times New Roman"/>
                      <w:color w:val="auto"/>
                      <w:szCs w:val="21"/>
                    </w:rPr>
                    <w:t>总铬</w:t>
                  </w:r>
                </w:p>
                <w:p w14:paraId="2B3D7991">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76633D25">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74A75C58">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4E12E5A2">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0E4DF5E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123A2E35">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0FBFFDE6">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2FEBC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6A77A1D">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394BB211">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66BCFDB2">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3232F792">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0F3D7FC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1F81191A">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0A7C23B8">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1ADE6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028073BF">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1C54ECB5">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4BE37BF8">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2C517B22">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.004L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7997ECC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052722AE">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4C7364A4">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0FDB1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5583F93A">
                  <w:pPr>
                    <w:jc w:val="center"/>
                    <w:rPr>
                      <w:rFonts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铅</w:t>
                  </w:r>
                </w:p>
                <w:p w14:paraId="4403BE2D">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72251E11">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7BF3AB7F">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1F80D39F">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.001L</w:t>
                  </w:r>
                </w:p>
              </w:tc>
              <w:tc>
                <w:tcPr>
                  <w:tcW w:w="652" w:type="dxa"/>
                  <w:gridSpan w:val="2"/>
                  <w:tcBorders>
                    <w:left w:val="single" w:color="auto" w:sz="4" w:space="0"/>
                    <w:right w:val="single" w:color="auto" w:sz="4" w:space="0"/>
                  </w:tcBorders>
                  <w:noWrap w:val="0"/>
                  <w:tcMar>
                    <w:top w:w="15" w:type="dxa"/>
                    <w:left w:w="15" w:type="dxa"/>
                    <w:bottom w:w="15" w:type="dxa"/>
                    <w:right w:w="15" w:type="dxa"/>
                  </w:tcMar>
                  <w:vAlign w:val="center"/>
                </w:tcPr>
                <w:p w14:paraId="50B302E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478" w:type="dxa"/>
                  <w:tcBorders>
                    <w:left w:val="single" w:color="auto" w:sz="4" w:space="0"/>
                  </w:tcBorders>
                  <w:noWrap w:val="0"/>
                  <w:tcMar>
                    <w:top w:w="15" w:type="dxa"/>
                    <w:left w:w="15" w:type="dxa"/>
                    <w:bottom w:w="15" w:type="dxa"/>
                    <w:right w:w="15" w:type="dxa"/>
                  </w:tcMar>
                  <w:vAlign w:val="center"/>
                </w:tcPr>
                <w:p w14:paraId="2C02303C">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51198D2">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6137D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2E9BBA7E">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1AA2DAE7">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4C70A4BE">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09A3BEE6">
                  <w:pPr>
                    <w:jc w:val="center"/>
                    <w:textAlignment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.001L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474238B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590" w:type="dxa"/>
                  <w:gridSpan w:val="2"/>
                  <w:tcBorders>
                    <w:left w:val="single" w:color="auto" w:sz="4" w:space="0"/>
                  </w:tcBorders>
                  <w:noWrap w:val="0"/>
                  <w:tcMar>
                    <w:top w:w="15" w:type="dxa"/>
                    <w:left w:w="15" w:type="dxa"/>
                    <w:bottom w:w="15" w:type="dxa"/>
                    <w:right w:w="15" w:type="dxa"/>
                  </w:tcMar>
                  <w:vAlign w:val="center"/>
                </w:tcPr>
                <w:p w14:paraId="27E8525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1F71EC07">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46CA0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2B9C3A36">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3355A908">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1EA9EEB0">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57DAEC31">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.001L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09339E8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0.05</w:t>
                  </w:r>
                </w:p>
              </w:tc>
              <w:tc>
                <w:tcPr>
                  <w:tcW w:w="590" w:type="dxa"/>
                  <w:gridSpan w:val="2"/>
                  <w:tcBorders>
                    <w:left w:val="single" w:color="auto" w:sz="4" w:space="0"/>
                  </w:tcBorders>
                  <w:noWrap w:val="0"/>
                  <w:tcMar>
                    <w:top w:w="15" w:type="dxa"/>
                    <w:left w:w="15" w:type="dxa"/>
                    <w:bottom w:w="15" w:type="dxa"/>
                    <w:right w:w="15" w:type="dxa"/>
                  </w:tcMar>
                  <w:vAlign w:val="center"/>
                </w:tcPr>
                <w:p w14:paraId="23CC01BC">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4B48F852">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1DD59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793DE93D">
                  <w:pPr>
                    <w:jc w:val="center"/>
                    <w:rPr>
                      <w:rFonts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氰化物</w:t>
                  </w:r>
                </w:p>
                <w:p w14:paraId="431854CB">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36745A46">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525070B7">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6933C97F">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.004L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5AEB8AB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0.2</w:t>
                  </w:r>
                </w:p>
              </w:tc>
              <w:tc>
                <w:tcPr>
                  <w:tcW w:w="590" w:type="dxa"/>
                  <w:gridSpan w:val="2"/>
                  <w:tcBorders>
                    <w:left w:val="single" w:color="auto" w:sz="4" w:space="0"/>
                  </w:tcBorders>
                  <w:noWrap w:val="0"/>
                  <w:tcMar>
                    <w:top w:w="15" w:type="dxa"/>
                    <w:left w:w="15" w:type="dxa"/>
                    <w:bottom w:w="15" w:type="dxa"/>
                    <w:right w:w="15" w:type="dxa"/>
                  </w:tcMar>
                  <w:vAlign w:val="center"/>
                </w:tcPr>
                <w:p w14:paraId="4E79F8A2">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4D6E9D3E">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6FA2D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143AD4BC">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34ED6D36">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1A6DB4A5">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59110E08">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.004L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4A1DE6A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0.2</w:t>
                  </w:r>
                </w:p>
              </w:tc>
              <w:tc>
                <w:tcPr>
                  <w:tcW w:w="590" w:type="dxa"/>
                  <w:gridSpan w:val="2"/>
                  <w:tcBorders>
                    <w:left w:val="single" w:color="auto" w:sz="4" w:space="0"/>
                  </w:tcBorders>
                  <w:noWrap w:val="0"/>
                  <w:tcMar>
                    <w:top w:w="15" w:type="dxa"/>
                    <w:left w:w="15" w:type="dxa"/>
                    <w:bottom w:w="15" w:type="dxa"/>
                    <w:right w:w="15" w:type="dxa"/>
                  </w:tcMar>
                  <w:vAlign w:val="center"/>
                </w:tcPr>
                <w:p w14:paraId="347C0569">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00AE7CC8">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23A3C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7D0C1FEB">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21AA88A1">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561426E3">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32EFDAAF">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.004L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007A1F2A">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0.2</w:t>
                  </w:r>
                </w:p>
              </w:tc>
              <w:tc>
                <w:tcPr>
                  <w:tcW w:w="590" w:type="dxa"/>
                  <w:gridSpan w:val="2"/>
                  <w:tcBorders>
                    <w:left w:val="single" w:color="auto" w:sz="4" w:space="0"/>
                  </w:tcBorders>
                  <w:noWrap w:val="0"/>
                  <w:tcMar>
                    <w:top w:w="15" w:type="dxa"/>
                    <w:left w:w="15" w:type="dxa"/>
                    <w:bottom w:w="15" w:type="dxa"/>
                    <w:right w:w="15" w:type="dxa"/>
                  </w:tcMar>
                  <w:vAlign w:val="center"/>
                </w:tcPr>
                <w:p w14:paraId="46F8FF83">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30D8873B">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0A8D2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60CD345B">
                  <w:pPr>
                    <w:jc w:val="center"/>
                    <w:rPr>
                      <w:rFonts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挥发酚</w:t>
                  </w:r>
                </w:p>
                <w:p w14:paraId="2BB4DF70">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06FBA9BC">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536151F7">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57BAC818">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.0003L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31E88EF8">
                  <w:pPr>
                    <w:jc w:val="center"/>
                    <w:rPr>
                      <w:rFonts w:hint="eastAsia" w:ascii="Times New Roman" w:hAnsi="Times New Roman" w:cs="Times New Roman"/>
                      <w:color w:val="auto"/>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0.005</w:t>
                  </w:r>
                </w:p>
              </w:tc>
              <w:tc>
                <w:tcPr>
                  <w:tcW w:w="590" w:type="dxa"/>
                  <w:gridSpan w:val="2"/>
                  <w:tcBorders>
                    <w:left w:val="single" w:color="auto" w:sz="4" w:space="0"/>
                  </w:tcBorders>
                  <w:noWrap w:val="0"/>
                  <w:tcMar>
                    <w:top w:w="15" w:type="dxa"/>
                    <w:left w:w="15" w:type="dxa"/>
                    <w:bottom w:w="15" w:type="dxa"/>
                    <w:right w:w="15" w:type="dxa"/>
                  </w:tcMar>
                  <w:vAlign w:val="center"/>
                </w:tcPr>
                <w:p w14:paraId="3D6A911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2DB14FC0">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51A5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40D90ADB">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317A0183">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4A9AEE9C">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02D1AFF6">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.0003L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7DCEA90E">
                  <w:pPr>
                    <w:jc w:val="center"/>
                    <w:rPr>
                      <w:rFonts w:hint="eastAsia" w:ascii="Times New Roman" w:hAnsi="Times New Roman" w:cs="Times New Roman"/>
                      <w:color w:val="auto"/>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0.005</w:t>
                  </w:r>
                </w:p>
              </w:tc>
              <w:tc>
                <w:tcPr>
                  <w:tcW w:w="590" w:type="dxa"/>
                  <w:gridSpan w:val="2"/>
                  <w:tcBorders>
                    <w:left w:val="single" w:color="auto" w:sz="4" w:space="0"/>
                  </w:tcBorders>
                  <w:noWrap w:val="0"/>
                  <w:tcMar>
                    <w:top w:w="15" w:type="dxa"/>
                    <w:left w:w="15" w:type="dxa"/>
                    <w:bottom w:w="15" w:type="dxa"/>
                    <w:right w:w="15" w:type="dxa"/>
                  </w:tcMar>
                  <w:vAlign w:val="center"/>
                </w:tcPr>
                <w:p w14:paraId="27ED38BB">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5CA0E812">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mg/L</w:t>
                  </w:r>
                </w:p>
              </w:tc>
            </w:tr>
            <w:tr w14:paraId="7992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730E4C8B">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0EE58F54">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4D3D7809">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33A063AD">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.0003L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7FF8A06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0.005</w:t>
                  </w:r>
                </w:p>
              </w:tc>
              <w:tc>
                <w:tcPr>
                  <w:tcW w:w="590" w:type="dxa"/>
                  <w:gridSpan w:val="2"/>
                  <w:tcBorders>
                    <w:left w:val="single" w:color="auto" w:sz="4" w:space="0"/>
                  </w:tcBorders>
                  <w:noWrap w:val="0"/>
                  <w:tcMar>
                    <w:top w:w="15" w:type="dxa"/>
                    <w:left w:w="15" w:type="dxa"/>
                    <w:bottom w:w="15" w:type="dxa"/>
                    <w:right w:w="15" w:type="dxa"/>
                  </w:tcMar>
                  <w:vAlign w:val="center"/>
                </w:tcPr>
                <w:p w14:paraId="300F8D51">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3845FBE4">
                  <w:pPr>
                    <w:jc w:val="center"/>
                    <w:rPr>
                      <w:rFonts w:ascii="Times New Roman" w:hAnsi="Times New Roman" w:cs="Times New Roman"/>
                      <w:color w:val="auto"/>
                    </w:rPr>
                  </w:pPr>
                  <w:r>
                    <w:rPr>
                      <w:rFonts w:ascii="Times New Roman" w:hAnsi="Times New Roman" w:cs="Times New Roman"/>
                      <w:color w:val="auto"/>
                    </w:rPr>
                    <w:t>mg/L</w:t>
                  </w:r>
                </w:p>
              </w:tc>
            </w:tr>
            <w:tr w14:paraId="70839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restart"/>
                  <w:noWrap w:val="0"/>
                  <w:tcMar>
                    <w:top w:w="15" w:type="dxa"/>
                    <w:left w:w="15" w:type="dxa"/>
                    <w:bottom w:w="15" w:type="dxa"/>
                    <w:right w:w="15" w:type="dxa"/>
                  </w:tcMar>
                  <w:vAlign w:val="center"/>
                </w:tcPr>
                <w:p w14:paraId="1656AF05">
                  <w:pPr>
                    <w:jc w:val="center"/>
                    <w:rPr>
                      <w:rFonts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硫化物</w:t>
                  </w:r>
                </w:p>
                <w:p w14:paraId="3AC152F9">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59F5DAAA">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2023.04.14</w:t>
                  </w:r>
                </w:p>
              </w:tc>
              <w:tc>
                <w:tcPr>
                  <w:tcW w:w="1800" w:type="dxa"/>
                  <w:noWrap w:val="0"/>
                  <w:tcMar>
                    <w:top w:w="15" w:type="dxa"/>
                    <w:left w:w="15" w:type="dxa"/>
                    <w:bottom w:w="15" w:type="dxa"/>
                    <w:right w:w="15" w:type="dxa"/>
                  </w:tcMar>
                  <w:vAlign w:val="center"/>
                </w:tcPr>
                <w:p w14:paraId="57A113C0">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2305076DB01-1-1</w:t>
                  </w:r>
                </w:p>
              </w:tc>
              <w:tc>
                <w:tcPr>
                  <w:tcW w:w="1455" w:type="dxa"/>
                  <w:tcBorders>
                    <w:right w:val="single" w:color="auto" w:sz="4" w:space="0"/>
                  </w:tcBorders>
                  <w:noWrap w:val="0"/>
                  <w:tcMar>
                    <w:top w:w="15" w:type="dxa"/>
                    <w:left w:w="15" w:type="dxa"/>
                    <w:bottom w:w="15" w:type="dxa"/>
                    <w:right w:w="15" w:type="dxa"/>
                  </w:tcMar>
                  <w:vAlign w:val="center"/>
                </w:tcPr>
                <w:p w14:paraId="1A112653">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.01L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317ED5F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lang w:val="en-US" w:eastAsia="zh-CN"/>
                    </w:rPr>
                    <w:t>0.2</w:t>
                  </w:r>
                </w:p>
              </w:tc>
              <w:tc>
                <w:tcPr>
                  <w:tcW w:w="590" w:type="dxa"/>
                  <w:gridSpan w:val="2"/>
                  <w:tcBorders>
                    <w:left w:val="single" w:color="auto" w:sz="4" w:space="0"/>
                  </w:tcBorders>
                  <w:noWrap w:val="0"/>
                  <w:tcMar>
                    <w:top w:w="15" w:type="dxa"/>
                    <w:left w:w="15" w:type="dxa"/>
                    <w:bottom w:w="15" w:type="dxa"/>
                    <w:right w:w="15" w:type="dxa"/>
                  </w:tcMar>
                  <w:vAlign w:val="center"/>
                </w:tcPr>
                <w:p w14:paraId="119B8562">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786E9CF7">
                  <w:pPr>
                    <w:jc w:val="center"/>
                    <w:rPr>
                      <w:rFonts w:ascii="Times New Roman" w:hAnsi="Times New Roman" w:cs="Times New Roman"/>
                      <w:color w:val="auto"/>
                    </w:rPr>
                  </w:pPr>
                  <w:r>
                    <w:rPr>
                      <w:rFonts w:ascii="Times New Roman" w:hAnsi="Times New Roman" w:cs="Times New Roman"/>
                      <w:color w:val="auto"/>
                    </w:rPr>
                    <w:t>mg/L</w:t>
                  </w:r>
                </w:p>
              </w:tc>
            </w:tr>
            <w:tr w14:paraId="64D73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7F61E43B">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16D2C2A5">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2023.04.15</w:t>
                  </w:r>
                </w:p>
              </w:tc>
              <w:tc>
                <w:tcPr>
                  <w:tcW w:w="1800" w:type="dxa"/>
                  <w:noWrap w:val="0"/>
                  <w:tcMar>
                    <w:top w:w="15" w:type="dxa"/>
                    <w:left w:w="15" w:type="dxa"/>
                    <w:bottom w:w="15" w:type="dxa"/>
                    <w:right w:w="15" w:type="dxa"/>
                  </w:tcMar>
                  <w:vAlign w:val="center"/>
                </w:tcPr>
                <w:p w14:paraId="35AAA19C">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2305076DB01-2-1</w:t>
                  </w:r>
                </w:p>
              </w:tc>
              <w:tc>
                <w:tcPr>
                  <w:tcW w:w="1455" w:type="dxa"/>
                  <w:tcBorders>
                    <w:right w:val="single" w:color="auto" w:sz="4" w:space="0"/>
                  </w:tcBorders>
                  <w:noWrap w:val="0"/>
                  <w:tcMar>
                    <w:top w:w="15" w:type="dxa"/>
                    <w:left w:w="15" w:type="dxa"/>
                    <w:bottom w:w="15" w:type="dxa"/>
                    <w:right w:w="15" w:type="dxa"/>
                  </w:tcMar>
                  <w:vAlign w:val="center"/>
                </w:tcPr>
                <w:p w14:paraId="0AA7843C">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.01L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67DB630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lang w:val="en-US" w:eastAsia="zh-CN"/>
                    </w:rPr>
                    <w:t>0.2</w:t>
                  </w:r>
                </w:p>
              </w:tc>
              <w:tc>
                <w:tcPr>
                  <w:tcW w:w="590" w:type="dxa"/>
                  <w:gridSpan w:val="2"/>
                  <w:tcBorders>
                    <w:left w:val="single" w:color="auto" w:sz="4" w:space="0"/>
                  </w:tcBorders>
                  <w:noWrap w:val="0"/>
                  <w:tcMar>
                    <w:top w:w="15" w:type="dxa"/>
                    <w:left w:w="15" w:type="dxa"/>
                    <w:bottom w:w="15" w:type="dxa"/>
                    <w:right w:w="15" w:type="dxa"/>
                  </w:tcMar>
                  <w:vAlign w:val="center"/>
                </w:tcPr>
                <w:p w14:paraId="2BDF8E2D">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09D5DE7B">
                  <w:pPr>
                    <w:jc w:val="center"/>
                    <w:rPr>
                      <w:rFonts w:ascii="Times New Roman" w:hAnsi="Times New Roman" w:cs="Times New Roman"/>
                      <w:color w:val="auto"/>
                    </w:rPr>
                  </w:pPr>
                  <w:r>
                    <w:rPr>
                      <w:rFonts w:ascii="Times New Roman" w:hAnsi="Times New Roman" w:cs="Times New Roman"/>
                      <w:color w:val="auto"/>
                    </w:rPr>
                    <w:t>mg/L</w:t>
                  </w:r>
                </w:p>
              </w:tc>
            </w:tr>
            <w:tr w14:paraId="770B5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194" w:type="dxa"/>
                  <w:vMerge w:val="continue"/>
                  <w:noWrap w:val="0"/>
                  <w:tcMar>
                    <w:top w:w="15" w:type="dxa"/>
                    <w:left w:w="15" w:type="dxa"/>
                    <w:bottom w:w="15" w:type="dxa"/>
                    <w:right w:w="15" w:type="dxa"/>
                  </w:tcMar>
                  <w:vAlign w:val="center"/>
                </w:tcPr>
                <w:p w14:paraId="5B05F3AC">
                  <w:pPr>
                    <w:jc w:val="center"/>
                    <w:rPr>
                      <w:rFonts w:ascii="Times New Roman" w:hAnsi="Times New Roman" w:cs="Times New Roman"/>
                      <w:color w:val="auto"/>
                    </w:rPr>
                  </w:pPr>
                </w:p>
              </w:tc>
              <w:tc>
                <w:tcPr>
                  <w:tcW w:w="1500" w:type="dxa"/>
                  <w:noWrap w:val="0"/>
                  <w:tcMar>
                    <w:top w:w="15" w:type="dxa"/>
                    <w:left w:w="15" w:type="dxa"/>
                    <w:bottom w:w="15" w:type="dxa"/>
                    <w:right w:w="15" w:type="dxa"/>
                  </w:tcMar>
                  <w:vAlign w:val="center"/>
                </w:tcPr>
                <w:p w14:paraId="41305DEE">
                  <w:pPr>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rPr>
                    <w:t>2023.04.16</w:t>
                  </w:r>
                </w:p>
              </w:tc>
              <w:tc>
                <w:tcPr>
                  <w:tcW w:w="1800" w:type="dxa"/>
                  <w:noWrap w:val="0"/>
                  <w:tcMar>
                    <w:top w:w="15" w:type="dxa"/>
                    <w:left w:w="15" w:type="dxa"/>
                    <w:bottom w:w="15" w:type="dxa"/>
                    <w:right w:w="15" w:type="dxa"/>
                  </w:tcMar>
                  <w:vAlign w:val="center"/>
                </w:tcPr>
                <w:p w14:paraId="5D258BB7">
                  <w:pPr>
                    <w:widowControl w:val="0"/>
                    <w:contextualSpacing/>
                    <w:jc w:val="center"/>
                    <w:rPr>
                      <w:rFonts w:ascii="Times New Roman" w:hAnsi="Times New Roman" w:cs="Times New Roman"/>
                      <w:color w:val="auto"/>
                      <w:kern w:val="2"/>
                      <w:sz w:val="21"/>
                      <w:szCs w:val="24"/>
                      <w:lang w:val="en-US" w:eastAsia="zh-CN" w:bidi="ar-SA"/>
                    </w:rPr>
                  </w:pPr>
                  <w:r>
                    <w:rPr>
                      <w:rFonts w:ascii="Times New Roman" w:hAnsi="Times New Roman" w:cs="Times New Roman"/>
                      <w:color w:val="auto"/>
                      <w:kern w:val="2"/>
                    </w:rPr>
                    <w:t>2305076DB01-3-1</w:t>
                  </w:r>
                </w:p>
              </w:tc>
              <w:tc>
                <w:tcPr>
                  <w:tcW w:w="1455" w:type="dxa"/>
                  <w:tcBorders>
                    <w:right w:val="single" w:color="auto" w:sz="4" w:space="0"/>
                  </w:tcBorders>
                  <w:noWrap w:val="0"/>
                  <w:tcMar>
                    <w:top w:w="15" w:type="dxa"/>
                    <w:left w:w="15" w:type="dxa"/>
                    <w:bottom w:w="15" w:type="dxa"/>
                    <w:right w:w="15" w:type="dxa"/>
                  </w:tcMar>
                  <w:vAlign w:val="center"/>
                </w:tcPr>
                <w:p w14:paraId="65E9E49E">
                  <w:pPr>
                    <w:jc w:val="center"/>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rPr>
                    <w:t>0</w:t>
                  </w:r>
                  <w:r>
                    <w:rPr>
                      <w:rFonts w:ascii="Times New Roman" w:hAnsi="Times New Roman" w:cs="Times New Roman"/>
                      <w:color w:val="auto"/>
                    </w:rPr>
                    <w:t>.01L</w:t>
                  </w:r>
                </w:p>
              </w:tc>
              <w:tc>
                <w:tcPr>
                  <w:tcW w:w="540" w:type="dxa"/>
                  <w:tcBorders>
                    <w:left w:val="single" w:color="auto" w:sz="4" w:space="0"/>
                    <w:right w:val="single" w:color="auto" w:sz="4" w:space="0"/>
                  </w:tcBorders>
                  <w:noWrap w:val="0"/>
                  <w:tcMar>
                    <w:top w:w="15" w:type="dxa"/>
                    <w:left w:w="15" w:type="dxa"/>
                    <w:bottom w:w="15" w:type="dxa"/>
                    <w:right w:w="15" w:type="dxa"/>
                  </w:tcMar>
                  <w:vAlign w:val="center"/>
                </w:tcPr>
                <w:p w14:paraId="5879A1CE">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lang w:val="en-US" w:eastAsia="zh-CN"/>
                    </w:rPr>
                    <w:t>0.2</w:t>
                  </w:r>
                </w:p>
              </w:tc>
              <w:tc>
                <w:tcPr>
                  <w:tcW w:w="590" w:type="dxa"/>
                  <w:gridSpan w:val="2"/>
                  <w:tcBorders>
                    <w:left w:val="single" w:color="auto" w:sz="4" w:space="0"/>
                  </w:tcBorders>
                  <w:noWrap w:val="0"/>
                  <w:tcMar>
                    <w:top w:w="15" w:type="dxa"/>
                    <w:left w:w="15" w:type="dxa"/>
                    <w:bottom w:w="15" w:type="dxa"/>
                    <w:right w:w="15" w:type="dxa"/>
                  </w:tcMar>
                  <w:vAlign w:val="center"/>
                </w:tcPr>
                <w:p w14:paraId="281C32C3">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达标</w:t>
                  </w:r>
                </w:p>
              </w:tc>
              <w:tc>
                <w:tcPr>
                  <w:tcW w:w="1078" w:type="dxa"/>
                  <w:noWrap w:val="0"/>
                  <w:vAlign w:val="center"/>
                </w:tcPr>
                <w:p w14:paraId="2BB39D6A">
                  <w:pPr>
                    <w:jc w:val="center"/>
                    <w:rPr>
                      <w:rFonts w:ascii="Times New Roman" w:hAnsi="Times New Roman" w:cs="Times New Roman"/>
                      <w:color w:val="auto"/>
                    </w:rPr>
                  </w:pPr>
                  <w:r>
                    <w:rPr>
                      <w:rFonts w:ascii="Times New Roman" w:hAnsi="Times New Roman" w:cs="Times New Roman"/>
                      <w:color w:val="auto"/>
                    </w:rPr>
                    <w:t>mg/L</w:t>
                  </w:r>
                </w:p>
              </w:tc>
            </w:tr>
            <w:tr w14:paraId="55B23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8157" w:type="dxa"/>
                  <w:gridSpan w:val="8"/>
                  <w:noWrap w:val="0"/>
                  <w:tcMar>
                    <w:top w:w="15" w:type="dxa"/>
                    <w:left w:w="15" w:type="dxa"/>
                    <w:bottom w:w="15" w:type="dxa"/>
                    <w:right w:w="15" w:type="dxa"/>
                  </w:tcMar>
                  <w:vAlign w:val="center"/>
                </w:tcPr>
                <w:p w14:paraId="28F7C04A">
                  <w:pPr>
                    <w:jc w:val="center"/>
                    <w:rPr>
                      <w:rFonts w:ascii="Times New Roman" w:hAnsi="Times New Roman" w:cs="Times New Roman"/>
                      <w:color w:val="auto"/>
                    </w:rPr>
                  </w:pPr>
                  <w:r>
                    <w:rPr>
                      <w:rFonts w:ascii="Times New Roman" w:hAnsi="Times New Roman" w:cs="Times New Roman"/>
                      <w:color w:val="auto"/>
                    </w:rPr>
                    <w:t>备注：</w:t>
                  </w:r>
                  <w:r>
                    <w:rPr>
                      <w:rFonts w:ascii="Times New Roman" w:hAnsi="Times New Roman" w:cs="Times New Roman"/>
                      <w:bCs/>
                      <w:color w:val="auto"/>
                    </w:rPr>
                    <w:t>检测结果后面带有字母“L”表示检测结果低于该检测方法检出限。</w:t>
                  </w:r>
                </w:p>
              </w:tc>
            </w:tr>
          </w:tbl>
          <w:p w14:paraId="4240BFDD">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GB" w:eastAsia="zh-CN" w:bidi="ar-SA"/>
              </w:rPr>
            </w:pPr>
            <w:r>
              <w:rPr>
                <w:rFonts w:hint="default" w:ascii="Times New Roman" w:hAnsi="Times New Roman" w:eastAsia="宋体" w:cs="Times New Roman"/>
                <w:color w:val="auto"/>
                <w:kern w:val="0"/>
                <w:sz w:val="24"/>
                <w:szCs w:val="24"/>
                <w:lang w:val="en-US" w:eastAsia="zh-CN" w:bidi="ar-SA"/>
              </w:rPr>
              <w:t>根据监测结果显示，</w:t>
            </w:r>
            <w:r>
              <w:rPr>
                <w:rFonts w:hint="eastAsia" w:ascii="Times New Roman" w:hAnsi="Times New Roman" w:eastAsia="宋体" w:cs="Times New Roman"/>
                <w:color w:val="auto"/>
                <w:kern w:val="0"/>
                <w:sz w:val="24"/>
                <w:szCs w:val="24"/>
                <w:lang w:val="en-US" w:eastAsia="zh-CN" w:bidi="ar-SA"/>
              </w:rPr>
              <w:t>项目所在区域附近的地表水体</w:t>
            </w:r>
            <w:r>
              <w:rPr>
                <w:rFonts w:hint="default" w:ascii="Times New Roman" w:hAnsi="Times New Roman" w:eastAsia="宋体" w:cs="Times New Roman"/>
                <w:color w:val="auto"/>
                <w:kern w:val="0"/>
                <w:sz w:val="24"/>
                <w:szCs w:val="24"/>
                <w:lang w:val="en-US" w:eastAsia="zh-CN" w:bidi="ar-SA"/>
              </w:rPr>
              <w:t>水质可</w:t>
            </w:r>
            <w:r>
              <w:rPr>
                <w:rFonts w:hint="default" w:ascii="Times New Roman" w:hAnsi="Times New Roman" w:eastAsia="宋体" w:cs="Times New Roman"/>
                <w:color w:val="auto"/>
                <w:kern w:val="0"/>
                <w:sz w:val="24"/>
                <w:szCs w:val="24"/>
                <w:lang w:val="en-GB" w:eastAsia="zh-CN" w:bidi="ar-SA"/>
              </w:rPr>
              <w:t>满足《地表水环境质量标准》（GB3838-2002）中Ⅲ类水质标准要求。</w:t>
            </w:r>
          </w:p>
          <w:p w14:paraId="4E383F82">
            <w:pPr>
              <w:pStyle w:val="3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left"/>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2、地下水</w:t>
            </w:r>
            <w:r>
              <w:rPr>
                <w:rFonts w:hint="default" w:ascii="Times New Roman" w:hAnsi="Times New Roman" w:eastAsia="宋体" w:cs="Times New Roman"/>
                <w:b/>
                <w:bCs/>
                <w:color w:val="auto"/>
                <w:sz w:val="24"/>
              </w:rPr>
              <w:t>环境质量现状</w:t>
            </w:r>
          </w:p>
          <w:p w14:paraId="322C7598">
            <w:pPr>
              <w:pStyle w:val="31"/>
              <w:numPr>
                <w:ilvl w:val="0"/>
                <w:numId w:val="0"/>
              </w:numPr>
              <w:spacing w:line="360" w:lineRule="auto"/>
              <w:ind w:right="113" w:rightChars="0" w:firstLine="480" w:firstLineChars="200"/>
              <w:rPr>
                <w:rFonts w:hint="default"/>
                <w:color w:val="auto"/>
                <w:lang w:val="en-US" w:eastAsia="zh-CN"/>
              </w:rPr>
            </w:pPr>
            <w:r>
              <w:rPr>
                <w:rFonts w:hint="eastAsia" w:ascii="宋体" w:hAnsi="宋体" w:eastAsia="宋体" w:cs="宋体"/>
                <w:color w:val="auto"/>
                <w:sz w:val="24"/>
                <w:szCs w:val="24"/>
                <w:lang w:val="en-US" w:eastAsia="zh-CN"/>
              </w:rPr>
              <w:t>项目仅有少量的清洗废水产生，项目生产废水收集池采取防渗处理后，不会对周边地下水环境造成较大影响。经现场踏勘，项目周边无地下水集中式饮用水水源、热水、矿泉水、温泉等特殊地下水资源。</w:t>
            </w:r>
          </w:p>
          <w:p w14:paraId="7B68D94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rPr>
            </w:pPr>
            <w:r>
              <w:rPr>
                <w:rFonts w:hint="eastAsia" w:ascii="Times New Roman" w:hAnsi="Times New Roman" w:eastAsia="宋体" w:cs="Times New Roman"/>
                <w:b/>
                <w:bCs/>
                <w:color w:val="auto"/>
                <w:sz w:val="24"/>
                <w:szCs w:val="24"/>
                <w:lang w:val="en-US" w:eastAsia="zh-CN"/>
              </w:rPr>
              <w:t>三</w:t>
            </w:r>
            <w:r>
              <w:rPr>
                <w:rFonts w:hint="eastAsia" w:ascii="宋体" w:hAnsi="宋体" w:eastAsia="宋体" w:cs="宋体"/>
                <w:b/>
                <w:bCs/>
                <w:color w:val="auto"/>
                <w:sz w:val="24"/>
                <w:szCs w:val="24"/>
              </w:rPr>
              <w:t>、声环境质量现状</w:t>
            </w:r>
          </w:p>
          <w:p w14:paraId="36B311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eastAsia="zh-CN"/>
              </w:rPr>
              <w:t>项目位于</w:t>
            </w:r>
            <w:r>
              <w:rPr>
                <w:rFonts w:hint="eastAsia" w:ascii="宋体" w:hAnsi="宋体"/>
                <w:bCs/>
                <w:color w:val="auto"/>
                <w:sz w:val="24"/>
                <w:lang w:val="en-US" w:eastAsia="zh-CN"/>
              </w:rPr>
              <w:t>云南省德宏州芒市中山乡芒丙村罗胡山</w:t>
            </w:r>
            <w:r>
              <w:rPr>
                <w:rFonts w:hint="eastAsia" w:ascii="宋体" w:hAnsi="宋体" w:eastAsia="宋体" w:cs="宋体"/>
                <w:color w:val="auto"/>
                <w:sz w:val="24"/>
                <w:lang w:eastAsia="zh-CN"/>
              </w:rPr>
              <w:t>，</w:t>
            </w:r>
            <w:r>
              <w:rPr>
                <w:rFonts w:hint="eastAsia" w:ascii="宋体" w:hAnsi="宋体" w:eastAsia="宋体" w:cs="宋体"/>
                <w:color w:val="auto"/>
                <w:sz w:val="24"/>
                <w:lang w:val="zh-CN" w:eastAsia="zh-CN"/>
              </w:rPr>
              <w:t>属于</w:t>
            </w:r>
            <w:r>
              <w:rPr>
                <w:rFonts w:hint="eastAsia" w:ascii="Times New Roman" w:hAnsi="Times New Roman" w:eastAsia="宋体" w:cs="Times New Roman"/>
                <w:bCs/>
                <w:color w:val="auto"/>
                <w:kern w:val="28"/>
                <w:sz w:val="24"/>
                <w:szCs w:val="24"/>
                <w:lang w:val="en-US" w:eastAsia="zh-CN"/>
              </w:rPr>
              <w:t>2</w:t>
            </w:r>
            <w:r>
              <w:rPr>
                <w:rFonts w:hint="eastAsia" w:ascii="宋体" w:hAnsi="宋体" w:eastAsia="宋体" w:cs="宋体"/>
                <w:color w:val="auto"/>
                <w:sz w:val="24"/>
                <w:lang w:val="zh-CN" w:eastAsia="zh-CN"/>
              </w:rPr>
              <w:t>类声环境功能区，执行《声环境质量标准》</w:t>
            </w:r>
            <w:r>
              <w:rPr>
                <w:rFonts w:hint="eastAsia" w:ascii="Times New Roman" w:hAnsi="Times New Roman" w:eastAsia="宋体" w:cs="Times New Roman"/>
                <w:bCs/>
                <w:color w:val="auto"/>
                <w:kern w:val="28"/>
                <w:sz w:val="24"/>
                <w:szCs w:val="24"/>
                <w:lang w:val="zh-CN" w:eastAsia="zh-CN"/>
              </w:rPr>
              <w:t>（GB3096-2008）</w:t>
            </w:r>
            <w:r>
              <w:rPr>
                <w:rFonts w:hint="eastAsia" w:ascii="Times New Roman" w:hAnsi="Times New Roman" w:eastAsia="宋体" w:cs="Times New Roman"/>
                <w:bCs/>
                <w:color w:val="auto"/>
                <w:kern w:val="28"/>
                <w:sz w:val="24"/>
                <w:szCs w:val="24"/>
                <w:lang w:val="en-US" w:eastAsia="zh-CN"/>
              </w:rPr>
              <w:t>2</w:t>
            </w:r>
            <w:r>
              <w:rPr>
                <w:rFonts w:hint="eastAsia" w:ascii="宋体" w:hAnsi="宋体" w:eastAsia="宋体" w:cs="宋体"/>
                <w:color w:val="auto"/>
                <w:sz w:val="24"/>
                <w:lang w:val="zh-CN" w:eastAsia="zh-CN"/>
              </w:rPr>
              <w:t>类标准。</w:t>
            </w:r>
          </w:p>
          <w:p w14:paraId="14C11EA5">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根据《建设项目环境影响报告表编制技术指南》（污染影响类）（试行）的要求，应监测厂界外周边50m范围内的保护目标的声环境质量现状。</w:t>
            </w:r>
            <w:r>
              <w:rPr>
                <w:rFonts w:hint="default" w:ascii="Times New Roman" w:hAnsi="Times New Roman" w:eastAsia="宋体" w:cs="Times New Roman"/>
                <w:color w:val="auto"/>
                <w:sz w:val="24"/>
                <w:szCs w:val="24"/>
                <w:lang w:val="en-US" w:eastAsia="zh-CN"/>
              </w:rPr>
              <w:t>经过调查，项目</w:t>
            </w:r>
            <w:r>
              <w:rPr>
                <w:rFonts w:hint="eastAsia" w:ascii="Times New Roman" w:hAnsi="Times New Roman" w:eastAsia="宋体" w:cs="Times New Roman"/>
                <w:color w:val="auto"/>
                <w:sz w:val="24"/>
                <w:szCs w:val="24"/>
                <w:lang w:val="en-US" w:eastAsia="zh-CN"/>
              </w:rPr>
              <w:t>区西侧为芒市康丰糖业有限公司生活区，东侧为罗胡山村散户。</w:t>
            </w:r>
            <w:r>
              <w:rPr>
                <w:rFonts w:hint="eastAsia" w:ascii="宋体" w:hAnsi="宋体" w:eastAsia="宋体" w:cs="宋体"/>
                <w:color w:val="auto"/>
                <w:sz w:val="24"/>
                <w:lang w:val="en-US" w:eastAsia="zh-CN"/>
              </w:rPr>
              <w:t>为了了解项目所在区域声环境质量现状，</w:t>
            </w:r>
            <w:r>
              <w:rPr>
                <w:rFonts w:hint="eastAsia" w:ascii="Times New Roman" w:hAnsi="Times New Roman" w:eastAsia="宋体" w:cs="Times New Roman"/>
                <w:color w:val="auto"/>
                <w:sz w:val="24"/>
                <w:szCs w:val="24"/>
                <w:lang w:val="en-US" w:eastAsia="zh-CN"/>
              </w:rPr>
              <w:t>建设单位</w:t>
            </w:r>
            <w:r>
              <w:rPr>
                <w:rFonts w:hint="default" w:ascii="Times New Roman" w:hAnsi="Times New Roman" w:eastAsia="宋体" w:cs="Times New Roman"/>
                <w:color w:val="auto"/>
                <w:sz w:val="24"/>
                <w:szCs w:val="24"/>
                <w:highlight w:val="none"/>
                <w:lang w:val="en-US" w:eastAsia="zh-CN"/>
              </w:rPr>
              <w:t>委托云南浩辰环保科技有限公司</w:t>
            </w:r>
            <w:r>
              <w:rPr>
                <w:rFonts w:hint="eastAsia" w:ascii="Times New Roman" w:hAnsi="Times New Roman" w:eastAsia="宋体" w:cs="Times New Roman"/>
                <w:color w:val="auto"/>
                <w:sz w:val="24"/>
                <w:szCs w:val="24"/>
                <w:highlight w:val="none"/>
                <w:lang w:val="en-US" w:eastAsia="zh-CN"/>
              </w:rPr>
              <w:t>于</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日对</w:t>
            </w:r>
            <w:r>
              <w:rPr>
                <w:rFonts w:hint="eastAsia" w:ascii="Times New Roman" w:hAnsi="Times New Roman" w:eastAsia="宋体" w:cs="Times New Roman"/>
                <w:color w:val="auto"/>
                <w:kern w:val="0"/>
                <w:sz w:val="24"/>
                <w:szCs w:val="24"/>
                <w:highlight w:val="none"/>
                <w:lang w:val="en-US" w:eastAsia="zh-CN" w:bidi="ar-SA"/>
              </w:rPr>
              <w:t>周边50m范围内</w:t>
            </w:r>
            <w:r>
              <w:rPr>
                <w:rFonts w:hint="eastAsia" w:ascii="Times New Roman" w:hAnsi="Times New Roman" w:eastAsia="宋体" w:cs="Times New Roman"/>
                <w:color w:val="auto"/>
                <w:sz w:val="24"/>
                <w:szCs w:val="24"/>
                <w:highlight w:val="none"/>
                <w:lang w:val="en-US" w:eastAsia="zh-CN"/>
              </w:rPr>
              <w:t>的敏感保护目标罗胡山村、芒市康丰糖业有限公司生活区</w:t>
            </w:r>
            <w:r>
              <w:rPr>
                <w:rFonts w:hint="default" w:ascii="Times New Roman" w:hAnsi="Times New Roman" w:eastAsia="宋体" w:cs="Times New Roman"/>
                <w:color w:val="auto"/>
                <w:sz w:val="24"/>
                <w:szCs w:val="24"/>
                <w:highlight w:val="none"/>
                <w:lang w:val="en-US" w:eastAsia="zh-CN"/>
              </w:rPr>
              <w:t>进行了监测（</w:t>
            </w:r>
            <w:r>
              <w:rPr>
                <w:rFonts w:hint="eastAsia" w:ascii="Times New Roman" w:hAnsi="Times New Roman" w:eastAsia="宋体"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lang w:val="en-US" w:eastAsia="zh-CN"/>
              </w:rPr>
              <w:t>报告见附件</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具</w:t>
            </w:r>
            <w:r>
              <w:rPr>
                <w:rFonts w:hint="default" w:ascii="Times New Roman" w:hAnsi="Times New Roman" w:eastAsia="宋体" w:cs="Times New Roman"/>
                <w:color w:val="auto"/>
                <w:sz w:val="24"/>
                <w:szCs w:val="24"/>
                <w:lang w:val="en-US" w:eastAsia="zh-CN"/>
              </w:rPr>
              <w:t>体监测结果见表3-</w:t>
            </w:r>
            <w:r>
              <w:rPr>
                <w:rFonts w:hint="eastAsia" w:ascii="Times New Roman" w:hAnsi="Times New Roman" w:eastAsia="宋体" w:cs="Times New Roman"/>
                <w:color w:val="auto"/>
                <w:sz w:val="24"/>
                <w:szCs w:val="24"/>
                <w:lang w:val="en-US" w:eastAsia="zh-CN"/>
              </w:rPr>
              <w:t>6。</w:t>
            </w:r>
          </w:p>
          <w:p w14:paraId="2C841190">
            <w:pPr>
              <w:keepNext w:val="0"/>
              <w:keepLines w:val="0"/>
              <w:pageBreakBefore w:val="0"/>
              <w:widowControl w:val="0"/>
              <w:kinsoku/>
              <w:wordWrap/>
              <w:overflowPunct/>
              <w:topLinePunct w:val="0"/>
              <w:autoSpaceDE/>
              <w:autoSpaceDN/>
              <w:bidi w:val="0"/>
              <w:adjustRightInd w:val="0"/>
              <w:snapToGrid w:val="0"/>
              <w:spacing w:line="240" w:lineRule="auto"/>
              <w:ind w:firstLine="472" w:firstLineChars="196"/>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噪声监测结果一览表</w:t>
            </w:r>
          </w:p>
          <w:tbl>
            <w:tblPr>
              <w:tblStyle w:val="33"/>
              <w:tblW w:w="80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6"/>
              <w:gridCol w:w="1193"/>
              <w:gridCol w:w="1246"/>
              <w:gridCol w:w="702"/>
              <w:gridCol w:w="855"/>
              <w:gridCol w:w="1924"/>
              <w:gridCol w:w="1073"/>
            </w:tblGrid>
            <w:tr w14:paraId="7DE10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1046" w:type="dxa"/>
                  <w:noWrap w:val="0"/>
                  <w:vAlign w:val="center"/>
                </w:tcPr>
                <w:p w14:paraId="04A8D62D">
                  <w:pPr>
                    <w:widowControl w:val="0"/>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监测类型</w:t>
                  </w:r>
                </w:p>
              </w:tc>
              <w:tc>
                <w:tcPr>
                  <w:tcW w:w="1193" w:type="dxa"/>
                  <w:noWrap w:val="0"/>
                  <w:vAlign w:val="center"/>
                </w:tcPr>
                <w:p w14:paraId="704ADC5A">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rPr>
                    <w:t>监测日期</w:t>
                  </w:r>
                </w:p>
              </w:tc>
              <w:tc>
                <w:tcPr>
                  <w:tcW w:w="1246" w:type="dxa"/>
                  <w:noWrap w:val="0"/>
                  <w:vAlign w:val="center"/>
                </w:tcPr>
                <w:p w14:paraId="494B5B61">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rPr>
                    <w:t>监测点位</w:t>
                  </w:r>
                </w:p>
              </w:tc>
              <w:tc>
                <w:tcPr>
                  <w:tcW w:w="1557" w:type="dxa"/>
                  <w:gridSpan w:val="2"/>
                  <w:noWrap w:val="0"/>
                  <w:vAlign w:val="center"/>
                </w:tcPr>
                <w:p w14:paraId="06DBF638">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rPr>
                    <w:t>采样时段</w:t>
                  </w:r>
                </w:p>
              </w:tc>
              <w:tc>
                <w:tcPr>
                  <w:tcW w:w="1924" w:type="dxa"/>
                  <w:tcBorders>
                    <w:right w:val="single" w:color="auto" w:sz="4" w:space="0"/>
                  </w:tcBorders>
                  <w:noWrap w:val="0"/>
                  <w:vAlign w:val="center"/>
                </w:tcPr>
                <w:p w14:paraId="2393EA20">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kern w:val="2"/>
                    </w:rPr>
                    <w:t>样品编号</w:t>
                  </w:r>
                </w:p>
              </w:tc>
              <w:tc>
                <w:tcPr>
                  <w:tcW w:w="1073" w:type="dxa"/>
                  <w:tcBorders>
                    <w:left w:val="single" w:color="auto" w:sz="4" w:space="0"/>
                  </w:tcBorders>
                  <w:noWrap w:val="0"/>
                  <w:vAlign w:val="center"/>
                </w:tcPr>
                <w:p w14:paraId="3E130EDE">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rPr>
                    <w:t>噪声值dB(A)</w:t>
                  </w:r>
                </w:p>
              </w:tc>
            </w:tr>
            <w:tr w14:paraId="58C65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046" w:type="dxa"/>
                  <w:vMerge w:val="restart"/>
                  <w:noWrap w:val="0"/>
                  <w:vAlign w:val="center"/>
                </w:tcPr>
                <w:p w14:paraId="59694D24">
                  <w:pPr>
                    <w:widowControl w:val="0"/>
                    <w:autoSpaceDN w:val="0"/>
                    <w:jc w:val="center"/>
                    <w:textAlignment w:val="center"/>
                    <w:rPr>
                      <w:rFonts w:hint="default" w:ascii="Times New Roman" w:hAnsi="Times New Roman" w:cs="Times New Roman"/>
                      <w:color w:val="auto"/>
                      <w:kern w:val="2"/>
                    </w:rPr>
                  </w:pPr>
                  <w:r>
                    <w:rPr>
                      <w:rFonts w:hint="eastAsia" w:ascii="Times New Roman" w:hAnsi="Times New Roman" w:cs="Times New Roman"/>
                      <w:color w:val="auto"/>
                      <w:kern w:val="2"/>
                      <w:lang w:eastAsia="zh-CN"/>
                    </w:rPr>
                    <w:t>环境噪声</w:t>
                  </w:r>
                </w:p>
              </w:tc>
              <w:tc>
                <w:tcPr>
                  <w:tcW w:w="1193" w:type="dxa"/>
                  <w:vMerge w:val="restart"/>
                  <w:noWrap w:val="0"/>
                  <w:vAlign w:val="center"/>
                </w:tcPr>
                <w:p w14:paraId="4ADAF04C">
                  <w:pPr>
                    <w:widowControl w:val="0"/>
                    <w:autoSpaceDN w:val="0"/>
                    <w:jc w:val="center"/>
                    <w:textAlignment w:val="center"/>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kern w:val="2"/>
                      <w:lang w:val="en-US" w:eastAsia="zh-CN"/>
                    </w:rPr>
                    <w:t>2023.03.02</w:t>
                  </w:r>
                </w:p>
              </w:tc>
              <w:tc>
                <w:tcPr>
                  <w:tcW w:w="1246" w:type="dxa"/>
                  <w:vMerge w:val="restart"/>
                  <w:noWrap w:val="0"/>
                  <w:vAlign w:val="center"/>
                </w:tcPr>
                <w:p w14:paraId="37019BCD">
                  <w:pPr>
                    <w:jc w:val="center"/>
                    <w:rPr>
                      <w:rFonts w:hint="default" w:ascii="Times New Roman" w:hAnsi="Times New Roman" w:cs="Times New Roman"/>
                      <w:color w:val="auto"/>
                    </w:rPr>
                  </w:pPr>
                  <w:r>
                    <w:rPr>
                      <w:rFonts w:hint="eastAsia" w:ascii="Times New Roman" w:hAnsi="Times New Roman" w:eastAsia="宋体" w:cs="Times New Roman"/>
                      <w:color w:val="auto"/>
                      <w:szCs w:val="21"/>
                      <w:lang w:val="en-US" w:eastAsia="zh-CN"/>
                    </w:rPr>
                    <w:t>罗胡山村</w:t>
                  </w:r>
                </w:p>
              </w:tc>
              <w:tc>
                <w:tcPr>
                  <w:tcW w:w="702" w:type="dxa"/>
                  <w:noWrap w:val="0"/>
                  <w:vAlign w:val="center"/>
                </w:tcPr>
                <w:p w14:paraId="257FF00C">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rPr>
                    <w:t>昼间</w:t>
                  </w:r>
                </w:p>
              </w:tc>
              <w:tc>
                <w:tcPr>
                  <w:tcW w:w="855" w:type="dxa"/>
                  <w:noWrap w:val="0"/>
                  <w:vAlign w:val="center"/>
                </w:tcPr>
                <w:p w14:paraId="64F7C217">
                  <w:pPr>
                    <w:widowControl w:val="0"/>
                    <w:autoSpaceDN w:val="0"/>
                    <w:jc w:val="center"/>
                    <w:textAlignment w:val="center"/>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kern w:val="2"/>
                      <w:lang w:val="en-US" w:eastAsia="zh-CN"/>
                    </w:rPr>
                    <w:t>09</w:t>
                  </w:r>
                  <w:r>
                    <w:rPr>
                      <w:rFonts w:hint="eastAsia" w:ascii="Times New Roman" w:hAnsi="Times New Roman" w:eastAsia="宋体" w:cs="Times New Roman"/>
                      <w:color w:val="auto"/>
                      <w:kern w:val="2"/>
                      <w:lang w:val="en-US" w:eastAsia="zh-CN"/>
                    </w:rPr>
                    <w:t>:</w:t>
                  </w:r>
                  <w:r>
                    <w:rPr>
                      <w:rFonts w:hint="eastAsia" w:ascii="Times New Roman" w:hAnsi="Times New Roman" w:cs="Times New Roman"/>
                      <w:color w:val="auto"/>
                      <w:kern w:val="2"/>
                      <w:lang w:val="en-US" w:eastAsia="zh-CN"/>
                    </w:rPr>
                    <w:t>45</w:t>
                  </w:r>
                </w:p>
              </w:tc>
              <w:tc>
                <w:tcPr>
                  <w:tcW w:w="1924" w:type="dxa"/>
                  <w:tcBorders>
                    <w:right w:val="single" w:color="auto" w:sz="4" w:space="0"/>
                  </w:tcBorders>
                  <w:noWrap w:val="0"/>
                  <w:vAlign w:val="center"/>
                </w:tcPr>
                <w:p w14:paraId="2118B913">
                  <w:pPr>
                    <w:widowControl w:val="0"/>
                    <w:autoSpaceDN w:val="0"/>
                    <w:jc w:val="center"/>
                    <w:textAlignment w:val="center"/>
                    <w:rPr>
                      <w:rFonts w:hint="default" w:ascii="Times New Roman" w:hAnsi="Times New Roman" w:cs="Times New Roman"/>
                      <w:color w:val="auto"/>
                      <w:kern w:val="2"/>
                    </w:rPr>
                  </w:pPr>
                  <w:r>
                    <w:rPr>
                      <w:rFonts w:hint="eastAsia" w:ascii="Times New Roman" w:hAnsi="Times New Roman" w:cs="Times New Roman"/>
                      <w:color w:val="auto"/>
                      <w:kern w:val="2"/>
                      <w:lang w:val="en-US" w:eastAsia="zh-CN"/>
                    </w:rPr>
                    <w:t>2303032</w:t>
                  </w:r>
                  <w:r>
                    <w:rPr>
                      <w:rFonts w:hint="default" w:ascii="Times New Roman" w:hAnsi="Times New Roman" w:cs="Times New Roman"/>
                      <w:color w:val="auto"/>
                      <w:kern w:val="2"/>
                    </w:rPr>
                    <w:t>ZS01-1-1</w:t>
                  </w:r>
                </w:p>
              </w:tc>
              <w:tc>
                <w:tcPr>
                  <w:tcW w:w="1073" w:type="dxa"/>
                  <w:tcBorders>
                    <w:left w:val="single" w:color="auto" w:sz="4" w:space="0"/>
                  </w:tcBorders>
                  <w:noWrap w:val="0"/>
                  <w:vAlign w:val="center"/>
                </w:tcPr>
                <w:p w14:paraId="5B93B970">
                  <w:pPr>
                    <w:widowControl w:val="0"/>
                    <w:autoSpaceDN w:val="0"/>
                    <w:jc w:val="center"/>
                    <w:textAlignment w:val="center"/>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kern w:val="2"/>
                      <w:lang w:val="en-US" w:eastAsia="zh-CN"/>
                    </w:rPr>
                    <w:t>50</w:t>
                  </w:r>
                </w:p>
              </w:tc>
            </w:tr>
            <w:tr w14:paraId="04CC4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046" w:type="dxa"/>
                  <w:vMerge w:val="continue"/>
                  <w:noWrap w:val="0"/>
                  <w:vAlign w:val="center"/>
                </w:tcPr>
                <w:p w14:paraId="030BA4B1">
                  <w:pPr>
                    <w:jc w:val="center"/>
                    <w:rPr>
                      <w:rFonts w:hint="default" w:ascii="Times New Roman" w:hAnsi="Times New Roman" w:cs="Times New Roman"/>
                      <w:color w:val="auto"/>
                      <w:kern w:val="2"/>
                    </w:rPr>
                  </w:pPr>
                </w:p>
              </w:tc>
              <w:tc>
                <w:tcPr>
                  <w:tcW w:w="1193" w:type="dxa"/>
                  <w:vMerge w:val="continue"/>
                  <w:noWrap w:val="0"/>
                  <w:vAlign w:val="center"/>
                </w:tcPr>
                <w:p w14:paraId="66C87B09">
                  <w:pPr>
                    <w:jc w:val="center"/>
                    <w:rPr>
                      <w:rFonts w:hint="default" w:ascii="Times New Roman" w:hAnsi="Times New Roman" w:cs="Times New Roman"/>
                      <w:color w:val="auto"/>
                      <w:kern w:val="2"/>
                    </w:rPr>
                  </w:pPr>
                </w:p>
              </w:tc>
              <w:tc>
                <w:tcPr>
                  <w:tcW w:w="1246" w:type="dxa"/>
                  <w:vMerge w:val="continue"/>
                  <w:noWrap w:val="0"/>
                  <w:vAlign w:val="center"/>
                </w:tcPr>
                <w:p w14:paraId="7CB95701">
                  <w:pPr>
                    <w:jc w:val="center"/>
                    <w:rPr>
                      <w:rFonts w:hint="default" w:ascii="Times New Roman" w:hAnsi="Times New Roman" w:cs="Times New Roman"/>
                      <w:color w:val="auto"/>
                      <w:kern w:val="2"/>
                    </w:rPr>
                  </w:pPr>
                </w:p>
              </w:tc>
              <w:tc>
                <w:tcPr>
                  <w:tcW w:w="702" w:type="dxa"/>
                  <w:noWrap w:val="0"/>
                  <w:vAlign w:val="center"/>
                </w:tcPr>
                <w:p w14:paraId="0749BADB">
                  <w:pPr>
                    <w:widowControl w:val="0"/>
                    <w:autoSpaceDN w:val="0"/>
                    <w:jc w:val="center"/>
                    <w:textAlignment w:val="center"/>
                    <w:rPr>
                      <w:rFonts w:hint="default" w:ascii="Times New Roman" w:hAnsi="Times New Roman" w:cs="Times New Roman"/>
                      <w:color w:val="auto"/>
                      <w:kern w:val="2"/>
                    </w:rPr>
                  </w:pPr>
                  <w:r>
                    <w:rPr>
                      <w:rFonts w:hint="default" w:ascii="Times New Roman" w:hAnsi="Times New Roman" w:cs="Times New Roman"/>
                      <w:color w:val="auto"/>
                    </w:rPr>
                    <w:t>夜间</w:t>
                  </w:r>
                </w:p>
              </w:tc>
              <w:tc>
                <w:tcPr>
                  <w:tcW w:w="855" w:type="dxa"/>
                  <w:noWrap w:val="0"/>
                  <w:vAlign w:val="center"/>
                </w:tcPr>
                <w:p w14:paraId="2F6201CE">
                  <w:pPr>
                    <w:widowControl w:val="0"/>
                    <w:autoSpaceDN w:val="0"/>
                    <w:jc w:val="center"/>
                    <w:textAlignment w:val="center"/>
                    <w:rPr>
                      <w:rFonts w:hint="default" w:ascii="Times New Roman" w:hAnsi="Times New Roman" w:cs="Times New Roman"/>
                      <w:color w:val="auto"/>
                      <w:kern w:val="2"/>
                      <w:lang w:val="en-US"/>
                    </w:rPr>
                  </w:pPr>
                  <w:r>
                    <w:rPr>
                      <w:rFonts w:hint="eastAsia" w:ascii="Times New Roman" w:hAnsi="Times New Roman" w:cs="Times New Roman"/>
                      <w:color w:val="auto"/>
                      <w:kern w:val="2"/>
                      <w:lang w:val="en-US" w:eastAsia="zh-CN"/>
                    </w:rPr>
                    <w:t>22</w:t>
                  </w:r>
                  <w:r>
                    <w:rPr>
                      <w:rFonts w:hint="eastAsia" w:ascii="Times New Roman" w:hAnsi="Times New Roman" w:eastAsia="宋体" w:cs="Times New Roman"/>
                      <w:color w:val="auto"/>
                      <w:kern w:val="2"/>
                      <w:lang w:val="en-US" w:eastAsia="zh-CN"/>
                    </w:rPr>
                    <w:t>:</w:t>
                  </w:r>
                  <w:r>
                    <w:rPr>
                      <w:rFonts w:hint="eastAsia" w:ascii="Times New Roman" w:hAnsi="Times New Roman" w:cs="Times New Roman"/>
                      <w:color w:val="auto"/>
                      <w:kern w:val="2"/>
                      <w:lang w:val="en-US" w:eastAsia="zh-CN"/>
                    </w:rPr>
                    <w:t>01</w:t>
                  </w:r>
                </w:p>
              </w:tc>
              <w:tc>
                <w:tcPr>
                  <w:tcW w:w="1924" w:type="dxa"/>
                  <w:tcBorders>
                    <w:right w:val="single" w:color="auto" w:sz="4" w:space="0"/>
                  </w:tcBorders>
                  <w:noWrap w:val="0"/>
                  <w:vAlign w:val="center"/>
                </w:tcPr>
                <w:p w14:paraId="0B5EA58F">
                  <w:pPr>
                    <w:widowControl w:val="0"/>
                    <w:autoSpaceDN w:val="0"/>
                    <w:jc w:val="center"/>
                    <w:textAlignment w:val="center"/>
                    <w:rPr>
                      <w:rFonts w:hint="default" w:ascii="Times New Roman" w:hAnsi="Times New Roman" w:cs="Times New Roman"/>
                      <w:color w:val="auto"/>
                      <w:kern w:val="2"/>
                    </w:rPr>
                  </w:pPr>
                  <w:r>
                    <w:rPr>
                      <w:rFonts w:hint="eastAsia" w:ascii="Times New Roman" w:hAnsi="Times New Roman" w:cs="Times New Roman"/>
                      <w:color w:val="auto"/>
                      <w:kern w:val="2"/>
                      <w:lang w:val="en-US" w:eastAsia="zh-CN"/>
                    </w:rPr>
                    <w:t>2303032</w:t>
                  </w:r>
                  <w:r>
                    <w:rPr>
                      <w:rFonts w:hint="default" w:ascii="Times New Roman" w:hAnsi="Times New Roman" w:cs="Times New Roman"/>
                      <w:color w:val="auto"/>
                      <w:kern w:val="2"/>
                    </w:rPr>
                    <w:t>ZS01-1-2</w:t>
                  </w:r>
                </w:p>
              </w:tc>
              <w:tc>
                <w:tcPr>
                  <w:tcW w:w="1073" w:type="dxa"/>
                  <w:tcBorders>
                    <w:left w:val="single" w:color="auto" w:sz="4" w:space="0"/>
                  </w:tcBorders>
                  <w:noWrap w:val="0"/>
                  <w:vAlign w:val="center"/>
                </w:tcPr>
                <w:p w14:paraId="06CD31E6">
                  <w:pPr>
                    <w:widowControl w:val="0"/>
                    <w:autoSpaceDN w:val="0"/>
                    <w:jc w:val="center"/>
                    <w:textAlignment w:val="center"/>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kern w:val="2"/>
                      <w:lang w:val="en-US" w:eastAsia="zh-CN"/>
                    </w:rPr>
                    <w:t>46</w:t>
                  </w:r>
                </w:p>
              </w:tc>
            </w:tr>
            <w:tr w14:paraId="5A85F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046" w:type="dxa"/>
                  <w:vMerge w:val="continue"/>
                  <w:noWrap w:val="0"/>
                  <w:vAlign w:val="center"/>
                </w:tcPr>
                <w:p w14:paraId="01400F75">
                  <w:pPr>
                    <w:jc w:val="center"/>
                    <w:rPr>
                      <w:rFonts w:hint="default" w:ascii="Times New Roman" w:hAnsi="Times New Roman" w:cs="Times New Roman"/>
                      <w:color w:val="auto"/>
                      <w:kern w:val="2"/>
                    </w:rPr>
                  </w:pPr>
                </w:p>
              </w:tc>
              <w:tc>
                <w:tcPr>
                  <w:tcW w:w="1193" w:type="dxa"/>
                  <w:vMerge w:val="continue"/>
                  <w:noWrap w:val="0"/>
                  <w:vAlign w:val="center"/>
                </w:tcPr>
                <w:p w14:paraId="20D1472D">
                  <w:pPr>
                    <w:jc w:val="center"/>
                    <w:rPr>
                      <w:rFonts w:hint="default" w:ascii="Times New Roman" w:hAnsi="Times New Roman" w:cs="Times New Roman"/>
                      <w:color w:val="auto"/>
                      <w:kern w:val="2"/>
                    </w:rPr>
                  </w:pPr>
                </w:p>
              </w:tc>
              <w:tc>
                <w:tcPr>
                  <w:tcW w:w="1246" w:type="dxa"/>
                  <w:vMerge w:val="restart"/>
                  <w:noWrap w:val="0"/>
                  <w:vAlign w:val="center"/>
                </w:tcPr>
                <w:p w14:paraId="3EFA4B1A">
                  <w:pPr>
                    <w:jc w:val="center"/>
                    <w:rPr>
                      <w:rFonts w:hint="default" w:ascii="Times New Roman" w:hAnsi="Times New Roman" w:cs="Times New Roman"/>
                      <w:color w:val="auto"/>
                      <w:kern w:val="2"/>
                    </w:rPr>
                  </w:pPr>
                  <w:r>
                    <w:rPr>
                      <w:rFonts w:hint="eastAsia" w:ascii="Times New Roman" w:hAnsi="Times New Roman" w:eastAsia="宋体" w:cs="Times New Roman"/>
                      <w:color w:val="auto"/>
                      <w:szCs w:val="21"/>
                      <w:lang w:val="en-US" w:eastAsia="zh-CN"/>
                    </w:rPr>
                    <w:t>芒市康丰糖业有限公司生活区</w:t>
                  </w:r>
                </w:p>
              </w:tc>
              <w:tc>
                <w:tcPr>
                  <w:tcW w:w="702" w:type="dxa"/>
                  <w:noWrap w:val="0"/>
                  <w:vAlign w:val="center"/>
                </w:tcPr>
                <w:p w14:paraId="06B7595C">
                  <w:pPr>
                    <w:widowControl w:val="0"/>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昼间</w:t>
                  </w:r>
                </w:p>
              </w:tc>
              <w:tc>
                <w:tcPr>
                  <w:tcW w:w="855" w:type="dxa"/>
                  <w:noWrap w:val="0"/>
                  <w:vAlign w:val="center"/>
                </w:tcPr>
                <w:p w14:paraId="1610781D">
                  <w:pPr>
                    <w:widowControl w:val="0"/>
                    <w:autoSpaceDN w:val="0"/>
                    <w:jc w:val="center"/>
                    <w:textAlignment w:val="center"/>
                    <w:rPr>
                      <w:rFonts w:hint="default" w:ascii="Times New Roman" w:hAnsi="Times New Roman" w:cs="Times New Roman"/>
                      <w:color w:val="auto"/>
                      <w:kern w:val="2"/>
                      <w:lang w:val="en-US"/>
                    </w:rPr>
                  </w:pPr>
                  <w:r>
                    <w:rPr>
                      <w:rFonts w:hint="eastAsia" w:ascii="Times New Roman" w:hAnsi="Times New Roman" w:cs="Times New Roman"/>
                      <w:color w:val="auto"/>
                      <w:kern w:val="2"/>
                      <w:lang w:val="en-US" w:eastAsia="zh-CN"/>
                    </w:rPr>
                    <w:t>10</w:t>
                  </w:r>
                  <w:r>
                    <w:rPr>
                      <w:rFonts w:hint="eastAsia" w:ascii="Times New Roman" w:hAnsi="Times New Roman" w:eastAsia="宋体" w:cs="Times New Roman"/>
                      <w:color w:val="auto"/>
                      <w:kern w:val="2"/>
                      <w:lang w:val="en-US" w:eastAsia="zh-CN"/>
                    </w:rPr>
                    <w:t>:</w:t>
                  </w:r>
                  <w:r>
                    <w:rPr>
                      <w:rFonts w:hint="eastAsia" w:ascii="Times New Roman" w:hAnsi="Times New Roman" w:cs="Times New Roman"/>
                      <w:color w:val="auto"/>
                      <w:kern w:val="2"/>
                      <w:lang w:val="en-US" w:eastAsia="zh-CN"/>
                    </w:rPr>
                    <w:t>26</w:t>
                  </w:r>
                </w:p>
              </w:tc>
              <w:tc>
                <w:tcPr>
                  <w:tcW w:w="1924" w:type="dxa"/>
                  <w:tcBorders>
                    <w:right w:val="single" w:color="auto" w:sz="4" w:space="0"/>
                  </w:tcBorders>
                  <w:noWrap w:val="0"/>
                  <w:vAlign w:val="center"/>
                </w:tcPr>
                <w:p w14:paraId="3443AA28">
                  <w:pPr>
                    <w:widowControl w:val="0"/>
                    <w:autoSpaceDN w:val="0"/>
                    <w:jc w:val="center"/>
                    <w:textAlignment w:val="center"/>
                    <w:rPr>
                      <w:rFonts w:hint="default" w:ascii="Times New Roman" w:hAnsi="Times New Roman" w:cs="Times New Roman"/>
                      <w:color w:val="auto"/>
                      <w:kern w:val="2"/>
                    </w:rPr>
                  </w:pPr>
                  <w:r>
                    <w:rPr>
                      <w:rFonts w:hint="eastAsia" w:ascii="Times New Roman" w:hAnsi="Times New Roman" w:cs="Times New Roman"/>
                      <w:color w:val="auto"/>
                      <w:kern w:val="2"/>
                      <w:lang w:val="en-US" w:eastAsia="zh-CN"/>
                    </w:rPr>
                    <w:t>2303032</w:t>
                  </w:r>
                  <w:r>
                    <w:rPr>
                      <w:rFonts w:hint="default" w:ascii="Times New Roman" w:hAnsi="Times New Roman" w:cs="Times New Roman"/>
                      <w:color w:val="auto"/>
                      <w:kern w:val="2"/>
                    </w:rPr>
                    <w:t>ZS02-1-1</w:t>
                  </w:r>
                </w:p>
              </w:tc>
              <w:tc>
                <w:tcPr>
                  <w:tcW w:w="1073" w:type="dxa"/>
                  <w:tcBorders>
                    <w:left w:val="single" w:color="auto" w:sz="4" w:space="0"/>
                  </w:tcBorders>
                  <w:noWrap w:val="0"/>
                  <w:vAlign w:val="center"/>
                </w:tcPr>
                <w:p w14:paraId="3C996085">
                  <w:pPr>
                    <w:widowControl w:val="0"/>
                    <w:autoSpaceDN w:val="0"/>
                    <w:jc w:val="center"/>
                    <w:textAlignment w:val="center"/>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kern w:val="2"/>
                      <w:lang w:val="en-US" w:eastAsia="zh-CN"/>
                    </w:rPr>
                    <w:t>53</w:t>
                  </w:r>
                </w:p>
              </w:tc>
            </w:tr>
            <w:tr w14:paraId="764B3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1046" w:type="dxa"/>
                  <w:vMerge w:val="continue"/>
                  <w:noWrap w:val="0"/>
                  <w:vAlign w:val="center"/>
                </w:tcPr>
                <w:p w14:paraId="61AA2AF9">
                  <w:pPr>
                    <w:jc w:val="center"/>
                    <w:rPr>
                      <w:rFonts w:hint="default" w:ascii="Times New Roman" w:hAnsi="Times New Roman" w:cs="Times New Roman"/>
                      <w:color w:val="auto"/>
                      <w:kern w:val="2"/>
                    </w:rPr>
                  </w:pPr>
                </w:p>
              </w:tc>
              <w:tc>
                <w:tcPr>
                  <w:tcW w:w="1193" w:type="dxa"/>
                  <w:vMerge w:val="continue"/>
                  <w:noWrap w:val="0"/>
                  <w:vAlign w:val="center"/>
                </w:tcPr>
                <w:p w14:paraId="5A15EE61">
                  <w:pPr>
                    <w:jc w:val="center"/>
                    <w:rPr>
                      <w:rFonts w:hint="default" w:ascii="Times New Roman" w:hAnsi="Times New Roman" w:cs="Times New Roman"/>
                      <w:color w:val="auto"/>
                      <w:kern w:val="2"/>
                    </w:rPr>
                  </w:pPr>
                </w:p>
              </w:tc>
              <w:tc>
                <w:tcPr>
                  <w:tcW w:w="1246" w:type="dxa"/>
                  <w:vMerge w:val="continue"/>
                  <w:noWrap w:val="0"/>
                  <w:vAlign w:val="center"/>
                </w:tcPr>
                <w:p w14:paraId="3E98525A">
                  <w:pPr>
                    <w:jc w:val="center"/>
                    <w:rPr>
                      <w:rFonts w:hint="default" w:ascii="Times New Roman" w:hAnsi="Times New Roman" w:cs="Times New Roman"/>
                      <w:color w:val="auto"/>
                      <w:kern w:val="2"/>
                    </w:rPr>
                  </w:pPr>
                </w:p>
              </w:tc>
              <w:tc>
                <w:tcPr>
                  <w:tcW w:w="702" w:type="dxa"/>
                  <w:noWrap w:val="0"/>
                  <w:vAlign w:val="center"/>
                </w:tcPr>
                <w:p w14:paraId="3A8795E0">
                  <w:pPr>
                    <w:widowControl w:val="0"/>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夜间</w:t>
                  </w:r>
                </w:p>
              </w:tc>
              <w:tc>
                <w:tcPr>
                  <w:tcW w:w="855" w:type="dxa"/>
                  <w:noWrap w:val="0"/>
                  <w:vAlign w:val="center"/>
                </w:tcPr>
                <w:p w14:paraId="71DEC242">
                  <w:pPr>
                    <w:widowControl w:val="0"/>
                    <w:autoSpaceDN w:val="0"/>
                    <w:jc w:val="center"/>
                    <w:textAlignment w:val="center"/>
                    <w:rPr>
                      <w:rFonts w:hint="default" w:ascii="Times New Roman" w:hAnsi="Times New Roman" w:cs="Times New Roman"/>
                      <w:color w:val="auto"/>
                      <w:kern w:val="2"/>
                      <w:lang w:val="en-US"/>
                    </w:rPr>
                  </w:pPr>
                  <w:r>
                    <w:rPr>
                      <w:rFonts w:hint="eastAsia" w:ascii="Times New Roman" w:hAnsi="Times New Roman" w:cs="Times New Roman"/>
                      <w:color w:val="auto"/>
                      <w:kern w:val="2"/>
                      <w:lang w:val="en-US" w:eastAsia="zh-CN"/>
                    </w:rPr>
                    <w:t>22</w:t>
                  </w:r>
                  <w:r>
                    <w:rPr>
                      <w:rFonts w:hint="eastAsia" w:ascii="Times New Roman" w:hAnsi="Times New Roman" w:eastAsia="宋体" w:cs="Times New Roman"/>
                      <w:color w:val="auto"/>
                      <w:kern w:val="2"/>
                      <w:lang w:val="en-US" w:eastAsia="zh-CN"/>
                    </w:rPr>
                    <w:t>:</w:t>
                  </w:r>
                  <w:r>
                    <w:rPr>
                      <w:rFonts w:hint="eastAsia" w:ascii="Times New Roman" w:hAnsi="Times New Roman" w:cs="Times New Roman"/>
                      <w:color w:val="auto"/>
                      <w:kern w:val="2"/>
                      <w:lang w:val="en-US" w:eastAsia="zh-CN"/>
                    </w:rPr>
                    <w:t>35</w:t>
                  </w:r>
                </w:p>
              </w:tc>
              <w:tc>
                <w:tcPr>
                  <w:tcW w:w="1924" w:type="dxa"/>
                  <w:tcBorders>
                    <w:right w:val="single" w:color="auto" w:sz="4" w:space="0"/>
                  </w:tcBorders>
                  <w:noWrap w:val="0"/>
                  <w:vAlign w:val="center"/>
                </w:tcPr>
                <w:p w14:paraId="50D29D4F">
                  <w:pPr>
                    <w:widowControl w:val="0"/>
                    <w:autoSpaceDN w:val="0"/>
                    <w:jc w:val="center"/>
                    <w:textAlignment w:val="center"/>
                    <w:rPr>
                      <w:rFonts w:hint="default" w:ascii="Times New Roman" w:hAnsi="Times New Roman" w:cs="Times New Roman"/>
                      <w:color w:val="auto"/>
                      <w:kern w:val="2"/>
                    </w:rPr>
                  </w:pPr>
                  <w:r>
                    <w:rPr>
                      <w:rFonts w:hint="eastAsia" w:ascii="Times New Roman" w:hAnsi="Times New Roman" w:cs="Times New Roman"/>
                      <w:color w:val="auto"/>
                      <w:kern w:val="2"/>
                      <w:lang w:val="en-US" w:eastAsia="zh-CN"/>
                    </w:rPr>
                    <w:t>2303032</w:t>
                  </w:r>
                  <w:r>
                    <w:rPr>
                      <w:rFonts w:hint="default" w:ascii="Times New Roman" w:hAnsi="Times New Roman" w:cs="Times New Roman"/>
                      <w:color w:val="auto"/>
                      <w:kern w:val="2"/>
                    </w:rPr>
                    <w:t>ZS02-1-2</w:t>
                  </w:r>
                </w:p>
              </w:tc>
              <w:tc>
                <w:tcPr>
                  <w:tcW w:w="1073" w:type="dxa"/>
                  <w:tcBorders>
                    <w:left w:val="single" w:color="auto" w:sz="4" w:space="0"/>
                  </w:tcBorders>
                  <w:noWrap w:val="0"/>
                  <w:vAlign w:val="center"/>
                </w:tcPr>
                <w:p w14:paraId="617DFC81">
                  <w:pPr>
                    <w:widowControl w:val="0"/>
                    <w:autoSpaceDN w:val="0"/>
                    <w:jc w:val="center"/>
                    <w:textAlignment w:val="center"/>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kern w:val="2"/>
                      <w:lang w:val="en-US" w:eastAsia="zh-CN"/>
                    </w:rPr>
                    <w:t>48</w:t>
                  </w:r>
                </w:p>
              </w:tc>
            </w:tr>
          </w:tbl>
          <w:p w14:paraId="640E8A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lang w:val="zh-CN" w:eastAsia="zh-CN"/>
              </w:rPr>
            </w:pPr>
            <w:r>
              <w:rPr>
                <w:rFonts w:hint="eastAsia" w:ascii="Times New Roman" w:hAnsi="Times New Roman" w:eastAsia="宋体" w:cs="Times New Roman"/>
                <w:bCs/>
                <w:color w:val="auto"/>
                <w:kern w:val="28"/>
                <w:sz w:val="24"/>
                <w:szCs w:val="24"/>
                <w:lang w:val="en-US" w:eastAsia="zh-CN"/>
              </w:rPr>
              <w:t>根据监测结果显示，</w:t>
            </w:r>
            <w:r>
              <w:rPr>
                <w:rFonts w:hint="eastAsia" w:ascii="Times New Roman" w:hAnsi="Times New Roman" w:eastAsia="宋体" w:cs="Times New Roman"/>
                <w:bCs/>
                <w:color w:val="auto"/>
                <w:kern w:val="28"/>
                <w:sz w:val="24"/>
                <w:szCs w:val="24"/>
              </w:rPr>
              <w:t>区域声环境质量状况良好</w:t>
            </w:r>
            <w:r>
              <w:rPr>
                <w:rFonts w:hint="eastAsia" w:ascii="Times New Roman" w:hAnsi="Times New Roman" w:eastAsia="宋体" w:cs="Times New Roman"/>
                <w:bCs/>
                <w:color w:val="auto"/>
                <w:kern w:val="28"/>
                <w:sz w:val="24"/>
                <w:szCs w:val="24"/>
                <w:lang w:eastAsia="zh-CN"/>
              </w:rPr>
              <w:t>，</w:t>
            </w:r>
            <w:r>
              <w:rPr>
                <w:rFonts w:hint="eastAsia" w:ascii="宋体" w:hAnsi="宋体" w:eastAsia="宋体" w:cs="宋体"/>
                <w:color w:val="auto"/>
                <w:sz w:val="24"/>
                <w:lang w:val="zh-CN" w:eastAsia="zh-CN"/>
              </w:rPr>
              <w:t>项目区声环境满足《声环境质量标准》</w:t>
            </w:r>
            <w:r>
              <w:rPr>
                <w:rFonts w:hint="eastAsia" w:ascii="Times New Roman" w:hAnsi="Times New Roman" w:eastAsia="宋体" w:cs="Times New Roman"/>
                <w:bCs/>
                <w:color w:val="auto"/>
                <w:kern w:val="28"/>
                <w:sz w:val="24"/>
                <w:szCs w:val="24"/>
                <w:lang w:val="zh-CN" w:eastAsia="zh-CN"/>
              </w:rPr>
              <w:t>（GB3096-2008）</w:t>
            </w:r>
            <w:r>
              <w:rPr>
                <w:rFonts w:hint="eastAsia" w:ascii="宋体" w:hAnsi="宋体" w:eastAsia="宋体" w:cs="宋体"/>
                <w:color w:val="auto"/>
                <w:sz w:val="24"/>
                <w:lang w:val="zh-CN" w:eastAsia="zh-CN"/>
              </w:rPr>
              <w:t>中</w:t>
            </w:r>
            <w:r>
              <w:rPr>
                <w:rFonts w:hint="eastAsia" w:ascii="Times New Roman" w:hAnsi="Times New Roman" w:eastAsia="宋体" w:cs="Times New Roman"/>
                <w:bCs/>
                <w:color w:val="auto"/>
                <w:kern w:val="28"/>
                <w:sz w:val="24"/>
                <w:szCs w:val="24"/>
                <w:lang w:val="zh-CN" w:eastAsia="zh-CN"/>
              </w:rPr>
              <w:t>2</w:t>
            </w:r>
            <w:r>
              <w:rPr>
                <w:rFonts w:hint="eastAsia" w:ascii="宋体" w:hAnsi="宋体" w:eastAsia="宋体" w:cs="宋体"/>
                <w:color w:val="auto"/>
                <w:sz w:val="24"/>
                <w:lang w:val="zh-CN" w:eastAsia="zh-CN"/>
              </w:rPr>
              <w:t>类标准。</w:t>
            </w:r>
          </w:p>
          <w:p w14:paraId="539C3EF1">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四、生态环境质量现状</w:t>
            </w:r>
          </w:p>
          <w:p w14:paraId="6702EB60">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480" w:firstLineChars="200"/>
              <w:textAlignment w:val="auto"/>
              <w:rPr>
                <w:rFonts w:hint="eastAsia" w:eastAsia="oúì."/>
                <w:color w:val="auto"/>
                <w:lang w:val="en-US" w:eastAsia="zh-CN"/>
              </w:rPr>
            </w:pPr>
            <w:r>
              <w:rPr>
                <w:rFonts w:hint="default" w:ascii="Times New Roman" w:hAnsi="Times New Roman" w:eastAsia="宋体" w:cs="Times New Roman"/>
                <w:bCs/>
                <w:color w:val="auto"/>
                <w:sz w:val="24"/>
              </w:rPr>
              <w:t>经现场踏勘</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kern w:val="2"/>
                <w:sz w:val="24"/>
                <w:szCs w:val="24"/>
                <w:lang w:val="zh-CN" w:eastAsia="zh-CN" w:bidi="ar-SA"/>
              </w:rPr>
              <w:t>项目区内</w:t>
            </w:r>
            <w:r>
              <w:rPr>
                <w:rFonts w:hint="eastAsia" w:ascii="Times New Roman" w:hAnsi="Times New Roman" w:eastAsia="宋体" w:cs="Times New Roman"/>
                <w:color w:val="auto"/>
                <w:kern w:val="2"/>
                <w:sz w:val="24"/>
                <w:szCs w:val="24"/>
                <w:lang w:val="en-US" w:eastAsia="zh-CN" w:bidi="ar-SA"/>
              </w:rPr>
              <w:t>由于多年的人工活动干扰，</w:t>
            </w:r>
            <w:r>
              <w:rPr>
                <w:rFonts w:hint="default" w:ascii="Times New Roman" w:hAnsi="Times New Roman" w:eastAsia="宋体" w:cs="Times New Roman"/>
                <w:color w:val="auto"/>
                <w:kern w:val="2"/>
                <w:sz w:val="24"/>
                <w:szCs w:val="24"/>
                <w:lang w:val="zh-CN" w:eastAsia="zh-CN" w:bidi="ar-SA"/>
              </w:rPr>
              <w:t>原生的植被已经不存在，</w:t>
            </w:r>
            <w:r>
              <w:rPr>
                <w:rFonts w:hint="eastAsia" w:ascii="Times New Roman" w:hAnsi="Times New Roman" w:eastAsia="宋体" w:cs="Times New Roman"/>
                <w:color w:val="auto"/>
                <w:kern w:val="2"/>
                <w:sz w:val="24"/>
                <w:szCs w:val="24"/>
                <w:lang w:val="en-US" w:eastAsia="zh-CN" w:bidi="ar-SA"/>
              </w:rPr>
              <w:t>项目地块已经平整完毕，已经建有1栋标准化厂房，项目所在区域无野生动物生活的生境，无国家及云南省规定保护的野生动物。</w:t>
            </w:r>
            <w:r>
              <w:rPr>
                <w:rFonts w:hint="default" w:ascii="Times New Roman" w:hAnsi="Times New Roman" w:eastAsia="宋体" w:cs="Times New Roman"/>
                <w:color w:val="auto"/>
                <w:kern w:val="2"/>
                <w:sz w:val="24"/>
                <w:szCs w:val="24"/>
                <w:lang w:val="zh-CN" w:eastAsia="zh-CN" w:bidi="ar-SA"/>
              </w:rPr>
              <w:t>所在区域人为活动频繁，</w:t>
            </w:r>
            <w:r>
              <w:rPr>
                <w:rFonts w:hint="eastAsia" w:ascii="Times New Roman" w:hAnsi="Times New Roman" w:eastAsia="宋体" w:cs="Times New Roman"/>
                <w:color w:val="auto"/>
                <w:kern w:val="2"/>
                <w:sz w:val="24"/>
                <w:szCs w:val="24"/>
                <w:lang w:val="en-US" w:eastAsia="zh-CN" w:bidi="ar-SA"/>
              </w:rPr>
              <w:t>周边多以农田植被为主，</w:t>
            </w:r>
            <w:r>
              <w:rPr>
                <w:rFonts w:hint="default" w:ascii="Times New Roman" w:hAnsi="Times New Roman" w:eastAsia="宋体" w:cs="Times New Roman"/>
                <w:color w:val="auto"/>
                <w:kern w:val="2"/>
                <w:sz w:val="24"/>
                <w:szCs w:val="24"/>
                <w:lang w:val="zh-CN" w:eastAsia="zh-CN" w:bidi="ar-SA"/>
              </w:rPr>
              <w:t>地表植被较为单一</w:t>
            </w:r>
            <w:r>
              <w:rPr>
                <w:rFonts w:hint="eastAsia" w:ascii="Times New Roman" w:hAnsi="Times New Roman" w:eastAsia="宋体" w:cs="Times New Roman"/>
                <w:color w:val="auto"/>
                <w:kern w:val="2"/>
                <w:sz w:val="24"/>
                <w:szCs w:val="24"/>
                <w:lang w:val="zh-CN" w:eastAsia="zh-CN" w:bidi="ar-SA"/>
              </w:rPr>
              <w:t>，</w:t>
            </w:r>
            <w:r>
              <w:rPr>
                <w:rFonts w:hint="eastAsia" w:ascii="Times New Roman" w:hAnsi="Times New Roman" w:eastAsia="宋体" w:cs="Times New Roman"/>
                <w:color w:val="auto"/>
                <w:kern w:val="2"/>
                <w:sz w:val="24"/>
                <w:szCs w:val="24"/>
                <w:lang w:val="en-US" w:eastAsia="zh-CN" w:bidi="ar-SA"/>
              </w:rPr>
              <w:t>不涉及古树名木，</w:t>
            </w:r>
            <w:r>
              <w:rPr>
                <w:rFonts w:hint="default" w:ascii="Times New Roman" w:hAnsi="Times New Roman" w:eastAsia="宋体" w:cs="Times New Roman"/>
                <w:color w:val="auto"/>
                <w:kern w:val="2"/>
                <w:sz w:val="24"/>
                <w:szCs w:val="24"/>
                <w:lang w:val="zh-CN" w:eastAsia="zh-CN" w:bidi="ar-SA"/>
              </w:rPr>
              <w:t>没有需要特殊保护的生物和植被</w:t>
            </w:r>
            <w:r>
              <w:rPr>
                <w:rFonts w:hint="eastAsia" w:ascii="Times New Roman" w:hAnsi="Times New Roman" w:eastAsia="宋体" w:cs="Times New Roman"/>
                <w:color w:val="auto"/>
                <w:kern w:val="2"/>
                <w:sz w:val="24"/>
                <w:szCs w:val="24"/>
                <w:lang w:val="zh-CN" w:eastAsia="zh-CN" w:bidi="ar-SA"/>
              </w:rPr>
              <w:t>，</w:t>
            </w:r>
            <w:r>
              <w:rPr>
                <w:rFonts w:hint="eastAsia" w:ascii="Times New Roman" w:hAnsi="Times New Roman" w:eastAsia="宋体" w:cs="Times New Roman"/>
                <w:color w:val="auto"/>
                <w:kern w:val="2"/>
                <w:sz w:val="24"/>
                <w:szCs w:val="24"/>
                <w:lang w:val="en-US" w:eastAsia="zh-CN" w:bidi="ar-SA"/>
              </w:rPr>
              <w:t>也不属于重点保护野生动物的迁徙通道</w:t>
            </w:r>
            <w:r>
              <w:rPr>
                <w:rFonts w:hint="default" w:ascii="Times New Roman" w:hAnsi="Times New Roman" w:eastAsia="宋体" w:cs="Times New Roman"/>
                <w:color w:val="auto"/>
                <w:kern w:val="2"/>
                <w:sz w:val="24"/>
                <w:szCs w:val="24"/>
                <w:lang w:val="zh-CN" w:eastAsia="zh-CN" w:bidi="ar-SA"/>
              </w:rPr>
              <w:t>。</w:t>
            </w:r>
          </w:p>
        </w:tc>
      </w:tr>
      <w:tr w14:paraId="26037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6" w:hRule="atLeast"/>
          <w:jc w:val="center"/>
        </w:trPr>
        <w:tc>
          <w:tcPr>
            <w:tcW w:w="760" w:type="dxa"/>
            <w:noWrap w:val="0"/>
            <w:vAlign w:val="center"/>
          </w:tcPr>
          <w:p w14:paraId="412FB0BA">
            <w:pPr>
              <w:pStyle w:val="4"/>
              <w:bidi w:val="0"/>
              <w:jc w:val="center"/>
              <w:outlineLvl w:val="9"/>
              <w:rPr>
                <w:rFonts w:hint="eastAsia" w:ascii="宋体" w:hAnsi="宋体" w:eastAsia="宋体" w:cs="宋体"/>
                <w:b w:val="0"/>
                <w:bCs/>
                <w:color w:val="auto"/>
                <w:sz w:val="24"/>
                <w:szCs w:val="24"/>
              </w:rPr>
            </w:pPr>
          </w:p>
          <w:p w14:paraId="5782EAE5">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环境</w:t>
            </w:r>
          </w:p>
          <w:p w14:paraId="7635F95A">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保护</w:t>
            </w:r>
          </w:p>
          <w:p w14:paraId="2E7269F4">
            <w:pPr>
              <w:pStyle w:val="4"/>
              <w:bidi w:val="0"/>
              <w:jc w:val="center"/>
              <w:rPr>
                <w:rFonts w:hint="eastAsia" w:ascii="宋体" w:hAnsi="宋体" w:eastAsia="宋体" w:cs="宋体"/>
                <w:color w:val="auto"/>
                <w:kern w:val="0"/>
                <w:sz w:val="21"/>
                <w:szCs w:val="21"/>
              </w:rPr>
            </w:pPr>
            <w:r>
              <w:rPr>
                <w:rFonts w:hint="eastAsia" w:ascii="宋体" w:hAnsi="宋体" w:eastAsia="宋体" w:cs="宋体"/>
                <w:b w:val="0"/>
                <w:bCs/>
                <w:color w:val="auto"/>
                <w:sz w:val="24"/>
                <w:szCs w:val="24"/>
              </w:rPr>
              <w:t>目标</w:t>
            </w:r>
          </w:p>
        </w:tc>
        <w:tc>
          <w:tcPr>
            <w:tcW w:w="8301" w:type="dxa"/>
            <w:noWrap w:val="0"/>
            <w:vAlign w:val="center"/>
          </w:tcPr>
          <w:p w14:paraId="4EAD55CC">
            <w:pPr>
              <w:pStyle w:val="31"/>
              <w:keepNext w:val="0"/>
              <w:keepLines w:val="0"/>
              <w:pageBreakBefore w:val="0"/>
              <w:numPr>
                <w:ilvl w:val="0"/>
                <w:numId w:val="0"/>
              </w:numPr>
              <w:kinsoku/>
              <w:wordWrap/>
              <w:overflowPunct/>
              <w:topLinePunct w:val="0"/>
              <w:autoSpaceDE/>
              <w:autoSpaceDN/>
              <w:bidi w:val="0"/>
              <w:adjustRightInd/>
              <w:snapToGrid/>
              <w:spacing w:before="0" w:after="0" w:afterLines="0" w:line="360" w:lineRule="auto"/>
              <w:ind w:right="113"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zh-CN" w:eastAsia="zh-CN" w:bidi="ar-SA"/>
              </w:rPr>
              <w:t>根据《建设项目环境影响报告表编制技术指南（污染影响类）》（试行），确定本次大气环境评价范围主要为项目周边</w:t>
            </w:r>
            <w:r>
              <w:rPr>
                <w:rFonts w:hint="default" w:ascii="Times New Roman" w:hAnsi="Times New Roman" w:eastAsia="宋体" w:cs="Times New Roman"/>
                <w:color w:val="auto"/>
                <w:kern w:val="2"/>
                <w:sz w:val="24"/>
                <w:szCs w:val="24"/>
                <w:lang w:val="en-US" w:eastAsia="zh-CN" w:bidi="ar-SA"/>
              </w:rPr>
              <w:t>500</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lang w:val="zh-CN" w:eastAsia="zh-CN" w:bidi="ar-SA"/>
              </w:rPr>
              <w:t>范围内的敏感点。</w:t>
            </w:r>
            <w:r>
              <w:rPr>
                <w:rFonts w:hint="eastAsia" w:ascii="Times New Roman" w:hAnsi="Times New Roman" w:eastAsia="宋体" w:cs="Times New Roman"/>
                <w:color w:val="auto"/>
                <w:kern w:val="2"/>
                <w:sz w:val="24"/>
                <w:szCs w:val="24"/>
                <w:lang w:val="en-US" w:eastAsia="zh-CN" w:bidi="ar-SA"/>
              </w:rPr>
              <w:t>声环境评价范围为</w:t>
            </w:r>
            <w:r>
              <w:rPr>
                <w:rFonts w:hint="eastAsia" w:ascii="Times New Roman" w:hAnsi="Times New Roman" w:eastAsia="宋体" w:cs="Times New Roman"/>
                <w:color w:val="auto"/>
                <w:kern w:val="2"/>
                <w:sz w:val="24"/>
                <w:szCs w:val="24"/>
                <w:lang w:val="zh-CN" w:eastAsia="zh-CN" w:bidi="ar-SA"/>
              </w:rPr>
              <w:t>项目周边</w:t>
            </w:r>
            <w:r>
              <w:rPr>
                <w:rFonts w:hint="default" w:ascii="Times New Roman" w:hAnsi="Times New Roman" w:eastAsia="宋体" w:cs="Times New Roman"/>
                <w:color w:val="auto"/>
                <w:kern w:val="2"/>
                <w:sz w:val="24"/>
                <w:szCs w:val="24"/>
                <w:lang w:val="en-US" w:eastAsia="zh-CN" w:bidi="ar-SA"/>
              </w:rPr>
              <w:t>50</w:t>
            </w:r>
            <w:r>
              <w:rPr>
                <w:rFonts w:hint="eastAsia" w:ascii="Times New Roman" w:hAnsi="Times New Roman" w:eastAsia="宋体" w:cs="Times New Roman"/>
                <w:color w:val="auto"/>
                <w:kern w:val="2"/>
                <w:sz w:val="24"/>
                <w:szCs w:val="24"/>
                <w:lang w:val="en-US" w:eastAsia="zh-CN" w:bidi="ar-SA"/>
              </w:rPr>
              <w:t>m内的敏感点。厂界外500m范围内无</w:t>
            </w:r>
            <w:r>
              <w:rPr>
                <w:rFonts w:hint="eastAsia" w:ascii="宋体" w:hAnsi="宋体" w:eastAsia="宋体" w:cs="宋体"/>
                <w:color w:val="auto"/>
                <w:sz w:val="24"/>
                <w:szCs w:val="24"/>
                <w:lang w:val="en-US" w:eastAsia="zh-CN"/>
              </w:rPr>
              <w:t>地下水集中式饮用水水源、热水、矿泉水、温泉等特殊地下水资源。</w:t>
            </w:r>
            <w:r>
              <w:rPr>
                <w:rFonts w:hint="default" w:ascii="Times New Roman" w:hAnsi="Times New Roman" w:cs="Times New Roman"/>
                <w:color w:val="auto"/>
                <w:sz w:val="24"/>
                <w:szCs w:val="24"/>
                <w:lang w:eastAsia="zh-CN"/>
              </w:rPr>
              <w:t>本项目无地下水环境保护目标、生态环境保护目标。</w:t>
            </w:r>
            <w:r>
              <w:rPr>
                <w:rFonts w:hint="eastAsia" w:ascii="Times New Roman" w:hAnsi="Times New Roman" w:eastAsia="宋体" w:cs="Times New Roman"/>
                <w:color w:val="auto"/>
                <w:kern w:val="2"/>
                <w:sz w:val="24"/>
                <w:szCs w:val="24"/>
                <w:lang w:val="en-US" w:eastAsia="zh-CN" w:bidi="ar-SA"/>
              </w:rPr>
              <w:t>项目与周边环境保护目标关系见附图3。</w:t>
            </w:r>
          </w:p>
          <w:p w14:paraId="0576802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eastAsia="宋体" w:cs="宋体"/>
                <w:snapToGrid/>
                <w:color w:val="auto"/>
                <w:kern w:val="2"/>
                <w:sz w:val="24"/>
                <w:szCs w:val="24"/>
                <w:highlight w:val="none"/>
                <w:lang w:val="en-US" w:eastAsia="zh-CN" w:bidi="ar-SA"/>
              </w:rPr>
              <w:t>项目环境保护</w:t>
            </w:r>
            <w:r>
              <w:rPr>
                <w:rFonts w:hint="default" w:ascii="Times New Roman" w:hAnsi="Times New Roman" w:eastAsia="宋体" w:cs="Times New Roman"/>
                <w:snapToGrid/>
                <w:color w:val="auto"/>
                <w:kern w:val="2"/>
                <w:sz w:val="24"/>
                <w:szCs w:val="24"/>
                <w:highlight w:val="none"/>
                <w:lang w:val="en-US" w:eastAsia="zh-CN" w:bidi="ar-SA"/>
              </w:rPr>
              <w:t>目标详见表3-</w:t>
            </w:r>
            <w:r>
              <w:rPr>
                <w:rFonts w:hint="eastAsia" w:ascii="Times New Roman" w:hAnsi="Times New Roman" w:eastAsia="宋体" w:cs="Times New Roman"/>
                <w:snapToGrid/>
                <w:color w:val="auto"/>
                <w:kern w:val="2"/>
                <w:sz w:val="24"/>
                <w:szCs w:val="24"/>
                <w:highlight w:val="none"/>
                <w:lang w:val="en-US" w:eastAsia="zh-CN" w:bidi="ar-SA"/>
              </w:rPr>
              <w:t>7</w:t>
            </w:r>
            <w:r>
              <w:rPr>
                <w:rFonts w:hint="default" w:ascii="Times New Roman" w:hAnsi="Times New Roman" w:eastAsia="宋体" w:cs="Times New Roman"/>
                <w:snapToGrid/>
                <w:color w:val="auto"/>
                <w:kern w:val="2"/>
                <w:sz w:val="24"/>
                <w:szCs w:val="24"/>
                <w:highlight w:val="none"/>
                <w:lang w:val="en-US" w:eastAsia="zh-CN" w:bidi="ar-SA"/>
              </w:rPr>
              <w:t>。</w:t>
            </w:r>
          </w:p>
          <w:p w14:paraId="177B706A">
            <w:pPr>
              <w:pStyle w:val="16"/>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表3-</w:t>
            </w:r>
            <w:r>
              <w:rPr>
                <w:rFonts w:hint="eastAsia" w:ascii="Times New Roman" w:hAnsi="Times New Roman" w:eastAsia="宋体" w:cs="Times New Roman"/>
                <w:b/>
                <w:bCs/>
                <w:color w:val="auto"/>
                <w:kern w:val="2"/>
                <w:sz w:val="24"/>
                <w:szCs w:val="24"/>
                <w:highlight w:val="none"/>
                <w:lang w:val="en-US" w:eastAsia="zh-CN"/>
              </w:rPr>
              <w:t>7</w:t>
            </w:r>
            <w:r>
              <w:rPr>
                <w:rFonts w:hint="default" w:ascii="Times New Roman" w:hAnsi="Times New Roman" w:eastAsia="宋体" w:cs="Times New Roman"/>
                <w:b/>
                <w:bCs/>
                <w:color w:val="auto"/>
                <w:kern w:val="2"/>
                <w:sz w:val="24"/>
                <w:szCs w:val="24"/>
                <w:highlight w:val="none"/>
                <w:lang w:val="en-US" w:eastAsia="zh-CN"/>
              </w:rPr>
              <w:t xml:space="preserve"> 环境主要环境保护目标</w:t>
            </w:r>
          </w:p>
          <w:tbl>
            <w:tblPr>
              <w:tblStyle w:val="34"/>
              <w:tblW w:w="8038"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515"/>
              <w:gridCol w:w="1440"/>
              <w:gridCol w:w="930"/>
              <w:gridCol w:w="826"/>
              <w:gridCol w:w="672"/>
              <w:gridCol w:w="770"/>
              <w:gridCol w:w="916"/>
            </w:tblGrid>
            <w:tr w14:paraId="20F4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969" w:type="dxa"/>
                  <w:vMerge w:val="restart"/>
                  <w:noWrap w:val="0"/>
                  <w:vAlign w:val="center"/>
                </w:tcPr>
                <w:p w14:paraId="2CE0D287">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vertAlign w:val="baseline"/>
                      <w:lang w:val="en-US" w:eastAsia="zh-CN"/>
                    </w:rPr>
                    <w:t>环境要素</w:t>
                  </w:r>
                </w:p>
              </w:tc>
              <w:tc>
                <w:tcPr>
                  <w:tcW w:w="2955" w:type="dxa"/>
                  <w:gridSpan w:val="2"/>
                  <w:noWrap w:val="0"/>
                  <w:vAlign w:val="center"/>
                </w:tcPr>
                <w:p w14:paraId="7126C1B5">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vertAlign w:val="baseline"/>
                      <w:lang w:val="en-US" w:eastAsia="zh-CN"/>
                    </w:rPr>
                    <w:t>坐标（</w:t>
                  </w:r>
                  <w:r>
                    <w:rPr>
                      <w:rFonts w:hint="default" w:ascii="Times New Roman" w:hAnsi="Times New Roman" w:eastAsia="宋体" w:cs="Times New Roman"/>
                      <w:color w:val="auto"/>
                      <w:kern w:val="2"/>
                      <w:sz w:val="21"/>
                      <w:szCs w:val="21"/>
                      <w:highlight w:val="none"/>
                      <w:vertAlign w:val="baseline"/>
                      <w:lang w:val="en-US" w:eastAsia="zh-CN"/>
                    </w:rPr>
                    <w:t>°</w:t>
                  </w:r>
                  <w:r>
                    <w:rPr>
                      <w:rFonts w:hint="default" w:ascii="Times New Roman" w:hAnsi="Times New Roman" w:eastAsia="宋体" w:cs="Times New Roman"/>
                      <w:b/>
                      <w:bCs/>
                      <w:color w:val="auto"/>
                      <w:kern w:val="2"/>
                      <w:sz w:val="21"/>
                      <w:szCs w:val="21"/>
                      <w:highlight w:val="none"/>
                      <w:vertAlign w:val="baseline"/>
                      <w:lang w:val="en-US" w:eastAsia="zh-CN"/>
                    </w:rPr>
                    <w:t>）</w:t>
                  </w:r>
                </w:p>
              </w:tc>
              <w:tc>
                <w:tcPr>
                  <w:tcW w:w="930" w:type="dxa"/>
                  <w:vMerge w:val="restart"/>
                  <w:noWrap w:val="0"/>
                  <w:vAlign w:val="center"/>
                </w:tcPr>
                <w:p w14:paraId="11D7E2B8">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vertAlign w:val="baseline"/>
                      <w:lang w:val="en-US" w:eastAsia="zh-CN"/>
                    </w:rPr>
                    <w:t>保护对象</w:t>
                  </w:r>
                </w:p>
              </w:tc>
              <w:tc>
                <w:tcPr>
                  <w:tcW w:w="826" w:type="dxa"/>
                  <w:vMerge w:val="restart"/>
                  <w:noWrap w:val="0"/>
                  <w:vAlign w:val="center"/>
                </w:tcPr>
                <w:p w14:paraId="3B7E0BAC">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eastAsia" w:ascii="Times New Roman" w:hAnsi="Times New Roman" w:eastAsia="宋体" w:cs="Times New Roman"/>
                      <w:b/>
                      <w:bCs/>
                      <w:color w:val="auto"/>
                      <w:kern w:val="2"/>
                      <w:sz w:val="21"/>
                      <w:szCs w:val="21"/>
                      <w:highlight w:val="none"/>
                      <w:vertAlign w:val="baseline"/>
                      <w:lang w:val="en-US" w:eastAsia="zh-CN"/>
                    </w:rPr>
                    <w:t>保护人数</w:t>
                  </w:r>
                </w:p>
              </w:tc>
              <w:tc>
                <w:tcPr>
                  <w:tcW w:w="672" w:type="dxa"/>
                  <w:vMerge w:val="restart"/>
                  <w:noWrap w:val="0"/>
                  <w:vAlign w:val="center"/>
                </w:tcPr>
                <w:p w14:paraId="28371BC4">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vertAlign w:val="baseline"/>
                      <w:lang w:val="en-US" w:eastAsia="zh-CN"/>
                    </w:rPr>
                    <w:t>环境功能区</w:t>
                  </w:r>
                </w:p>
              </w:tc>
              <w:tc>
                <w:tcPr>
                  <w:tcW w:w="770" w:type="dxa"/>
                  <w:vMerge w:val="restart"/>
                  <w:noWrap w:val="0"/>
                  <w:vAlign w:val="center"/>
                </w:tcPr>
                <w:p w14:paraId="72B3AA18">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vertAlign w:val="baseline"/>
                      <w:lang w:val="en-US" w:eastAsia="zh-CN"/>
                    </w:rPr>
                    <w:t>相对厂址方位</w:t>
                  </w:r>
                </w:p>
              </w:tc>
              <w:tc>
                <w:tcPr>
                  <w:tcW w:w="916" w:type="dxa"/>
                  <w:vMerge w:val="restart"/>
                  <w:noWrap w:val="0"/>
                  <w:vAlign w:val="center"/>
                </w:tcPr>
                <w:p w14:paraId="76DD4735">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vertAlign w:val="baseline"/>
                      <w:lang w:val="en-US" w:eastAsia="zh-CN"/>
                    </w:rPr>
                    <w:t>相对厂界距离（m）</w:t>
                  </w:r>
                </w:p>
              </w:tc>
            </w:tr>
            <w:tr w14:paraId="7626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69" w:type="dxa"/>
                  <w:vMerge w:val="continue"/>
                  <w:noWrap w:val="0"/>
                  <w:vAlign w:val="center"/>
                </w:tcPr>
                <w:p w14:paraId="357996AF">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p>
              </w:tc>
              <w:tc>
                <w:tcPr>
                  <w:tcW w:w="1515" w:type="dxa"/>
                  <w:noWrap w:val="0"/>
                  <w:vAlign w:val="center"/>
                </w:tcPr>
                <w:p w14:paraId="78D85421">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eastAsia" w:ascii="Times New Roman" w:hAnsi="Times New Roman" w:eastAsia="宋体" w:cs="Times New Roman"/>
                      <w:b/>
                      <w:bCs/>
                      <w:color w:val="auto"/>
                      <w:kern w:val="2"/>
                      <w:sz w:val="21"/>
                      <w:szCs w:val="21"/>
                      <w:highlight w:val="none"/>
                      <w:vertAlign w:val="baseline"/>
                      <w:lang w:val="en-US" w:eastAsia="zh-CN"/>
                    </w:rPr>
                    <w:t>E</w:t>
                  </w:r>
                </w:p>
              </w:tc>
              <w:tc>
                <w:tcPr>
                  <w:tcW w:w="1440" w:type="dxa"/>
                  <w:noWrap w:val="0"/>
                  <w:vAlign w:val="center"/>
                </w:tcPr>
                <w:p w14:paraId="765DE2BF">
                  <w:pPr>
                    <w:pStyle w:val="16"/>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eastAsia" w:ascii="Times New Roman" w:hAnsi="Times New Roman" w:eastAsia="宋体" w:cs="Times New Roman"/>
                      <w:b/>
                      <w:bCs/>
                      <w:color w:val="auto"/>
                      <w:kern w:val="2"/>
                      <w:sz w:val="21"/>
                      <w:szCs w:val="21"/>
                      <w:highlight w:val="none"/>
                      <w:vertAlign w:val="baseline"/>
                      <w:lang w:val="en-US" w:eastAsia="zh-CN"/>
                    </w:rPr>
                    <w:t>N</w:t>
                  </w:r>
                </w:p>
              </w:tc>
              <w:tc>
                <w:tcPr>
                  <w:tcW w:w="930" w:type="dxa"/>
                  <w:vMerge w:val="continue"/>
                  <w:noWrap w:val="0"/>
                  <w:vAlign w:val="center"/>
                </w:tcPr>
                <w:p w14:paraId="3425E891">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826" w:type="dxa"/>
                  <w:vMerge w:val="continue"/>
                  <w:noWrap w:val="0"/>
                  <w:vAlign w:val="center"/>
                </w:tcPr>
                <w:p w14:paraId="42782A8E">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672" w:type="dxa"/>
                  <w:vMerge w:val="continue"/>
                  <w:noWrap w:val="0"/>
                  <w:vAlign w:val="center"/>
                </w:tcPr>
                <w:p w14:paraId="5D639687">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770" w:type="dxa"/>
                  <w:vMerge w:val="continue"/>
                  <w:noWrap w:val="0"/>
                  <w:vAlign w:val="center"/>
                </w:tcPr>
                <w:p w14:paraId="55692DFF">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916" w:type="dxa"/>
                  <w:vMerge w:val="continue"/>
                  <w:noWrap w:val="0"/>
                  <w:vAlign w:val="center"/>
                </w:tcPr>
                <w:p w14:paraId="372141AC">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r>
            <w:tr w14:paraId="1973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69" w:type="dxa"/>
                  <w:vMerge w:val="restart"/>
                  <w:noWrap w:val="0"/>
                  <w:vAlign w:val="center"/>
                </w:tcPr>
                <w:p w14:paraId="0242C33C">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大气环境</w:t>
                  </w:r>
                </w:p>
                <w:p w14:paraId="6468E172">
                  <w:pPr>
                    <w:pStyle w:val="16"/>
                    <w:jc w:val="both"/>
                    <w:rPr>
                      <w:rFonts w:hint="default" w:ascii="Times New Roman" w:hAnsi="Times New Roman" w:eastAsia="宋体" w:cs="Times New Roman"/>
                      <w:color w:val="auto"/>
                      <w:kern w:val="2"/>
                      <w:sz w:val="21"/>
                      <w:szCs w:val="21"/>
                      <w:highlight w:val="none"/>
                      <w:vertAlign w:val="baseline"/>
                      <w:lang w:val="en-US" w:eastAsia="zh-CN"/>
                    </w:rPr>
                  </w:pPr>
                </w:p>
              </w:tc>
              <w:tc>
                <w:tcPr>
                  <w:tcW w:w="1515" w:type="dxa"/>
                  <w:noWrap w:val="0"/>
                  <w:vAlign w:val="center"/>
                </w:tcPr>
                <w:p w14:paraId="718C16D6">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98.571635300</w:t>
                  </w:r>
                </w:p>
              </w:tc>
              <w:tc>
                <w:tcPr>
                  <w:tcW w:w="1440" w:type="dxa"/>
                  <w:noWrap w:val="0"/>
                  <w:vAlign w:val="center"/>
                </w:tcPr>
                <w:p w14:paraId="431FFB36">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24.125177705</w:t>
                  </w:r>
                </w:p>
              </w:tc>
              <w:tc>
                <w:tcPr>
                  <w:tcW w:w="930" w:type="dxa"/>
                  <w:noWrap w:val="0"/>
                  <w:vAlign w:val="center"/>
                </w:tcPr>
                <w:p w14:paraId="5AA30516">
                  <w:pPr>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szCs w:val="21"/>
                      <w:lang w:val="en-US" w:eastAsia="zh-CN"/>
                    </w:rPr>
                    <w:t>罗胡山村</w:t>
                  </w:r>
                </w:p>
              </w:tc>
              <w:tc>
                <w:tcPr>
                  <w:tcW w:w="826" w:type="dxa"/>
                  <w:noWrap w:val="0"/>
                  <w:vAlign w:val="center"/>
                </w:tcPr>
                <w:p w14:paraId="78DB9C0F">
                  <w:pPr>
                    <w:widowControl/>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80人</w:t>
                  </w:r>
                </w:p>
              </w:tc>
              <w:tc>
                <w:tcPr>
                  <w:tcW w:w="672" w:type="dxa"/>
                  <w:vMerge w:val="restart"/>
                  <w:noWrap w:val="0"/>
                  <w:vAlign w:val="center"/>
                </w:tcPr>
                <w:p w14:paraId="700D92EC">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二类区</w:t>
                  </w:r>
                </w:p>
              </w:tc>
              <w:tc>
                <w:tcPr>
                  <w:tcW w:w="770" w:type="dxa"/>
                  <w:noWrap w:val="0"/>
                  <w:vAlign w:val="center"/>
                </w:tcPr>
                <w:p w14:paraId="1E097B18">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E</w:t>
                  </w:r>
                </w:p>
              </w:tc>
              <w:tc>
                <w:tcPr>
                  <w:tcW w:w="916" w:type="dxa"/>
                  <w:noWrap w:val="0"/>
                  <w:vAlign w:val="center"/>
                </w:tcPr>
                <w:p w14:paraId="0FD74828">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40</w:t>
                  </w:r>
                </w:p>
              </w:tc>
            </w:tr>
            <w:tr w14:paraId="4E5B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9" w:type="dxa"/>
                  <w:vMerge w:val="continue"/>
                  <w:noWrap w:val="0"/>
                  <w:vAlign w:val="center"/>
                </w:tcPr>
                <w:p w14:paraId="170A4DBC">
                  <w:pPr>
                    <w:pStyle w:val="16"/>
                    <w:jc w:val="both"/>
                    <w:rPr>
                      <w:rFonts w:hint="default" w:ascii="Times New Roman" w:hAnsi="Times New Roman" w:eastAsia="宋体" w:cs="Times New Roman"/>
                      <w:color w:val="auto"/>
                      <w:kern w:val="2"/>
                      <w:sz w:val="21"/>
                      <w:szCs w:val="21"/>
                      <w:highlight w:val="none"/>
                      <w:vertAlign w:val="baseline"/>
                      <w:lang w:val="en-US" w:eastAsia="zh-CN"/>
                    </w:rPr>
                  </w:pPr>
                </w:p>
              </w:tc>
              <w:tc>
                <w:tcPr>
                  <w:tcW w:w="1515" w:type="dxa"/>
                  <w:noWrap w:val="0"/>
                  <w:vAlign w:val="center"/>
                </w:tcPr>
                <w:p w14:paraId="063E74A0">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98.570562417</w:t>
                  </w:r>
                </w:p>
              </w:tc>
              <w:tc>
                <w:tcPr>
                  <w:tcW w:w="1440" w:type="dxa"/>
                  <w:noWrap w:val="0"/>
                  <w:vAlign w:val="center"/>
                </w:tcPr>
                <w:p w14:paraId="1336CE27">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24.124668085</w:t>
                  </w:r>
                </w:p>
              </w:tc>
              <w:tc>
                <w:tcPr>
                  <w:tcW w:w="930" w:type="dxa"/>
                  <w:noWrap w:val="0"/>
                  <w:vAlign w:val="center"/>
                </w:tcPr>
                <w:p w14:paraId="04BFE6DE">
                  <w:pPr>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szCs w:val="21"/>
                      <w:lang w:val="en-US" w:eastAsia="zh-CN"/>
                    </w:rPr>
                    <w:t>芒市康丰糖业有限公司生活区</w:t>
                  </w:r>
                </w:p>
              </w:tc>
              <w:tc>
                <w:tcPr>
                  <w:tcW w:w="826" w:type="dxa"/>
                  <w:noWrap w:val="0"/>
                  <w:vAlign w:val="center"/>
                </w:tcPr>
                <w:p w14:paraId="2BC29341">
                  <w:pPr>
                    <w:widowControl/>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159人</w:t>
                  </w:r>
                </w:p>
              </w:tc>
              <w:tc>
                <w:tcPr>
                  <w:tcW w:w="672" w:type="dxa"/>
                  <w:vMerge w:val="continue"/>
                  <w:noWrap w:val="0"/>
                  <w:vAlign w:val="center"/>
                </w:tcPr>
                <w:p w14:paraId="7192D490">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770" w:type="dxa"/>
                  <w:noWrap w:val="0"/>
                  <w:vAlign w:val="center"/>
                </w:tcPr>
                <w:p w14:paraId="6CE6DDC5">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w:t>
                  </w:r>
                </w:p>
              </w:tc>
              <w:tc>
                <w:tcPr>
                  <w:tcW w:w="916" w:type="dxa"/>
                  <w:noWrap w:val="0"/>
                  <w:vAlign w:val="center"/>
                </w:tcPr>
                <w:p w14:paraId="138E9203">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28</w:t>
                  </w:r>
                </w:p>
              </w:tc>
            </w:tr>
            <w:tr w14:paraId="5CBA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9" w:type="dxa"/>
                  <w:vMerge w:val="continue"/>
                  <w:noWrap w:val="0"/>
                  <w:vAlign w:val="center"/>
                </w:tcPr>
                <w:p w14:paraId="3715DAFA">
                  <w:pPr>
                    <w:pStyle w:val="16"/>
                    <w:jc w:val="both"/>
                    <w:rPr>
                      <w:rFonts w:hint="default" w:ascii="Times New Roman" w:hAnsi="Times New Roman" w:eastAsia="宋体" w:cs="Times New Roman"/>
                      <w:color w:val="auto"/>
                      <w:kern w:val="2"/>
                      <w:sz w:val="21"/>
                      <w:szCs w:val="21"/>
                      <w:highlight w:val="none"/>
                      <w:vertAlign w:val="baseline"/>
                      <w:lang w:val="en-US" w:eastAsia="zh-CN"/>
                    </w:rPr>
                  </w:pPr>
                </w:p>
              </w:tc>
              <w:tc>
                <w:tcPr>
                  <w:tcW w:w="1515" w:type="dxa"/>
                  <w:noWrap w:val="0"/>
                  <w:vAlign w:val="center"/>
                </w:tcPr>
                <w:p w14:paraId="3CA94E02">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98.573936636</w:t>
                  </w:r>
                </w:p>
              </w:tc>
              <w:tc>
                <w:tcPr>
                  <w:tcW w:w="1440" w:type="dxa"/>
                  <w:noWrap w:val="0"/>
                  <w:vAlign w:val="center"/>
                </w:tcPr>
                <w:p w14:paraId="0AAFD366">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24.129066908</w:t>
                  </w:r>
                </w:p>
              </w:tc>
              <w:tc>
                <w:tcPr>
                  <w:tcW w:w="930" w:type="dxa"/>
                  <w:noWrap w:val="0"/>
                  <w:vAlign w:val="center"/>
                </w:tcPr>
                <w:p w14:paraId="0AE6FB8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半坡寨</w:t>
                  </w:r>
                </w:p>
              </w:tc>
              <w:tc>
                <w:tcPr>
                  <w:tcW w:w="826" w:type="dxa"/>
                  <w:noWrap w:val="0"/>
                  <w:vAlign w:val="center"/>
                </w:tcPr>
                <w:p w14:paraId="2C9891A5">
                  <w:pPr>
                    <w:widowControl/>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50人</w:t>
                  </w:r>
                </w:p>
              </w:tc>
              <w:tc>
                <w:tcPr>
                  <w:tcW w:w="672" w:type="dxa"/>
                  <w:vMerge w:val="continue"/>
                  <w:noWrap w:val="0"/>
                  <w:vAlign w:val="center"/>
                </w:tcPr>
                <w:p w14:paraId="7EB845E8">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770" w:type="dxa"/>
                  <w:noWrap w:val="0"/>
                  <w:vAlign w:val="center"/>
                </w:tcPr>
                <w:p w14:paraId="55066556">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NE</w:t>
                  </w:r>
                </w:p>
              </w:tc>
              <w:tc>
                <w:tcPr>
                  <w:tcW w:w="916" w:type="dxa"/>
                  <w:noWrap w:val="0"/>
                  <w:vAlign w:val="center"/>
                </w:tcPr>
                <w:p w14:paraId="488E1802">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470</w:t>
                  </w:r>
                </w:p>
              </w:tc>
            </w:tr>
            <w:tr w14:paraId="25ED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9" w:type="dxa"/>
                  <w:vMerge w:val="restart"/>
                  <w:noWrap w:val="0"/>
                  <w:vAlign w:val="center"/>
                </w:tcPr>
                <w:p w14:paraId="01F5AF2A">
                  <w:pPr>
                    <w:pStyle w:val="16"/>
                    <w:jc w:val="both"/>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声环境</w:t>
                  </w:r>
                </w:p>
              </w:tc>
              <w:tc>
                <w:tcPr>
                  <w:tcW w:w="1515" w:type="dxa"/>
                  <w:noWrap w:val="0"/>
                  <w:vAlign w:val="center"/>
                </w:tcPr>
                <w:p w14:paraId="7A723237">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98.571635300</w:t>
                  </w:r>
                </w:p>
              </w:tc>
              <w:tc>
                <w:tcPr>
                  <w:tcW w:w="1440" w:type="dxa"/>
                  <w:noWrap w:val="0"/>
                  <w:vAlign w:val="center"/>
                </w:tcPr>
                <w:p w14:paraId="76EC4C01">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24.125177705</w:t>
                  </w:r>
                </w:p>
              </w:tc>
              <w:tc>
                <w:tcPr>
                  <w:tcW w:w="930" w:type="dxa"/>
                  <w:noWrap w:val="0"/>
                  <w:vAlign w:val="center"/>
                </w:tcPr>
                <w:p w14:paraId="53FB0F1E">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Cs w:val="21"/>
                      <w:lang w:val="en-US" w:eastAsia="zh-CN"/>
                    </w:rPr>
                    <w:t>罗胡山村</w:t>
                  </w:r>
                </w:p>
              </w:tc>
              <w:tc>
                <w:tcPr>
                  <w:tcW w:w="826" w:type="dxa"/>
                  <w:noWrap w:val="0"/>
                  <w:vAlign w:val="center"/>
                </w:tcPr>
                <w:p w14:paraId="092B71CA">
                  <w:pPr>
                    <w:widowControl/>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4户（15人）</w:t>
                  </w:r>
                </w:p>
              </w:tc>
              <w:tc>
                <w:tcPr>
                  <w:tcW w:w="672" w:type="dxa"/>
                  <w:vMerge w:val="restart"/>
                  <w:noWrap w:val="0"/>
                  <w:vAlign w:val="center"/>
                </w:tcPr>
                <w:p w14:paraId="027D21E3">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2类</w:t>
                  </w:r>
                </w:p>
              </w:tc>
              <w:tc>
                <w:tcPr>
                  <w:tcW w:w="770" w:type="dxa"/>
                  <w:noWrap w:val="0"/>
                  <w:vAlign w:val="center"/>
                </w:tcPr>
                <w:p w14:paraId="08E00975">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E</w:t>
                  </w:r>
                </w:p>
              </w:tc>
              <w:tc>
                <w:tcPr>
                  <w:tcW w:w="916" w:type="dxa"/>
                  <w:noWrap w:val="0"/>
                  <w:vAlign w:val="center"/>
                </w:tcPr>
                <w:p w14:paraId="1E9CBA4B">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40</w:t>
                  </w:r>
                </w:p>
              </w:tc>
            </w:tr>
            <w:tr w14:paraId="1AB2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9" w:type="dxa"/>
                  <w:vMerge w:val="continue"/>
                  <w:noWrap w:val="0"/>
                  <w:vAlign w:val="center"/>
                </w:tcPr>
                <w:p w14:paraId="6D22FA8A">
                  <w:pPr>
                    <w:pStyle w:val="16"/>
                    <w:jc w:val="both"/>
                    <w:rPr>
                      <w:rFonts w:hint="default" w:ascii="Times New Roman" w:hAnsi="Times New Roman" w:eastAsia="宋体" w:cs="Times New Roman"/>
                      <w:color w:val="auto"/>
                      <w:kern w:val="2"/>
                      <w:sz w:val="21"/>
                      <w:szCs w:val="21"/>
                      <w:highlight w:val="none"/>
                      <w:vertAlign w:val="baseline"/>
                      <w:lang w:val="en-US" w:eastAsia="zh-CN"/>
                    </w:rPr>
                  </w:pPr>
                </w:p>
              </w:tc>
              <w:tc>
                <w:tcPr>
                  <w:tcW w:w="1515" w:type="dxa"/>
                  <w:noWrap w:val="0"/>
                  <w:vAlign w:val="center"/>
                </w:tcPr>
                <w:p w14:paraId="22A0700D">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98.570562417</w:t>
                  </w:r>
                </w:p>
              </w:tc>
              <w:tc>
                <w:tcPr>
                  <w:tcW w:w="1440" w:type="dxa"/>
                  <w:noWrap w:val="0"/>
                  <w:vAlign w:val="center"/>
                </w:tcPr>
                <w:p w14:paraId="65D57D58">
                  <w:pPr>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24.124668085</w:t>
                  </w:r>
                </w:p>
              </w:tc>
              <w:tc>
                <w:tcPr>
                  <w:tcW w:w="930" w:type="dxa"/>
                  <w:noWrap w:val="0"/>
                  <w:vAlign w:val="center"/>
                </w:tcPr>
                <w:p w14:paraId="538A63DA">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Cs w:val="21"/>
                      <w:lang w:val="en-US" w:eastAsia="zh-CN"/>
                    </w:rPr>
                    <w:t>芒市康丰糖业有限公司生活区</w:t>
                  </w:r>
                </w:p>
              </w:tc>
              <w:tc>
                <w:tcPr>
                  <w:tcW w:w="826" w:type="dxa"/>
                  <w:noWrap w:val="0"/>
                  <w:vAlign w:val="center"/>
                </w:tcPr>
                <w:p w14:paraId="64BA150C">
                  <w:pPr>
                    <w:widowControl/>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159人</w:t>
                  </w:r>
                </w:p>
              </w:tc>
              <w:tc>
                <w:tcPr>
                  <w:tcW w:w="672" w:type="dxa"/>
                  <w:vMerge w:val="continue"/>
                  <w:noWrap w:val="0"/>
                  <w:vAlign w:val="center"/>
                </w:tcPr>
                <w:p w14:paraId="12DA3CDD">
                  <w:pPr>
                    <w:pStyle w:val="16"/>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770" w:type="dxa"/>
                  <w:noWrap w:val="0"/>
                  <w:vAlign w:val="center"/>
                </w:tcPr>
                <w:p w14:paraId="5CA77D58">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w:t>
                  </w:r>
                </w:p>
              </w:tc>
              <w:tc>
                <w:tcPr>
                  <w:tcW w:w="916" w:type="dxa"/>
                  <w:noWrap w:val="0"/>
                  <w:vAlign w:val="center"/>
                </w:tcPr>
                <w:p w14:paraId="221DDCE7">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28</w:t>
                  </w:r>
                </w:p>
              </w:tc>
            </w:tr>
            <w:tr w14:paraId="44B5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9" w:type="dxa"/>
                  <w:noWrap w:val="0"/>
                  <w:vAlign w:val="center"/>
                </w:tcPr>
                <w:p w14:paraId="016FE4E4">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地表水环境</w:t>
                  </w:r>
                </w:p>
              </w:tc>
              <w:tc>
                <w:tcPr>
                  <w:tcW w:w="1515" w:type="dxa"/>
                  <w:noWrap w:val="0"/>
                  <w:vAlign w:val="center"/>
                </w:tcPr>
                <w:p w14:paraId="605E1736">
                  <w:pPr>
                    <w:pStyle w:val="16"/>
                    <w:jc w:val="center"/>
                    <w:rPr>
                      <w:rFonts w:hint="eastAsia"/>
                      <w:color w:val="auto"/>
                      <w:sz w:val="21"/>
                      <w:szCs w:val="21"/>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1440" w:type="dxa"/>
                  <w:noWrap w:val="0"/>
                  <w:vAlign w:val="center"/>
                </w:tcPr>
                <w:p w14:paraId="30C512AE">
                  <w:pPr>
                    <w:pStyle w:val="16"/>
                    <w:jc w:val="center"/>
                    <w:rPr>
                      <w:rFonts w:hint="eastAsia"/>
                      <w:color w:val="auto"/>
                      <w:sz w:val="21"/>
                      <w:szCs w:val="21"/>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930" w:type="dxa"/>
                  <w:noWrap w:val="0"/>
                  <w:vAlign w:val="center"/>
                </w:tcPr>
                <w:p w14:paraId="684BD8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曼辛河</w:t>
                  </w:r>
                </w:p>
              </w:tc>
              <w:tc>
                <w:tcPr>
                  <w:tcW w:w="826" w:type="dxa"/>
                  <w:noWrap w:val="0"/>
                  <w:vAlign w:val="center"/>
                </w:tcPr>
                <w:p w14:paraId="3C9F2AB5">
                  <w:pPr>
                    <w:widowControl/>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672" w:type="dxa"/>
                  <w:noWrap w:val="0"/>
                  <w:vAlign w:val="center"/>
                </w:tcPr>
                <w:p w14:paraId="023FA58B">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rPr>
                    <w:t>Ⅲ</w:t>
                  </w:r>
                  <w:r>
                    <w:rPr>
                      <w:rFonts w:hint="eastAsia" w:ascii="Times New Roman" w:hAnsi="Times New Roman" w:eastAsia="宋体" w:cs="Times New Roman"/>
                      <w:color w:val="auto"/>
                      <w:kern w:val="2"/>
                      <w:sz w:val="21"/>
                      <w:szCs w:val="21"/>
                      <w:highlight w:val="none"/>
                      <w:vertAlign w:val="baseline"/>
                      <w:lang w:val="en-US" w:eastAsia="zh-CN"/>
                    </w:rPr>
                    <w:t>类</w:t>
                  </w:r>
                </w:p>
              </w:tc>
              <w:tc>
                <w:tcPr>
                  <w:tcW w:w="770" w:type="dxa"/>
                  <w:noWrap w:val="0"/>
                  <w:vAlign w:val="center"/>
                </w:tcPr>
                <w:p w14:paraId="7F2109B2">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w:t>
                  </w:r>
                </w:p>
              </w:tc>
              <w:tc>
                <w:tcPr>
                  <w:tcW w:w="916" w:type="dxa"/>
                  <w:noWrap w:val="0"/>
                  <w:vAlign w:val="center"/>
                </w:tcPr>
                <w:p w14:paraId="75220CAC">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2000</w:t>
                  </w:r>
                </w:p>
              </w:tc>
            </w:tr>
            <w:tr w14:paraId="2A18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69" w:type="dxa"/>
                  <w:noWrap w:val="0"/>
                  <w:vAlign w:val="center"/>
                </w:tcPr>
                <w:p w14:paraId="360B32E0">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生态环境</w:t>
                  </w:r>
                </w:p>
              </w:tc>
              <w:tc>
                <w:tcPr>
                  <w:tcW w:w="1515" w:type="dxa"/>
                  <w:noWrap w:val="0"/>
                  <w:vAlign w:val="center"/>
                </w:tcPr>
                <w:p w14:paraId="5083C0E9">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1440" w:type="dxa"/>
                  <w:noWrap w:val="0"/>
                  <w:vAlign w:val="center"/>
                </w:tcPr>
                <w:p w14:paraId="7869CA44">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930" w:type="dxa"/>
                  <w:noWrap w:val="0"/>
                  <w:vAlign w:val="center"/>
                </w:tcPr>
                <w:p w14:paraId="74B25634">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826" w:type="dxa"/>
                  <w:noWrap w:val="0"/>
                  <w:vAlign w:val="center"/>
                </w:tcPr>
                <w:p w14:paraId="17CF86A4">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672" w:type="dxa"/>
                  <w:noWrap w:val="0"/>
                  <w:vAlign w:val="center"/>
                </w:tcPr>
                <w:p w14:paraId="7F224684">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770" w:type="dxa"/>
                  <w:noWrap w:val="0"/>
                  <w:vAlign w:val="center"/>
                </w:tcPr>
                <w:p w14:paraId="0501424A">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916" w:type="dxa"/>
                  <w:noWrap w:val="0"/>
                  <w:vAlign w:val="center"/>
                </w:tcPr>
                <w:p w14:paraId="272CD92E">
                  <w:pPr>
                    <w:pStyle w:val="16"/>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w:t>
                  </w:r>
                </w:p>
              </w:tc>
            </w:tr>
            <w:tr w14:paraId="18F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69" w:type="dxa"/>
                  <w:noWrap w:val="0"/>
                  <w:vAlign w:val="center"/>
                </w:tcPr>
                <w:p w14:paraId="327516C4">
                  <w:pPr>
                    <w:pStyle w:val="16"/>
                    <w:jc w:val="center"/>
                    <w:rPr>
                      <w:rFonts w:hint="eastAsia"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rPr>
                    <w:t>地下水环境</w:t>
                  </w:r>
                </w:p>
              </w:tc>
              <w:tc>
                <w:tcPr>
                  <w:tcW w:w="1515" w:type="dxa"/>
                  <w:noWrap w:val="0"/>
                  <w:vAlign w:val="center"/>
                </w:tcPr>
                <w:p w14:paraId="4ABCD5E3">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1440" w:type="dxa"/>
                  <w:noWrap w:val="0"/>
                  <w:vAlign w:val="center"/>
                </w:tcPr>
                <w:p w14:paraId="51485ED5">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930" w:type="dxa"/>
                  <w:noWrap w:val="0"/>
                  <w:vAlign w:val="center"/>
                </w:tcPr>
                <w:p w14:paraId="74BDCE20">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826" w:type="dxa"/>
                  <w:noWrap w:val="0"/>
                  <w:vAlign w:val="center"/>
                </w:tcPr>
                <w:p w14:paraId="08EDDA02">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672" w:type="dxa"/>
                  <w:noWrap w:val="0"/>
                  <w:vAlign w:val="center"/>
                </w:tcPr>
                <w:p w14:paraId="19D8296C">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770" w:type="dxa"/>
                  <w:noWrap w:val="0"/>
                  <w:vAlign w:val="center"/>
                </w:tcPr>
                <w:p w14:paraId="10FEFFE7">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c>
                <w:tcPr>
                  <w:tcW w:w="916" w:type="dxa"/>
                  <w:noWrap w:val="0"/>
                  <w:vAlign w:val="center"/>
                </w:tcPr>
                <w:p w14:paraId="1DCCB984">
                  <w:pPr>
                    <w:pStyle w:val="16"/>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rPr>
                    <w:t>/</w:t>
                  </w:r>
                </w:p>
              </w:tc>
            </w:tr>
          </w:tbl>
          <w:p w14:paraId="13BF587B">
            <w:pPr>
              <w:pStyle w:val="7"/>
              <w:ind w:left="0" w:leftChars="0" w:firstLine="0" w:firstLineChars="0"/>
              <w:rPr>
                <w:rFonts w:hint="eastAsia" w:ascii="宋体" w:hAnsi="宋体" w:eastAsia="宋体" w:cs="宋体"/>
                <w:color w:val="auto"/>
                <w:kern w:val="0"/>
                <w:sz w:val="21"/>
                <w:szCs w:val="21"/>
              </w:rPr>
            </w:pPr>
          </w:p>
          <w:p w14:paraId="513C09CE">
            <w:pPr>
              <w:pStyle w:val="7"/>
              <w:ind w:left="0" w:leftChars="0" w:firstLine="0" w:firstLineChars="0"/>
              <w:rPr>
                <w:rFonts w:hint="eastAsia" w:ascii="宋体" w:hAnsi="宋体" w:eastAsia="宋体" w:cs="宋体"/>
                <w:color w:val="auto"/>
                <w:kern w:val="0"/>
                <w:sz w:val="21"/>
                <w:szCs w:val="21"/>
              </w:rPr>
            </w:pPr>
          </w:p>
          <w:p w14:paraId="5E6023B0">
            <w:pPr>
              <w:pStyle w:val="7"/>
              <w:ind w:left="0" w:leftChars="0" w:firstLine="0" w:firstLineChars="0"/>
              <w:rPr>
                <w:rFonts w:hint="eastAsia" w:ascii="宋体" w:hAnsi="宋体" w:eastAsia="宋体" w:cs="宋体"/>
                <w:color w:val="auto"/>
                <w:kern w:val="0"/>
                <w:sz w:val="21"/>
                <w:szCs w:val="21"/>
              </w:rPr>
            </w:pPr>
          </w:p>
          <w:p w14:paraId="52F2F676">
            <w:pPr>
              <w:pStyle w:val="7"/>
              <w:ind w:left="0" w:leftChars="0" w:firstLine="0" w:firstLineChars="0"/>
              <w:rPr>
                <w:rFonts w:hint="eastAsia" w:ascii="宋体" w:hAnsi="宋体" w:eastAsia="宋体" w:cs="宋体"/>
                <w:color w:val="auto"/>
                <w:kern w:val="0"/>
                <w:sz w:val="21"/>
                <w:szCs w:val="21"/>
              </w:rPr>
            </w:pPr>
          </w:p>
          <w:p w14:paraId="69EC04FA">
            <w:pPr>
              <w:pStyle w:val="7"/>
              <w:ind w:left="0" w:leftChars="0" w:firstLine="0" w:firstLineChars="0"/>
              <w:rPr>
                <w:rFonts w:hint="eastAsia" w:ascii="宋体" w:hAnsi="宋体" w:eastAsia="宋体" w:cs="宋体"/>
                <w:color w:val="auto"/>
                <w:kern w:val="0"/>
                <w:sz w:val="21"/>
                <w:szCs w:val="21"/>
              </w:rPr>
            </w:pPr>
          </w:p>
          <w:p w14:paraId="30C4F546">
            <w:pPr>
              <w:pStyle w:val="7"/>
              <w:ind w:left="0" w:leftChars="0" w:firstLine="0" w:firstLineChars="0"/>
              <w:rPr>
                <w:rFonts w:hint="eastAsia" w:ascii="宋体" w:hAnsi="宋体" w:eastAsia="宋体" w:cs="宋体"/>
                <w:color w:val="auto"/>
                <w:kern w:val="0"/>
                <w:sz w:val="21"/>
                <w:szCs w:val="21"/>
              </w:rPr>
            </w:pPr>
          </w:p>
          <w:p w14:paraId="4DC81335">
            <w:pPr>
              <w:pStyle w:val="7"/>
              <w:ind w:left="0" w:leftChars="0" w:firstLine="0" w:firstLineChars="0"/>
              <w:rPr>
                <w:rFonts w:hint="eastAsia" w:ascii="宋体" w:hAnsi="宋体" w:eastAsia="宋体" w:cs="宋体"/>
                <w:color w:val="auto"/>
                <w:kern w:val="0"/>
                <w:sz w:val="21"/>
                <w:szCs w:val="21"/>
              </w:rPr>
            </w:pPr>
          </w:p>
          <w:p w14:paraId="0725D2A0">
            <w:pPr>
              <w:pStyle w:val="7"/>
              <w:ind w:left="0" w:leftChars="0" w:firstLine="0" w:firstLineChars="0"/>
              <w:rPr>
                <w:rFonts w:hint="eastAsia" w:ascii="宋体" w:hAnsi="宋体" w:eastAsia="宋体" w:cs="宋体"/>
                <w:color w:val="auto"/>
                <w:kern w:val="0"/>
                <w:sz w:val="21"/>
                <w:szCs w:val="21"/>
              </w:rPr>
            </w:pPr>
          </w:p>
        </w:tc>
      </w:tr>
      <w:tr w14:paraId="149E1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2" w:hRule="atLeast"/>
          <w:jc w:val="center"/>
        </w:trPr>
        <w:tc>
          <w:tcPr>
            <w:tcW w:w="760" w:type="dxa"/>
            <w:noWrap w:val="0"/>
            <w:tcMar>
              <w:left w:w="28" w:type="dxa"/>
              <w:right w:w="28" w:type="dxa"/>
            </w:tcMar>
            <w:vAlign w:val="center"/>
          </w:tcPr>
          <w:p w14:paraId="18D183BE">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污染</w:t>
            </w:r>
          </w:p>
          <w:p w14:paraId="1F16B235">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物排</w:t>
            </w:r>
          </w:p>
          <w:p w14:paraId="6EC54005">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放控</w:t>
            </w:r>
          </w:p>
          <w:p w14:paraId="56CE232D">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制标</w:t>
            </w:r>
          </w:p>
          <w:p w14:paraId="3B15D5D1">
            <w:pPr>
              <w:pStyle w:val="4"/>
              <w:bidi w:val="0"/>
              <w:jc w:val="center"/>
              <w:rPr>
                <w:rFonts w:hint="eastAsia" w:ascii="宋体" w:hAnsi="宋体" w:eastAsia="宋体" w:cs="宋体"/>
                <w:color w:val="auto"/>
                <w:kern w:val="0"/>
                <w:sz w:val="21"/>
                <w:szCs w:val="21"/>
              </w:rPr>
            </w:pPr>
            <w:r>
              <w:rPr>
                <w:rFonts w:hint="eastAsia" w:ascii="宋体" w:hAnsi="宋体" w:eastAsia="宋体" w:cs="宋体"/>
                <w:b w:val="0"/>
                <w:bCs/>
                <w:color w:val="auto"/>
                <w:sz w:val="24"/>
                <w:szCs w:val="24"/>
              </w:rPr>
              <w:t>准</w:t>
            </w:r>
          </w:p>
        </w:tc>
        <w:tc>
          <w:tcPr>
            <w:tcW w:w="8301" w:type="dxa"/>
            <w:noWrap w:val="0"/>
            <w:vAlign w:val="center"/>
          </w:tcPr>
          <w:p w14:paraId="435E8AE5">
            <w:pPr>
              <w:adjustRightInd w:val="0"/>
              <w:snapToGrid w:val="0"/>
              <w:spacing w:line="360" w:lineRule="auto"/>
              <w:rPr>
                <w:rFonts w:hint="eastAsia" w:ascii="宋体" w:hAnsi="宋体" w:eastAsia="宋体" w:cs="宋体"/>
                <w:b/>
                <w:bCs/>
                <w:color w:val="auto"/>
                <w:sz w:val="24"/>
                <w:szCs w:val="24"/>
              </w:rPr>
            </w:pPr>
            <w:r>
              <w:rPr>
                <w:rFonts w:hint="default" w:ascii="Times New Roman" w:hAnsi="Times New Roman" w:eastAsia="宋体" w:cs="Times New Roman"/>
                <w:b/>
                <w:bCs/>
                <w:color w:val="auto"/>
                <w:sz w:val="24"/>
                <w:szCs w:val="24"/>
              </w:rPr>
              <w:t>1</w:t>
            </w:r>
            <w:r>
              <w:rPr>
                <w:rFonts w:hint="eastAsia" w:ascii="宋体" w:hAnsi="宋体" w:eastAsia="宋体" w:cs="宋体"/>
                <w:b/>
                <w:bCs/>
                <w:color w:val="auto"/>
                <w:sz w:val="24"/>
                <w:szCs w:val="24"/>
              </w:rPr>
              <w:t>、废气排放标准</w:t>
            </w:r>
          </w:p>
          <w:p w14:paraId="22827EBD">
            <w:pPr>
              <w:pStyle w:val="11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sz w:val="24"/>
                <w:szCs w:val="24"/>
                <w:lang w:eastAsia="zh-CN"/>
              </w:rPr>
            </w:pPr>
            <w:bookmarkStart w:id="234" w:name="OLE_LINK119"/>
            <w:bookmarkStart w:id="235" w:name="OLE_LINK117"/>
            <w:bookmarkStart w:id="236" w:name="OLE_LINK118"/>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恶臭气体</w:t>
            </w:r>
          </w:p>
          <w:p w14:paraId="3718CE4C">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项目营运期产生的异味</w:t>
            </w:r>
            <w:r>
              <w:rPr>
                <w:rFonts w:hint="default" w:ascii="Times New Roman" w:hAnsi="Times New Roman" w:eastAsia="宋体" w:cs="Times New Roman"/>
                <w:color w:val="auto"/>
                <w:sz w:val="24"/>
              </w:rPr>
              <w:t>厂界处执行GB14554-93《恶臭污染物排放标准》表1中的二级新建标准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其评价标准限值见表</w:t>
            </w:r>
            <w:r>
              <w:rPr>
                <w:rFonts w:hint="eastAsia" w:ascii="Times New Roman" w:hAnsi="Times New Roman" w:eastAsia="宋体" w:cs="Times New Roman"/>
                <w:color w:val="auto"/>
                <w:sz w:val="24"/>
                <w:lang w:val="en-US" w:eastAsia="zh-CN"/>
              </w:rPr>
              <w:t>3-8</w:t>
            </w:r>
            <w:r>
              <w:rPr>
                <w:rFonts w:hint="default" w:ascii="Times New Roman" w:hAnsi="Times New Roman" w:eastAsia="宋体" w:cs="Times New Roman"/>
                <w:color w:val="auto"/>
                <w:sz w:val="24"/>
              </w:rPr>
              <w:t>。</w:t>
            </w:r>
          </w:p>
          <w:p w14:paraId="2D9EB060">
            <w:pPr>
              <w:adjustRightInd w:val="0"/>
              <w:snapToGrid w:val="0"/>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 xml:space="preserve">3-8 </w:t>
            </w:r>
            <w:r>
              <w:rPr>
                <w:rFonts w:hint="default" w:ascii="Times New Roman" w:hAnsi="Times New Roman" w:eastAsia="宋体" w:cs="Times New Roman"/>
                <w:b/>
                <w:color w:val="auto"/>
                <w:sz w:val="24"/>
                <w:szCs w:val="24"/>
              </w:rPr>
              <w:t>恶臭污染物</w:t>
            </w:r>
            <w:r>
              <w:rPr>
                <w:rFonts w:hint="eastAsia" w:ascii="Times New Roman" w:hAnsi="Times New Roman" w:eastAsia="宋体" w:cs="Times New Roman"/>
                <w:b/>
                <w:color w:val="auto"/>
                <w:sz w:val="24"/>
                <w:szCs w:val="24"/>
                <w:lang w:val="en-US" w:eastAsia="zh-CN"/>
              </w:rPr>
              <w:t>厂界标准</w:t>
            </w:r>
            <w:r>
              <w:rPr>
                <w:rFonts w:hint="default" w:ascii="Times New Roman" w:hAnsi="Times New Roman" w:eastAsia="宋体" w:cs="Times New Roman"/>
                <w:b/>
                <w:color w:val="auto"/>
                <w:sz w:val="24"/>
                <w:szCs w:val="24"/>
              </w:rPr>
              <w:t xml:space="preserve">  单位：mg/m</w:t>
            </w:r>
            <w:r>
              <w:rPr>
                <w:rFonts w:hint="default" w:ascii="Times New Roman" w:hAnsi="Times New Roman" w:eastAsia="宋体" w:cs="Times New Roman"/>
                <w:b/>
                <w:color w:val="auto"/>
                <w:sz w:val="24"/>
                <w:szCs w:val="24"/>
                <w:vertAlign w:val="superscript"/>
              </w:rPr>
              <w:t>3</w:t>
            </w:r>
          </w:p>
          <w:tbl>
            <w:tblPr>
              <w:tblStyle w:val="33"/>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3170"/>
              <w:gridCol w:w="3479"/>
            </w:tblGrid>
            <w:tr w14:paraId="484F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38CC7FCB">
                  <w:pPr>
                    <w:pStyle w:val="87"/>
                    <w:adjustRightInd w:val="0"/>
                    <w:snapToGrid w:val="0"/>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3170" w:type="dxa"/>
                  <w:tcBorders>
                    <w:top w:val="single" w:color="auto" w:sz="4" w:space="0"/>
                    <w:left w:val="single" w:color="auto" w:sz="4" w:space="0"/>
                    <w:bottom w:val="single" w:color="auto" w:sz="4" w:space="0"/>
                    <w:right w:val="single" w:color="auto" w:sz="4" w:space="0"/>
                  </w:tcBorders>
                  <w:noWrap w:val="0"/>
                  <w:vAlign w:val="center"/>
                </w:tcPr>
                <w:p w14:paraId="019CFB2F">
                  <w:pPr>
                    <w:pStyle w:val="87"/>
                    <w:adjustRightInd w:val="0"/>
                    <w:snapToGrid w:val="0"/>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控制项目</w:t>
                  </w:r>
                </w:p>
              </w:tc>
              <w:tc>
                <w:tcPr>
                  <w:tcW w:w="3479"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0CEB653">
                  <w:pPr>
                    <w:pStyle w:val="87"/>
                    <w:adjustRightInd w:val="0"/>
                    <w:snapToGrid w:val="0"/>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二级新建</w:t>
                  </w:r>
                </w:p>
              </w:tc>
            </w:tr>
            <w:tr w14:paraId="40A9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FD3B6F">
                  <w:pPr>
                    <w:pStyle w:val="87"/>
                    <w:adjustRightInd w:val="0"/>
                    <w:snapToGrid w:val="0"/>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c>
                <w:tcPr>
                  <w:tcW w:w="317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ABE7BA4">
                  <w:pPr>
                    <w:pStyle w:val="87"/>
                    <w:adjustRightInd w:val="0"/>
                    <w:snapToGrid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臭气浓度(无量纲)</w:t>
                  </w:r>
                </w:p>
              </w:tc>
              <w:tc>
                <w:tcPr>
                  <w:tcW w:w="3479" w:type="dxa"/>
                  <w:tcBorders>
                    <w:top w:val="single" w:color="auto" w:sz="4" w:space="0"/>
                    <w:left w:val="single" w:color="auto" w:sz="4" w:space="0"/>
                    <w:bottom w:val="single" w:color="auto" w:sz="4" w:space="0"/>
                    <w:right w:val="single" w:color="auto" w:sz="4" w:space="0"/>
                  </w:tcBorders>
                  <w:noWrap w:val="0"/>
                  <w:vAlign w:val="center"/>
                </w:tcPr>
                <w:p w14:paraId="594DA4F0">
                  <w:pPr>
                    <w:pStyle w:val="87"/>
                    <w:adjustRightInd w:val="0"/>
                    <w:snapToGrid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r>
            <w:bookmarkEnd w:id="234"/>
            <w:bookmarkEnd w:id="235"/>
            <w:bookmarkEnd w:id="236"/>
          </w:tbl>
          <w:p w14:paraId="291DCBD0">
            <w:pPr>
              <w:pStyle w:val="2"/>
              <w:numPr>
                <w:ilvl w:val="0"/>
                <w:numId w:val="7"/>
              </w:numPr>
              <w:spacing w:line="360" w:lineRule="auto"/>
              <w:ind w:left="150" w:leftChars="0" w:firstLine="480" w:firstLineChars="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粉尘</w:t>
            </w:r>
          </w:p>
          <w:p w14:paraId="7AFD5208">
            <w:pPr>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本项目</w:t>
            </w:r>
            <w:r>
              <w:rPr>
                <w:rFonts w:hint="eastAsia" w:ascii="Times New Roman" w:hAnsi="Times New Roman" w:eastAsia="宋体" w:cs="Times New Roman"/>
                <w:bCs/>
                <w:color w:val="auto"/>
                <w:sz w:val="24"/>
                <w:lang w:val="en-US" w:eastAsia="zh-CN"/>
              </w:rPr>
              <w:t>施工期、</w:t>
            </w:r>
            <w:r>
              <w:rPr>
                <w:rFonts w:hint="eastAsia" w:ascii="Times New Roman" w:hAnsi="Times New Roman" w:eastAsia="宋体" w:cs="Times New Roman"/>
                <w:bCs/>
                <w:color w:val="auto"/>
                <w:sz w:val="24"/>
                <w:lang w:eastAsia="zh-CN"/>
              </w:rPr>
              <w:t>运营期无组织粉尘</w:t>
            </w:r>
            <w:r>
              <w:rPr>
                <w:rFonts w:hint="default" w:ascii="Times New Roman" w:hAnsi="Times New Roman" w:eastAsia="宋体" w:cs="Times New Roman"/>
                <w:bCs/>
                <w:color w:val="auto"/>
                <w:sz w:val="24"/>
              </w:rPr>
              <w:t>执行《大气污染物综合排放标准》（GB16297-1996）表2限值。</w:t>
            </w:r>
          </w:p>
          <w:p w14:paraId="7BE20A35">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大气污染物综合排放标准  单位mg/m</w:t>
            </w:r>
            <w:r>
              <w:rPr>
                <w:rFonts w:hint="default" w:ascii="Times New Roman" w:hAnsi="Times New Roman" w:eastAsia="宋体" w:cs="Times New Roman"/>
                <w:b/>
                <w:bCs/>
                <w:color w:val="auto"/>
                <w:sz w:val="24"/>
                <w:szCs w:val="24"/>
                <w:vertAlign w:val="superscript"/>
              </w:rPr>
              <w:t>3</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2689"/>
              <w:gridCol w:w="2695"/>
            </w:tblGrid>
            <w:tr w14:paraId="0F12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noWrap w:val="0"/>
                  <w:vAlign w:val="center"/>
                </w:tcPr>
                <w:p w14:paraId="15EFC81A">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污染物项目</w:t>
                  </w:r>
                </w:p>
              </w:tc>
              <w:tc>
                <w:tcPr>
                  <w:tcW w:w="3334" w:type="pct"/>
                  <w:gridSpan w:val="2"/>
                  <w:noWrap w:val="0"/>
                  <w:vAlign w:val="center"/>
                </w:tcPr>
                <w:p w14:paraId="76382182">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无组织排放浓度监控限值</w:t>
                  </w:r>
                </w:p>
              </w:tc>
            </w:tr>
            <w:tr w14:paraId="69A6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noWrap w:val="0"/>
                  <w:vAlign w:val="center"/>
                </w:tcPr>
                <w:p w14:paraId="4BD70679">
                  <w:pPr>
                    <w:jc w:val="center"/>
                    <w:rPr>
                      <w:rFonts w:hint="default" w:ascii="Times New Roman" w:hAnsi="Times New Roman" w:eastAsia="宋体" w:cs="Times New Roman"/>
                      <w:b/>
                      <w:bCs/>
                      <w:color w:val="auto"/>
                    </w:rPr>
                  </w:pPr>
                </w:p>
              </w:tc>
              <w:tc>
                <w:tcPr>
                  <w:tcW w:w="1665" w:type="pct"/>
                  <w:noWrap w:val="0"/>
                  <w:vAlign w:val="center"/>
                </w:tcPr>
                <w:p w14:paraId="7F801F5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监控点</w:t>
                  </w:r>
                </w:p>
              </w:tc>
              <w:tc>
                <w:tcPr>
                  <w:tcW w:w="1668" w:type="pct"/>
                  <w:noWrap w:val="0"/>
                  <w:vAlign w:val="center"/>
                </w:tcPr>
                <w:p w14:paraId="459212E8">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浓度</w:t>
                  </w:r>
                </w:p>
              </w:tc>
            </w:tr>
            <w:tr w14:paraId="6AF5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noWrap w:val="0"/>
                  <w:vAlign w:val="center"/>
                </w:tcPr>
                <w:p w14:paraId="42390A1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颗粒物</w:t>
                  </w:r>
                </w:p>
              </w:tc>
              <w:tc>
                <w:tcPr>
                  <w:tcW w:w="1665" w:type="pct"/>
                  <w:noWrap w:val="0"/>
                  <w:vAlign w:val="center"/>
                </w:tcPr>
                <w:p w14:paraId="0F2D876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周界外浓度最高点</w:t>
                  </w:r>
                </w:p>
              </w:tc>
              <w:tc>
                <w:tcPr>
                  <w:tcW w:w="1668" w:type="pct"/>
                  <w:noWrap w:val="0"/>
                  <w:vAlign w:val="center"/>
                </w:tcPr>
                <w:p w14:paraId="51C61BE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bl>
          <w:p w14:paraId="48DB4103">
            <w:pPr>
              <w:numPr>
                <w:ilvl w:val="0"/>
                <w:numId w:val="7"/>
              </w:numPr>
              <w:autoSpaceDE w:val="0"/>
              <w:autoSpaceDN w:val="0"/>
              <w:spacing w:line="360" w:lineRule="auto"/>
              <w:ind w:left="150" w:leftChars="0" w:firstLine="480" w:firstLineChars="0"/>
              <w:rPr>
                <w:rFonts w:hint="eastAsia"/>
                <w:color w:val="auto"/>
                <w:kern w:val="0"/>
                <w:sz w:val="24"/>
                <w:lang w:val="en-US" w:eastAsia="zh-CN"/>
              </w:rPr>
            </w:pPr>
            <w:r>
              <w:rPr>
                <w:rFonts w:hint="eastAsia"/>
                <w:color w:val="auto"/>
                <w:kern w:val="0"/>
                <w:sz w:val="24"/>
                <w:lang w:val="en-US" w:eastAsia="zh-CN"/>
              </w:rPr>
              <w:t>食堂油烟</w:t>
            </w:r>
          </w:p>
          <w:p w14:paraId="7B93DC89">
            <w:pPr>
              <w:numPr>
                <w:ilvl w:val="0"/>
                <w:numId w:val="0"/>
              </w:numPr>
              <w:autoSpaceDE w:val="0"/>
              <w:autoSpaceDN w:val="0"/>
              <w:spacing w:line="360" w:lineRule="auto"/>
              <w:ind w:firstLine="480" w:firstLineChars="200"/>
              <w:rPr>
                <w:color w:val="auto"/>
                <w:kern w:val="0"/>
                <w:sz w:val="24"/>
              </w:rPr>
            </w:pPr>
            <w:r>
              <w:rPr>
                <w:color w:val="auto"/>
                <w:kern w:val="0"/>
                <w:sz w:val="24"/>
              </w:rPr>
              <w:t>项目</w:t>
            </w:r>
            <w:r>
              <w:rPr>
                <w:rFonts w:hint="eastAsia"/>
                <w:color w:val="auto"/>
                <w:kern w:val="0"/>
                <w:sz w:val="24"/>
              </w:rPr>
              <w:t>设置有员工食堂，</w:t>
            </w:r>
            <w:r>
              <w:rPr>
                <w:color w:val="auto"/>
                <w:kern w:val="0"/>
                <w:sz w:val="24"/>
              </w:rPr>
              <w:t>使用电等清洁燃料，</w:t>
            </w:r>
            <w:r>
              <w:rPr>
                <w:rFonts w:hint="eastAsia"/>
                <w:color w:val="auto"/>
                <w:sz w:val="24"/>
              </w:rPr>
              <w:t>根据设计资料，将设置2个灶头，</w:t>
            </w:r>
            <w:r>
              <w:rPr>
                <w:color w:val="auto"/>
                <w:kern w:val="0"/>
                <w:sz w:val="24"/>
              </w:rPr>
              <w:t>餐饮业油烟执行《饮食业油烟排放标准</w:t>
            </w:r>
            <w:r>
              <w:rPr>
                <w:rFonts w:hint="eastAsia"/>
                <w:color w:val="auto"/>
                <w:kern w:val="0"/>
                <w:sz w:val="24"/>
              </w:rPr>
              <w:t>（试行）</w:t>
            </w:r>
            <w:r>
              <w:rPr>
                <w:color w:val="auto"/>
                <w:kern w:val="0"/>
                <w:sz w:val="24"/>
              </w:rPr>
              <w:t>》（GB18483</w:t>
            </w:r>
            <w:r>
              <w:rPr>
                <w:rFonts w:hint="eastAsia"/>
                <w:color w:val="auto"/>
                <w:kern w:val="0"/>
                <w:sz w:val="24"/>
              </w:rPr>
              <w:t>-</w:t>
            </w:r>
            <w:r>
              <w:rPr>
                <w:color w:val="auto"/>
                <w:kern w:val="0"/>
                <w:sz w:val="24"/>
              </w:rPr>
              <w:t>2001）</w:t>
            </w:r>
            <w:r>
              <w:rPr>
                <w:rFonts w:hint="eastAsia"/>
                <w:color w:val="auto"/>
                <w:kern w:val="0"/>
                <w:sz w:val="24"/>
              </w:rPr>
              <w:t>表2小型</w:t>
            </w:r>
            <w:r>
              <w:rPr>
                <w:rFonts w:hint="eastAsia"/>
                <w:color w:val="auto"/>
                <w:sz w:val="24"/>
              </w:rPr>
              <w:t>规模排放限值</w:t>
            </w:r>
            <w:r>
              <w:rPr>
                <w:rFonts w:hint="eastAsia"/>
                <w:color w:val="auto"/>
                <w:sz w:val="24"/>
                <w:lang w:eastAsia="zh-CN"/>
              </w:rPr>
              <w:t>，</w:t>
            </w:r>
            <w:r>
              <w:rPr>
                <w:color w:val="auto"/>
                <w:kern w:val="0"/>
                <w:sz w:val="24"/>
              </w:rPr>
              <w:t>见表</w:t>
            </w:r>
            <w:r>
              <w:rPr>
                <w:rFonts w:hint="eastAsia"/>
                <w:color w:val="auto"/>
                <w:kern w:val="0"/>
                <w:sz w:val="24"/>
                <w:lang w:val="en-US" w:eastAsia="zh-CN"/>
              </w:rPr>
              <w:t>3-10</w:t>
            </w:r>
            <w:r>
              <w:rPr>
                <w:color w:val="auto"/>
                <w:kern w:val="0"/>
                <w:sz w:val="24"/>
              </w:rPr>
              <w:t>。</w:t>
            </w:r>
          </w:p>
          <w:p w14:paraId="537ECDDB">
            <w:pPr>
              <w:spacing w:line="360" w:lineRule="auto"/>
              <w:ind w:firstLine="118" w:firstLineChars="49"/>
              <w:jc w:val="center"/>
              <w:rPr>
                <w:rFonts w:hint="eastAsia"/>
                <w:b/>
                <w:color w:val="auto"/>
                <w:sz w:val="24"/>
              </w:rPr>
            </w:pPr>
            <w:r>
              <w:rPr>
                <w:b/>
                <w:color w:val="auto"/>
                <w:kern w:val="0"/>
                <w:sz w:val="24"/>
              </w:rPr>
              <w:t>表</w:t>
            </w:r>
            <w:r>
              <w:rPr>
                <w:rFonts w:hint="eastAsia"/>
                <w:b/>
                <w:color w:val="auto"/>
                <w:kern w:val="0"/>
                <w:sz w:val="24"/>
                <w:lang w:val="en-US" w:eastAsia="zh-CN"/>
              </w:rPr>
              <w:t xml:space="preserve">3-10 </w:t>
            </w:r>
            <w:r>
              <w:rPr>
                <w:b/>
                <w:color w:val="auto"/>
                <w:sz w:val="24"/>
              </w:rPr>
              <w:t>《</w:t>
            </w:r>
            <w:r>
              <w:rPr>
                <w:rFonts w:hint="eastAsia"/>
                <w:b/>
                <w:color w:val="auto"/>
                <w:sz w:val="24"/>
              </w:rPr>
              <w:t>饮食业油烟排放</w:t>
            </w:r>
            <w:r>
              <w:rPr>
                <w:b/>
                <w:color w:val="auto"/>
                <w:sz w:val="24"/>
              </w:rPr>
              <w:t>标准》</w:t>
            </w:r>
            <w:r>
              <w:rPr>
                <w:rFonts w:hint="eastAsia"/>
                <w:b/>
                <w:color w:val="auto"/>
                <w:sz w:val="24"/>
              </w:rPr>
              <w:t>表2 小型规模标准限值 （</w:t>
            </w:r>
            <w:r>
              <w:rPr>
                <w:b/>
                <w:color w:val="auto"/>
                <w:sz w:val="24"/>
              </w:rPr>
              <w:t>mg/m</w:t>
            </w:r>
            <w:r>
              <w:rPr>
                <w:b/>
                <w:color w:val="auto"/>
                <w:sz w:val="24"/>
                <w:vertAlign w:val="superscript"/>
              </w:rPr>
              <w:t>3</w:t>
            </w:r>
            <w:r>
              <w:rPr>
                <w:rFonts w:hint="eastAsia"/>
                <w:b/>
                <w:color w:val="auto"/>
                <w:sz w:val="24"/>
              </w:rPr>
              <w: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3341"/>
              <w:gridCol w:w="2862"/>
            </w:tblGrid>
            <w:tr w14:paraId="17AC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913" w:type="dxa"/>
                  <w:noWrap w:val="0"/>
                  <w:vAlign w:val="center"/>
                </w:tcPr>
                <w:p w14:paraId="5BE86505">
                  <w:pPr>
                    <w:snapToGrid w:val="0"/>
                    <w:jc w:val="center"/>
                    <w:rPr>
                      <w:b/>
                      <w:bCs/>
                      <w:color w:val="auto"/>
                      <w:szCs w:val="21"/>
                    </w:rPr>
                  </w:pPr>
                  <w:r>
                    <w:rPr>
                      <w:b/>
                      <w:bCs/>
                      <w:color w:val="auto"/>
                      <w:szCs w:val="21"/>
                    </w:rPr>
                    <w:t>项目</w:t>
                  </w:r>
                </w:p>
              </w:tc>
              <w:tc>
                <w:tcPr>
                  <w:tcW w:w="3341" w:type="dxa"/>
                  <w:noWrap w:val="0"/>
                  <w:vAlign w:val="center"/>
                </w:tcPr>
                <w:p w14:paraId="069CCCA5">
                  <w:pPr>
                    <w:snapToGrid w:val="0"/>
                    <w:jc w:val="center"/>
                    <w:rPr>
                      <w:rFonts w:hint="eastAsia"/>
                      <w:b/>
                      <w:bCs/>
                      <w:color w:val="auto"/>
                      <w:szCs w:val="21"/>
                    </w:rPr>
                  </w:pPr>
                  <w:r>
                    <w:rPr>
                      <w:rFonts w:hint="eastAsia"/>
                      <w:b/>
                      <w:bCs/>
                      <w:color w:val="auto"/>
                      <w:szCs w:val="21"/>
                    </w:rPr>
                    <w:t>油烟最高允许排放浓度</w:t>
                  </w:r>
                </w:p>
              </w:tc>
              <w:tc>
                <w:tcPr>
                  <w:tcW w:w="2862" w:type="dxa"/>
                  <w:noWrap w:val="0"/>
                  <w:vAlign w:val="center"/>
                </w:tcPr>
                <w:p w14:paraId="799BA816">
                  <w:pPr>
                    <w:snapToGrid w:val="0"/>
                    <w:jc w:val="center"/>
                    <w:rPr>
                      <w:rFonts w:hint="eastAsia"/>
                      <w:b/>
                      <w:bCs/>
                      <w:color w:val="auto"/>
                      <w:szCs w:val="21"/>
                    </w:rPr>
                  </w:pPr>
                  <w:r>
                    <w:rPr>
                      <w:rFonts w:hint="eastAsia"/>
                      <w:b/>
                      <w:bCs/>
                      <w:color w:val="auto"/>
                      <w:szCs w:val="21"/>
                    </w:rPr>
                    <w:t>净化设施最低去除率</w:t>
                  </w:r>
                </w:p>
              </w:tc>
            </w:tr>
            <w:tr w14:paraId="186A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13" w:type="dxa"/>
                  <w:noWrap w:val="0"/>
                  <w:vAlign w:val="center"/>
                </w:tcPr>
                <w:p w14:paraId="477F6493">
                  <w:pPr>
                    <w:snapToGrid w:val="0"/>
                    <w:jc w:val="center"/>
                    <w:rPr>
                      <w:color w:val="auto"/>
                      <w:szCs w:val="21"/>
                    </w:rPr>
                  </w:pPr>
                  <w:r>
                    <w:rPr>
                      <w:rFonts w:hint="eastAsia"/>
                      <w:color w:val="auto"/>
                      <w:szCs w:val="21"/>
                    </w:rPr>
                    <w:t>小型规模标准</w:t>
                  </w:r>
                </w:p>
              </w:tc>
              <w:tc>
                <w:tcPr>
                  <w:tcW w:w="3341" w:type="dxa"/>
                  <w:noWrap w:val="0"/>
                  <w:vAlign w:val="center"/>
                </w:tcPr>
                <w:p w14:paraId="1C370096">
                  <w:pPr>
                    <w:snapToGrid w:val="0"/>
                    <w:jc w:val="center"/>
                    <w:rPr>
                      <w:rFonts w:hint="eastAsia"/>
                      <w:color w:val="auto"/>
                      <w:szCs w:val="21"/>
                    </w:rPr>
                  </w:pPr>
                  <w:r>
                    <w:rPr>
                      <w:rFonts w:hint="eastAsia"/>
                      <w:color w:val="auto"/>
                      <w:szCs w:val="21"/>
                    </w:rPr>
                    <w:t>＜2.</w:t>
                  </w:r>
                  <w:r>
                    <w:rPr>
                      <w:color w:val="auto"/>
                      <w:szCs w:val="21"/>
                    </w:rPr>
                    <w:t>0</w:t>
                  </w:r>
                </w:p>
              </w:tc>
              <w:tc>
                <w:tcPr>
                  <w:tcW w:w="2862" w:type="dxa"/>
                  <w:noWrap w:val="0"/>
                  <w:vAlign w:val="center"/>
                </w:tcPr>
                <w:p w14:paraId="4FF0701C">
                  <w:pPr>
                    <w:snapToGrid w:val="0"/>
                    <w:jc w:val="center"/>
                    <w:rPr>
                      <w:rFonts w:hint="eastAsia"/>
                      <w:color w:val="auto"/>
                      <w:szCs w:val="21"/>
                    </w:rPr>
                  </w:pPr>
                  <w:r>
                    <w:rPr>
                      <w:rFonts w:hint="eastAsia"/>
                      <w:color w:val="auto"/>
                      <w:szCs w:val="21"/>
                    </w:rPr>
                    <w:t>60%</w:t>
                  </w:r>
                </w:p>
              </w:tc>
            </w:tr>
          </w:tbl>
          <w:p w14:paraId="7D808F2D">
            <w:pPr>
              <w:keepNext w:val="0"/>
              <w:keepLines w:val="0"/>
              <w:pageBreakBefore w:val="0"/>
              <w:widowControl w:val="0"/>
              <w:tabs>
                <w:tab w:val="left" w:pos="8515"/>
              </w:tabs>
              <w:kinsoku/>
              <w:wordWrap/>
              <w:overflowPunct/>
              <w:topLinePunct w:val="0"/>
              <w:autoSpaceDE/>
              <w:autoSpaceDN/>
              <w:bidi w:val="0"/>
              <w:adjustRightInd w:val="0"/>
              <w:snapToGrid w:val="0"/>
              <w:spacing w:before="157" w:beforeLines="50" w:line="360" w:lineRule="auto"/>
              <w:textAlignment w:val="auto"/>
              <w:rPr>
                <w:rFonts w:hint="eastAsia" w:ascii="宋体" w:hAnsi="宋体" w:eastAsia="宋体" w:cs="宋体"/>
                <w:b/>
                <w:bCs/>
                <w:color w:val="auto"/>
                <w:sz w:val="24"/>
                <w:szCs w:val="24"/>
                <w:lang w:val="en-US" w:eastAsia="zh-CN"/>
              </w:rPr>
            </w:pPr>
            <w:r>
              <w:rPr>
                <w:rFonts w:hint="default" w:ascii="Times New Roman" w:hAnsi="Times New Roman" w:eastAsia="宋体" w:cs="Times New Roman"/>
                <w:b/>
                <w:bCs/>
                <w:color w:val="auto"/>
                <w:sz w:val="24"/>
                <w:szCs w:val="24"/>
              </w:rPr>
              <w:t>2</w:t>
            </w:r>
            <w:r>
              <w:rPr>
                <w:rFonts w:hint="eastAsia" w:ascii="宋体" w:hAnsi="宋体" w:eastAsia="宋体" w:cs="宋体"/>
                <w:b/>
                <w:bCs/>
                <w:color w:val="auto"/>
                <w:sz w:val="24"/>
                <w:szCs w:val="24"/>
              </w:rPr>
              <w:t>、废水排放标准</w:t>
            </w:r>
          </w:p>
          <w:p w14:paraId="4F072EC2">
            <w:pPr>
              <w:spacing w:line="360" w:lineRule="auto"/>
              <w:ind w:firstLine="480" w:firstLineChars="200"/>
              <w:rPr>
                <w:rFonts w:hint="eastAsia" w:ascii="Times New Roman" w:hAnsi="宋体" w:cs="Times New Roman"/>
                <w:b w:val="0"/>
                <w:bCs w:val="0"/>
                <w:color w:val="auto"/>
                <w:kern w:val="2"/>
                <w:sz w:val="24"/>
                <w:szCs w:val="24"/>
                <w:lang w:val="en-US" w:eastAsia="zh-CN" w:bidi="ar-SA"/>
              </w:rPr>
            </w:pPr>
            <w:r>
              <w:rPr>
                <w:rFonts w:ascii="Times New Roman" w:hAnsi="Times New Roman"/>
                <w:color w:val="auto"/>
                <w:sz w:val="24"/>
              </w:rPr>
              <w:t>本项目</w:t>
            </w:r>
            <w:r>
              <w:rPr>
                <w:rFonts w:hint="eastAsia" w:ascii="Times New Roman" w:hAnsi="Times New Roman"/>
                <w:color w:val="auto"/>
                <w:sz w:val="24"/>
                <w:lang w:val="en-US" w:eastAsia="zh-CN"/>
              </w:rPr>
              <w:t>施工简单，无施工废水外排；运营期</w:t>
            </w:r>
            <w:r>
              <w:rPr>
                <w:rFonts w:hint="eastAsia"/>
                <w:color w:val="auto"/>
                <w:sz w:val="24"/>
                <w:lang w:val="en-US" w:eastAsia="zh-CN"/>
              </w:rPr>
              <w:t>员工</w:t>
            </w:r>
            <w:r>
              <w:rPr>
                <w:color w:val="auto"/>
                <w:sz w:val="24"/>
              </w:rPr>
              <w:t>生活污水</w:t>
            </w:r>
            <w:r>
              <w:rPr>
                <w:rFonts w:hint="eastAsia" w:ascii="Times New Roman" w:hAnsi="宋体" w:eastAsia="宋体" w:cs="Times New Roman"/>
                <w:b w:val="0"/>
                <w:bCs w:val="0"/>
                <w:color w:val="auto"/>
                <w:kern w:val="2"/>
                <w:sz w:val="24"/>
                <w:szCs w:val="24"/>
                <w:lang w:val="en-US" w:eastAsia="zh-CN" w:bidi="ar-SA"/>
              </w:rPr>
              <w:t>经化粪池简单沉淀发酵处理后，由附近村民定期清掏作为农家肥使用，</w:t>
            </w:r>
            <w:r>
              <w:rPr>
                <w:rFonts w:hint="eastAsia" w:ascii="Times New Roman" w:hAnsi="宋体" w:cs="Times New Roman"/>
                <w:b w:val="0"/>
                <w:bCs w:val="0"/>
                <w:color w:val="auto"/>
                <w:kern w:val="2"/>
                <w:sz w:val="24"/>
                <w:szCs w:val="24"/>
                <w:lang w:val="en-US" w:eastAsia="zh-CN" w:bidi="ar-SA"/>
              </w:rPr>
              <w:t>因此不设置废水排放标准。</w:t>
            </w:r>
          </w:p>
          <w:p w14:paraId="4A9BAAD0">
            <w:pPr>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运营期产生的生产废水经自建污水处理站处理后，废水达到《</w:t>
            </w:r>
            <w:r>
              <w:rPr>
                <w:rFonts w:hint="eastAsia" w:ascii="Times New Roman" w:hAnsi="Times New Roman" w:eastAsia="宋体" w:cs="Times New Roman"/>
                <w:color w:val="auto"/>
                <w:sz w:val="24"/>
              </w:rPr>
              <w:t>农田灌溉水质标准</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（GB5084-2</w:t>
            </w:r>
            <w:r>
              <w:rPr>
                <w:rFonts w:hint="eastAsia" w:ascii="Times New Roman" w:hAnsi="Times New Roman" w:eastAsia="宋体" w:cs="Times New Roman"/>
                <w:color w:val="auto"/>
                <w:sz w:val="24"/>
                <w:lang w:val="en-US" w:eastAsia="zh-CN"/>
              </w:rPr>
              <w:t>021</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由建设单位拉运至坚果地及旱地浇灌，</w:t>
            </w:r>
            <w:r>
              <w:rPr>
                <w:rFonts w:hint="eastAsia" w:ascii="Times New Roman" w:hAnsi="Times New Roman" w:eastAsia="宋体" w:cs="Times New Roman"/>
                <w:color w:val="auto"/>
                <w:sz w:val="24"/>
                <w:highlight w:val="none"/>
                <w:lang w:val="en-US" w:eastAsia="zh-CN"/>
              </w:rPr>
              <w:t>不外排。</w:t>
            </w:r>
          </w:p>
          <w:p w14:paraId="1059F315">
            <w:pPr>
              <w:spacing w:line="360" w:lineRule="auto"/>
              <w:jc w:val="center"/>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3-11</w:t>
            </w:r>
            <w:r>
              <w:rPr>
                <w:rFonts w:hint="eastAsia"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rPr>
              <w:t xml:space="preserve">农田灌溉水质标准    单位：mg/L </w:t>
            </w:r>
          </w:p>
          <w:tbl>
            <w:tblPr>
              <w:tblStyle w:val="33"/>
              <w:tblW w:w="8536" w:type="dxa"/>
              <w:tblInd w:w="0" w:type="dxa"/>
              <w:shd w:val="clear" w:color="auto" w:fill="FFFFFF"/>
              <w:tblLayout w:type="fixed"/>
              <w:tblCellMar>
                <w:top w:w="15" w:type="dxa"/>
                <w:left w:w="15" w:type="dxa"/>
                <w:bottom w:w="15" w:type="dxa"/>
                <w:right w:w="15" w:type="dxa"/>
              </w:tblCellMar>
            </w:tblPr>
            <w:tblGrid>
              <w:gridCol w:w="794"/>
              <w:gridCol w:w="3278"/>
              <w:gridCol w:w="4464"/>
            </w:tblGrid>
            <w:tr w14:paraId="39EC5E19">
              <w:tblPrEx>
                <w:shd w:val="clear" w:color="auto" w:fill="FFFFFF"/>
                <w:tblCellMar>
                  <w:top w:w="15" w:type="dxa"/>
                  <w:left w:w="15" w:type="dxa"/>
                  <w:bottom w:w="15" w:type="dxa"/>
                  <w:right w:w="15" w:type="dxa"/>
                </w:tblCellMar>
              </w:tblPrEx>
              <w:trPr>
                <w:trHeight w:val="253" w:hRule="atLeast"/>
              </w:trPr>
              <w:tc>
                <w:tcPr>
                  <w:tcW w:w="79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20C6FF1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序号</w:t>
                  </w:r>
                </w:p>
              </w:tc>
              <w:tc>
                <w:tcPr>
                  <w:tcW w:w="327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035F20A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项目类别</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3DA0407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作物种类</w:t>
                  </w:r>
                </w:p>
              </w:tc>
            </w:tr>
            <w:tr w14:paraId="762EE474">
              <w:tblPrEx>
                <w:tblCellMar>
                  <w:top w:w="15" w:type="dxa"/>
                  <w:left w:w="15" w:type="dxa"/>
                  <w:bottom w:w="15" w:type="dxa"/>
                  <w:right w:w="15" w:type="dxa"/>
                </w:tblCellMar>
              </w:tblPrEx>
              <w:trPr>
                <w:trHeight w:val="253"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906E7">
                  <w:pPr>
                    <w:widowControl/>
                    <w:jc w:val="center"/>
                    <w:rPr>
                      <w:rFonts w:ascii="Times New Roman" w:hAnsi="Times New Roman" w:eastAsia="宋体" w:cs="Times New Roman"/>
                      <w:color w:val="auto"/>
                      <w:kern w:val="0"/>
                      <w:szCs w:val="21"/>
                    </w:rPr>
                  </w:pPr>
                </w:p>
              </w:tc>
              <w:tc>
                <w:tcPr>
                  <w:tcW w:w="327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5622A">
                  <w:pPr>
                    <w:widowControl/>
                    <w:jc w:val="center"/>
                    <w:rPr>
                      <w:rFonts w:ascii="Times New Roman" w:hAnsi="Times New Roman" w:eastAsia="宋体" w:cs="Times New Roman"/>
                      <w:color w:val="auto"/>
                      <w:kern w:val="0"/>
                      <w:szCs w:val="21"/>
                    </w:rPr>
                  </w:pP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36773DF6">
                  <w:pPr>
                    <w:widowControl/>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旱地作物</w:t>
                  </w:r>
                </w:p>
              </w:tc>
            </w:tr>
            <w:tr w14:paraId="79F8D597">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ABDA02">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CE1458">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pH</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7E22C83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5.5～8</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5</w:t>
                  </w:r>
                </w:p>
              </w:tc>
            </w:tr>
            <w:tr w14:paraId="7C23220B">
              <w:tblPrEx>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13C35">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24682">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水温/℃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4E0F2B2C">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35</w:t>
                  </w:r>
                </w:p>
              </w:tc>
            </w:tr>
            <w:tr w14:paraId="26090A73">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79ED3F1D">
                  <w:pPr>
                    <w:widowControl/>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3</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0C0C72CE">
                  <w:pPr>
                    <w:widowControl/>
                    <w:jc w:val="left"/>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 xml:space="preserve">悬浮物/(mg/L)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596455A3">
                  <w:pPr>
                    <w:widowControl/>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100</w:t>
                  </w:r>
                </w:p>
              </w:tc>
            </w:tr>
            <w:tr w14:paraId="6CEDCEDD">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2C3D7945">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05AE8AD3">
                  <w:pPr>
                    <w:widowControl/>
                    <w:jc w:val="left"/>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 xml:space="preserve">五日生化需氧量/(mg/L)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57E2489E">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100</w:t>
                  </w:r>
                </w:p>
              </w:tc>
            </w:tr>
            <w:tr w14:paraId="651BAC7F">
              <w:tblPrEx>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527413AC">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489FB74D">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化学需氧量/(mg/L)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082BF8C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200</w:t>
                  </w:r>
                </w:p>
              </w:tc>
            </w:tr>
            <w:tr w14:paraId="25B47CDF">
              <w:tblPrEx>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34AEAF00">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54134934">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阴离子表面活性剂/(mg/L)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13495F2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w:t>
                  </w:r>
                </w:p>
              </w:tc>
            </w:tr>
            <w:tr w14:paraId="4C7D5231">
              <w:tblPrEx>
                <w:tblCellMar>
                  <w:top w:w="15" w:type="dxa"/>
                  <w:left w:w="15" w:type="dxa"/>
                  <w:bottom w:w="15" w:type="dxa"/>
                  <w:right w:w="15" w:type="dxa"/>
                </w:tblCellMar>
              </w:tblPrEx>
              <w:trPr>
                <w:trHeight w:val="228"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4B28E8B1">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43A74B65">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氯化物/(mg/L)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016ADE4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350</w:t>
                  </w:r>
                </w:p>
              </w:tc>
            </w:tr>
            <w:tr w14:paraId="640860C3">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1459B2FE">
                  <w:pPr>
                    <w:widowControl/>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8</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3F3D076B">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硫化物/(mg/L)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0A8EE3A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r>
            <w:tr w14:paraId="340C52DE">
              <w:tblPrEx>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10805684">
                  <w:pPr>
                    <w:widowControl/>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9</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4218214C">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全盐量/(mg/L)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28886BC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1000（非盐碱土地区），2000（盐碱土地区）</w:t>
                  </w:r>
                </w:p>
              </w:tc>
            </w:tr>
            <w:tr w14:paraId="6F78D689">
              <w:tblPrEx>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63D5389D">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00B2A95D">
                  <w:pPr>
                    <w:widowControl/>
                    <w:jc w:val="left"/>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总</w:t>
                  </w:r>
                  <w:r>
                    <w:rPr>
                      <w:rFonts w:ascii="Times New Roman" w:hAnsi="Times New Roman" w:eastAsia="宋体" w:cs="Times New Roman"/>
                      <w:color w:val="auto"/>
                      <w:kern w:val="0"/>
                      <w:szCs w:val="21"/>
                    </w:rPr>
                    <w:t xml:space="preserve">铅/(mg/L)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64C63CD6">
                  <w:pPr>
                    <w:widowControl/>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0.</w:t>
                  </w:r>
                  <w:r>
                    <w:rPr>
                      <w:rFonts w:ascii="Times New Roman" w:hAnsi="Times New Roman" w:eastAsia="宋体" w:cs="Times New Roman"/>
                      <w:color w:val="auto"/>
                      <w:kern w:val="0"/>
                      <w:szCs w:val="21"/>
                    </w:rPr>
                    <w:t>2</w:t>
                  </w:r>
                </w:p>
              </w:tc>
            </w:tr>
            <w:tr w14:paraId="641334AC">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5600F417">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006C7882">
                  <w:pPr>
                    <w:widowControl/>
                    <w:jc w:val="left"/>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总</w:t>
                  </w:r>
                  <w:r>
                    <w:rPr>
                      <w:rFonts w:ascii="Times New Roman" w:hAnsi="Times New Roman" w:eastAsia="宋体" w:cs="Times New Roman"/>
                      <w:color w:val="auto"/>
                      <w:kern w:val="0"/>
                      <w:szCs w:val="21"/>
                    </w:rPr>
                    <w:t xml:space="preserve">镉/(mg/L)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36007041">
                  <w:pPr>
                    <w:widowControl/>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0.</w:t>
                  </w:r>
                  <w:r>
                    <w:rPr>
                      <w:rFonts w:ascii="Times New Roman" w:hAnsi="Times New Roman" w:eastAsia="宋体" w:cs="Times New Roman"/>
                      <w:color w:val="auto"/>
                      <w:kern w:val="0"/>
                      <w:szCs w:val="21"/>
                    </w:rPr>
                    <w:t>01</w:t>
                  </w:r>
                </w:p>
              </w:tc>
            </w:tr>
            <w:tr w14:paraId="6624E574">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7F60FD1A">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59FC7351">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总汞/(mg/L)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2B15308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001</w:t>
                  </w:r>
                </w:p>
              </w:tc>
            </w:tr>
            <w:tr w14:paraId="3DDD979B">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5353080D">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13</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34B14D81">
                  <w:pPr>
                    <w:widowControl/>
                    <w:jc w:val="left"/>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 xml:space="preserve">铬（六价）/(mg/L)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14C4CC8B">
                  <w:pPr>
                    <w:widowControl/>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0.</w:t>
                  </w:r>
                  <w:r>
                    <w:rPr>
                      <w:rFonts w:ascii="Times New Roman" w:hAnsi="Times New Roman" w:eastAsia="宋体" w:cs="Times New Roman"/>
                      <w:color w:val="auto"/>
                      <w:kern w:val="0"/>
                      <w:szCs w:val="21"/>
                    </w:rPr>
                    <w:t>1</w:t>
                  </w:r>
                </w:p>
              </w:tc>
            </w:tr>
            <w:tr w14:paraId="08CB8510">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0C090EBF">
                  <w:pPr>
                    <w:widowControl/>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4</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606B44A6">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总砷/(mg/L)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3BE1BB0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1</w:t>
                  </w:r>
                </w:p>
              </w:tc>
            </w:tr>
            <w:tr w14:paraId="2748ABA5">
              <w:tblPrEx>
                <w:shd w:val="clear" w:color="auto" w:fill="FFFFFF"/>
                <w:tblCellMar>
                  <w:top w:w="15" w:type="dxa"/>
                  <w:left w:w="15" w:type="dxa"/>
                  <w:bottom w:w="15" w:type="dxa"/>
                  <w:right w:w="15" w:type="dxa"/>
                </w:tblCellMar>
              </w:tblPrEx>
              <w:trPr>
                <w:trHeight w:val="27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4C3F584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15</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115F7870">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粪大肠菌群数/(</w:t>
                  </w:r>
                  <w:r>
                    <w:rPr>
                      <w:rFonts w:hint="eastAsia" w:ascii="Times New Roman" w:hAnsi="Times New Roman" w:eastAsia="宋体" w:cs="Times New Roman"/>
                      <w:color w:val="auto"/>
                      <w:kern w:val="0"/>
                      <w:szCs w:val="21"/>
                      <w:lang w:val="en-US" w:eastAsia="zh-CN"/>
                    </w:rPr>
                    <w:t>MPN</w:t>
                  </w:r>
                  <w:r>
                    <w:rPr>
                      <w:rFonts w:ascii="Times New Roman" w:hAnsi="Times New Roman" w:eastAsia="宋体" w:cs="Times New Roman"/>
                      <w:color w:val="auto"/>
                      <w:kern w:val="0"/>
                      <w:szCs w:val="21"/>
                    </w:rPr>
                    <w:t xml:space="preserve">/L)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408B7CE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4000</w:t>
                  </w:r>
                  <w:r>
                    <w:rPr>
                      <w:rFonts w:hint="eastAsia" w:ascii="Times New Roman" w:hAnsi="Times New Roman" w:eastAsia="宋体" w:cs="Times New Roman"/>
                      <w:color w:val="auto"/>
                      <w:kern w:val="0"/>
                      <w:szCs w:val="21"/>
                      <w:lang w:val="en-US" w:eastAsia="zh-CN"/>
                    </w:rPr>
                    <w:t>0</w:t>
                  </w:r>
                </w:p>
              </w:tc>
            </w:tr>
            <w:tr w14:paraId="5F69971B">
              <w:tblPrEx>
                <w:shd w:val="clear" w:color="auto" w:fill="FFFFFF"/>
                <w:tblCellMar>
                  <w:top w:w="15" w:type="dxa"/>
                  <w:left w:w="15" w:type="dxa"/>
                  <w:bottom w:w="15" w:type="dxa"/>
                  <w:right w:w="15" w:type="dxa"/>
                </w:tblCellMar>
              </w:tblPrEx>
              <w:trPr>
                <w:trHeight w:val="253" w:hRule="atLeast"/>
              </w:trPr>
              <w:tc>
                <w:tcPr>
                  <w:tcW w:w="79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2926000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16</w:t>
                  </w:r>
                </w:p>
              </w:tc>
              <w:tc>
                <w:tcPr>
                  <w:tcW w:w="3278"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top"/>
                </w:tcPr>
                <w:p w14:paraId="54573526">
                  <w:pPr>
                    <w:widowControl/>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蛔虫卵数/(个/</w:t>
                  </w:r>
                  <w:r>
                    <w:rPr>
                      <w:rFonts w:hint="eastAsia" w:ascii="Times New Roman" w:hAnsi="Times New Roman" w:eastAsia="宋体" w:cs="Times New Roman"/>
                      <w:color w:val="auto"/>
                      <w:kern w:val="0"/>
                      <w:szCs w:val="21"/>
                      <w:lang w:val="en-US" w:eastAsia="zh-CN"/>
                    </w:rPr>
                    <w:t>110</w:t>
                  </w:r>
                  <w:r>
                    <w:rPr>
                      <w:rFonts w:ascii="Times New Roman" w:hAnsi="Times New Roman" w:eastAsia="宋体" w:cs="Times New Roman"/>
                      <w:color w:val="auto"/>
                      <w:kern w:val="0"/>
                      <w:szCs w:val="21"/>
                    </w:rPr>
                    <w:t xml:space="preserve">L) </w:t>
                  </w:r>
                  <w:r>
                    <w:rPr>
                      <w:rFonts w:ascii="宋体" w:hAnsi="宋体" w:eastAsia="宋体" w:cs="Times New Roman"/>
                      <w:color w:val="auto"/>
                      <w:kern w:val="0"/>
                      <w:szCs w:val="21"/>
                    </w:rPr>
                    <w:t>≤</w:t>
                  </w:r>
                </w:p>
              </w:tc>
              <w:tc>
                <w:tcPr>
                  <w:tcW w:w="4464" w:type="dxa"/>
                  <w:tcBorders>
                    <w:top w:val="single" w:color="000000" w:sz="4" w:space="0"/>
                    <w:left w:val="single" w:color="000000" w:sz="4" w:space="0"/>
                    <w:bottom w:val="single" w:color="000000" w:sz="4" w:space="0"/>
                    <w:right w:val="single" w:color="000000" w:sz="4" w:space="0"/>
                  </w:tcBorders>
                  <w:shd w:val="clear" w:color="auto" w:fill="FFFFFF"/>
                  <w:noWrap w:val="0"/>
                  <w:tcMar>
                    <w:top w:w="23" w:type="dxa"/>
                    <w:left w:w="115" w:type="dxa"/>
                    <w:bottom w:w="23" w:type="dxa"/>
                    <w:right w:w="115" w:type="dxa"/>
                  </w:tcMar>
                  <w:vAlign w:val="center"/>
                </w:tcPr>
                <w:p w14:paraId="1AC8B048">
                  <w:pPr>
                    <w:widowControl/>
                    <w:jc w:val="center"/>
                    <w:rPr>
                      <w:rFonts w:hint="eastAsia" w:ascii="Times New Roman" w:hAnsi="Times New Roman" w:eastAsia="宋体" w:cs="Times New Roman"/>
                      <w:color w:val="auto"/>
                      <w:kern w:val="0"/>
                      <w:szCs w:val="21"/>
                      <w:lang w:val="en-US" w:eastAsia="zh-CN"/>
                    </w:rPr>
                  </w:pP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lang w:val="en-US" w:eastAsia="zh-CN"/>
                    </w:rPr>
                    <w:t>0</w:t>
                  </w:r>
                </w:p>
              </w:tc>
            </w:tr>
          </w:tbl>
          <w:p w14:paraId="320DA709">
            <w:pPr>
              <w:pStyle w:val="16"/>
              <w:rPr>
                <w:rFonts w:hint="eastAsia" w:ascii="Times New Roman" w:hAnsi="宋体" w:cs="Times New Roman"/>
                <w:b w:val="0"/>
                <w:bCs w:val="0"/>
                <w:color w:val="auto"/>
                <w:kern w:val="2"/>
                <w:sz w:val="24"/>
                <w:szCs w:val="24"/>
                <w:lang w:val="en-US" w:eastAsia="zh-CN" w:bidi="ar-SA"/>
              </w:rPr>
            </w:pPr>
          </w:p>
          <w:p w14:paraId="15CA82B9">
            <w:pPr>
              <w:tabs>
                <w:tab w:val="left" w:pos="8515"/>
              </w:tabs>
              <w:adjustRightInd w:val="0"/>
              <w:snapToGrid w:val="0"/>
              <w:spacing w:line="360" w:lineRule="auto"/>
              <w:rPr>
                <w:rFonts w:hint="eastAsia" w:ascii="宋体" w:hAnsi="宋体" w:eastAsia="宋体" w:cs="宋体"/>
                <w:b/>
                <w:bCs/>
                <w:color w:val="auto"/>
                <w:sz w:val="24"/>
                <w:szCs w:val="24"/>
              </w:rPr>
            </w:pPr>
            <w:r>
              <w:rPr>
                <w:rFonts w:hint="default" w:ascii="Times New Roman" w:hAnsi="Times New Roman" w:eastAsia="宋体" w:cs="Times New Roman"/>
                <w:b/>
                <w:bCs/>
                <w:color w:val="auto"/>
                <w:sz w:val="24"/>
                <w:szCs w:val="24"/>
              </w:rPr>
              <w:t>3</w:t>
            </w:r>
            <w:r>
              <w:rPr>
                <w:rFonts w:hint="eastAsia" w:ascii="宋体" w:hAnsi="宋体" w:eastAsia="宋体" w:cs="宋体"/>
                <w:b/>
                <w:bCs/>
                <w:color w:val="auto"/>
                <w:sz w:val="24"/>
                <w:szCs w:val="24"/>
              </w:rPr>
              <w:t>、噪声排放标准</w:t>
            </w:r>
          </w:p>
          <w:p w14:paraId="6C66C6E1">
            <w:pPr>
              <w:spacing w:line="360" w:lineRule="auto"/>
              <w:ind w:firstLine="480" w:firstLineChars="20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color w:val="auto"/>
                <w:sz w:val="24"/>
                <w:szCs w:val="24"/>
              </w:rPr>
              <w:t>（1）施工期噪声执行GB12523-2011《建筑施工场界环境噪声排放标准》，建筑施工过程中场界环境噪声不得超过表1建筑施工场界环境噪声排放限值：昼间≤70dB(A)，夜间≤55 dB(A)。</w:t>
            </w:r>
          </w:p>
          <w:p w14:paraId="3DF8C033">
            <w:pPr>
              <w:pStyle w:val="2"/>
              <w:spacing w:line="360" w:lineRule="auto"/>
              <w:ind w:firstLine="360" w:firstLineChars="1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w:t>
            </w:r>
            <w:r>
              <w:rPr>
                <w:rFonts w:hint="default" w:ascii="Times New Roman" w:hAnsi="Times New Roman" w:eastAsia="宋体" w:cs="Times New Roman"/>
                <w:color w:val="auto"/>
              </w:rPr>
              <w:t>运营期厂界噪声执行GB12348-2008《工业企业厂界环境噪声排放标准》2类</w:t>
            </w:r>
            <w:r>
              <w:rPr>
                <w:rFonts w:hint="default" w:ascii="Times New Roman" w:hAnsi="Times New Roman" w:eastAsia="宋体" w:cs="Times New Roman"/>
                <w:bCs/>
                <w:color w:val="auto"/>
                <w:kern w:val="0"/>
              </w:rPr>
              <w:t>标准</w:t>
            </w:r>
            <w:r>
              <w:rPr>
                <w:rFonts w:hint="default" w:ascii="Times New Roman" w:hAnsi="Times New Roman" w:eastAsia="宋体" w:cs="Times New Roman"/>
                <w:color w:val="auto"/>
                <w:szCs w:val="24"/>
              </w:rPr>
              <w:t>。标准值如表</w:t>
            </w:r>
            <w:r>
              <w:rPr>
                <w:rFonts w:hint="eastAsia" w:ascii="Times New Roman" w:hAnsi="Times New Roman" w:eastAsia="宋体" w:cs="Times New Roman"/>
                <w:color w:val="auto"/>
                <w:szCs w:val="24"/>
                <w:lang w:val="en-US" w:eastAsia="zh-CN"/>
              </w:rPr>
              <w:t>3-12</w:t>
            </w:r>
            <w:r>
              <w:rPr>
                <w:rFonts w:hint="default" w:ascii="Times New Roman" w:hAnsi="Times New Roman" w:eastAsia="宋体" w:cs="Times New Roman"/>
                <w:color w:val="auto"/>
                <w:szCs w:val="24"/>
              </w:rPr>
              <w:t>。</w:t>
            </w:r>
          </w:p>
          <w:p w14:paraId="0D69F804">
            <w:pPr>
              <w:ind w:firstLine="42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 xml:space="preserve">      表</w:t>
            </w:r>
            <w:r>
              <w:rPr>
                <w:rFonts w:hint="eastAsia" w:ascii="Times New Roman" w:hAnsi="Times New Roman" w:eastAsia="宋体" w:cs="Times New Roman"/>
                <w:b/>
                <w:color w:val="auto"/>
                <w:sz w:val="24"/>
                <w:szCs w:val="24"/>
                <w:lang w:val="en-US" w:eastAsia="zh-CN"/>
              </w:rPr>
              <w:t>3-12</w:t>
            </w:r>
            <w:r>
              <w:rPr>
                <w:rFonts w:hint="default" w:ascii="Times New Roman" w:hAnsi="Times New Roman" w:eastAsia="宋体" w:cs="Times New Roman"/>
                <w:b/>
                <w:color w:val="auto"/>
                <w:sz w:val="24"/>
                <w:szCs w:val="24"/>
              </w:rPr>
              <w:t xml:space="preserve">  工业企业厂界环境噪声排放标准</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1"/>
              <w:gridCol w:w="3373"/>
              <w:gridCol w:w="3254"/>
            </w:tblGrid>
            <w:tr w14:paraId="2B758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21" w:type="dxa"/>
                  <w:noWrap w:val="0"/>
                  <w:vAlign w:val="center"/>
                </w:tcPr>
                <w:p w14:paraId="34219DA2">
                  <w:pPr>
                    <w:ind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3373" w:type="dxa"/>
                  <w:noWrap w:val="0"/>
                  <w:vAlign w:val="center"/>
                </w:tcPr>
                <w:p w14:paraId="46EAE908">
                  <w:pPr>
                    <w:ind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3254" w:type="dxa"/>
                  <w:noWrap w:val="0"/>
                  <w:vAlign w:val="center"/>
                </w:tcPr>
                <w:p w14:paraId="392A6D82">
                  <w:pPr>
                    <w:ind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14:paraId="78D6C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21" w:type="dxa"/>
                  <w:noWrap w:val="0"/>
                  <w:vAlign w:val="center"/>
                </w:tcPr>
                <w:p w14:paraId="5D51409D">
                  <w:pPr>
                    <w:ind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2类</w:t>
                  </w:r>
                </w:p>
              </w:tc>
              <w:tc>
                <w:tcPr>
                  <w:tcW w:w="3373" w:type="dxa"/>
                  <w:noWrap w:val="0"/>
                  <w:vAlign w:val="center"/>
                </w:tcPr>
                <w:p w14:paraId="6BC1ACB1">
                  <w:pPr>
                    <w:ind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3254" w:type="dxa"/>
                  <w:noWrap w:val="0"/>
                  <w:vAlign w:val="center"/>
                </w:tcPr>
                <w:p w14:paraId="004EC42C">
                  <w:pPr>
                    <w:ind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bl>
          <w:p w14:paraId="263999A6">
            <w:pPr>
              <w:keepNext w:val="0"/>
              <w:keepLines w:val="0"/>
              <w:pageBreakBefore w:val="0"/>
              <w:widowControl w:val="0"/>
              <w:tabs>
                <w:tab w:val="left" w:pos="8515"/>
              </w:tabs>
              <w:kinsoku/>
              <w:wordWrap/>
              <w:overflowPunct/>
              <w:topLinePunct w:val="0"/>
              <w:autoSpaceDE/>
              <w:autoSpaceDN/>
              <w:bidi w:val="0"/>
              <w:adjustRightInd w:val="0"/>
              <w:snapToGrid w:val="0"/>
              <w:spacing w:before="157" w:beforeLines="50" w:line="360" w:lineRule="auto"/>
              <w:textAlignment w:val="auto"/>
              <w:rPr>
                <w:rFonts w:hint="eastAsia" w:ascii="宋体" w:hAnsi="宋体" w:eastAsia="宋体" w:cs="宋体"/>
                <w:b/>
                <w:bCs/>
                <w:color w:val="auto"/>
                <w:sz w:val="24"/>
                <w:szCs w:val="24"/>
                <w:lang w:eastAsia="zh-CN"/>
              </w:rPr>
            </w:pPr>
            <w:r>
              <w:rPr>
                <w:rFonts w:hint="default" w:ascii="Times New Roman" w:hAnsi="Times New Roman" w:eastAsia="宋体" w:cs="Times New Roman"/>
                <w:b/>
                <w:bCs/>
                <w:color w:val="auto"/>
                <w:sz w:val="24"/>
                <w:szCs w:val="24"/>
              </w:rPr>
              <w:t>4</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固体废物控制标准</w:t>
            </w:r>
          </w:p>
          <w:p w14:paraId="61907C50">
            <w:pPr>
              <w:pStyle w:val="2"/>
              <w:spacing w:line="360" w:lineRule="auto"/>
              <w:ind w:firstLine="600" w:firstLineChars="250"/>
              <w:rPr>
                <w:rFonts w:hint="default" w:ascii="Times New Roman" w:hAnsi="Times New Roman" w:eastAsia="宋体" w:cs="Times New Roman"/>
                <w:color w:val="auto"/>
                <w:szCs w:val="24"/>
              </w:rPr>
            </w:pPr>
            <w:bookmarkStart w:id="237" w:name="_Toc183330775"/>
            <w:r>
              <w:rPr>
                <w:rFonts w:hint="default" w:ascii="Times New Roman" w:hAnsi="Times New Roman" w:eastAsia="宋体" w:cs="Times New Roman"/>
                <w:color w:val="auto"/>
                <w:szCs w:val="24"/>
              </w:rPr>
              <w:t>一般固体废物处置执行《一般工业固体废物</w:t>
            </w:r>
            <w:r>
              <w:rPr>
                <w:rFonts w:hint="default" w:ascii="Times New Roman" w:hAnsi="Times New Roman" w:eastAsia="宋体" w:cs="Times New Roman"/>
                <w:color w:val="auto"/>
                <w:szCs w:val="24"/>
                <w:lang w:val="en-US" w:eastAsia="zh-CN"/>
              </w:rPr>
              <w:t>贮存和填埋污染控制标准</w:t>
            </w:r>
            <w:r>
              <w:rPr>
                <w:rFonts w:hint="default" w:ascii="Times New Roman" w:hAnsi="Times New Roman" w:eastAsia="宋体" w:cs="Times New Roman"/>
                <w:color w:val="auto"/>
                <w:szCs w:val="24"/>
              </w:rPr>
              <w:t>》（GB18599-20</w:t>
            </w:r>
            <w:r>
              <w:rPr>
                <w:rFonts w:hint="default" w:ascii="Times New Roman" w:hAnsi="Times New Roman" w:eastAsia="宋体" w:cs="Times New Roman"/>
                <w:color w:val="auto"/>
                <w:szCs w:val="24"/>
                <w:lang w:val="en-US" w:eastAsia="zh-CN"/>
              </w:rPr>
              <w:t>20</w:t>
            </w:r>
            <w:r>
              <w:rPr>
                <w:rFonts w:hint="default" w:ascii="Times New Roman" w:hAnsi="Times New Roman" w:eastAsia="宋体" w:cs="Times New Roman"/>
                <w:color w:val="auto"/>
                <w:szCs w:val="24"/>
              </w:rPr>
              <w:t>）。</w:t>
            </w:r>
            <w:bookmarkEnd w:id="237"/>
          </w:p>
          <w:p w14:paraId="248B6A6B">
            <w:pPr>
              <w:pStyle w:val="2"/>
              <w:spacing w:line="360" w:lineRule="auto"/>
              <w:ind w:firstLine="360" w:firstLineChars="150"/>
              <w:rPr>
                <w:rFonts w:hint="eastAsia" w:ascii="宋体" w:hAnsi="宋体" w:eastAsia="宋体" w:cs="宋体"/>
                <w:color w:val="auto"/>
                <w:kern w:val="0"/>
                <w:sz w:val="24"/>
                <w:szCs w:val="24"/>
                <w:lang w:eastAsia="zh-CN"/>
              </w:rPr>
            </w:pPr>
          </w:p>
        </w:tc>
      </w:tr>
      <w:tr w14:paraId="68926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7" w:hRule="atLeast"/>
          <w:jc w:val="center"/>
        </w:trPr>
        <w:tc>
          <w:tcPr>
            <w:tcW w:w="760" w:type="dxa"/>
            <w:noWrap w:val="0"/>
            <w:vAlign w:val="center"/>
          </w:tcPr>
          <w:p w14:paraId="0B181504">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总量</w:t>
            </w:r>
          </w:p>
          <w:p w14:paraId="26664D67">
            <w:pPr>
              <w:pStyle w:val="4"/>
              <w:bidi w:val="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控制</w:t>
            </w:r>
          </w:p>
          <w:p w14:paraId="0730F148">
            <w:pPr>
              <w:pStyle w:val="4"/>
              <w:bidi w:val="0"/>
              <w:jc w:val="center"/>
              <w:rPr>
                <w:rFonts w:hint="eastAsia" w:ascii="宋体" w:hAnsi="宋体" w:eastAsia="宋体" w:cs="宋体"/>
                <w:color w:val="auto"/>
                <w:kern w:val="0"/>
                <w:sz w:val="21"/>
                <w:szCs w:val="21"/>
              </w:rPr>
            </w:pPr>
            <w:r>
              <w:rPr>
                <w:rFonts w:hint="eastAsia" w:ascii="宋体" w:hAnsi="宋体" w:eastAsia="宋体" w:cs="宋体"/>
                <w:b w:val="0"/>
                <w:bCs/>
                <w:color w:val="auto"/>
                <w:sz w:val="24"/>
                <w:szCs w:val="24"/>
              </w:rPr>
              <w:t>指标</w:t>
            </w:r>
          </w:p>
        </w:tc>
        <w:tc>
          <w:tcPr>
            <w:tcW w:w="8301" w:type="dxa"/>
            <w:noWrap w:val="0"/>
            <w:vAlign w:val="center"/>
          </w:tcPr>
          <w:p w14:paraId="2D4EB2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32"/>
                <w:lang w:eastAsia="zh-CN"/>
              </w:rPr>
            </w:pPr>
            <w:r>
              <w:rPr>
                <w:rFonts w:hint="eastAsia"/>
                <w:color w:val="auto"/>
                <w:sz w:val="24"/>
                <w:szCs w:val="32"/>
              </w:rPr>
              <w:t>总量控制</w:t>
            </w:r>
            <w:r>
              <w:rPr>
                <w:rFonts w:hint="eastAsia"/>
                <w:color w:val="auto"/>
                <w:sz w:val="24"/>
                <w:szCs w:val="32"/>
                <w:lang w:eastAsia="zh-CN"/>
              </w:rPr>
              <w:t>：</w:t>
            </w:r>
          </w:p>
          <w:p w14:paraId="44187F09">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eastAsia"/>
                <w:color w:val="auto"/>
                <w:sz w:val="24"/>
                <w:szCs w:val="32"/>
                <w:lang w:val="en-US" w:eastAsia="zh-CN"/>
              </w:rPr>
            </w:pPr>
            <w:r>
              <w:rPr>
                <w:rFonts w:hint="eastAsia"/>
                <w:color w:val="auto"/>
                <w:sz w:val="24"/>
                <w:szCs w:val="32"/>
                <w:lang w:val="en-US" w:eastAsia="zh-CN"/>
              </w:rPr>
              <w:t>根据国家当前的污染物总量控制指标为NO</w:t>
            </w:r>
            <w:r>
              <w:rPr>
                <w:rFonts w:hint="eastAsia"/>
                <w:color w:val="auto"/>
                <w:sz w:val="24"/>
                <w:szCs w:val="32"/>
                <w:vertAlign w:val="subscript"/>
                <w:lang w:val="en-US" w:eastAsia="zh-CN"/>
              </w:rPr>
              <w:t>X</w:t>
            </w:r>
            <w:r>
              <w:rPr>
                <w:rFonts w:hint="eastAsia"/>
                <w:color w:val="auto"/>
                <w:sz w:val="24"/>
                <w:szCs w:val="32"/>
                <w:lang w:val="en-US" w:eastAsia="zh-CN"/>
              </w:rPr>
              <w:t>、COD</w:t>
            </w:r>
            <w:r>
              <w:rPr>
                <w:rFonts w:hint="eastAsia"/>
                <w:color w:val="auto"/>
                <w:sz w:val="24"/>
                <w:szCs w:val="32"/>
                <w:vertAlign w:val="subscript"/>
                <w:lang w:val="en-US" w:eastAsia="zh-CN"/>
              </w:rPr>
              <w:t>cr</w:t>
            </w:r>
            <w:r>
              <w:rPr>
                <w:rFonts w:hint="eastAsia"/>
                <w:color w:val="auto"/>
                <w:sz w:val="24"/>
                <w:szCs w:val="32"/>
                <w:lang w:val="en-US" w:eastAsia="zh-CN"/>
              </w:rPr>
              <w:t>、</w:t>
            </w:r>
            <w:r>
              <w:rPr>
                <w:color w:val="auto"/>
                <w:sz w:val="24"/>
                <w:szCs w:val="32"/>
              </w:rPr>
              <w:t>NH</w:t>
            </w:r>
            <w:r>
              <w:rPr>
                <w:color w:val="auto"/>
                <w:sz w:val="24"/>
                <w:szCs w:val="32"/>
                <w:vertAlign w:val="subscript"/>
              </w:rPr>
              <w:t>3</w:t>
            </w:r>
            <w:r>
              <w:rPr>
                <w:color w:val="auto"/>
                <w:sz w:val="24"/>
                <w:szCs w:val="32"/>
              </w:rPr>
              <w:t>-N</w:t>
            </w:r>
            <w:r>
              <w:rPr>
                <w:rFonts w:hint="eastAsia"/>
                <w:color w:val="auto"/>
                <w:sz w:val="24"/>
                <w:szCs w:val="32"/>
                <w:lang w:eastAsia="zh-CN"/>
              </w:rPr>
              <w:t>、</w:t>
            </w:r>
            <w:r>
              <w:rPr>
                <w:rFonts w:hint="eastAsia"/>
                <w:color w:val="auto"/>
                <w:sz w:val="24"/>
                <w:szCs w:val="32"/>
                <w:lang w:val="en-US" w:eastAsia="zh-CN"/>
              </w:rPr>
              <w:t>挥发性有机物</w:t>
            </w:r>
            <w:r>
              <w:rPr>
                <w:rFonts w:hint="eastAsia"/>
                <w:color w:val="auto"/>
                <w:sz w:val="24"/>
                <w:szCs w:val="32"/>
                <w:lang w:eastAsia="zh-CN"/>
              </w:rPr>
              <w:t>。</w:t>
            </w:r>
          </w:p>
          <w:p w14:paraId="431D49AF">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eastAsia"/>
                <w:color w:val="auto"/>
                <w:sz w:val="24"/>
                <w:szCs w:val="32"/>
                <w:lang w:val="en-US" w:eastAsia="zh-CN"/>
              </w:rPr>
            </w:pPr>
            <w:r>
              <w:rPr>
                <w:rFonts w:hint="eastAsia"/>
                <w:color w:val="auto"/>
                <w:sz w:val="24"/>
                <w:szCs w:val="32"/>
                <w:lang w:val="en-US" w:eastAsia="zh-CN"/>
              </w:rPr>
              <w:t>本项目总量控制情况：</w:t>
            </w:r>
          </w:p>
          <w:p w14:paraId="1FBA6C2F">
            <w:pPr>
              <w:spacing w:line="360" w:lineRule="auto"/>
              <w:ind w:firstLine="480" w:firstLineChars="200"/>
              <w:rPr>
                <w:rFonts w:hint="default" w:ascii="Times New Roman" w:hAnsi="Times New Roman" w:eastAsia="宋体" w:cs="Times New Roman"/>
                <w:color w:val="auto"/>
                <w:sz w:val="24"/>
                <w:szCs w:val="24"/>
              </w:rPr>
            </w:pPr>
            <w:r>
              <w:rPr>
                <w:rFonts w:eastAsia="宋体"/>
                <w:color w:val="auto"/>
                <w:sz w:val="24"/>
                <w:szCs w:val="24"/>
              </w:rPr>
              <w:t>本项目</w:t>
            </w:r>
            <w:r>
              <w:rPr>
                <w:rFonts w:hint="eastAsia" w:eastAsia="宋体"/>
                <w:color w:val="auto"/>
                <w:sz w:val="24"/>
                <w:szCs w:val="24"/>
                <w:lang w:val="en-US" w:eastAsia="zh-CN"/>
              </w:rPr>
              <w:t>无废水</w:t>
            </w:r>
            <w:r>
              <w:rPr>
                <w:rFonts w:hint="eastAsia"/>
                <w:color w:val="auto"/>
                <w:sz w:val="24"/>
                <w:szCs w:val="32"/>
                <w:lang w:val="en-US" w:eastAsia="zh-CN"/>
              </w:rPr>
              <w:t>外排，</w:t>
            </w:r>
            <w:r>
              <w:rPr>
                <w:rFonts w:hint="eastAsia" w:eastAsia="宋体"/>
                <w:color w:val="auto"/>
                <w:kern w:val="0"/>
                <w:sz w:val="24"/>
                <w:szCs w:val="24"/>
                <w:lang w:val="en-US" w:eastAsia="zh-CN"/>
              </w:rPr>
              <w:t>本项目仅有少量的粉尘排放，无SO</w:t>
            </w:r>
            <w:r>
              <w:rPr>
                <w:rFonts w:hint="eastAsia" w:eastAsia="宋体"/>
                <w:color w:val="auto"/>
                <w:kern w:val="0"/>
                <w:sz w:val="24"/>
                <w:szCs w:val="24"/>
                <w:vertAlign w:val="subscript"/>
                <w:lang w:val="en-US" w:eastAsia="zh-CN"/>
              </w:rPr>
              <w:t>2</w:t>
            </w:r>
            <w:r>
              <w:rPr>
                <w:rFonts w:hint="eastAsia" w:eastAsia="宋体"/>
                <w:color w:val="auto"/>
                <w:kern w:val="0"/>
                <w:sz w:val="24"/>
                <w:szCs w:val="24"/>
                <w:lang w:val="en-US" w:eastAsia="zh-CN"/>
              </w:rPr>
              <w:t>、NO</w:t>
            </w:r>
            <w:r>
              <w:rPr>
                <w:rFonts w:hint="eastAsia" w:eastAsia="宋体"/>
                <w:color w:val="auto"/>
                <w:kern w:val="0"/>
                <w:sz w:val="24"/>
                <w:szCs w:val="24"/>
                <w:vertAlign w:val="subscript"/>
                <w:lang w:val="en-US" w:eastAsia="zh-CN"/>
              </w:rPr>
              <w:t>X</w:t>
            </w:r>
            <w:r>
              <w:rPr>
                <w:rFonts w:hint="eastAsia" w:eastAsia="宋体"/>
                <w:color w:val="auto"/>
                <w:kern w:val="0"/>
                <w:sz w:val="24"/>
                <w:szCs w:val="24"/>
                <w:lang w:val="en-US" w:eastAsia="zh-CN"/>
              </w:rPr>
              <w:t>产生，</w:t>
            </w:r>
            <w:r>
              <w:rPr>
                <w:rFonts w:eastAsia="宋体"/>
                <w:color w:val="auto"/>
                <w:sz w:val="24"/>
                <w:szCs w:val="24"/>
              </w:rPr>
              <w:t>因此本项目无需申请总量</w:t>
            </w:r>
            <w:r>
              <w:rPr>
                <w:rFonts w:hint="eastAsia" w:eastAsia="宋体"/>
                <w:color w:val="auto"/>
                <w:sz w:val="24"/>
                <w:szCs w:val="24"/>
                <w:lang w:val="en-US" w:eastAsia="zh-CN"/>
              </w:rPr>
              <w:t>指标</w:t>
            </w:r>
            <w:r>
              <w:rPr>
                <w:rFonts w:eastAsia="宋体"/>
                <w:color w:val="auto"/>
                <w:sz w:val="24"/>
                <w:szCs w:val="24"/>
              </w:rPr>
              <w:t>。</w:t>
            </w:r>
          </w:p>
          <w:p w14:paraId="584B6B9D">
            <w:pPr>
              <w:rPr>
                <w:rFonts w:hint="eastAsia"/>
                <w:color w:val="auto"/>
                <w:lang w:val="en-US" w:eastAsia="zh-CN"/>
              </w:rPr>
            </w:pPr>
          </w:p>
          <w:p w14:paraId="39358665">
            <w:pPr>
              <w:pStyle w:val="13"/>
              <w:rPr>
                <w:rFonts w:hint="eastAsia"/>
                <w:color w:val="auto"/>
                <w:lang w:val="en-US" w:eastAsia="zh-CN"/>
              </w:rPr>
            </w:pPr>
          </w:p>
          <w:p w14:paraId="6D726444">
            <w:pPr>
              <w:rPr>
                <w:rFonts w:hint="eastAsia"/>
                <w:color w:val="auto"/>
                <w:lang w:val="en-US" w:eastAsia="zh-CN"/>
              </w:rPr>
            </w:pPr>
          </w:p>
          <w:p w14:paraId="6BB5E620">
            <w:pPr>
              <w:pStyle w:val="13"/>
              <w:rPr>
                <w:rFonts w:hint="eastAsia"/>
                <w:color w:val="auto"/>
                <w:lang w:val="en-US" w:eastAsia="zh-CN"/>
              </w:rPr>
            </w:pPr>
          </w:p>
          <w:p w14:paraId="293D4E1D">
            <w:pPr>
              <w:rPr>
                <w:rFonts w:hint="eastAsia"/>
                <w:color w:val="auto"/>
                <w:lang w:val="en-US" w:eastAsia="zh-CN"/>
              </w:rPr>
            </w:pPr>
          </w:p>
          <w:p w14:paraId="2CDB66B4">
            <w:pPr>
              <w:pStyle w:val="16"/>
              <w:rPr>
                <w:rFonts w:hint="eastAsia"/>
                <w:color w:val="auto"/>
                <w:lang w:val="en-US" w:eastAsia="zh-CN"/>
              </w:rPr>
            </w:pPr>
          </w:p>
          <w:p w14:paraId="4E3D9463">
            <w:pPr>
              <w:rPr>
                <w:rFonts w:hint="eastAsia"/>
                <w:color w:val="auto"/>
                <w:lang w:val="en-US" w:eastAsia="zh-CN"/>
              </w:rPr>
            </w:pPr>
          </w:p>
          <w:p w14:paraId="0C1F43FB">
            <w:pPr>
              <w:pStyle w:val="16"/>
              <w:rPr>
                <w:rFonts w:hint="eastAsia"/>
                <w:color w:val="auto"/>
                <w:lang w:val="en-US" w:eastAsia="zh-CN"/>
              </w:rPr>
            </w:pPr>
          </w:p>
          <w:p w14:paraId="278CFA22">
            <w:pPr>
              <w:rPr>
                <w:rFonts w:hint="eastAsia"/>
                <w:color w:val="auto"/>
                <w:lang w:val="en-US" w:eastAsia="zh-CN"/>
              </w:rPr>
            </w:pPr>
          </w:p>
          <w:p w14:paraId="0ED4F891">
            <w:pPr>
              <w:pStyle w:val="16"/>
              <w:rPr>
                <w:rFonts w:hint="eastAsia"/>
                <w:color w:val="auto"/>
                <w:lang w:val="en-US" w:eastAsia="zh-CN"/>
              </w:rPr>
            </w:pPr>
          </w:p>
          <w:p w14:paraId="793E9EB6">
            <w:pPr>
              <w:rPr>
                <w:rFonts w:hint="eastAsia"/>
                <w:color w:val="auto"/>
                <w:lang w:val="en-US" w:eastAsia="zh-CN"/>
              </w:rPr>
            </w:pPr>
          </w:p>
          <w:p w14:paraId="41F739FD">
            <w:pPr>
              <w:pStyle w:val="16"/>
              <w:rPr>
                <w:rFonts w:hint="eastAsia"/>
                <w:color w:val="auto"/>
                <w:lang w:val="en-US" w:eastAsia="zh-CN"/>
              </w:rPr>
            </w:pPr>
          </w:p>
          <w:p w14:paraId="3CB59701">
            <w:pPr>
              <w:rPr>
                <w:rFonts w:hint="eastAsia"/>
                <w:color w:val="auto"/>
                <w:lang w:val="en-US" w:eastAsia="zh-CN"/>
              </w:rPr>
            </w:pPr>
          </w:p>
          <w:p w14:paraId="602EB9A5">
            <w:pPr>
              <w:pStyle w:val="16"/>
              <w:rPr>
                <w:rFonts w:hint="eastAsia"/>
                <w:color w:val="auto"/>
                <w:lang w:val="en-US" w:eastAsia="zh-CN"/>
              </w:rPr>
            </w:pPr>
          </w:p>
          <w:p w14:paraId="0624A36D">
            <w:pPr>
              <w:rPr>
                <w:rFonts w:hint="eastAsia"/>
                <w:color w:val="auto"/>
                <w:lang w:val="en-US" w:eastAsia="zh-CN"/>
              </w:rPr>
            </w:pPr>
          </w:p>
          <w:p w14:paraId="6201ED40">
            <w:pPr>
              <w:pStyle w:val="16"/>
              <w:rPr>
                <w:rFonts w:hint="eastAsia"/>
                <w:color w:val="auto"/>
                <w:lang w:val="en-US" w:eastAsia="zh-CN"/>
              </w:rPr>
            </w:pPr>
          </w:p>
          <w:p w14:paraId="2261A36B">
            <w:pPr>
              <w:rPr>
                <w:rFonts w:hint="eastAsia"/>
                <w:color w:val="auto"/>
                <w:lang w:val="en-US" w:eastAsia="zh-CN"/>
              </w:rPr>
            </w:pPr>
          </w:p>
          <w:p w14:paraId="2C385A11">
            <w:pPr>
              <w:pStyle w:val="16"/>
              <w:rPr>
                <w:rFonts w:hint="eastAsia"/>
                <w:color w:val="auto"/>
                <w:lang w:val="en-US" w:eastAsia="zh-CN"/>
              </w:rPr>
            </w:pPr>
          </w:p>
          <w:p w14:paraId="6EAFE7E0">
            <w:pPr>
              <w:rPr>
                <w:rFonts w:hint="eastAsia"/>
                <w:color w:val="auto"/>
                <w:lang w:val="en-US" w:eastAsia="zh-CN"/>
              </w:rPr>
            </w:pPr>
          </w:p>
          <w:p w14:paraId="7572E19C">
            <w:pPr>
              <w:pStyle w:val="16"/>
              <w:rPr>
                <w:rFonts w:hint="eastAsia"/>
                <w:color w:val="auto"/>
                <w:lang w:val="en-US" w:eastAsia="zh-CN"/>
              </w:rPr>
            </w:pPr>
          </w:p>
          <w:p w14:paraId="0EEB33DD">
            <w:pPr>
              <w:rPr>
                <w:rFonts w:hint="eastAsia"/>
                <w:color w:val="auto"/>
                <w:lang w:val="en-US" w:eastAsia="zh-CN"/>
              </w:rPr>
            </w:pPr>
          </w:p>
          <w:p w14:paraId="272E7E66">
            <w:pPr>
              <w:pStyle w:val="16"/>
              <w:rPr>
                <w:rFonts w:hint="eastAsia"/>
                <w:color w:val="auto"/>
                <w:lang w:val="en-US" w:eastAsia="zh-CN"/>
              </w:rPr>
            </w:pPr>
          </w:p>
          <w:p w14:paraId="6662E0DE">
            <w:pPr>
              <w:rPr>
                <w:rFonts w:hint="eastAsia"/>
                <w:color w:val="auto"/>
                <w:lang w:val="en-US" w:eastAsia="zh-CN"/>
              </w:rPr>
            </w:pPr>
          </w:p>
          <w:p w14:paraId="6167CBD4">
            <w:pPr>
              <w:pStyle w:val="16"/>
              <w:rPr>
                <w:rFonts w:hint="eastAsia"/>
                <w:color w:val="auto"/>
                <w:lang w:val="en-US" w:eastAsia="zh-CN"/>
              </w:rPr>
            </w:pPr>
          </w:p>
          <w:p w14:paraId="4B08B464">
            <w:pPr>
              <w:rPr>
                <w:rFonts w:hint="eastAsia"/>
                <w:color w:val="auto"/>
                <w:lang w:val="en-US" w:eastAsia="zh-CN"/>
              </w:rPr>
            </w:pPr>
          </w:p>
          <w:p w14:paraId="6ADAAA09">
            <w:pPr>
              <w:pStyle w:val="16"/>
              <w:rPr>
                <w:rFonts w:hint="eastAsia"/>
                <w:color w:val="auto"/>
                <w:lang w:val="en-US" w:eastAsia="zh-CN"/>
              </w:rPr>
            </w:pPr>
          </w:p>
          <w:p w14:paraId="53C71F4B">
            <w:pPr>
              <w:rPr>
                <w:rFonts w:hint="eastAsia"/>
                <w:color w:val="auto"/>
                <w:lang w:val="en-US" w:eastAsia="zh-CN"/>
              </w:rPr>
            </w:pPr>
          </w:p>
          <w:p w14:paraId="48DFA849">
            <w:pPr>
              <w:pStyle w:val="16"/>
              <w:rPr>
                <w:rFonts w:hint="eastAsia"/>
                <w:color w:val="auto"/>
                <w:lang w:val="en-US" w:eastAsia="zh-CN"/>
              </w:rPr>
            </w:pPr>
          </w:p>
          <w:p w14:paraId="3A5D6299">
            <w:pPr>
              <w:rPr>
                <w:rFonts w:hint="eastAsia"/>
                <w:color w:val="auto"/>
                <w:lang w:val="en-US" w:eastAsia="zh-CN"/>
              </w:rPr>
            </w:pPr>
          </w:p>
          <w:p w14:paraId="6C640871">
            <w:pPr>
              <w:pStyle w:val="16"/>
              <w:rPr>
                <w:rFonts w:hint="eastAsia"/>
                <w:color w:val="auto"/>
                <w:lang w:val="en-US" w:eastAsia="zh-CN"/>
              </w:rPr>
            </w:pPr>
          </w:p>
          <w:p w14:paraId="78EEF987">
            <w:pPr>
              <w:rPr>
                <w:rFonts w:hint="eastAsia"/>
                <w:color w:val="auto"/>
                <w:lang w:val="en-US" w:eastAsia="zh-CN"/>
              </w:rPr>
            </w:pPr>
          </w:p>
          <w:p w14:paraId="33AC439D">
            <w:pPr>
              <w:pStyle w:val="16"/>
              <w:rPr>
                <w:rFonts w:hint="eastAsia"/>
                <w:color w:val="auto"/>
                <w:lang w:val="en-US" w:eastAsia="zh-CN"/>
              </w:rPr>
            </w:pPr>
          </w:p>
          <w:p w14:paraId="7B3EEDEF">
            <w:pPr>
              <w:pStyle w:val="13"/>
              <w:rPr>
                <w:rFonts w:hint="eastAsia"/>
                <w:color w:val="auto"/>
                <w:lang w:val="en-US" w:eastAsia="zh-CN"/>
              </w:rPr>
            </w:pPr>
          </w:p>
        </w:tc>
      </w:tr>
    </w:tbl>
    <w:p w14:paraId="25F8CD46">
      <w:pPr>
        <w:pStyle w:val="29"/>
        <w:jc w:val="center"/>
        <w:outlineLvl w:val="0"/>
        <w:rPr>
          <w:rFonts w:hint="eastAsia" w:ascii="Times New Roman" w:hAnsi="Times New Roman" w:eastAsia="黑体" w:cs="Times New Roman"/>
          <w:b/>
          <w:bCs/>
          <w:color w:val="auto"/>
          <w:kern w:val="44"/>
          <w:sz w:val="30"/>
          <w:szCs w:val="30"/>
          <w:lang w:val="en-US" w:eastAsia="zh-CN" w:bidi="ar-SA"/>
        </w:rPr>
      </w:pPr>
      <w:r>
        <w:rPr>
          <w:rFonts w:ascii="黑体" w:hAnsi="黑体" w:eastAsia="黑体"/>
          <w:snapToGrid w:val="0"/>
          <w:color w:val="auto"/>
          <w:sz w:val="36"/>
          <w:szCs w:val="36"/>
        </w:rPr>
        <w:br w:type="page"/>
      </w:r>
      <w:bookmarkStart w:id="238" w:name="_Toc11315"/>
      <w:bookmarkStart w:id="239" w:name="_Toc5230"/>
      <w:bookmarkStart w:id="240" w:name="_Toc635"/>
      <w:bookmarkStart w:id="241" w:name="_Toc9354"/>
      <w:bookmarkStart w:id="242" w:name="_Toc20744"/>
      <w:r>
        <w:rPr>
          <w:rFonts w:hint="eastAsia" w:ascii="Times New Roman" w:hAnsi="Times New Roman" w:eastAsia="黑体" w:cs="Times New Roman"/>
          <w:b/>
          <w:bCs/>
          <w:color w:val="auto"/>
          <w:kern w:val="44"/>
          <w:sz w:val="30"/>
          <w:szCs w:val="30"/>
          <w:lang w:val="en-US" w:eastAsia="zh-CN" w:bidi="ar-SA"/>
        </w:rPr>
        <w:t>四、主要环境影响和保护措施</w:t>
      </w:r>
      <w:bookmarkEnd w:id="238"/>
      <w:bookmarkEnd w:id="239"/>
      <w:bookmarkEnd w:id="240"/>
      <w:bookmarkEnd w:id="241"/>
      <w:bookmarkEnd w:id="242"/>
    </w:p>
    <w:tbl>
      <w:tblPr>
        <w:tblStyle w:val="33"/>
        <w:tblW w:w="53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202"/>
      </w:tblGrid>
      <w:tr w14:paraId="149DF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noWrap w:val="0"/>
            <w:vAlign w:val="center"/>
          </w:tcPr>
          <w:p w14:paraId="027D0F2F">
            <w:pPr>
              <w:pStyle w:val="92"/>
              <w:spacing w:line="360" w:lineRule="auto"/>
              <w:ind w:left="0" w:leftChars="0" w:firstLine="0" w:firstLineChars="0"/>
              <w:rPr>
                <w:rFonts w:hint="default" w:ascii="宋体" w:hAnsi="宋体" w:eastAsia="宋体" w:cs="宋体"/>
                <w:bCs/>
                <w:color w:val="auto"/>
                <w:spacing w:val="-10"/>
                <w:sz w:val="21"/>
                <w:szCs w:val="21"/>
                <w:lang w:val="en-US" w:eastAsia="zh-CN"/>
              </w:rPr>
            </w:pPr>
            <w:r>
              <w:rPr>
                <w:rFonts w:hint="eastAsia" w:ascii="宋体" w:hAnsi="宋体" w:eastAsia="宋体" w:cs="宋体"/>
                <w:b w:val="0"/>
                <w:bCs/>
                <w:color w:val="auto"/>
                <w:sz w:val="24"/>
                <w:szCs w:val="24"/>
                <w:lang w:val="en-US" w:eastAsia="zh-CN"/>
              </w:rPr>
              <w:t>施工期环境保护措施</w:t>
            </w:r>
          </w:p>
        </w:tc>
        <w:tc>
          <w:tcPr>
            <w:tcW w:w="4765" w:type="pct"/>
            <w:noWrap w:val="0"/>
            <w:vAlign w:val="center"/>
          </w:tcPr>
          <w:p w14:paraId="6AE4786A">
            <w:pPr>
              <w:pStyle w:val="9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本项目租用中山乡小水井村民委员会建设的厂房、生活用房，不涉及大型施工，仅进行设备安装调试、环保工程的施工，施工较为简单。</w:t>
            </w:r>
          </w:p>
          <w:p w14:paraId="0412A7AB">
            <w:pPr>
              <w:pStyle w:val="90"/>
              <w:pageBreakBefore w:val="0"/>
              <w:widowControl w:val="0"/>
              <w:kinsoku/>
              <w:wordWrap/>
              <w:overflowPunct/>
              <w:topLinePunct w:val="0"/>
              <w:autoSpaceDE/>
              <w:autoSpaceDN/>
              <w:bidi w:val="0"/>
              <w:snapToGrid/>
              <w:spacing w:line="360" w:lineRule="auto"/>
              <w:ind w:left="0" w:leftChars="0" w:firstLine="0" w:firstLineChars="0"/>
              <w:textAlignment w:val="auto"/>
              <w:rPr>
                <w:rFonts w:hint="default"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1、</w:t>
            </w:r>
            <w:r>
              <w:rPr>
                <w:rFonts w:hint="default" w:ascii="Times New Roman" w:hAnsi="Times New Roman" w:eastAsia="宋体" w:cs="Times New Roman"/>
                <w:b/>
                <w:bCs/>
                <w:color w:val="auto"/>
                <w:spacing w:val="0"/>
                <w:kern w:val="2"/>
                <w:sz w:val="24"/>
                <w:szCs w:val="24"/>
                <w:lang w:val="en-US" w:eastAsia="zh-CN" w:bidi="ar-SA"/>
              </w:rPr>
              <w:t>施工期环境空气影响</w:t>
            </w:r>
            <w:r>
              <w:rPr>
                <w:rFonts w:hint="eastAsia" w:ascii="Times New Roman" w:hAnsi="Times New Roman" w:eastAsia="宋体" w:cs="Times New Roman"/>
                <w:b/>
                <w:bCs/>
                <w:color w:val="auto"/>
                <w:spacing w:val="0"/>
                <w:kern w:val="2"/>
                <w:sz w:val="24"/>
                <w:szCs w:val="24"/>
                <w:lang w:val="en-US" w:eastAsia="zh-CN" w:bidi="ar-SA"/>
              </w:rPr>
              <w:t>和保护措施</w:t>
            </w:r>
          </w:p>
          <w:p w14:paraId="10E5BE65">
            <w:pPr>
              <w:pStyle w:val="90"/>
              <w:pageBreakBefore w:val="0"/>
              <w:widowControl w:val="0"/>
              <w:kinsoku/>
              <w:wordWrap/>
              <w:overflowPunct/>
              <w:topLinePunct w:val="0"/>
              <w:autoSpaceDE/>
              <w:autoSpaceDN/>
              <w:bidi w:val="0"/>
              <w:snapToGrid/>
              <w:spacing w:line="360" w:lineRule="auto"/>
              <w:ind w:firstLine="480"/>
              <w:textAlignment w:val="auto"/>
              <w:rPr>
                <w:rFonts w:hint="eastAsia"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项目施工扬尘主要来源于设备安装、环保设施建设以及</w:t>
            </w:r>
            <w:r>
              <w:rPr>
                <w:rFonts w:hint="eastAsia" w:ascii="Times New Roman" w:hAnsi="Times New Roman" w:eastAsia="宋体" w:cs="Times New Roman"/>
                <w:color w:val="auto"/>
                <w:spacing w:val="0"/>
                <w:kern w:val="2"/>
                <w:sz w:val="24"/>
                <w:szCs w:val="24"/>
                <w:lang w:val="en-US" w:eastAsia="zh-CN" w:bidi="ar-SA"/>
              </w:rPr>
              <w:t>车辆</w:t>
            </w:r>
            <w:r>
              <w:rPr>
                <w:rFonts w:hint="default" w:ascii="Times New Roman" w:hAnsi="Times New Roman" w:eastAsia="宋体" w:cs="Times New Roman"/>
                <w:color w:val="auto"/>
                <w:spacing w:val="0"/>
                <w:kern w:val="2"/>
                <w:sz w:val="24"/>
                <w:szCs w:val="24"/>
                <w:lang w:val="en-US" w:eastAsia="zh-CN" w:bidi="ar-SA"/>
              </w:rPr>
              <w:t>运输等作业过程中，主要污染物为 TSP，呈无组织排放，对</w:t>
            </w:r>
            <w:r>
              <w:rPr>
                <w:rFonts w:hint="eastAsia" w:ascii="Times New Roman" w:hAnsi="Times New Roman" w:eastAsia="宋体" w:cs="Times New Roman"/>
                <w:color w:val="auto"/>
                <w:spacing w:val="0"/>
                <w:kern w:val="2"/>
                <w:sz w:val="24"/>
                <w:szCs w:val="24"/>
                <w:lang w:val="en-US" w:eastAsia="zh-CN" w:bidi="ar-SA"/>
              </w:rPr>
              <w:t>项目区域大气环境有一定影响</w:t>
            </w:r>
            <w:r>
              <w:rPr>
                <w:rFonts w:hint="default" w:ascii="Times New Roman" w:hAnsi="Times New Roman" w:eastAsia="宋体" w:cs="Times New Roman"/>
                <w:color w:val="auto"/>
                <w:spacing w:val="0"/>
                <w:kern w:val="2"/>
                <w:sz w:val="24"/>
                <w:szCs w:val="24"/>
                <w:lang w:val="en-US" w:eastAsia="zh-CN" w:bidi="ar-SA"/>
              </w:rPr>
              <w:t>。 施工机械及各型运输车辆</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使用汽油、柴油作为能源，在运行时排放的废气是主要的污染源。施工场地周围较空旷，大气扩散条件相对较好，故一般情况下，施工机械</w:t>
            </w:r>
            <w:r>
              <w:rPr>
                <w:rFonts w:hint="eastAsia" w:ascii="Times New Roman" w:hAnsi="Times New Roman" w:eastAsia="宋体" w:cs="Times New Roman"/>
                <w:color w:val="auto"/>
                <w:spacing w:val="0"/>
                <w:kern w:val="2"/>
                <w:sz w:val="24"/>
                <w:szCs w:val="24"/>
                <w:lang w:val="en-US" w:eastAsia="zh-CN" w:bidi="ar-SA"/>
              </w:rPr>
              <w:t>废气</w:t>
            </w:r>
            <w:r>
              <w:rPr>
                <w:rFonts w:hint="default" w:ascii="Times New Roman" w:hAnsi="Times New Roman" w:eastAsia="宋体" w:cs="Times New Roman"/>
                <w:color w:val="auto"/>
                <w:spacing w:val="0"/>
                <w:kern w:val="2"/>
                <w:sz w:val="24"/>
                <w:szCs w:val="24"/>
                <w:lang w:val="en-US" w:eastAsia="zh-CN" w:bidi="ar-SA"/>
              </w:rPr>
              <w:t>和运输车辆</w:t>
            </w:r>
            <w:r>
              <w:rPr>
                <w:rFonts w:hint="eastAsia" w:ascii="Times New Roman" w:hAnsi="Times New Roman" w:eastAsia="宋体" w:cs="Times New Roman"/>
                <w:color w:val="auto"/>
                <w:spacing w:val="0"/>
                <w:kern w:val="2"/>
                <w:sz w:val="24"/>
                <w:szCs w:val="24"/>
                <w:lang w:val="en-US" w:eastAsia="zh-CN" w:bidi="ar-SA"/>
              </w:rPr>
              <w:t>尾气</w:t>
            </w:r>
            <w:r>
              <w:rPr>
                <w:rFonts w:hint="default" w:ascii="Times New Roman" w:hAnsi="Times New Roman" w:eastAsia="宋体" w:cs="Times New Roman"/>
                <w:color w:val="auto"/>
                <w:spacing w:val="0"/>
                <w:kern w:val="2"/>
                <w:sz w:val="24"/>
                <w:szCs w:val="24"/>
                <w:lang w:val="en-US" w:eastAsia="zh-CN" w:bidi="ar-SA"/>
              </w:rPr>
              <w:t>所产生污染在空气中经自然扩散和稀释后，</w:t>
            </w:r>
            <w:r>
              <w:rPr>
                <w:rFonts w:hint="eastAsia" w:ascii="Times New Roman" w:hAnsi="Times New Roman" w:eastAsia="宋体" w:cs="Times New Roman"/>
                <w:color w:val="auto"/>
                <w:spacing w:val="0"/>
                <w:kern w:val="2"/>
                <w:sz w:val="24"/>
                <w:szCs w:val="24"/>
                <w:lang w:val="en-US" w:eastAsia="zh-CN" w:bidi="ar-SA"/>
              </w:rPr>
              <w:t>对周围空气环境影响较小。</w:t>
            </w:r>
          </w:p>
          <w:p w14:paraId="127AD2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为了将施工期</w:t>
            </w:r>
            <w:r>
              <w:rPr>
                <w:rFonts w:hint="eastAsia" w:ascii="Times New Roman" w:hAnsi="Times New Roman" w:eastAsia="宋体" w:cs="Times New Roman"/>
                <w:color w:val="auto"/>
                <w:spacing w:val="0"/>
                <w:kern w:val="2"/>
                <w:sz w:val="24"/>
                <w:szCs w:val="24"/>
                <w:lang w:val="en-US" w:eastAsia="zh-CN" w:bidi="ar-SA"/>
              </w:rPr>
              <w:t>废气</w:t>
            </w:r>
            <w:r>
              <w:rPr>
                <w:rFonts w:hint="default" w:ascii="Times New Roman" w:hAnsi="Times New Roman" w:eastAsia="宋体" w:cs="Times New Roman"/>
                <w:color w:val="auto"/>
                <w:spacing w:val="0"/>
                <w:kern w:val="2"/>
                <w:sz w:val="24"/>
                <w:szCs w:val="24"/>
                <w:lang w:val="en-US" w:eastAsia="zh-CN" w:bidi="ar-SA"/>
              </w:rPr>
              <w:t>对周围环境及敏感点的影响降至最低，本环评提出以下防治措施：</w:t>
            </w:r>
          </w:p>
          <w:p w14:paraId="0D5D410A">
            <w:pPr>
              <w:spacing w:line="360" w:lineRule="auto"/>
              <w:ind w:firstLine="480" w:firstLineChars="200"/>
              <w:rPr>
                <w:rFonts w:hint="default" w:ascii="Times New Roman" w:hAnsi="Times New Roman" w:eastAsia="宋体" w:cs="Times New Roman"/>
                <w:color w:val="auto"/>
                <w:sz w:val="24"/>
                <w:szCs w:val="21"/>
              </w:rPr>
            </w:pPr>
            <w:r>
              <w:rPr>
                <w:rFonts w:hint="eastAsia"/>
                <w:color w:val="auto"/>
                <w:sz w:val="24"/>
              </w:rPr>
              <w:t>（1）</w:t>
            </w:r>
            <w:r>
              <w:rPr>
                <w:rFonts w:hint="default" w:ascii="Times New Roman" w:hAnsi="Times New Roman" w:eastAsia="宋体" w:cs="Times New Roman"/>
                <w:color w:val="auto"/>
                <w:sz w:val="24"/>
                <w:szCs w:val="21"/>
              </w:rPr>
              <w:t>严格按照</w:t>
            </w:r>
            <w:r>
              <w:rPr>
                <w:rFonts w:hint="default" w:ascii="Times New Roman" w:hAnsi="Times New Roman" w:eastAsia="宋体" w:cs="Times New Roman"/>
                <w:bCs/>
                <w:iCs/>
                <w:color w:val="auto"/>
                <w:sz w:val="24"/>
                <w:szCs w:val="21"/>
              </w:rPr>
              <w:t>《城市建筑垃圾管理规定》</w:t>
            </w:r>
            <w:r>
              <w:rPr>
                <w:rFonts w:hint="default" w:ascii="Times New Roman" w:hAnsi="Times New Roman" w:eastAsia="宋体" w:cs="Times New Roman"/>
                <w:color w:val="auto"/>
                <w:sz w:val="24"/>
                <w:szCs w:val="21"/>
              </w:rPr>
              <w:t>规定，粉尘逸散性的工程材料、砂石、废弃物应当用袋子集中堆置于工地区域，并覆盖防尘布或防护网。</w:t>
            </w:r>
          </w:p>
          <w:p w14:paraId="532EBC35">
            <w:pPr>
              <w:spacing w:line="360" w:lineRule="auto"/>
              <w:ind w:firstLine="480" w:firstLineChars="200"/>
              <w:rPr>
                <w:color w:val="auto"/>
                <w:sz w:val="24"/>
              </w:rPr>
            </w:pPr>
            <w:r>
              <w:rPr>
                <w:rFonts w:hint="eastAsia"/>
                <w:color w:val="auto"/>
                <w:sz w:val="24"/>
              </w:rPr>
              <w:t>（2）</w:t>
            </w:r>
            <w:r>
              <w:rPr>
                <w:color w:val="auto"/>
                <w:sz w:val="24"/>
              </w:rPr>
              <w:t>尽量避免在大风天气下进行施工作业</w:t>
            </w:r>
            <w:r>
              <w:rPr>
                <w:rFonts w:hint="eastAsia"/>
                <w:color w:val="auto"/>
                <w:sz w:val="24"/>
                <w:lang w:eastAsia="zh-CN"/>
              </w:rPr>
              <w:t>，</w:t>
            </w:r>
            <w:r>
              <w:rPr>
                <w:rFonts w:hint="eastAsia"/>
                <w:color w:val="auto"/>
                <w:sz w:val="24"/>
              </w:rPr>
              <w:t>安排专人对裸露施工面洒水降尘，洒水次数不低于</w:t>
            </w:r>
            <w:r>
              <w:rPr>
                <w:color w:val="auto"/>
                <w:sz w:val="24"/>
              </w:rPr>
              <w:t xml:space="preserve">3 </w:t>
            </w:r>
            <w:r>
              <w:rPr>
                <w:rFonts w:hint="eastAsia"/>
                <w:color w:val="auto"/>
                <w:sz w:val="24"/>
              </w:rPr>
              <w:t>次</w:t>
            </w:r>
            <w:r>
              <w:rPr>
                <w:color w:val="auto"/>
                <w:sz w:val="24"/>
              </w:rPr>
              <w:t>/</w:t>
            </w:r>
            <w:r>
              <w:rPr>
                <w:rFonts w:hint="eastAsia"/>
                <w:color w:val="auto"/>
                <w:sz w:val="24"/>
              </w:rPr>
              <w:t>天，风大干燥时段增加洒水频次。</w:t>
            </w:r>
          </w:p>
          <w:p w14:paraId="3A4CE5AC">
            <w:pPr>
              <w:spacing w:line="360" w:lineRule="auto"/>
              <w:ind w:firstLine="450"/>
              <w:rPr>
                <w:color w:val="auto"/>
                <w:sz w:val="24"/>
              </w:rPr>
            </w:pPr>
            <w:r>
              <w:rPr>
                <w:rFonts w:hint="eastAsia"/>
                <w:color w:val="auto"/>
                <w:sz w:val="24"/>
              </w:rPr>
              <w:t>（3）运输车辆进入施工场地应低速或限速行驶</w:t>
            </w:r>
            <w:r>
              <w:rPr>
                <w:rFonts w:hint="eastAsia"/>
                <w:color w:val="auto"/>
                <w:sz w:val="24"/>
                <w:lang w:eastAsia="zh-CN"/>
              </w:rPr>
              <w:t>，</w:t>
            </w:r>
            <w:r>
              <w:rPr>
                <w:rFonts w:hint="eastAsia"/>
                <w:color w:val="auto"/>
                <w:sz w:val="24"/>
              </w:rPr>
              <w:t>减少扬尘产生量。</w:t>
            </w:r>
          </w:p>
          <w:p w14:paraId="344781A3">
            <w:pPr>
              <w:spacing w:line="360" w:lineRule="auto"/>
              <w:ind w:firstLine="480" w:firstLineChars="200"/>
              <w:rPr>
                <w:rFonts w:hint="eastAsia"/>
                <w:color w:val="auto"/>
                <w:sz w:val="24"/>
              </w:rPr>
            </w:pPr>
            <w:r>
              <w:rPr>
                <w:rFonts w:hint="eastAsia"/>
                <w:color w:val="auto"/>
                <w:sz w:val="24"/>
              </w:rPr>
              <w:t>（</w:t>
            </w:r>
            <w:r>
              <w:rPr>
                <w:rFonts w:hint="eastAsia"/>
                <w:color w:val="auto"/>
                <w:sz w:val="24"/>
                <w:lang w:val="en-US" w:eastAsia="zh-CN"/>
              </w:rPr>
              <w:t>4</w:t>
            </w:r>
            <w:r>
              <w:rPr>
                <w:rFonts w:hint="eastAsia"/>
                <w:color w:val="auto"/>
                <w:sz w:val="24"/>
              </w:rPr>
              <w:t>）</w:t>
            </w:r>
            <w:r>
              <w:rPr>
                <w:color w:val="auto"/>
                <w:sz w:val="24"/>
              </w:rPr>
              <w:t>对建筑垃圾应及时处理、清运。建设工地应当按安全、文明施工标准化工地的要求设置各项临时设施。</w:t>
            </w:r>
          </w:p>
          <w:p w14:paraId="2BA6A11B">
            <w:pPr>
              <w:spacing w:line="360" w:lineRule="auto"/>
              <w:ind w:firstLine="480" w:firstLineChars="200"/>
              <w:rPr>
                <w:rFonts w:hint="default" w:ascii="Times New Roman" w:hAnsi="Times New Roman" w:eastAsia="宋体" w:cs="Times New Roman"/>
                <w:color w:val="auto"/>
                <w:sz w:val="24"/>
                <w:szCs w:val="21"/>
              </w:rPr>
            </w:pPr>
            <w:r>
              <w:rPr>
                <w:rFonts w:hint="eastAsia"/>
                <w:color w:val="auto"/>
                <w:sz w:val="24"/>
              </w:rPr>
              <w:t>（</w:t>
            </w:r>
            <w:r>
              <w:rPr>
                <w:rFonts w:hint="eastAsia"/>
                <w:color w:val="auto"/>
                <w:sz w:val="24"/>
                <w:lang w:val="en-US" w:eastAsia="zh-CN"/>
              </w:rPr>
              <w:t>5</w:t>
            </w:r>
            <w:r>
              <w:rPr>
                <w:rFonts w:hint="eastAsia"/>
                <w:color w:val="auto"/>
                <w:sz w:val="24"/>
              </w:rPr>
              <w:t>）加强施工管理，对施工人员进行环保方面宣传教育，提高施工人员环保意识。</w:t>
            </w:r>
          </w:p>
          <w:p w14:paraId="5C261A0A">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w:t>
            </w:r>
            <w:r>
              <w:rPr>
                <w:rFonts w:hint="eastAsia" w:ascii="Times New Roman" w:hAnsi="Times New Roman" w:eastAsia="宋体" w:cs="Times New Roman"/>
                <w:color w:val="auto"/>
                <w:sz w:val="24"/>
                <w:szCs w:val="21"/>
                <w:lang w:val="en-US" w:eastAsia="zh-CN"/>
              </w:rPr>
              <w:t>6</w:t>
            </w:r>
            <w:r>
              <w:rPr>
                <w:rFonts w:hint="default" w:ascii="Times New Roman" w:hAnsi="Times New Roman" w:eastAsia="宋体" w:cs="Times New Roman"/>
                <w:color w:val="auto"/>
                <w:sz w:val="24"/>
                <w:szCs w:val="21"/>
              </w:rPr>
              <w:t>）选择优质高效设备，提高能源的使用率，并对各种燃油设备和车辆定期维护，保证其良好运行，减少废气的产生量。</w:t>
            </w:r>
          </w:p>
          <w:p w14:paraId="21636A68">
            <w:pPr>
              <w:adjustRightInd w:val="0"/>
              <w:snapToGrid w:val="0"/>
              <w:spacing w:line="360" w:lineRule="auto"/>
              <w:ind w:firstLine="495"/>
              <w:rPr>
                <w:rFonts w:hint="eastAsia" w:ascii="Times New Roman" w:hAnsi="Times New Roman" w:eastAsia="宋体" w:cs="Times New Roman"/>
                <w:b w:val="0"/>
                <w:bCs/>
                <w:color w:val="auto"/>
                <w:sz w:val="24"/>
                <w:szCs w:val="22"/>
              </w:rPr>
            </w:pPr>
            <w:r>
              <w:rPr>
                <w:rFonts w:hint="default" w:ascii="Times New Roman" w:hAnsi="Times New Roman" w:eastAsia="宋体" w:cs="Times New Roman"/>
                <w:b w:val="0"/>
                <w:bCs/>
                <w:color w:val="auto"/>
                <w:sz w:val="24"/>
                <w:szCs w:val="22"/>
              </w:rPr>
              <w:t>根据类似工程及实践经验，上述大气污染防治措施简单有效，是施工场地经常采用的措施，在经济上可行。总之，切实落实好这些措施，施工场地扬尘对环境的影响将会大大降低，对周围敏感目标的影响也将得到最大限度的降低，其对环境的影响也将随施工的结束而消失。</w:t>
            </w:r>
          </w:p>
          <w:p w14:paraId="091F7803">
            <w:pPr>
              <w:pStyle w:val="90"/>
              <w:pageBreakBefore w:val="0"/>
              <w:widowControl w:val="0"/>
              <w:kinsoku/>
              <w:wordWrap/>
              <w:overflowPunct/>
              <w:topLinePunct w:val="0"/>
              <w:autoSpaceDE/>
              <w:autoSpaceDN/>
              <w:bidi w:val="0"/>
              <w:snapToGrid/>
              <w:spacing w:line="360" w:lineRule="auto"/>
              <w:ind w:left="0" w:leftChars="0" w:firstLine="0" w:firstLineChars="0"/>
              <w:textAlignment w:val="auto"/>
              <w:rPr>
                <w:rFonts w:hint="default"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2、施工期地表水环境影响和保护措施</w:t>
            </w:r>
          </w:p>
          <w:p w14:paraId="4D6C3BD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本项目施工人员不在施工场地食宿，不涉及商品混凝土的使用施工，因此仅有少量的施工废水及清洁废水产生，</w:t>
            </w:r>
            <w:r>
              <w:rPr>
                <w:rFonts w:hint="default" w:ascii="Times New Roman" w:hAnsi="Times New Roman" w:eastAsia="宋体" w:cs="Times New Roman"/>
                <w:color w:val="auto"/>
                <w:spacing w:val="0"/>
                <w:kern w:val="2"/>
                <w:sz w:val="24"/>
                <w:szCs w:val="24"/>
                <w:lang w:val="en-US" w:eastAsia="zh-CN" w:bidi="ar-SA"/>
              </w:rPr>
              <w:t>主要污染因子为SS</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 xml:space="preserve"> </w:t>
            </w:r>
            <w:r>
              <w:rPr>
                <w:rFonts w:hint="eastAsia" w:ascii="Times New Roman" w:hAnsi="Times New Roman" w:eastAsia="宋体" w:cs="Times New Roman"/>
                <w:color w:val="auto"/>
                <w:spacing w:val="0"/>
                <w:kern w:val="2"/>
                <w:sz w:val="24"/>
                <w:szCs w:val="24"/>
                <w:lang w:val="en-US" w:eastAsia="zh-CN" w:bidi="ar-SA"/>
              </w:rPr>
              <w:t>本</w:t>
            </w:r>
            <w:r>
              <w:rPr>
                <w:rFonts w:hint="default" w:ascii="Times New Roman" w:hAnsi="Times New Roman" w:eastAsia="宋体" w:cs="Times New Roman"/>
                <w:color w:val="auto"/>
                <w:spacing w:val="0"/>
                <w:kern w:val="2"/>
                <w:sz w:val="24"/>
                <w:szCs w:val="24"/>
                <w:lang w:val="en-US" w:eastAsia="zh-CN" w:bidi="ar-SA"/>
              </w:rPr>
              <w:t>环评要求建设单位施工期间于施工场地内设置1个容积为</w:t>
            </w:r>
            <w:r>
              <w:rPr>
                <w:rFonts w:hint="eastAsia" w:ascii="Times New Roman" w:hAnsi="Times New Roman" w:eastAsia="宋体" w:cs="Times New Roman"/>
                <w:color w:val="auto"/>
                <w:spacing w:val="0"/>
                <w:kern w:val="2"/>
                <w:sz w:val="24"/>
                <w:szCs w:val="24"/>
                <w:lang w:val="en-US" w:eastAsia="zh-CN" w:bidi="ar-SA"/>
              </w:rPr>
              <w:t>1.0</w:t>
            </w:r>
            <w:r>
              <w:rPr>
                <w:rFonts w:hint="default" w:ascii="Times New Roman" w:hAnsi="Times New Roman" w:eastAsia="宋体" w:cs="Times New Roman"/>
                <w:color w:val="auto"/>
                <w:spacing w:val="0"/>
                <w:kern w:val="2"/>
                <w:sz w:val="24"/>
                <w:szCs w:val="24"/>
                <w:lang w:val="en-US" w:eastAsia="zh-CN" w:bidi="ar-SA"/>
              </w:rPr>
              <w:t>m</w:t>
            </w:r>
            <w:r>
              <w:rPr>
                <w:rFonts w:hint="default" w:ascii="Times New Roman" w:hAnsi="Times New Roman" w:eastAsia="宋体" w:cs="Times New Roman"/>
                <w:color w:val="auto"/>
                <w:spacing w:val="0"/>
                <w:kern w:val="2"/>
                <w:sz w:val="24"/>
                <w:szCs w:val="24"/>
                <w:vertAlign w:val="superscript"/>
                <w:lang w:val="en-US" w:eastAsia="zh-CN" w:bidi="ar-SA"/>
              </w:rPr>
              <w:t>3</w:t>
            </w:r>
            <w:r>
              <w:rPr>
                <w:rFonts w:hint="default" w:ascii="Times New Roman" w:hAnsi="Times New Roman" w:eastAsia="宋体" w:cs="Times New Roman"/>
                <w:color w:val="auto"/>
                <w:spacing w:val="0"/>
                <w:kern w:val="2"/>
                <w:sz w:val="24"/>
                <w:szCs w:val="24"/>
                <w:lang w:val="en-US" w:eastAsia="zh-CN" w:bidi="ar-SA"/>
              </w:rPr>
              <w:t>的临时废水沉淀池，施工废水经沉淀池收集、沉淀处理后，</w:t>
            </w:r>
            <w:r>
              <w:rPr>
                <w:i w:val="0"/>
                <w:iCs w:val="0"/>
                <w:color w:val="auto"/>
                <w:sz w:val="24"/>
                <w:szCs w:val="24"/>
              </w:rPr>
              <w:t>回用于施工过程和场地洒水抑尘。因此本项目施工期无外排的施工废水。</w:t>
            </w:r>
          </w:p>
          <w:p w14:paraId="7EA916BB">
            <w:pPr>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综上所述，项目</w:t>
            </w:r>
            <w:r>
              <w:rPr>
                <w:rFonts w:hint="eastAsia" w:ascii="Times New Roman" w:hAnsi="Times New Roman" w:eastAsia="宋体" w:cs="Times New Roman"/>
                <w:color w:val="auto"/>
                <w:spacing w:val="0"/>
                <w:kern w:val="2"/>
                <w:sz w:val="24"/>
                <w:szCs w:val="24"/>
                <w:lang w:val="en-US" w:eastAsia="zh-CN" w:bidi="ar-SA"/>
              </w:rPr>
              <w:t>施工</w:t>
            </w:r>
            <w:r>
              <w:rPr>
                <w:rFonts w:hint="default" w:ascii="Times New Roman" w:hAnsi="Times New Roman" w:eastAsia="宋体" w:cs="Times New Roman"/>
                <w:color w:val="auto"/>
                <w:spacing w:val="0"/>
                <w:kern w:val="2"/>
                <w:sz w:val="24"/>
                <w:szCs w:val="24"/>
                <w:lang w:val="en-US" w:eastAsia="zh-CN" w:bidi="ar-SA"/>
              </w:rPr>
              <w:t>设置沉淀池等措施处理后回用。施工期废水产生随施工结束而结束，因此施工期污水对附近地表水的水质影响轻微。</w:t>
            </w:r>
          </w:p>
          <w:p w14:paraId="7A3BA552">
            <w:pPr>
              <w:pStyle w:val="90"/>
              <w:pageBreakBefore w:val="0"/>
              <w:widowControl w:val="0"/>
              <w:kinsoku/>
              <w:wordWrap/>
              <w:overflowPunct/>
              <w:topLinePunct w:val="0"/>
              <w:autoSpaceDE/>
              <w:autoSpaceDN/>
              <w:bidi w:val="0"/>
              <w:snapToGrid/>
              <w:spacing w:line="360" w:lineRule="auto"/>
              <w:ind w:left="0" w:leftChars="0" w:firstLine="0" w:firstLineChars="0"/>
              <w:textAlignment w:val="auto"/>
              <w:rPr>
                <w:rFonts w:hint="default"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3、施工期地下水环境影响和保护措施</w:t>
            </w:r>
          </w:p>
          <w:p w14:paraId="4E033C63">
            <w:pPr>
              <w:pStyle w:val="103"/>
              <w:pageBreakBefore w:val="0"/>
              <w:widowControl w:val="0"/>
              <w:kinsoku/>
              <w:wordWrap/>
              <w:overflowPunct/>
              <w:topLinePunct w:val="0"/>
              <w:autoSpaceDE/>
              <w:autoSpaceDN/>
              <w:bidi w:val="0"/>
              <w:snapToGrid/>
              <w:spacing w:line="360" w:lineRule="auto"/>
              <w:textAlignment w:val="auto"/>
              <w:rPr>
                <w:rFonts w:hint="eastAsia"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本工程</w:t>
            </w:r>
            <w:r>
              <w:rPr>
                <w:rFonts w:hint="eastAsia" w:ascii="Times New Roman" w:hAnsi="Times New Roman" w:eastAsia="宋体" w:cs="Times New Roman"/>
                <w:color w:val="auto"/>
                <w:spacing w:val="0"/>
                <w:kern w:val="2"/>
                <w:sz w:val="24"/>
                <w:szCs w:val="24"/>
                <w:lang w:val="en-US" w:eastAsia="zh-CN" w:bidi="ar-SA"/>
              </w:rPr>
              <w:t>不涉及大型建筑施工，不进行深度开挖，</w:t>
            </w:r>
            <w:r>
              <w:rPr>
                <w:rFonts w:hint="default" w:ascii="Times New Roman" w:hAnsi="Times New Roman" w:eastAsia="宋体" w:cs="Times New Roman"/>
                <w:color w:val="auto"/>
                <w:spacing w:val="0"/>
                <w:kern w:val="2"/>
                <w:sz w:val="24"/>
                <w:szCs w:val="24"/>
                <w:lang w:val="en-US" w:eastAsia="zh-CN" w:bidi="ar-SA"/>
              </w:rPr>
              <w:t>施工期间施工废水通过沉淀池集中收集后回用，做到不外排，同时做好沉淀池防渗措施后，对</w:t>
            </w:r>
            <w:r>
              <w:rPr>
                <w:rFonts w:hint="eastAsia" w:ascii="Times New Roman" w:hAnsi="Times New Roman" w:eastAsia="宋体" w:cs="Times New Roman"/>
                <w:color w:val="auto"/>
                <w:spacing w:val="0"/>
                <w:kern w:val="2"/>
                <w:sz w:val="24"/>
                <w:szCs w:val="24"/>
                <w:lang w:val="en-US" w:eastAsia="zh-CN" w:bidi="ar-SA"/>
              </w:rPr>
              <w:t>项目所在区域</w:t>
            </w:r>
            <w:r>
              <w:rPr>
                <w:rFonts w:hint="default" w:ascii="Times New Roman" w:hAnsi="Times New Roman" w:eastAsia="宋体" w:cs="Times New Roman"/>
                <w:color w:val="auto"/>
                <w:spacing w:val="0"/>
                <w:kern w:val="2"/>
                <w:sz w:val="24"/>
                <w:szCs w:val="24"/>
                <w:lang w:val="en-US" w:eastAsia="zh-CN" w:bidi="ar-SA"/>
              </w:rPr>
              <w:t>地下水环境产生的影响较小</w:t>
            </w:r>
            <w:r>
              <w:rPr>
                <w:rFonts w:hint="eastAsia" w:ascii="Times New Roman" w:hAnsi="Times New Roman" w:eastAsia="宋体" w:cs="Times New Roman"/>
                <w:color w:val="auto"/>
                <w:spacing w:val="0"/>
                <w:kern w:val="2"/>
                <w:sz w:val="24"/>
                <w:szCs w:val="24"/>
                <w:lang w:val="en-US" w:eastAsia="zh-CN" w:bidi="ar-SA"/>
              </w:rPr>
              <w:t>。</w:t>
            </w:r>
          </w:p>
          <w:p w14:paraId="5A6DE95C">
            <w:pPr>
              <w:pStyle w:val="90"/>
              <w:pageBreakBefore w:val="0"/>
              <w:widowControl w:val="0"/>
              <w:kinsoku/>
              <w:wordWrap/>
              <w:overflowPunct/>
              <w:topLinePunct w:val="0"/>
              <w:autoSpaceDE/>
              <w:autoSpaceDN/>
              <w:bidi w:val="0"/>
              <w:snapToGrid/>
              <w:spacing w:line="360" w:lineRule="auto"/>
              <w:ind w:left="0" w:leftChars="0" w:firstLine="0" w:firstLineChars="0"/>
              <w:textAlignment w:val="auto"/>
              <w:rPr>
                <w:rFonts w:hint="default"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4、施工期声环境影响及保护措施</w:t>
            </w:r>
          </w:p>
          <w:p w14:paraId="16B28182">
            <w:pPr>
              <w:pStyle w:val="10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项目施工期的噪声主要来源于运输车辆的交通噪声、物料装卸碰撞噪声及施工人员的活动噪声</w:t>
            </w:r>
            <w:r>
              <w:rPr>
                <w:rFonts w:hint="eastAsia" w:ascii="Times New Roman" w:hAnsi="Times New Roman" w:eastAsia="宋体" w:cs="Times New Roman"/>
                <w:color w:val="auto"/>
                <w:spacing w:val="0"/>
                <w:kern w:val="2"/>
                <w:sz w:val="24"/>
                <w:szCs w:val="24"/>
                <w:lang w:val="en-US" w:eastAsia="zh-CN" w:bidi="ar-SA"/>
              </w:rPr>
              <w:t>，噪声值在70～80dB(A)之间，</w:t>
            </w:r>
            <w:r>
              <w:rPr>
                <w:rFonts w:hint="default" w:ascii="Times New Roman" w:hAnsi="Times New Roman" w:eastAsia="宋体" w:cs="Times New Roman"/>
                <w:color w:val="auto"/>
                <w:spacing w:val="0"/>
                <w:kern w:val="2"/>
                <w:sz w:val="24"/>
                <w:szCs w:val="24"/>
                <w:lang w:val="en-US" w:eastAsia="zh-CN" w:bidi="ar-SA"/>
              </w:rPr>
              <w:t>对周围声环境及敏感点有一定影响。为了</w:t>
            </w:r>
            <w:r>
              <w:rPr>
                <w:rFonts w:hint="eastAsia" w:ascii="Times New Roman" w:hAnsi="Times New Roman" w:eastAsia="宋体" w:cs="Times New Roman"/>
                <w:color w:val="auto"/>
                <w:spacing w:val="0"/>
                <w:kern w:val="2"/>
                <w:sz w:val="24"/>
                <w:szCs w:val="24"/>
                <w:lang w:val="en-US" w:eastAsia="zh-CN" w:bidi="ar-SA"/>
              </w:rPr>
              <w:t>进一步</w:t>
            </w:r>
            <w:r>
              <w:rPr>
                <w:rFonts w:hint="default" w:ascii="Times New Roman" w:hAnsi="Times New Roman" w:eastAsia="宋体" w:cs="Times New Roman"/>
                <w:color w:val="auto"/>
                <w:spacing w:val="0"/>
                <w:kern w:val="2"/>
                <w:sz w:val="24"/>
                <w:szCs w:val="24"/>
                <w:lang w:val="en-US" w:eastAsia="zh-CN" w:bidi="ar-SA"/>
              </w:rPr>
              <w:t xml:space="preserve">减缓施工期噪声的影响，应采取以下措施： </w:t>
            </w:r>
          </w:p>
          <w:p w14:paraId="351F272F">
            <w:pPr>
              <w:adjustRightInd w:val="0"/>
              <w:snapToGrid w:val="0"/>
              <w:spacing w:line="360" w:lineRule="auto"/>
              <w:ind w:firstLine="480" w:firstLineChars="200"/>
              <w:rPr>
                <w:rFonts w:hint="eastAsia"/>
                <w:color w:val="auto"/>
                <w:sz w:val="24"/>
              </w:rPr>
            </w:pPr>
            <w:r>
              <w:rPr>
                <w:rFonts w:hint="eastAsia"/>
                <w:color w:val="auto"/>
                <w:sz w:val="24"/>
              </w:rPr>
              <w:t>（1）施工期间，施工车辆出入施工现场时应低速、禁鸣。</w:t>
            </w:r>
          </w:p>
          <w:p w14:paraId="0ABA0DBA">
            <w:pPr>
              <w:pStyle w:val="32"/>
              <w:keepNext w:val="0"/>
              <w:keepLines w:val="0"/>
              <w:pageBreakBefore w:val="0"/>
              <w:widowControl w:val="0"/>
              <w:kinsoku/>
              <w:wordWrap/>
              <w:overflowPunct/>
              <w:topLinePunct w:val="0"/>
              <w:autoSpaceDE/>
              <w:autoSpaceDN/>
              <w:bidi w:val="0"/>
              <w:spacing w:after="0" w:afterLines="0" w:line="360" w:lineRule="auto"/>
              <w:ind w:left="0" w:leftChars="0" w:firstLine="480"/>
              <w:textAlignment w:val="auto"/>
              <w:rPr>
                <w:rFonts w:hint="default" w:ascii="Times New Roman" w:hAnsi="Times New Roman" w:eastAsia="宋体" w:cs="Times New Roman"/>
                <w:color w:val="auto"/>
                <w:sz w:val="24"/>
              </w:rPr>
            </w:pPr>
            <w:r>
              <w:rPr>
                <w:rFonts w:hint="eastAsia"/>
                <w:color w:val="auto"/>
                <w:sz w:val="24"/>
              </w:rPr>
              <w:t>（2）</w:t>
            </w:r>
            <w:r>
              <w:rPr>
                <w:rFonts w:hint="eastAsia"/>
                <w:color w:val="auto"/>
                <w:sz w:val="24"/>
                <w:szCs w:val="24"/>
              </w:rPr>
              <w:t>从规范施工秩序着手，合理安排施工时间，</w:t>
            </w:r>
            <w:r>
              <w:rPr>
                <w:rFonts w:hint="default" w:ascii="Times New Roman" w:hAnsi="Times New Roman" w:eastAsia="宋体" w:cs="Times New Roman"/>
                <w:color w:val="auto"/>
                <w:sz w:val="24"/>
              </w:rPr>
              <w:t>禁止在12时至14时午休时间、22时至次日6时夜间进行</w:t>
            </w:r>
            <w:r>
              <w:rPr>
                <w:rFonts w:hint="eastAsia" w:ascii="Times New Roman" w:hAnsi="Times New Roman" w:eastAsia="宋体" w:cs="Times New Roman"/>
                <w:color w:val="auto"/>
                <w:sz w:val="24"/>
                <w:lang w:val="en-US" w:eastAsia="zh-CN"/>
              </w:rPr>
              <w:t>设备安装</w:t>
            </w:r>
            <w:r>
              <w:rPr>
                <w:rFonts w:hint="default" w:ascii="Times New Roman" w:hAnsi="Times New Roman" w:eastAsia="宋体" w:cs="Times New Roman"/>
                <w:color w:val="auto"/>
                <w:sz w:val="24"/>
              </w:rPr>
              <w:t>施工作业</w:t>
            </w:r>
            <w:r>
              <w:rPr>
                <w:rFonts w:hint="eastAsia" w:ascii="Times New Roman" w:hAnsi="Times New Roman" w:cs="Times New Roman"/>
                <w:color w:val="auto"/>
                <w:sz w:val="24"/>
                <w:lang w:val="en-US" w:eastAsia="zh-CN"/>
              </w:rPr>
              <w:t>及车辆运输作业</w:t>
            </w:r>
            <w:r>
              <w:rPr>
                <w:rFonts w:hint="default" w:ascii="Times New Roman" w:hAnsi="Times New Roman" w:eastAsia="宋体" w:cs="Times New Roman"/>
                <w:color w:val="auto"/>
                <w:sz w:val="24"/>
              </w:rPr>
              <w:t xml:space="preserve">。 </w:t>
            </w:r>
          </w:p>
          <w:p w14:paraId="7000F764">
            <w:pPr>
              <w:adjustRightInd w:val="0"/>
              <w:snapToGrid w:val="0"/>
              <w:spacing w:line="360" w:lineRule="auto"/>
              <w:ind w:firstLine="480" w:firstLineChars="200"/>
              <w:rPr>
                <w:color w:val="auto"/>
                <w:sz w:val="24"/>
              </w:rPr>
            </w:pPr>
            <w:r>
              <w:rPr>
                <w:rFonts w:hint="eastAsia"/>
                <w:color w:val="auto"/>
                <w:sz w:val="24"/>
              </w:rPr>
              <w:t>（</w:t>
            </w:r>
            <w:r>
              <w:rPr>
                <w:rFonts w:hint="eastAsia"/>
                <w:color w:val="auto"/>
                <w:sz w:val="24"/>
                <w:lang w:val="en-US" w:eastAsia="zh-CN"/>
              </w:rPr>
              <w:t>3</w:t>
            </w:r>
            <w:r>
              <w:rPr>
                <w:rFonts w:hint="eastAsia"/>
                <w:color w:val="auto"/>
                <w:sz w:val="24"/>
              </w:rPr>
              <w:t>）</w:t>
            </w:r>
            <w:r>
              <w:rPr>
                <w:color w:val="auto"/>
                <w:sz w:val="24"/>
              </w:rPr>
              <w:t>加强对施工人员的环境宣传和教育，做到文明施工，建立健全控制人为噪声的管理制度，增强施工人员的环保意识，提高防止噪声扰民的自觉性，减少人为噪声污染。在施工现场禁止大声喧哗吵闹、高声唱歌或敲击工具等，作业中搬运物件，必须轻拿轻放，钢铁件堆放不发出大的声响，严禁抛掷物件而造成噪声。</w:t>
            </w:r>
          </w:p>
          <w:p w14:paraId="2ABF00BD">
            <w:pPr>
              <w:adjustRightInd w:val="0"/>
              <w:snapToGrid w:val="0"/>
              <w:spacing w:line="360" w:lineRule="auto"/>
              <w:ind w:firstLine="480" w:firstLineChars="200"/>
              <w:rPr>
                <w:color w:val="auto"/>
                <w:sz w:val="24"/>
              </w:rPr>
            </w:pPr>
            <w:r>
              <w:rPr>
                <w:rFonts w:hint="eastAsia"/>
                <w:color w:val="auto"/>
                <w:sz w:val="24"/>
              </w:rPr>
              <w:t>（</w:t>
            </w:r>
            <w:r>
              <w:rPr>
                <w:rFonts w:hint="eastAsia"/>
                <w:color w:val="auto"/>
                <w:sz w:val="24"/>
                <w:lang w:val="en-US" w:eastAsia="zh-CN"/>
              </w:rPr>
              <w:t>4</w:t>
            </w:r>
            <w:r>
              <w:rPr>
                <w:rFonts w:hint="eastAsia"/>
                <w:color w:val="auto"/>
                <w:sz w:val="24"/>
              </w:rPr>
              <w:t>）</w:t>
            </w:r>
            <w:r>
              <w:rPr>
                <w:color w:val="auto"/>
                <w:sz w:val="24"/>
              </w:rPr>
              <w:t>项目在进行</w:t>
            </w:r>
            <w:r>
              <w:rPr>
                <w:rFonts w:hint="eastAsia"/>
                <w:color w:val="auto"/>
                <w:sz w:val="24"/>
                <w:lang w:val="en-US" w:eastAsia="zh-CN"/>
              </w:rPr>
              <w:t>设备及材料</w:t>
            </w:r>
            <w:r>
              <w:rPr>
                <w:color w:val="auto"/>
                <w:sz w:val="24"/>
              </w:rPr>
              <w:t>运输时，应合理安排运输时间，避免在夜间及交通拥挤时段进行，减缓交通噪声对居民的影响</w:t>
            </w:r>
            <w:r>
              <w:rPr>
                <w:rFonts w:hint="eastAsia"/>
                <w:color w:val="auto"/>
                <w:sz w:val="24"/>
              </w:rPr>
              <w:t>。</w:t>
            </w:r>
            <w:r>
              <w:rPr>
                <w:color w:val="auto"/>
                <w:sz w:val="24"/>
              </w:rPr>
              <w:t xml:space="preserve"> </w:t>
            </w:r>
          </w:p>
          <w:p w14:paraId="39D191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采取以上措施后，</w:t>
            </w:r>
            <w:r>
              <w:rPr>
                <w:rFonts w:hint="default" w:ascii="Times New Roman" w:hAnsi="Times New Roman" w:eastAsia="宋体" w:cs="Times New Roman"/>
                <w:b w:val="0"/>
                <w:bCs/>
                <w:color w:val="auto"/>
                <w:sz w:val="24"/>
                <w:szCs w:val="22"/>
              </w:rPr>
              <w:t>施工各阶段的场界噪声符合《建筑施工场界环境噪声排放标准》（GB12523-2011）中的规定，采取的措施是可行的。施工期相对于运营期而言其影响是短暂的，一旦施工活动结束，施工噪声影响也就随之结束。</w:t>
            </w:r>
          </w:p>
          <w:p w14:paraId="1A47907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rPr>
              <w:t>施工期固体废物影响</w:t>
            </w:r>
            <w:r>
              <w:rPr>
                <w:rFonts w:hint="eastAsia" w:ascii="Times New Roman" w:hAnsi="Times New Roman" w:eastAsia="宋体" w:cs="Times New Roman"/>
                <w:b/>
                <w:bCs/>
                <w:color w:val="auto"/>
                <w:sz w:val="24"/>
                <w:szCs w:val="24"/>
                <w:lang w:val="en-US" w:eastAsia="zh-CN"/>
              </w:rPr>
              <w:t>和保护措施</w:t>
            </w:r>
          </w:p>
          <w:p w14:paraId="4E1B3C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rPr>
            </w:pPr>
            <w:r>
              <w:rPr>
                <w:rFonts w:hint="eastAsia" w:ascii="Times New Roman" w:hAnsi="Times New Roman" w:eastAsia="宋体" w:cs="Times New Roman"/>
                <w:color w:val="auto"/>
                <w:sz w:val="24"/>
                <w:szCs w:val="24"/>
                <w:lang w:val="en-US" w:eastAsia="zh-CN"/>
              </w:rPr>
              <w:t>（1）本项目施工简单，不涉及土石方开挖，无废弃土石方产生。在环保设施及设备安装过程中会有少量的包装材料及废钢筋等产生，</w:t>
            </w:r>
            <w:r>
              <w:rPr>
                <w:rFonts w:hint="eastAsia"/>
                <w:bCs/>
                <w:color w:val="auto"/>
                <w:sz w:val="24"/>
              </w:rPr>
              <w:t>可进行分类处理，分别捡出具有回收价值的废钢筋、废塑料、废包装材料等，送废品收购站回收利用；无回收价值的由施工方负责清运</w:t>
            </w:r>
            <w:r>
              <w:rPr>
                <w:rFonts w:hint="eastAsia"/>
                <w:bCs/>
                <w:color w:val="auto"/>
                <w:sz w:val="24"/>
                <w:lang w:val="en-US" w:eastAsia="zh-CN"/>
              </w:rPr>
              <w:t>至</w:t>
            </w:r>
            <w:r>
              <w:rPr>
                <w:rFonts w:hint="eastAsia"/>
                <w:bCs/>
                <w:color w:val="auto"/>
                <w:sz w:val="24"/>
              </w:rPr>
              <w:t>当地建设部门指定的地点堆放处置，禁止随意丢弃。</w:t>
            </w:r>
          </w:p>
          <w:p w14:paraId="34267D03">
            <w:pPr>
              <w:pStyle w:val="97"/>
              <w:keepNext w:val="0"/>
              <w:keepLines w:val="0"/>
              <w:pageBreakBefore w:val="0"/>
              <w:kinsoku/>
              <w:wordWrap/>
              <w:overflowPunct/>
              <w:topLinePunct w:val="0"/>
              <w:autoSpaceDE/>
              <w:autoSpaceDN/>
              <w:bidi w:val="0"/>
              <w:adjustRightInd w:val="0"/>
              <w:snapToGrid w:val="0"/>
              <w:spacing w:line="360" w:lineRule="auto"/>
              <w:ind w:firstLine="480"/>
              <w:jc w:val="left"/>
              <w:textAlignment w:val="auto"/>
              <w:rPr>
                <w:rFonts w:hint="eastAsia"/>
                <w:color w:val="auto"/>
                <w:sz w:val="24"/>
                <w:szCs w:val="24"/>
              </w:rPr>
            </w:pPr>
            <w:r>
              <w:rPr>
                <w:rFonts w:hint="default" w:ascii="Times New Roman" w:hAnsi="Times New Roman" w:eastAsia="宋体" w:cs="Times New Roman"/>
                <w:color w:val="auto"/>
                <w:sz w:val="24"/>
                <w:szCs w:val="24"/>
                <w:lang w:val="en-US"/>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rPr>
              <w:t>）生活垃圾：</w:t>
            </w:r>
            <w:r>
              <w:rPr>
                <w:color w:val="auto"/>
                <w:sz w:val="24"/>
                <w:szCs w:val="24"/>
              </w:rPr>
              <w:t>施工人员</w:t>
            </w:r>
            <w:r>
              <w:rPr>
                <w:rFonts w:hint="eastAsia"/>
                <w:color w:val="auto"/>
                <w:sz w:val="24"/>
                <w:szCs w:val="24"/>
                <w:lang w:val="en-US" w:eastAsia="zh-CN"/>
              </w:rPr>
              <w:t>不在场地进行食宿，生活垃圾产生量较少，要求进行收集后清运至当地乡镇的垃圾收集点由环卫部门集中收集处置</w:t>
            </w:r>
            <w:r>
              <w:rPr>
                <w:rFonts w:hint="eastAsia"/>
                <w:color w:val="auto"/>
                <w:sz w:val="24"/>
                <w:szCs w:val="24"/>
              </w:rPr>
              <w:t>。</w:t>
            </w:r>
          </w:p>
          <w:p w14:paraId="199AE9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（3）沉渣：施工期设置临时沉淀池产生的少量的沉渣，主要泥土为主，及时清掏，用于回填场地，不外排。</w:t>
            </w:r>
          </w:p>
          <w:p w14:paraId="00260D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 xml:space="preserve"> 综上分析，项目施工产生的固废能够得到妥善去处，不会对外环境造成二次污染。</w:t>
            </w:r>
          </w:p>
          <w:p w14:paraId="028622B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rPr>
              <w:t>生态环境影响</w:t>
            </w:r>
            <w:r>
              <w:rPr>
                <w:rFonts w:hint="eastAsia" w:ascii="Times New Roman" w:hAnsi="Times New Roman" w:eastAsia="宋体" w:cs="Times New Roman"/>
                <w:b/>
                <w:bCs/>
                <w:color w:val="auto"/>
                <w:sz w:val="24"/>
                <w:szCs w:val="24"/>
                <w:lang w:val="en-US" w:eastAsia="zh-CN"/>
              </w:rPr>
              <w:t>和保护措施</w:t>
            </w:r>
          </w:p>
          <w:p w14:paraId="3450431B">
            <w:pPr>
              <w:adjustRightInd w:val="0"/>
              <w:snapToGrid w:val="0"/>
              <w:spacing w:line="360" w:lineRule="auto"/>
              <w:ind w:firstLine="495"/>
              <w:rPr>
                <w:rFonts w:hint="default" w:ascii="Times New Roman" w:hAnsi="Times New Roman" w:eastAsia="宋体" w:cs="Times New Roman"/>
                <w:b w:val="0"/>
                <w:bCs/>
                <w:color w:val="auto"/>
                <w:sz w:val="24"/>
                <w:szCs w:val="22"/>
                <w:lang w:val="en-US" w:eastAsia="zh-CN"/>
              </w:rPr>
            </w:pPr>
            <w:r>
              <w:rPr>
                <w:rFonts w:ascii="Times New Roman" w:hAnsi="Times New Roman" w:eastAsia="宋体" w:cs="Times New Roman"/>
                <w:color w:val="auto"/>
                <w:kern w:val="0"/>
                <w:sz w:val="24"/>
                <w:szCs w:val="24"/>
                <w:lang w:val="en-US" w:eastAsia="zh-CN" w:bidi="ar-SA"/>
              </w:rPr>
              <w:t>本项目对生态环境的影响主要发生在施工期场地平整、地基开挖等</w:t>
            </w:r>
            <w:r>
              <w:rPr>
                <w:rFonts w:hint="eastAsia" w:ascii="Times New Roman" w:hAnsi="Times New Roman" w:eastAsia="宋体" w:cs="Times New Roman"/>
                <w:color w:val="auto"/>
                <w:kern w:val="0"/>
                <w:sz w:val="24"/>
                <w:szCs w:val="24"/>
                <w:lang w:val="en-US" w:eastAsia="zh-CN" w:bidi="ar-SA"/>
              </w:rPr>
              <w:t>阶段，本项目不涉及大型开挖施工建设，因此只要施工前做好厂区绿化</w:t>
            </w:r>
            <w:r>
              <w:rPr>
                <w:rFonts w:hint="default" w:ascii="Times New Roman" w:hAnsi="Times New Roman" w:eastAsia="宋体" w:cs="Times New Roman"/>
                <w:b w:val="0"/>
                <w:bCs/>
                <w:color w:val="auto"/>
                <w:sz w:val="24"/>
                <w:szCs w:val="22"/>
              </w:rPr>
              <w:t>，合理规划布局，严禁计划外占地，严禁不合理堆放</w:t>
            </w:r>
            <w:r>
              <w:rPr>
                <w:rFonts w:hint="eastAsia" w:ascii="Times New Roman" w:hAnsi="Times New Roman" w:eastAsia="宋体" w:cs="Times New Roman"/>
                <w:b w:val="0"/>
                <w:bCs/>
                <w:color w:val="auto"/>
                <w:sz w:val="24"/>
                <w:szCs w:val="22"/>
                <w:lang w:eastAsia="zh-CN"/>
              </w:rPr>
              <w:t>，</w:t>
            </w:r>
            <w:r>
              <w:rPr>
                <w:rFonts w:hint="eastAsia" w:ascii="Times New Roman" w:hAnsi="Times New Roman" w:eastAsia="宋体" w:cs="Times New Roman"/>
                <w:b w:val="0"/>
                <w:bCs/>
                <w:color w:val="auto"/>
                <w:sz w:val="24"/>
                <w:szCs w:val="22"/>
                <w:lang w:val="en-US" w:eastAsia="zh-CN"/>
              </w:rPr>
              <w:t>是不会对生态环境造成影响。</w:t>
            </w:r>
          </w:p>
          <w:p w14:paraId="5650AE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pacing w:val="-10"/>
                <w:sz w:val="21"/>
                <w:szCs w:val="21"/>
              </w:rPr>
            </w:pPr>
            <w:r>
              <w:rPr>
                <w:rFonts w:hint="default" w:ascii="Times New Roman" w:hAnsi="Times New Roman" w:eastAsia="宋体" w:cs="Times New Roman"/>
                <w:color w:val="auto"/>
                <w:sz w:val="24"/>
                <w:szCs w:val="24"/>
                <w:lang w:val="en-US"/>
              </w:rPr>
              <w:t>综上所述：本项目在施工期间不可避免的会对周围环境造成一定的影响，其污染物主要是施工扬尘、废水、噪声和固体废物。但施工期间产生的污染因素对环境和周围居民的影响只是暂时的，将随着施工期的结束而消失。</w:t>
            </w:r>
          </w:p>
        </w:tc>
      </w:tr>
      <w:tr w14:paraId="1D569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7" w:hRule="atLeast"/>
          <w:jc w:val="center"/>
        </w:trPr>
        <w:tc>
          <w:tcPr>
            <w:tcW w:w="234" w:type="pct"/>
            <w:noWrap w:val="0"/>
            <w:vAlign w:val="center"/>
          </w:tcPr>
          <w:p w14:paraId="53A9B5F4">
            <w:pPr>
              <w:pStyle w:val="92"/>
              <w:spacing w:line="360" w:lineRule="auto"/>
              <w:ind w:left="0" w:leftChars="0" w:firstLine="0" w:firstLineChars="0"/>
              <w:rPr>
                <w:rFonts w:hint="eastAsia" w:ascii="宋体" w:hAnsi="宋体" w:eastAsia="宋体" w:cs="宋体"/>
                <w:b w:val="0"/>
                <w:bCs/>
                <w:color w:val="auto"/>
                <w:sz w:val="24"/>
                <w:szCs w:val="24"/>
                <w:lang w:val="en-US" w:eastAsia="zh-CN"/>
              </w:rPr>
            </w:pPr>
          </w:p>
          <w:p w14:paraId="416F1A79">
            <w:pPr>
              <w:pStyle w:val="92"/>
              <w:spacing w:line="360" w:lineRule="auto"/>
              <w:ind w:left="0" w:leftChars="0" w:firstLine="0" w:firstLineChars="0"/>
              <w:rPr>
                <w:rFonts w:hint="eastAsia" w:ascii="宋体" w:hAnsi="宋体" w:eastAsia="宋体" w:cs="宋体"/>
                <w:b w:val="0"/>
                <w:bCs/>
                <w:color w:val="auto"/>
                <w:sz w:val="24"/>
                <w:szCs w:val="24"/>
                <w:lang w:val="en-US" w:eastAsia="zh-CN"/>
              </w:rPr>
            </w:pPr>
          </w:p>
          <w:p w14:paraId="0CB2B92A">
            <w:pPr>
              <w:pStyle w:val="92"/>
              <w:spacing w:line="360" w:lineRule="auto"/>
              <w:ind w:left="0" w:leftChars="0" w:firstLine="0" w:firstLineChars="0"/>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pacing w:val="-2"/>
                <w:kern w:val="2"/>
                <w:sz w:val="24"/>
                <w:szCs w:val="24"/>
                <w:lang w:val="en-US" w:eastAsia="zh-CN" w:bidi="ar-SA"/>
              </w:rPr>
              <w:t>运营期环境保护措施</w:t>
            </w:r>
          </w:p>
          <w:p w14:paraId="4E186B36">
            <w:pPr>
              <w:pStyle w:val="92"/>
              <w:spacing w:line="360" w:lineRule="auto"/>
              <w:ind w:left="0" w:leftChars="0" w:firstLine="0" w:firstLineChars="0"/>
              <w:rPr>
                <w:rFonts w:hint="eastAsia" w:ascii="宋体" w:hAnsi="宋体" w:eastAsia="宋体" w:cs="宋体"/>
                <w:b w:val="0"/>
                <w:bCs/>
                <w:color w:val="auto"/>
                <w:sz w:val="24"/>
                <w:szCs w:val="24"/>
                <w:lang w:val="en-US" w:eastAsia="zh-CN"/>
              </w:rPr>
            </w:pPr>
          </w:p>
          <w:p w14:paraId="64D0D94C">
            <w:pPr>
              <w:pStyle w:val="92"/>
              <w:spacing w:line="360" w:lineRule="auto"/>
              <w:ind w:left="0" w:leftChars="0" w:firstLine="0" w:firstLineChars="0"/>
              <w:rPr>
                <w:rFonts w:hint="eastAsia" w:ascii="宋体" w:hAnsi="宋体" w:eastAsia="宋体" w:cs="宋体"/>
                <w:b w:val="0"/>
                <w:bCs/>
                <w:color w:val="auto"/>
                <w:sz w:val="24"/>
                <w:szCs w:val="24"/>
                <w:lang w:val="en-US" w:eastAsia="zh-CN"/>
              </w:rPr>
            </w:pPr>
          </w:p>
        </w:tc>
        <w:tc>
          <w:tcPr>
            <w:tcW w:w="4765" w:type="pct"/>
            <w:noWrap w:val="0"/>
            <w:vAlign w:val="center"/>
          </w:tcPr>
          <w:p w14:paraId="4CF83EB7">
            <w:pPr>
              <w:numPr>
                <w:ilvl w:val="0"/>
                <w:numId w:val="0"/>
              </w:numPr>
              <w:adjustRightInd w:val="0"/>
              <w:snapToGrid w:val="0"/>
              <w:spacing w:line="360" w:lineRule="auto"/>
              <w:jc w:val="left"/>
              <w:rPr>
                <w:rFonts w:hint="eastAsia"/>
                <w:b/>
                <w:bCs/>
                <w:color w:val="auto"/>
                <w:sz w:val="24"/>
                <w:szCs w:val="24"/>
                <w:lang w:val="en-US" w:eastAsia="zh-CN"/>
              </w:rPr>
            </w:pPr>
            <w:r>
              <w:rPr>
                <w:rFonts w:hint="eastAsia"/>
                <w:b/>
                <w:bCs/>
                <w:color w:val="auto"/>
                <w:sz w:val="24"/>
                <w:szCs w:val="24"/>
                <w:lang w:val="en-US" w:eastAsia="zh-CN"/>
              </w:rPr>
              <w:t>1、运营期产排污环节分析</w:t>
            </w:r>
          </w:p>
          <w:p w14:paraId="6BDAA2F0">
            <w:pPr>
              <w:autoSpaceDE w:val="0"/>
              <w:autoSpaceDN w:val="0"/>
              <w:adjustRightInd w:val="0"/>
              <w:spacing w:line="360" w:lineRule="auto"/>
              <w:ind w:firstLine="360" w:firstLineChars="150"/>
              <w:rPr>
                <w:rFonts w:hint="eastAsia"/>
                <w:color w:val="auto"/>
                <w:sz w:val="24"/>
                <w:szCs w:val="24"/>
              </w:rPr>
            </w:pPr>
            <w:r>
              <w:rPr>
                <w:rFonts w:hint="eastAsia"/>
                <w:color w:val="auto"/>
                <w:sz w:val="24"/>
                <w:szCs w:val="24"/>
              </w:rPr>
              <w:t>项目运</w:t>
            </w:r>
            <w:r>
              <w:rPr>
                <w:rFonts w:hint="default"/>
                <w:color w:val="auto"/>
                <w:sz w:val="24"/>
                <w:szCs w:val="24"/>
              </w:rPr>
              <w:t>营期间的主要污染工序见表</w:t>
            </w:r>
            <w:r>
              <w:rPr>
                <w:rFonts w:hint="eastAsia"/>
                <w:color w:val="auto"/>
                <w:sz w:val="24"/>
                <w:szCs w:val="24"/>
                <w:lang w:val="en-US" w:eastAsia="zh-CN"/>
              </w:rPr>
              <w:t>4</w:t>
            </w:r>
            <w:r>
              <w:rPr>
                <w:rFonts w:hint="default"/>
                <w:color w:val="auto"/>
                <w:sz w:val="24"/>
                <w:szCs w:val="24"/>
              </w:rPr>
              <w:t>-</w:t>
            </w:r>
            <w:r>
              <w:rPr>
                <w:rFonts w:hint="eastAsia"/>
                <w:color w:val="auto"/>
                <w:sz w:val="24"/>
                <w:szCs w:val="24"/>
                <w:lang w:val="en-US" w:eastAsia="zh-CN"/>
              </w:rPr>
              <w:t>1</w:t>
            </w:r>
            <w:r>
              <w:rPr>
                <w:rFonts w:hint="default"/>
                <w:color w:val="auto"/>
                <w:sz w:val="24"/>
                <w:szCs w:val="24"/>
              </w:rPr>
              <w:t>所示。</w:t>
            </w:r>
          </w:p>
          <w:p w14:paraId="30856036">
            <w:pPr>
              <w:spacing w:line="360" w:lineRule="auto"/>
              <w:jc w:val="center"/>
              <w:rPr>
                <w:rFonts w:hint="default"/>
                <w:color w:val="auto"/>
                <w:sz w:val="24"/>
                <w:szCs w:val="24"/>
              </w:rPr>
            </w:pPr>
            <w:r>
              <w:rPr>
                <w:rFonts w:hint="default"/>
                <w:b/>
                <w:bCs/>
                <w:color w:val="auto"/>
                <w:sz w:val="24"/>
                <w:szCs w:val="24"/>
              </w:rPr>
              <w:t>表</w:t>
            </w:r>
            <w:r>
              <w:rPr>
                <w:rFonts w:hint="eastAsia"/>
                <w:b/>
                <w:bCs/>
                <w:color w:val="auto"/>
                <w:sz w:val="24"/>
                <w:szCs w:val="24"/>
                <w:lang w:val="en-US" w:eastAsia="zh-CN"/>
              </w:rPr>
              <w:t>4</w:t>
            </w:r>
            <w:r>
              <w:rPr>
                <w:rFonts w:hint="default"/>
                <w:b/>
                <w:bCs/>
                <w:color w:val="auto"/>
                <w:sz w:val="24"/>
                <w:szCs w:val="24"/>
              </w:rPr>
              <w:t>-</w:t>
            </w:r>
            <w:r>
              <w:rPr>
                <w:rFonts w:hint="eastAsia"/>
                <w:b/>
                <w:bCs/>
                <w:color w:val="auto"/>
                <w:sz w:val="24"/>
                <w:szCs w:val="24"/>
                <w:lang w:val="en-US" w:eastAsia="zh-CN"/>
              </w:rPr>
              <w:t>1</w:t>
            </w:r>
            <w:r>
              <w:rPr>
                <w:rFonts w:hint="default"/>
                <w:b/>
                <w:bCs/>
                <w:color w:val="auto"/>
                <w:sz w:val="24"/>
                <w:szCs w:val="24"/>
              </w:rPr>
              <w:t xml:space="preserve"> </w:t>
            </w:r>
            <w:r>
              <w:rPr>
                <w:rFonts w:hint="eastAsia"/>
                <w:b/>
                <w:bCs/>
                <w:color w:val="auto"/>
                <w:sz w:val="24"/>
                <w:szCs w:val="24"/>
                <w:lang w:val="en-US" w:eastAsia="zh-CN"/>
              </w:rPr>
              <w:t xml:space="preserve"> </w:t>
            </w:r>
            <w:r>
              <w:rPr>
                <w:rFonts w:hint="default"/>
                <w:b/>
                <w:bCs/>
                <w:color w:val="auto"/>
                <w:sz w:val="24"/>
                <w:szCs w:val="24"/>
              </w:rPr>
              <w:t xml:space="preserve"> 营运期主要污染工序一览表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671"/>
              <w:gridCol w:w="1187"/>
              <w:gridCol w:w="1589"/>
              <w:gridCol w:w="1575"/>
              <w:gridCol w:w="886"/>
            </w:tblGrid>
            <w:tr w14:paraId="3179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72" w:type="dxa"/>
                  <w:noWrap w:val="0"/>
                  <w:vAlign w:val="center"/>
                </w:tcPr>
                <w:p w14:paraId="58234155">
                  <w:pPr>
                    <w:spacing w:line="240" w:lineRule="auto"/>
                    <w:jc w:val="center"/>
                    <w:rPr>
                      <w:b/>
                      <w:bCs w:val="0"/>
                      <w:color w:val="auto"/>
                      <w:sz w:val="21"/>
                      <w:szCs w:val="21"/>
                    </w:rPr>
                  </w:pPr>
                  <w:r>
                    <w:rPr>
                      <w:b/>
                      <w:bCs w:val="0"/>
                      <w:color w:val="auto"/>
                      <w:sz w:val="21"/>
                      <w:szCs w:val="21"/>
                    </w:rPr>
                    <w:t>污染类别</w:t>
                  </w:r>
                </w:p>
              </w:tc>
              <w:tc>
                <w:tcPr>
                  <w:tcW w:w="1671" w:type="dxa"/>
                  <w:noWrap w:val="0"/>
                  <w:vAlign w:val="center"/>
                </w:tcPr>
                <w:p w14:paraId="31BBFF1D">
                  <w:pPr>
                    <w:spacing w:line="240" w:lineRule="auto"/>
                    <w:jc w:val="center"/>
                    <w:rPr>
                      <w:b/>
                      <w:bCs w:val="0"/>
                      <w:color w:val="auto"/>
                      <w:sz w:val="21"/>
                      <w:szCs w:val="21"/>
                    </w:rPr>
                  </w:pPr>
                  <w:r>
                    <w:rPr>
                      <w:b/>
                      <w:bCs w:val="0"/>
                      <w:color w:val="auto"/>
                      <w:sz w:val="21"/>
                      <w:szCs w:val="21"/>
                    </w:rPr>
                    <w:t>产污节点</w:t>
                  </w:r>
                </w:p>
              </w:tc>
              <w:tc>
                <w:tcPr>
                  <w:tcW w:w="1187" w:type="dxa"/>
                  <w:noWrap w:val="0"/>
                  <w:vAlign w:val="center"/>
                </w:tcPr>
                <w:p w14:paraId="4A82DF20">
                  <w:pPr>
                    <w:spacing w:line="240" w:lineRule="auto"/>
                    <w:jc w:val="center"/>
                    <w:rPr>
                      <w:b/>
                      <w:bCs w:val="0"/>
                      <w:color w:val="auto"/>
                      <w:sz w:val="21"/>
                      <w:szCs w:val="21"/>
                    </w:rPr>
                  </w:pPr>
                  <w:r>
                    <w:rPr>
                      <w:b/>
                      <w:bCs w:val="0"/>
                      <w:color w:val="auto"/>
                      <w:sz w:val="21"/>
                      <w:szCs w:val="21"/>
                    </w:rPr>
                    <w:t>成分</w:t>
                  </w:r>
                </w:p>
              </w:tc>
              <w:tc>
                <w:tcPr>
                  <w:tcW w:w="1589" w:type="dxa"/>
                  <w:noWrap w:val="0"/>
                  <w:vAlign w:val="center"/>
                </w:tcPr>
                <w:p w14:paraId="05DE5ABB">
                  <w:pPr>
                    <w:spacing w:line="240" w:lineRule="auto"/>
                    <w:jc w:val="center"/>
                    <w:rPr>
                      <w:b/>
                      <w:bCs w:val="0"/>
                      <w:color w:val="auto"/>
                      <w:sz w:val="21"/>
                      <w:szCs w:val="21"/>
                    </w:rPr>
                  </w:pPr>
                  <w:r>
                    <w:rPr>
                      <w:b/>
                      <w:bCs w:val="0"/>
                      <w:color w:val="auto"/>
                      <w:sz w:val="21"/>
                      <w:szCs w:val="21"/>
                    </w:rPr>
                    <w:t>主要污染物</w:t>
                  </w:r>
                </w:p>
              </w:tc>
              <w:tc>
                <w:tcPr>
                  <w:tcW w:w="1575" w:type="dxa"/>
                  <w:noWrap w:val="0"/>
                  <w:vAlign w:val="center"/>
                </w:tcPr>
                <w:p w14:paraId="21A675B0">
                  <w:pPr>
                    <w:spacing w:line="240" w:lineRule="auto"/>
                    <w:jc w:val="center"/>
                    <w:rPr>
                      <w:rFonts w:hint="default" w:eastAsia="宋体"/>
                      <w:b/>
                      <w:bCs w:val="0"/>
                      <w:color w:val="auto"/>
                      <w:sz w:val="21"/>
                      <w:szCs w:val="21"/>
                      <w:lang w:val="en-US" w:eastAsia="zh-CN"/>
                    </w:rPr>
                  </w:pPr>
                  <w:r>
                    <w:rPr>
                      <w:rFonts w:hint="eastAsia"/>
                      <w:b/>
                      <w:bCs w:val="0"/>
                      <w:color w:val="auto"/>
                      <w:sz w:val="21"/>
                      <w:szCs w:val="21"/>
                      <w:lang w:val="en-US" w:eastAsia="zh-CN"/>
                    </w:rPr>
                    <w:t>治理设施</w:t>
                  </w:r>
                </w:p>
              </w:tc>
              <w:tc>
                <w:tcPr>
                  <w:tcW w:w="886" w:type="dxa"/>
                  <w:noWrap w:val="0"/>
                  <w:vAlign w:val="center"/>
                </w:tcPr>
                <w:p w14:paraId="456BF079">
                  <w:pPr>
                    <w:spacing w:line="240" w:lineRule="auto"/>
                    <w:jc w:val="center"/>
                    <w:rPr>
                      <w:rFonts w:hint="default" w:eastAsia="宋体"/>
                      <w:b/>
                      <w:bCs w:val="0"/>
                      <w:color w:val="auto"/>
                      <w:sz w:val="21"/>
                      <w:szCs w:val="21"/>
                      <w:lang w:val="en-US" w:eastAsia="zh-CN"/>
                    </w:rPr>
                  </w:pPr>
                  <w:r>
                    <w:rPr>
                      <w:rFonts w:hint="eastAsia"/>
                      <w:b/>
                      <w:bCs w:val="0"/>
                      <w:color w:val="auto"/>
                      <w:sz w:val="21"/>
                      <w:szCs w:val="21"/>
                      <w:lang w:val="en-US" w:eastAsia="zh-CN"/>
                    </w:rPr>
                    <w:t>排放去向</w:t>
                  </w:r>
                </w:p>
              </w:tc>
            </w:tr>
            <w:tr w14:paraId="2FB4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72" w:type="dxa"/>
                  <w:vMerge w:val="restart"/>
                  <w:noWrap w:val="0"/>
                  <w:vAlign w:val="center"/>
                </w:tcPr>
                <w:p w14:paraId="25922005">
                  <w:pPr>
                    <w:spacing w:line="240" w:lineRule="auto"/>
                    <w:jc w:val="center"/>
                    <w:rPr>
                      <w:color w:val="auto"/>
                      <w:sz w:val="21"/>
                      <w:szCs w:val="21"/>
                    </w:rPr>
                  </w:pPr>
                  <w:r>
                    <w:rPr>
                      <w:color w:val="auto"/>
                      <w:sz w:val="21"/>
                      <w:szCs w:val="21"/>
                    </w:rPr>
                    <w:t>废气</w:t>
                  </w:r>
                </w:p>
              </w:tc>
              <w:tc>
                <w:tcPr>
                  <w:tcW w:w="1671" w:type="dxa"/>
                  <w:noWrap w:val="0"/>
                  <w:vAlign w:val="center"/>
                </w:tcPr>
                <w:p w14:paraId="6B6ADDAA">
                  <w:pPr>
                    <w:spacing w:line="240" w:lineRule="auto"/>
                    <w:jc w:val="center"/>
                    <w:rPr>
                      <w:rFonts w:hint="default" w:eastAsia="宋体"/>
                      <w:b w:val="0"/>
                      <w:bCs/>
                      <w:color w:val="auto"/>
                      <w:sz w:val="21"/>
                      <w:szCs w:val="21"/>
                      <w:lang w:val="en-US" w:eastAsia="zh-CN"/>
                    </w:rPr>
                  </w:pPr>
                  <w:r>
                    <w:rPr>
                      <w:rFonts w:hint="eastAsia"/>
                      <w:b w:val="0"/>
                      <w:bCs/>
                      <w:color w:val="auto"/>
                      <w:sz w:val="21"/>
                      <w:szCs w:val="21"/>
                      <w:lang w:val="en-US" w:eastAsia="zh-CN"/>
                    </w:rPr>
                    <w:t>原料堆放、装卸G1</w:t>
                  </w:r>
                </w:p>
              </w:tc>
              <w:tc>
                <w:tcPr>
                  <w:tcW w:w="1187" w:type="dxa"/>
                  <w:noWrap w:val="0"/>
                  <w:vAlign w:val="center"/>
                </w:tcPr>
                <w:p w14:paraId="3F9D89EA">
                  <w:pPr>
                    <w:spacing w:line="240" w:lineRule="auto"/>
                    <w:jc w:val="center"/>
                    <w:rPr>
                      <w:rFonts w:hint="eastAsia" w:eastAsia="宋体"/>
                      <w:b w:val="0"/>
                      <w:bCs/>
                      <w:color w:val="auto"/>
                      <w:sz w:val="21"/>
                      <w:szCs w:val="21"/>
                      <w:lang w:val="en-US" w:eastAsia="zh-CN"/>
                    </w:rPr>
                  </w:pPr>
                  <w:r>
                    <w:rPr>
                      <w:rFonts w:hint="eastAsia"/>
                      <w:b w:val="0"/>
                      <w:bCs/>
                      <w:color w:val="auto"/>
                      <w:sz w:val="21"/>
                      <w:szCs w:val="21"/>
                      <w:lang w:val="en-US" w:eastAsia="zh-CN"/>
                    </w:rPr>
                    <w:t>粉尘</w:t>
                  </w:r>
                </w:p>
              </w:tc>
              <w:tc>
                <w:tcPr>
                  <w:tcW w:w="1589" w:type="dxa"/>
                  <w:noWrap w:val="0"/>
                  <w:vAlign w:val="center"/>
                </w:tcPr>
                <w:p w14:paraId="5287BFFA">
                  <w:pPr>
                    <w:spacing w:line="240" w:lineRule="auto"/>
                    <w:jc w:val="center"/>
                    <w:rPr>
                      <w:rFonts w:hint="default" w:eastAsia="宋体"/>
                      <w:b w:val="0"/>
                      <w:bCs/>
                      <w:color w:val="auto"/>
                      <w:sz w:val="21"/>
                      <w:szCs w:val="21"/>
                      <w:lang w:val="en-US" w:eastAsia="zh-CN"/>
                    </w:rPr>
                  </w:pPr>
                  <w:r>
                    <w:rPr>
                      <w:rFonts w:hint="eastAsia"/>
                      <w:b w:val="0"/>
                      <w:bCs/>
                      <w:color w:val="auto"/>
                      <w:sz w:val="21"/>
                      <w:szCs w:val="21"/>
                      <w:lang w:val="en-US" w:eastAsia="zh-CN"/>
                    </w:rPr>
                    <w:t>TSP</w:t>
                  </w:r>
                </w:p>
              </w:tc>
              <w:tc>
                <w:tcPr>
                  <w:tcW w:w="1575" w:type="dxa"/>
                  <w:noWrap w:val="0"/>
                  <w:vAlign w:val="center"/>
                </w:tcPr>
                <w:p w14:paraId="7A93926A">
                  <w:pPr>
                    <w:spacing w:line="240" w:lineRule="auto"/>
                    <w:jc w:val="center"/>
                    <w:rPr>
                      <w:rFonts w:hint="default"/>
                      <w:b/>
                      <w:bCs w:val="0"/>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生产车间内</w:t>
                  </w: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原料堆放区；设置废料堆放棚</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不露天堆放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严禁物料堆放高度超出堆场隔墙，</w:t>
                  </w:r>
                  <w:r>
                    <w:rPr>
                      <w:rFonts w:hint="default" w:ascii="Times New Roman" w:hAnsi="Times New Roman" w:eastAsia="宋体" w:cs="Times New Roman"/>
                      <w:color w:val="auto"/>
                      <w:sz w:val="21"/>
                      <w:szCs w:val="21"/>
                    </w:rPr>
                    <w:t>缩短堆放时间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厂区硬化，定期清扫、洒水降尘</w:t>
                  </w:r>
                  <w:r>
                    <w:rPr>
                      <w:rFonts w:hint="eastAsia" w:ascii="Times New Roman" w:hAnsi="Times New Roman" w:eastAsia="宋体" w:cs="Times New Roman"/>
                      <w:color w:val="auto"/>
                      <w:sz w:val="21"/>
                      <w:szCs w:val="21"/>
                      <w:lang w:val="en-US" w:eastAsia="zh-CN"/>
                    </w:rPr>
                    <w:t>；运输车斗采用</w:t>
                  </w:r>
                  <w:r>
                    <w:rPr>
                      <w:rFonts w:hint="default" w:ascii="Times New Roman" w:hAnsi="Times New Roman" w:eastAsia="宋体" w:cs="Times New Roman"/>
                      <w:color w:val="auto"/>
                      <w:sz w:val="21"/>
                      <w:szCs w:val="21"/>
                    </w:rPr>
                    <w:t>苫布覆盖</w:t>
                  </w:r>
                </w:p>
              </w:tc>
              <w:tc>
                <w:tcPr>
                  <w:tcW w:w="886" w:type="dxa"/>
                  <w:noWrap w:val="0"/>
                  <w:vAlign w:val="center"/>
                </w:tcPr>
                <w:p w14:paraId="0EBBEEDB">
                  <w:pPr>
                    <w:spacing w:line="240" w:lineRule="auto"/>
                    <w:jc w:val="center"/>
                    <w:rPr>
                      <w:rFonts w:hint="default"/>
                      <w:b/>
                      <w:bCs w:val="0"/>
                      <w:color w:val="auto"/>
                      <w:sz w:val="21"/>
                      <w:szCs w:val="21"/>
                      <w:lang w:val="en-US" w:eastAsia="zh-CN"/>
                    </w:rPr>
                  </w:pPr>
                  <w:r>
                    <w:rPr>
                      <w:rFonts w:hint="eastAsia"/>
                      <w:b w:val="0"/>
                      <w:bCs/>
                      <w:color w:val="auto"/>
                      <w:sz w:val="21"/>
                      <w:szCs w:val="21"/>
                      <w:lang w:val="en-US" w:eastAsia="zh-CN"/>
                    </w:rPr>
                    <w:t>无组织排放</w:t>
                  </w:r>
                </w:p>
              </w:tc>
            </w:tr>
            <w:tr w14:paraId="5A9E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272" w:type="dxa"/>
                  <w:vMerge w:val="continue"/>
                  <w:noWrap w:val="0"/>
                  <w:vAlign w:val="center"/>
                </w:tcPr>
                <w:p w14:paraId="07D3A77D">
                  <w:pPr>
                    <w:spacing w:line="240" w:lineRule="auto"/>
                    <w:jc w:val="center"/>
                    <w:rPr>
                      <w:color w:val="auto"/>
                      <w:sz w:val="21"/>
                      <w:szCs w:val="21"/>
                    </w:rPr>
                  </w:pPr>
                </w:p>
              </w:tc>
              <w:tc>
                <w:tcPr>
                  <w:tcW w:w="1671" w:type="dxa"/>
                  <w:vMerge w:val="restart"/>
                  <w:noWrap w:val="0"/>
                  <w:vAlign w:val="center"/>
                </w:tcPr>
                <w:p w14:paraId="0C72F2BC">
                  <w:pPr>
                    <w:spacing w:line="240" w:lineRule="auto"/>
                    <w:jc w:val="center"/>
                    <w:rPr>
                      <w:rFonts w:hint="default"/>
                      <w:bCs/>
                      <w:color w:val="auto"/>
                      <w:sz w:val="21"/>
                      <w:szCs w:val="21"/>
                      <w:lang w:val="en-US"/>
                    </w:rPr>
                  </w:pPr>
                  <w:r>
                    <w:rPr>
                      <w:rFonts w:hint="eastAsia"/>
                      <w:bCs/>
                      <w:color w:val="auto"/>
                      <w:sz w:val="21"/>
                      <w:szCs w:val="21"/>
                      <w:lang w:val="en-US" w:eastAsia="zh-CN"/>
                    </w:rPr>
                    <w:t>脱壳、振动筛分等工序G3-G4</w:t>
                  </w:r>
                </w:p>
              </w:tc>
              <w:tc>
                <w:tcPr>
                  <w:tcW w:w="1187" w:type="dxa"/>
                  <w:vMerge w:val="restart"/>
                  <w:noWrap w:val="0"/>
                  <w:vAlign w:val="center"/>
                </w:tcPr>
                <w:p w14:paraId="16FC9902">
                  <w:pPr>
                    <w:spacing w:line="240" w:lineRule="auto"/>
                    <w:jc w:val="center"/>
                    <w:rPr>
                      <w:bCs/>
                      <w:color w:val="auto"/>
                      <w:sz w:val="21"/>
                      <w:szCs w:val="21"/>
                    </w:rPr>
                  </w:pPr>
                  <w:r>
                    <w:rPr>
                      <w:bCs/>
                      <w:color w:val="auto"/>
                      <w:sz w:val="21"/>
                      <w:szCs w:val="21"/>
                    </w:rPr>
                    <w:t>粉尘</w:t>
                  </w:r>
                </w:p>
              </w:tc>
              <w:tc>
                <w:tcPr>
                  <w:tcW w:w="1589" w:type="dxa"/>
                  <w:vMerge w:val="restart"/>
                  <w:noWrap w:val="0"/>
                  <w:vAlign w:val="center"/>
                </w:tcPr>
                <w:p w14:paraId="41180189">
                  <w:pPr>
                    <w:spacing w:line="240" w:lineRule="auto"/>
                    <w:jc w:val="center"/>
                    <w:rPr>
                      <w:bCs/>
                      <w:color w:val="auto"/>
                      <w:sz w:val="21"/>
                      <w:szCs w:val="21"/>
                    </w:rPr>
                  </w:pPr>
                  <w:r>
                    <w:rPr>
                      <w:bCs/>
                      <w:color w:val="auto"/>
                      <w:sz w:val="21"/>
                      <w:szCs w:val="21"/>
                    </w:rPr>
                    <w:t>TSP</w:t>
                  </w:r>
                </w:p>
              </w:tc>
              <w:tc>
                <w:tcPr>
                  <w:tcW w:w="1575" w:type="dxa"/>
                  <w:noWrap w:val="0"/>
                  <w:vAlign w:val="center"/>
                </w:tcPr>
                <w:p w14:paraId="3ECCF0E0">
                  <w:pPr>
                    <w:spacing w:line="240" w:lineRule="auto"/>
                    <w:jc w:val="center"/>
                    <w:rPr>
                      <w:rFonts w:hint="default" w:eastAsia="宋体"/>
                      <w:bCs/>
                      <w:color w:val="auto"/>
                      <w:sz w:val="21"/>
                      <w:szCs w:val="21"/>
                      <w:lang w:val="en-US" w:eastAsia="zh-CN"/>
                    </w:rPr>
                  </w:pPr>
                  <w:r>
                    <w:rPr>
                      <w:rFonts w:hint="eastAsia" w:eastAsia="宋体"/>
                      <w:color w:val="auto"/>
                      <w:szCs w:val="21"/>
                      <w:lang w:val="en-US" w:eastAsia="zh-CN"/>
                    </w:rPr>
                    <w:t>3台开口设备自带1套布袋除尘器，集气效率90%，除尘效率不低于98%，同时在排气口末端设置布袋二级除尘，总的除尘效率可达99.96%。</w:t>
                  </w:r>
                </w:p>
              </w:tc>
              <w:tc>
                <w:tcPr>
                  <w:tcW w:w="886" w:type="dxa"/>
                  <w:vMerge w:val="restart"/>
                  <w:noWrap w:val="0"/>
                  <w:vAlign w:val="center"/>
                </w:tcPr>
                <w:p w14:paraId="018B8E30">
                  <w:pPr>
                    <w:spacing w:line="240" w:lineRule="auto"/>
                    <w:jc w:val="center"/>
                    <w:rPr>
                      <w:rFonts w:hint="default"/>
                      <w:bCs/>
                      <w:color w:val="auto"/>
                      <w:sz w:val="21"/>
                      <w:szCs w:val="21"/>
                      <w:lang w:val="en-US" w:eastAsia="zh-CN"/>
                    </w:rPr>
                  </w:pPr>
                  <w:r>
                    <w:rPr>
                      <w:rFonts w:hint="eastAsia"/>
                      <w:bCs/>
                      <w:color w:val="auto"/>
                      <w:sz w:val="21"/>
                      <w:szCs w:val="21"/>
                      <w:lang w:val="en-US" w:eastAsia="zh-CN"/>
                    </w:rPr>
                    <w:t>无组织排放</w:t>
                  </w:r>
                </w:p>
              </w:tc>
            </w:tr>
            <w:tr w14:paraId="32D9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272" w:type="dxa"/>
                  <w:vMerge w:val="continue"/>
                  <w:noWrap w:val="0"/>
                  <w:vAlign w:val="center"/>
                </w:tcPr>
                <w:p w14:paraId="529C01D0">
                  <w:pPr>
                    <w:spacing w:line="240" w:lineRule="auto"/>
                    <w:jc w:val="center"/>
                    <w:rPr>
                      <w:color w:val="auto"/>
                      <w:sz w:val="21"/>
                      <w:szCs w:val="21"/>
                    </w:rPr>
                  </w:pPr>
                </w:p>
              </w:tc>
              <w:tc>
                <w:tcPr>
                  <w:tcW w:w="1671" w:type="dxa"/>
                  <w:vMerge w:val="continue"/>
                  <w:noWrap w:val="0"/>
                  <w:vAlign w:val="center"/>
                </w:tcPr>
                <w:p w14:paraId="7E630C06">
                  <w:pPr>
                    <w:spacing w:line="240" w:lineRule="auto"/>
                    <w:jc w:val="center"/>
                    <w:rPr>
                      <w:rFonts w:hint="eastAsia"/>
                      <w:bCs/>
                      <w:color w:val="auto"/>
                      <w:sz w:val="21"/>
                      <w:szCs w:val="21"/>
                      <w:lang w:val="en-US" w:eastAsia="zh-CN"/>
                    </w:rPr>
                  </w:pPr>
                </w:p>
              </w:tc>
              <w:tc>
                <w:tcPr>
                  <w:tcW w:w="1187" w:type="dxa"/>
                  <w:vMerge w:val="continue"/>
                  <w:noWrap w:val="0"/>
                  <w:vAlign w:val="center"/>
                </w:tcPr>
                <w:p w14:paraId="52BF6CCC">
                  <w:pPr>
                    <w:spacing w:line="240" w:lineRule="auto"/>
                    <w:jc w:val="center"/>
                    <w:rPr>
                      <w:bCs/>
                      <w:color w:val="auto"/>
                      <w:sz w:val="21"/>
                      <w:szCs w:val="21"/>
                    </w:rPr>
                  </w:pPr>
                </w:p>
              </w:tc>
              <w:tc>
                <w:tcPr>
                  <w:tcW w:w="1589" w:type="dxa"/>
                  <w:vMerge w:val="continue"/>
                  <w:noWrap w:val="0"/>
                  <w:vAlign w:val="center"/>
                </w:tcPr>
                <w:p w14:paraId="190C519F">
                  <w:pPr>
                    <w:spacing w:line="240" w:lineRule="auto"/>
                    <w:jc w:val="center"/>
                    <w:rPr>
                      <w:bCs/>
                      <w:color w:val="auto"/>
                      <w:sz w:val="21"/>
                      <w:szCs w:val="21"/>
                    </w:rPr>
                  </w:pPr>
                </w:p>
              </w:tc>
              <w:tc>
                <w:tcPr>
                  <w:tcW w:w="1575" w:type="dxa"/>
                  <w:noWrap w:val="0"/>
                  <w:vAlign w:val="center"/>
                </w:tcPr>
                <w:p w14:paraId="0424B5E0">
                  <w:pPr>
                    <w:spacing w:line="240" w:lineRule="auto"/>
                    <w:jc w:val="center"/>
                    <w:rPr>
                      <w:rFonts w:hint="eastAsia"/>
                      <w:bCs/>
                      <w:color w:val="auto"/>
                      <w:sz w:val="21"/>
                      <w:szCs w:val="21"/>
                      <w:lang w:val="en-US" w:eastAsia="zh-CN"/>
                    </w:rPr>
                  </w:pPr>
                  <w:r>
                    <w:rPr>
                      <w:rFonts w:hint="eastAsia" w:eastAsia="宋体"/>
                      <w:color w:val="auto"/>
                      <w:szCs w:val="21"/>
                      <w:lang w:val="en-US" w:eastAsia="zh-CN"/>
                    </w:rPr>
                    <w:t>生产车间半封闭，无组织粉尘在生产车间内自然沉降</w:t>
                  </w:r>
                </w:p>
              </w:tc>
              <w:tc>
                <w:tcPr>
                  <w:tcW w:w="886" w:type="dxa"/>
                  <w:vMerge w:val="continue"/>
                  <w:noWrap w:val="0"/>
                  <w:vAlign w:val="center"/>
                </w:tcPr>
                <w:p w14:paraId="61D97679">
                  <w:pPr>
                    <w:spacing w:line="240" w:lineRule="auto"/>
                    <w:jc w:val="center"/>
                    <w:rPr>
                      <w:rFonts w:hint="default"/>
                      <w:bCs/>
                      <w:color w:val="auto"/>
                      <w:sz w:val="21"/>
                      <w:szCs w:val="21"/>
                      <w:lang w:val="en-US" w:eastAsia="zh-CN"/>
                    </w:rPr>
                  </w:pPr>
                </w:p>
              </w:tc>
            </w:tr>
            <w:tr w14:paraId="5321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72" w:type="dxa"/>
                  <w:vMerge w:val="continue"/>
                  <w:noWrap w:val="0"/>
                  <w:vAlign w:val="center"/>
                </w:tcPr>
                <w:p w14:paraId="2EB83187">
                  <w:pPr>
                    <w:spacing w:line="240" w:lineRule="auto"/>
                    <w:jc w:val="center"/>
                    <w:rPr>
                      <w:bCs/>
                      <w:color w:val="auto"/>
                      <w:sz w:val="21"/>
                      <w:szCs w:val="21"/>
                    </w:rPr>
                  </w:pPr>
                </w:p>
              </w:tc>
              <w:tc>
                <w:tcPr>
                  <w:tcW w:w="1671" w:type="dxa"/>
                  <w:noWrap w:val="0"/>
                  <w:vAlign w:val="center"/>
                </w:tcPr>
                <w:p w14:paraId="20209AFB">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运输过程G1</w:t>
                  </w:r>
                </w:p>
              </w:tc>
              <w:tc>
                <w:tcPr>
                  <w:tcW w:w="1187" w:type="dxa"/>
                  <w:noWrap w:val="0"/>
                  <w:vAlign w:val="center"/>
                </w:tcPr>
                <w:p w14:paraId="03018AF0">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尾气</w:t>
                  </w:r>
                </w:p>
              </w:tc>
              <w:tc>
                <w:tcPr>
                  <w:tcW w:w="1589" w:type="dxa"/>
                  <w:noWrap w:val="0"/>
                  <w:vAlign w:val="center"/>
                </w:tcPr>
                <w:p w14:paraId="035BA1B0">
                  <w:pPr>
                    <w:spacing w:line="240" w:lineRule="auto"/>
                    <w:jc w:val="center"/>
                    <w:rPr>
                      <w:bCs/>
                      <w:color w:val="auto"/>
                      <w:sz w:val="21"/>
                      <w:szCs w:val="21"/>
                    </w:rPr>
                  </w:pPr>
                  <w:r>
                    <w:rPr>
                      <w:bCs/>
                      <w:color w:val="auto"/>
                      <w:sz w:val="21"/>
                      <w:szCs w:val="21"/>
                    </w:rPr>
                    <w:t>TSP</w:t>
                  </w:r>
                </w:p>
              </w:tc>
              <w:tc>
                <w:tcPr>
                  <w:tcW w:w="1575" w:type="dxa"/>
                  <w:noWrap w:val="0"/>
                  <w:vAlign w:val="center"/>
                </w:tcPr>
                <w:p w14:paraId="3AE517FD">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加强进出车辆管理，周边植物吸附</w:t>
                  </w:r>
                </w:p>
              </w:tc>
              <w:tc>
                <w:tcPr>
                  <w:tcW w:w="886" w:type="dxa"/>
                  <w:noWrap w:val="0"/>
                  <w:vAlign w:val="center"/>
                </w:tcPr>
                <w:p w14:paraId="2255A9B0">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无组织排放</w:t>
                  </w:r>
                </w:p>
              </w:tc>
            </w:tr>
            <w:tr w14:paraId="4D63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72" w:type="dxa"/>
                  <w:vMerge w:val="continue"/>
                  <w:noWrap w:val="0"/>
                  <w:vAlign w:val="center"/>
                </w:tcPr>
                <w:p w14:paraId="0E4C696E">
                  <w:pPr>
                    <w:spacing w:line="240" w:lineRule="auto"/>
                    <w:jc w:val="center"/>
                    <w:rPr>
                      <w:bCs/>
                      <w:color w:val="auto"/>
                      <w:sz w:val="21"/>
                      <w:szCs w:val="21"/>
                    </w:rPr>
                  </w:pPr>
                </w:p>
              </w:tc>
              <w:tc>
                <w:tcPr>
                  <w:tcW w:w="1671" w:type="dxa"/>
                  <w:noWrap w:val="0"/>
                  <w:vAlign w:val="center"/>
                </w:tcPr>
                <w:p w14:paraId="07DEEEA2">
                  <w:pPr>
                    <w:spacing w:line="240" w:lineRule="auto"/>
                    <w:jc w:val="center"/>
                    <w:rPr>
                      <w:rFonts w:hint="default"/>
                      <w:bCs/>
                      <w:color w:val="auto"/>
                      <w:sz w:val="21"/>
                      <w:szCs w:val="21"/>
                      <w:lang w:val="en-US" w:eastAsia="zh-CN"/>
                    </w:rPr>
                  </w:pPr>
                  <w:r>
                    <w:rPr>
                      <w:rFonts w:hint="eastAsia"/>
                      <w:bCs/>
                      <w:color w:val="auto"/>
                      <w:sz w:val="21"/>
                      <w:szCs w:val="21"/>
                      <w:lang w:val="en-US" w:eastAsia="zh-CN"/>
                    </w:rPr>
                    <w:t>烘干G2</w:t>
                  </w:r>
                </w:p>
              </w:tc>
              <w:tc>
                <w:tcPr>
                  <w:tcW w:w="1187" w:type="dxa"/>
                  <w:noWrap w:val="0"/>
                  <w:vAlign w:val="center"/>
                </w:tcPr>
                <w:p w14:paraId="78ADFB05">
                  <w:pPr>
                    <w:spacing w:line="240" w:lineRule="auto"/>
                    <w:jc w:val="center"/>
                    <w:rPr>
                      <w:rFonts w:hint="default"/>
                      <w:bCs/>
                      <w:color w:val="auto"/>
                      <w:sz w:val="21"/>
                      <w:szCs w:val="21"/>
                      <w:lang w:val="en-US" w:eastAsia="zh-CN"/>
                    </w:rPr>
                  </w:pPr>
                  <w:r>
                    <w:rPr>
                      <w:rFonts w:hint="eastAsia"/>
                      <w:bCs/>
                      <w:color w:val="auto"/>
                      <w:sz w:val="21"/>
                      <w:szCs w:val="21"/>
                      <w:lang w:val="en-US" w:eastAsia="zh-CN"/>
                    </w:rPr>
                    <w:t>异味</w:t>
                  </w:r>
                </w:p>
              </w:tc>
              <w:tc>
                <w:tcPr>
                  <w:tcW w:w="1589" w:type="dxa"/>
                  <w:noWrap w:val="0"/>
                  <w:vAlign w:val="center"/>
                </w:tcPr>
                <w:p w14:paraId="2C30589E">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恶臭</w:t>
                  </w:r>
                </w:p>
              </w:tc>
              <w:tc>
                <w:tcPr>
                  <w:tcW w:w="1575" w:type="dxa"/>
                  <w:noWrap w:val="0"/>
                  <w:vAlign w:val="center"/>
                </w:tcPr>
                <w:p w14:paraId="378DDD7D">
                  <w:pPr>
                    <w:spacing w:line="240" w:lineRule="auto"/>
                    <w:jc w:val="center"/>
                    <w:rPr>
                      <w:rFonts w:hint="default"/>
                      <w:bCs/>
                      <w:color w:val="auto"/>
                      <w:sz w:val="21"/>
                      <w:szCs w:val="21"/>
                      <w:lang w:val="en-US" w:eastAsia="zh-CN"/>
                    </w:rPr>
                  </w:pPr>
                  <w:r>
                    <w:rPr>
                      <w:rFonts w:hint="eastAsia"/>
                      <w:bCs/>
                      <w:color w:val="auto"/>
                      <w:sz w:val="21"/>
                      <w:szCs w:val="21"/>
                      <w:lang w:val="en-US" w:eastAsia="zh-CN"/>
                    </w:rPr>
                    <w:t>车间通风</w:t>
                  </w:r>
                </w:p>
              </w:tc>
              <w:tc>
                <w:tcPr>
                  <w:tcW w:w="886" w:type="dxa"/>
                  <w:noWrap w:val="0"/>
                  <w:vAlign w:val="center"/>
                </w:tcPr>
                <w:p w14:paraId="4E821323">
                  <w:pPr>
                    <w:spacing w:line="240" w:lineRule="auto"/>
                    <w:jc w:val="center"/>
                    <w:rPr>
                      <w:rFonts w:hint="eastAsia"/>
                      <w:bCs/>
                      <w:color w:val="auto"/>
                      <w:sz w:val="21"/>
                      <w:szCs w:val="21"/>
                      <w:lang w:val="en-US" w:eastAsia="zh-CN"/>
                    </w:rPr>
                  </w:pPr>
                  <w:r>
                    <w:rPr>
                      <w:rFonts w:hint="eastAsia"/>
                      <w:bCs/>
                      <w:color w:val="auto"/>
                      <w:sz w:val="21"/>
                      <w:szCs w:val="21"/>
                      <w:lang w:val="en-US" w:eastAsia="zh-CN"/>
                    </w:rPr>
                    <w:t>无组织排放</w:t>
                  </w:r>
                </w:p>
              </w:tc>
            </w:tr>
            <w:tr w14:paraId="15E9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72" w:type="dxa"/>
                  <w:vMerge w:val="continue"/>
                  <w:noWrap w:val="0"/>
                  <w:vAlign w:val="center"/>
                </w:tcPr>
                <w:p w14:paraId="1AB23988">
                  <w:pPr>
                    <w:spacing w:line="240" w:lineRule="auto"/>
                    <w:jc w:val="center"/>
                    <w:rPr>
                      <w:rFonts w:hint="eastAsia" w:eastAsia="宋体"/>
                      <w:bCs/>
                      <w:color w:val="auto"/>
                      <w:sz w:val="21"/>
                      <w:szCs w:val="21"/>
                      <w:lang w:eastAsia="zh-CN"/>
                    </w:rPr>
                  </w:pPr>
                  <w:r>
                    <w:rPr>
                      <w:rFonts w:hint="eastAsia"/>
                      <w:bCs/>
                      <w:color w:val="auto"/>
                      <w:sz w:val="21"/>
                      <w:szCs w:val="21"/>
                      <w:lang w:eastAsia="zh-CN"/>
                    </w:rPr>
                    <w:t>、</w:t>
                  </w:r>
                </w:p>
              </w:tc>
              <w:tc>
                <w:tcPr>
                  <w:tcW w:w="1671" w:type="dxa"/>
                  <w:noWrap w:val="0"/>
                  <w:vAlign w:val="center"/>
                </w:tcPr>
                <w:p w14:paraId="5572EC58">
                  <w:pPr>
                    <w:spacing w:line="240" w:lineRule="auto"/>
                    <w:jc w:val="center"/>
                    <w:rPr>
                      <w:bCs/>
                      <w:color w:val="auto"/>
                      <w:sz w:val="21"/>
                      <w:szCs w:val="21"/>
                    </w:rPr>
                  </w:pPr>
                  <w:r>
                    <w:rPr>
                      <w:bCs/>
                      <w:color w:val="auto"/>
                      <w:sz w:val="21"/>
                      <w:szCs w:val="21"/>
                    </w:rPr>
                    <w:t>食堂</w:t>
                  </w:r>
                </w:p>
              </w:tc>
              <w:tc>
                <w:tcPr>
                  <w:tcW w:w="2776" w:type="dxa"/>
                  <w:gridSpan w:val="2"/>
                  <w:noWrap w:val="0"/>
                  <w:vAlign w:val="center"/>
                </w:tcPr>
                <w:p w14:paraId="1B6D6002">
                  <w:pPr>
                    <w:spacing w:line="240" w:lineRule="auto"/>
                    <w:jc w:val="center"/>
                    <w:rPr>
                      <w:bCs/>
                      <w:color w:val="auto"/>
                      <w:sz w:val="21"/>
                      <w:szCs w:val="21"/>
                    </w:rPr>
                  </w:pPr>
                  <w:r>
                    <w:rPr>
                      <w:bCs/>
                      <w:color w:val="auto"/>
                      <w:sz w:val="21"/>
                      <w:szCs w:val="21"/>
                    </w:rPr>
                    <w:t>油烟</w:t>
                  </w:r>
                </w:p>
              </w:tc>
              <w:tc>
                <w:tcPr>
                  <w:tcW w:w="1575" w:type="dxa"/>
                  <w:noWrap w:val="0"/>
                  <w:vAlign w:val="center"/>
                </w:tcPr>
                <w:p w14:paraId="0B178454">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设置1台抽油烟机</w:t>
                  </w:r>
                </w:p>
              </w:tc>
              <w:tc>
                <w:tcPr>
                  <w:tcW w:w="886" w:type="dxa"/>
                  <w:noWrap w:val="0"/>
                  <w:vAlign w:val="center"/>
                </w:tcPr>
                <w:p w14:paraId="7D4CA462">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引至屋顶排放</w:t>
                  </w:r>
                </w:p>
              </w:tc>
            </w:tr>
            <w:tr w14:paraId="25D3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1272" w:type="dxa"/>
                  <w:vMerge w:val="restart"/>
                  <w:noWrap w:val="0"/>
                  <w:vAlign w:val="center"/>
                </w:tcPr>
                <w:p w14:paraId="119CE17B">
                  <w:pPr>
                    <w:spacing w:line="240" w:lineRule="auto"/>
                    <w:jc w:val="center"/>
                    <w:rPr>
                      <w:bCs/>
                      <w:color w:val="auto"/>
                      <w:sz w:val="21"/>
                      <w:szCs w:val="21"/>
                    </w:rPr>
                  </w:pPr>
                  <w:r>
                    <w:rPr>
                      <w:color w:val="auto"/>
                      <w:sz w:val="21"/>
                      <w:szCs w:val="21"/>
                    </w:rPr>
                    <w:t>废水</w:t>
                  </w:r>
                </w:p>
              </w:tc>
              <w:tc>
                <w:tcPr>
                  <w:tcW w:w="1671" w:type="dxa"/>
                  <w:noWrap w:val="0"/>
                  <w:vAlign w:val="center"/>
                </w:tcPr>
                <w:p w14:paraId="2B0BF289">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生产清洗废水W1-W2</w:t>
                  </w:r>
                </w:p>
              </w:tc>
              <w:tc>
                <w:tcPr>
                  <w:tcW w:w="2776" w:type="dxa"/>
                  <w:gridSpan w:val="2"/>
                  <w:noWrap w:val="0"/>
                  <w:vAlign w:val="center"/>
                </w:tcPr>
                <w:p w14:paraId="170D1CA8">
                  <w:pPr>
                    <w:spacing w:line="240" w:lineRule="auto"/>
                    <w:jc w:val="center"/>
                    <w:rPr>
                      <w:bCs/>
                      <w:color w:val="auto"/>
                      <w:sz w:val="21"/>
                      <w:szCs w:val="21"/>
                    </w:rPr>
                  </w:pPr>
                  <w:r>
                    <w:rPr>
                      <w:rFonts w:hint="eastAsia" w:ascii="Times New Roman" w:hAnsi="Times New Roman" w:eastAsia="宋体" w:cs="Times New Roman"/>
                      <w:color w:val="auto"/>
                      <w:szCs w:val="21"/>
                      <w:highlight w:val="none"/>
                      <w:lang w:val="en-US" w:eastAsia="zh-CN"/>
                    </w:rPr>
                    <w:t>pH、化学需氧量、氨氮、总磷、总氮、悬浮物、五日生化需氧量、色度</w:t>
                  </w:r>
                  <w:r>
                    <w:rPr>
                      <w:color w:val="auto"/>
                      <w:sz w:val="21"/>
                      <w:szCs w:val="21"/>
                    </w:rPr>
                    <w:t>等</w:t>
                  </w:r>
                </w:p>
              </w:tc>
              <w:tc>
                <w:tcPr>
                  <w:tcW w:w="1575" w:type="dxa"/>
                  <w:noWrap w:val="0"/>
                  <w:vAlign w:val="center"/>
                </w:tcPr>
                <w:p w14:paraId="37670F3C">
                  <w:pPr>
                    <w:spacing w:line="240" w:lineRule="auto"/>
                    <w:jc w:val="center"/>
                    <w:rPr>
                      <w:bCs/>
                      <w:color w:val="auto"/>
                      <w:sz w:val="21"/>
                      <w:szCs w:val="21"/>
                    </w:rPr>
                  </w:pPr>
                  <w:r>
                    <w:rPr>
                      <w:rFonts w:hint="eastAsia" w:hAnsi="宋体"/>
                      <w:color w:val="auto"/>
                      <w:szCs w:val="21"/>
                      <w:lang w:val="en-US" w:eastAsia="zh-CN"/>
                    </w:rPr>
                    <w:t>自建污水处理站（处理规模15m</w:t>
                  </w:r>
                  <w:r>
                    <w:rPr>
                      <w:rFonts w:hint="eastAsia" w:hAnsi="宋体"/>
                      <w:color w:val="auto"/>
                      <w:szCs w:val="21"/>
                      <w:vertAlign w:val="superscript"/>
                      <w:lang w:val="en-US" w:eastAsia="zh-CN"/>
                    </w:rPr>
                    <w:t>3</w:t>
                  </w:r>
                  <w:r>
                    <w:rPr>
                      <w:rFonts w:hint="eastAsia" w:hAnsi="宋体"/>
                      <w:color w:val="auto"/>
                      <w:szCs w:val="21"/>
                      <w:vertAlign w:val="baseline"/>
                      <w:lang w:val="en-US" w:eastAsia="zh-CN"/>
                    </w:rPr>
                    <w:t>/d</w:t>
                  </w:r>
                  <w:r>
                    <w:rPr>
                      <w:rFonts w:hint="eastAsia" w:hAnsi="宋体"/>
                      <w:color w:val="auto"/>
                      <w:szCs w:val="21"/>
                      <w:lang w:val="en-US" w:eastAsia="zh-CN"/>
                    </w:rPr>
                    <w:t>）</w:t>
                  </w:r>
                </w:p>
              </w:tc>
              <w:tc>
                <w:tcPr>
                  <w:tcW w:w="886" w:type="dxa"/>
                  <w:noWrap w:val="0"/>
                  <w:vAlign w:val="center"/>
                </w:tcPr>
                <w:p w14:paraId="47E9E169">
                  <w:pPr>
                    <w:spacing w:line="240" w:lineRule="auto"/>
                    <w:jc w:val="center"/>
                    <w:rPr>
                      <w:bCs/>
                      <w:color w:val="auto"/>
                      <w:sz w:val="21"/>
                      <w:szCs w:val="21"/>
                    </w:rPr>
                  </w:pPr>
                  <w:r>
                    <w:rPr>
                      <w:rFonts w:hint="eastAsia" w:ascii="Times New Roman" w:hAnsi="Times New Roman" w:eastAsia="宋体" w:cs="Times New Roman"/>
                      <w:b w:val="0"/>
                      <w:bCs w:val="0"/>
                      <w:color w:val="auto"/>
                      <w:sz w:val="21"/>
                      <w:szCs w:val="21"/>
                      <w:highlight w:val="none"/>
                      <w:lang w:val="en-US" w:eastAsia="zh-CN"/>
                    </w:rPr>
                    <w:t>建设单位拉运至坚果地及旱地浇灌</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highlight w:val="none"/>
                      <w:lang w:val="en-US" w:eastAsia="zh-CN"/>
                    </w:rPr>
                    <w:t>不外排</w:t>
                  </w:r>
                </w:p>
              </w:tc>
            </w:tr>
            <w:tr w14:paraId="32DF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272" w:type="dxa"/>
                  <w:vMerge w:val="continue"/>
                  <w:noWrap w:val="0"/>
                  <w:vAlign w:val="center"/>
                </w:tcPr>
                <w:p w14:paraId="557F9840">
                  <w:pPr>
                    <w:spacing w:line="240" w:lineRule="auto"/>
                    <w:jc w:val="center"/>
                    <w:rPr>
                      <w:bCs/>
                      <w:color w:val="auto"/>
                      <w:sz w:val="21"/>
                      <w:szCs w:val="21"/>
                    </w:rPr>
                  </w:pPr>
                </w:p>
              </w:tc>
              <w:tc>
                <w:tcPr>
                  <w:tcW w:w="1671" w:type="dxa"/>
                  <w:noWrap w:val="0"/>
                  <w:vAlign w:val="center"/>
                </w:tcPr>
                <w:p w14:paraId="0F5BC745">
                  <w:pPr>
                    <w:spacing w:line="240" w:lineRule="auto"/>
                    <w:jc w:val="center"/>
                    <w:rPr>
                      <w:color w:val="auto"/>
                      <w:sz w:val="21"/>
                      <w:szCs w:val="21"/>
                    </w:rPr>
                  </w:pPr>
                  <w:r>
                    <w:rPr>
                      <w:color w:val="auto"/>
                      <w:sz w:val="21"/>
                      <w:szCs w:val="21"/>
                    </w:rPr>
                    <w:t>办公</w:t>
                  </w:r>
                  <w:r>
                    <w:rPr>
                      <w:rFonts w:hint="eastAsia"/>
                      <w:color w:val="auto"/>
                      <w:sz w:val="21"/>
                      <w:szCs w:val="21"/>
                      <w:lang w:val="en-US" w:eastAsia="zh-CN"/>
                    </w:rPr>
                    <w:t>生活</w:t>
                  </w:r>
                  <w:r>
                    <w:rPr>
                      <w:color w:val="auto"/>
                      <w:sz w:val="21"/>
                      <w:szCs w:val="21"/>
                    </w:rPr>
                    <w:t>区</w:t>
                  </w:r>
                </w:p>
              </w:tc>
              <w:tc>
                <w:tcPr>
                  <w:tcW w:w="1187" w:type="dxa"/>
                  <w:noWrap w:val="0"/>
                  <w:vAlign w:val="center"/>
                </w:tcPr>
                <w:p w14:paraId="3CCCF429">
                  <w:pPr>
                    <w:spacing w:line="240" w:lineRule="auto"/>
                    <w:jc w:val="center"/>
                    <w:rPr>
                      <w:color w:val="auto"/>
                      <w:sz w:val="21"/>
                      <w:szCs w:val="21"/>
                    </w:rPr>
                  </w:pPr>
                  <w:r>
                    <w:rPr>
                      <w:color w:val="auto"/>
                      <w:sz w:val="21"/>
                      <w:szCs w:val="21"/>
                    </w:rPr>
                    <w:t>生活污水</w:t>
                  </w:r>
                </w:p>
              </w:tc>
              <w:tc>
                <w:tcPr>
                  <w:tcW w:w="1589" w:type="dxa"/>
                  <w:noWrap w:val="0"/>
                  <w:vAlign w:val="center"/>
                </w:tcPr>
                <w:p w14:paraId="3CF34DAF">
                  <w:pPr>
                    <w:spacing w:line="240" w:lineRule="auto"/>
                    <w:jc w:val="center"/>
                    <w:rPr>
                      <w:color w:val="auto"/>
                      <w:sz w:val="21"/>
                      <w:szCs w:val="21"/>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-N、TP等</w:t>
                  </w:r>
                </w:p>
              </w:tc>
              <w:tc>
                <w:tcPr>
                  <w:tcW w:w="1575" w:type="dxa"/>
                  <w:noWrap w:val="0"/>
                  <w:vAlign w:val="center"/>
                </w:tcPr>
                <w:p w14:paraId="716B50BB">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化粪池容积  4m</w:t>
                  </w:r>
                  <w:r>
                    <w:rPr>
                      <w:rFonts w:hint="eastAsia"/>
                      <w:color w:val="auto"/>
                      <w:sz w:val="21"/>
                      <w:szCs w:val="21"/>
                      <w:vertAlign w:val="superscript"/>
                      <w:lang w:val="en-US" w:eastAsia="zh-CN"/>
                    </w:rPr>
                    <w:t>3</w:t>
                  </w:r>
                </w:p>
              </w:tc>
              <w:tc>
                <w:tcPr>
                  <w:tcW w:w="886" w:type="dxa"/>
                  <w:vMerge w:val="restart"/>
                  <w:noWrap w:val="0"/>
                  <w:vAlign w:val="center"/>
                </w:tcPr>
                <w:p w14:paraId="3912CDF7">
                  <w:pPr>
                    <w:spacing w:line="240" w:lineRule="auto"/>
                    <w:jc w:val="center"/>
                    <w:rPr>
                      <w:color w:val="auto"/>
                      <w:sz w:val="21"/>
                      <w:szCs w:val="21"/>
                    </w:rPr>
                  </w:pPr>
                  <w:r>
                    <w:rPr>
                      <w:rFonts w:hint="eastAsia" w:ascii="Times New Roman" w:hAnsi="宋体" w:eastAsia="宋体" w:cs="Times New Roman"/>
                      <w:b w:val="0"/>
                      <w:bCs w:val="0"/>
                      <w:color w:val="auto"/>
                      <w:kern w:val="2"/>
                      <w:sz w:val="21"/>
                      <w:szCs w:val="21"/>
                      <w:lang w:val="en-US" w:eastAsia="zh-CN" w:bidi="ar-SA"/>
                    </w:rPr>
                    <w:t>生活污水经化粪池处理</w:t>
                  </w:r>
                  <w:r>
                    <w:rPr>
                      <w:rFonts w:hint="eastAsia" w:ascii="Times New Roman" w:hAnsi="宋体" w:cs="Times New Roman"/>
                      <w:b w:val="0"/>
                      <w:bCs w:val="0"/>
                      <w:color w:val="auto"/>
                      <w:kern w:val="2"/>
                      <w:sz w:val="21"/>
                      <w:szCs w:val="21"/>
                      <w:lang w:val="en-US" w:eastAsia="zh-CN" w:bidi="ar-SA"/>
                    </w:rPr>
                    <w:t>后由附近村民定期清掏作农家肥使用，不外排</w:t>
                  </w:r>
                </w:p>
              </w:tc>
            </w:tr>
            <w:tr w14:paraId="4CAC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72" w:type="dxa"/>
                  <w:vMerge w:val="continue"/>
                  <w:noWrap w:val="0"/>
                  <w:vAlign w:val="center"/>
                </w:tcPr>
                <w:p w14:paraId="2D4B75DA">
                  <w:pPr>
                    <w:spacing w:line="240" w:lineRule="auto"/>
                    <w:jc w:val="center"/>
                    <w:rPr>
                      <w:bCs/>
                      <w:color w:val="auto"/>
                      <w:sz w:val="21"/>
                      <w:szCs w:val="21"/>
                    </w:rPr>
                  </w:pPr>
                </w:p>
              </w:tc>
              <w:tc>
                <w:tcPr>
                  <w:tcW w:w="1671" w:type="dxa"/>
                  <w:noWrap w:val="0"/>
                  <w:vAlign w:val="center"/>
                </w:tcPr>
                <w:p w14:paraId="03A4D89F">
                  <w:pPr>
                    <w:spacing w:line="240" w:lineRule="auto"/>
                    <w:jc w:val="center"/>
                    <w:rPr>
                      <w:bCs/>
                      <w:color w:val="auto"/>
                      <w:sz w:val="21"/>
                      <w:szCs w:val="21"/>
                    </w:rPr>
                  </w:pPr>
                  <w:r>
                    <w:rPr>
                      <w:bCs/>
                      <w:color w:val="auto"/>
                      <w:sz w:val="21"/>
                      <w:szCs w:val="21"/>
                    </w:rPr>
                    <w:t>食堂</w:t>
                  </w:r>
                </w:p>
              </w:tc>
              <w:tc>
                <w:tcPr>
                  <w:tcW w:w="1187" w:type="dxa"/>
                  <w:noWrap w:val="0"/>
                  <w:vAlign w:val="center"/>
                </w:tcPr>
                <w:p w14:paraId="2B5BAF28">
                  <w:pPr>
                    <w:spacing w:line="240" w:lineRule="auto"/>
                    <w:jc w:val="center"/>
                    <w:rPr>
                      <w:bCs/>
                      <w:color w:val="auto"/>
                      <w:sz w:val="21"/>
                      <w:szCs w:val="21"/>
                    </w:rPr>
                  </w:pPr>
                  <w:r>
                    <w:rPr>
                      <w:bCs/>
                      <w:color w:val="auto"/>
                      <w:sz w:val="21"/>
                      <w:szCs w:val="21"/>
                    </w:rPr>
                    <w:t>食堂污水</w:t>
                  </w:r>
                </w:p>
              </w:tc>
              <w:tc>
                <w:tcPr>
                  <w:tcW w:w="1589" w:type="dxa"/>
                  <w:noWrap w:val="0"/>
                  <w:vAlign w:val="center"/>
                </w:tcPr>
                <w:p w14:paraId="57B87791">
                  <w:pPr>
                    <w:spacing w:line="240" w:lineRule="auto"/>
                    <w:jc w:val="center"/>
                    <w:rPr>
                      <w:rFonts w:hint="eastAsia" w:eastAsia="宋体"/>
                      <w:bCs/>
                      <w:color w:val="auto"/>
                      <w:sz w:val="21"/>
                      <w:szCs w:val="21"/>
                      <w:lang w:val="en-US" w:eastAsia="zh-CN"/>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-N、TP、植物油</w:t>
                  </w:r>
                  <w:r>
                    <w:rPr>
                      <w:rFonts w:hint="eastAsia"/>
                      <w:color w:val="auto"/>
                      <w:sz w:val="21"/>
                      <w:szCs w:val="21"/>
                      <w:lang w:val="en-US" w:eastAsia="zh-CN"/>
                    </w:rPr>
                    <w:t>等</w:t>
                  </w:r>
                </w:p>
              </w:tc>
              <w:tc>
                <w:tcPr>
                  <w:tcW w:w="1575" w:type="dxa"/>
                  <w:noWrap w:val="0"/>
                  <w:vAlign w:val="center"/>
                </w:tcPr>
                <w:p w14:paraId="08AE6F50">
                  <w:pPr>
                    <w:spacing w:line="240" w:lineRule="auto"/>
                    <w:jc w:val="center"/>
                    <w:rPr>
                      <w:color w:val="auto"/>
                      <w:sz w:val="21"/>
                      <w:szCs w:val="21"/>
                    </w:rPr>
                  </w:pPr>
                  <w:r>
                    <w:rPr>
                      <w:rFonts w:hint="eastAsia" w:hAnsi="宋体"/>
                      <w:color w:val="auto"/>
                      <w:sz w:val="21"/>
                      <w:szCs w:val="21"/>
                    </w:rPr>
                    <w:t>1个</w:t>
                  </w:r>
                  <w:r>
                    <w:rPr>
                      <w:rFonts w:hint="eastAsia" w:hAnsi="宋体"/>
                      <w:color w:val="auto"/>
                      <w:sz w:val="21"/>
                      <w:szCs w:val="21"/>
                      <w:lang w:val="en-US" w:eastAsia="zh-CN"/>
                    </w:rPr>
                    <w:t>1.0</w:t>
                  </w:r>
                  <w:r>
                    <w:rPr>
                      <w:rFonts w:hint="eastAsia" w:hAnsi="宋体"/>
                      <w:color w:val="auto"/>
                      <w:sz w:val="21"/>
                      <w:szCs w:val="21"/>
                    </w:rPr>
                    <w:t>m</w:t>
                  </w:r>
                  <w:r>
                    <w:rPr>
                      <w:rFonts w:hint="eastAsia" w:hAnsi="宋体"/>
                      <w:color w:val="auto"/>
                      <w:sz w:val="21"/>
                      <w:szCs w:val="21"/>
                      <w:vertAlign w:val="superscript"/>
                    </w:rPr>
                    <w:t>3</w:t>
                  </w:r>
                  <w:r>
                    <w:rPr>
                      <w:rFonts w:hint="eastAsia" w:hAnsi="宋体"/>
                      <w:color w:val="auto"/>
                      <w:sz w:val="21"/>
                      <w:szCs w:val="21"/>
                      <w:lang w:val="en-US" w:eastAsia="zh-CN"/>
                    </w:rPr>
                    <w:t>隔油池</w:t>
                  </w:r>
                  <w:r>
                    <w:rPr>
                      <w:rFonts w:hint="eastAsia" w:hAnsi="宋体"/>
                      <w:color w:val="auto"/>
                      <w:sz w:val="21"/>
                      <w:szCs w:val="21"/>
                    </w:rPr>
                    <w:t>预处理后同其它生活污水一起排入</w:t>
                  </w:r>
                  <w:r>
                    <w:rPr>
                      <w:rFonts w:hint="eastAsia" w:hAnsi="宋体"/>
                      <w:color w:val="auto"/>
                      <w:sz w:val="21"/>
                      <w:szCs w:val="21"/>
                      <w:lang w:val="en-US" w:eastAsia="zh-CN"/>
                    </w:rPr>
                    <w:t>化粪池</w:t>
                  </w:r>
                </w:p>
              </w:tc>
              <w:tc>
                <w:tcPr>
                  <w:tcW w:w="886" w:type="dxa"/>
                  <w:vMerge w:val="continue"/>
                  <w:noWrap w:val="0"/>
                  <w:vAlign w:val="center"/>
                </w:tcPr>
                <w:p w14:paraId="529A1AAB">
                  <w:pPr>
                    <w:spacing w:line="240" w:lineRule="auto"/>
                    <w:jc w:val="center"/>
                    <w:rPr>
                      <w:color w:val="auto"/>
                      <w:sz w:val="21"/>
                      <w:szCs w:val="21"/>
                    </w:rPr>
                  </w:pPr>
                </w:p>
              </w:tc>
            </w:tr>
            <w:tr w14:paraId="2DFC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272" w:type="dxa"/>
                  <w:noWrap w:val="0"/>
                  <w:vAlign w:val="center"/>
                </w:tcPr>
                <w:p w14:paraId="428E8872">
                  <w:pPr>
                    <w:spacing w:line="240" w:lineRule="auto"/>
                    <w:jc w:val="center"/>
                    <w:rPr>
                      <w:color w:val="auto"/>
                      <w:sz w:val="21"/>
                      <w:szCs w:val="21"/>
                    </w:rPr>
                  </w:pPr>
                  <w:r>
                    <w:rPr>
                      <w:color w:val="auto"/>
                      <w:sz w:val="21"/>
                      <w:szCs w:val="21"/>
                    </w:rPr>
                    <w:t>噪声</w:t>
                  </w:r>
                </w:p>
              </w:tc>
              <w:tc>
                <w:tcPr>
                  <w:tcW w:w="1671" w:type="dxa"/>
                  <w:noWrap w:val="0"/>
                  <w:vAlign w:val="center"/>
                </w:tcPr>
                <w:p w14:paraId="2D4C4872">
                  <w:pPr>
                    <w:spacing w:line="240" w:lineRule="auto"/>
                    <w:jc w:val="center"/>
                    <w:rPr>
                      <w:rFonts w:hint="default"/>
                      <w:color w:val="auto"/>
                      <w:sz w:val="21"/>
                      <w:szCs w:val="21"/>
                      <w:lang w:val="en-US" w:eastAsia="zh-CN"/>
                    </w:rPr>
                  </w:pPr>
                  <w:r>
                    <w:rPr>
                      <w:rFonts w:hint="eastAsia"/>
                      <w:color w:val="auto"/>
                      <w:sz w:val="21"/>
                      <w:szCs w:val="21"/>
                      <w:lang w:val="en-US" w:eastAsia="zh-CN"/>
                    </w:rPr>
                    <w:t>生产设备及车辆N1-N22</w:t>
                  </w:r>
                </w:p>
                <w:p w14:paraId="034D8E40">
                  <w:pPr>
                    <w:spacing w:line="240" w:lineRule="auto"/>
                    <w:jc w:val="both"/>
                    <w:rPr>
                      <w:color w:val="auto"/>
                      <w:sz w:val="21"/>
                      <w:szCs w:val="21"/>
                    </w:rPr>
                  </w:pPr>
                </w:p>
              </w:tc>
              <w:tc>
                <w:tcPr>
                  <w:tcW w:w="1187" w:type="dxa"/>
                  <w:noWrap w:val="0"/>
                  <w:vAlign w:val="center"/>
                </w:tcPr>
                <w:p w14:paraId="7E0AE852">
                  <w:pPr>
                    <w:spacing w:line="240" w:lineRule="auto"/>
                    <w:jc w:val="center"/>
                    <w:rPr>
                      <w:rFonts w:hint="default" w:eastAsia="宋体"/>
                      <w:color w:val="auto"/>
                      <w:sz w:val="21"/>
                      <w:szCs w:val="21"/>
                      <w:lang w:val="en-US" w:eastAsia="zh-CN"/>
                    </w:rPr>
                  </w:pPr>
                  <w:r>
                    <w:rPr>
                      <w:color w:val="auto"/>
                      <w:sz w:val="21"/>
                      <w:szCs w:val="21"/>
                    </w:rPr>
                    <w:t>设备噪声</w:t>
                  </w:r>
                  <w:r>
                    <w:rPr>
                      <w:rFonts w:hint="eastAsia"/>
                      <w:color w:val="auto"/>
                      <w:sz w:val="21"/>
                      <w:szCs w:val="21"/>
                      <w:lang w:eastAsia="zh-CN"/>
                    </w:rPr>
                    <w:t>、</w:t>
                  </w:r>
                  <w:r>
                    <w:rPr>
                      <w:rFonts w:hint="eastAsia"/>
                      <w:color w:val="auto"/>
                      <w:sz w:val="21"/>
                      <w:szCs w:val="21"/>
                      <w:lang w:val="en-US" w:eastAsia="zh-CN"/>
                    </w:rPr>
                    <w:t>交通噪声</w:t>
                  </w:r>
                </w:p>
              </w:tc>
              <w:tc>
                <w:tcPr>
                  <w:tcW w:w="1589" w:type="dxa"/>
                  <w:noWrap w:val="0"/>
                  <w:vAlign w:val="center"/>
                </w:tcPr>
                <w:p w14:paraId="1D7B2C4B">
                  <w:pPr>
                    <w:spacing w:line="240" w:lineRule="auto"/>
                    <w:jc w:val="center"/>
                    <w:rPr>
                      <w:color w:val="auto"/>
                      <w:sz w:val="21"/>
                      <w:szCs w:val="21"/>
                    </w:rPr>
                  </w:pPr>
                  <w:r>
                    <w:rPr>
                      <w:color w:val="auto"/>
                      <w:sz w:val="21"/>
                      <w:szCs w:val="21"/>
                    </w:rPr>
                    <w:t>LeqdB（A）</w:t>
                  </w:r>
                </w:p>
              </w:tc>
              <w:tc>
                <w:tcPr>
                  <w:tcW w:w="1575" w:type="dxa"/>
                  <w:noWrap w:val="0"/>
                  <w:vAlign w:val="center"/>
                </w:tcPr>
                <w:p w14:paraId="7A5F7260">
                  <w:pPr>
                    <w:spacing w:line="240" w:lineRule="auto"/>
                    <w:jc w:val="center"/>
                    <w:rPr>
                      <w:rFonts w:hint="eastAsia" w:eastAsia="宋体"/>
                      <w:color w:val="auto"/>
                      <w:sz w:val="21"/>
                      <w:szCs w:val="21"/>
                      <w:lang w:eastAsia="zh-CN"/>
                    </w:rPr>
                  </w:pPr>
                  <w:r>
                    <w:rPr>
                      <w:rFonts w:hint="eastAsia"/>
                      <w:color w:val="auto"/>
                      <w:szCs w:val="21"/>
                    </w:rPr>
                    <w:t>软连接、减震垫；</w:t>
                  </w:r>
                  <w:r>
                    <w:rPr>
                      <w:rFonts w:hint="eastAsia"/>
                      <w:color w:val="auto"/>
                      <w:szCs w:val="21"/>
                      <w:lang w:val="en-US" w:eastAsia="zh-CN"/>
                    </w:rPr>
                    <w:t>车间隔声</w:t>
                  </w:r>
                  <w:r>
                    <w:rPr>
                      <w:rFonts w:hint="eastAsia"/>
                      <w:color w:val="auto"/>
                      <w:szCs w:val="21"/>
                      <w:lang w:eastAsia="zh-CN"/>
                    </w:rPr>
                    <w:t>。</w:t>
                  </w:r>
                </w:p>
              </w:tc>
              <w:tc>
                <w:tcPr>
                  <w:tcW w:w="886" w:type="dxa"/>
                  <w:noWrap w:val="0"/>
                  <w:vAlign w:val="center"/>
                </w:tcPr>
                <w:p w14:paraId="73F9A197">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达标</w:t>
                  </w:r>
                </w:p>
              </w:tc>
            </w:tr>
            <w:tr w14:paraId="1C04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72" w:type="dxa"/>
                  <w:vMerge w:val="restart"/>
                  <w:noWrap w:val="0"/>
                  <w:vAlign w:val="center"/>
                </w:tcPr>
                <w:p w14:paraId="338BA5EC">
                  <w:pPr>
                    <w:spacing w:line="240" w:lineRule="auto"/>
                    <w:jc w:val="center"/>
                    <w:rPr>
                      <w:color w:val="auto"/>
                      <w:sz w:val="21"/>
                      <w:szCs w:val="21"/>
                    </w:rPr>
                  </w:pPr>
                  <w:r>
                    <w:rPr>
                      <w:color w:val="auto"/>
                      <w:sz w:val="21"/>
                      <w:szCs w:val="21"/>
                    </w:rPr>
                    <w:t>固废</w:t>
                  </w:r>
                </w:p>
              </w:tc>
              <w:tc>
                <w:tcPr>
                  <w:tcW w:w="1671" w:type="dxa"/>
                  <w:vMerge w:val="restart"/>
                  <w:noWrap w:val="0"/>
                  <w:vAlign w:val="center"/>
                </w:tcPr>
                <w:p w14:paraId="36C9E994">
                  <w:pPr>
                    <w:spacing w:line="240" w:lineRule="auto"/>
                    <w:jc w:val="center"/>
                    <w:rPr>
                      <w:rFonts w:hint="eastAsia" w:eastAsia="宋体"/>
                      <w:color w:val="auto"/>
                      <w:sz w:val="21"/>
                      <w:szCs w:val="21"/>
                      <w:lang w:eastAsia="zh-CN"/>
                    </w:rPr>
                  </w:pPr>
                  <w:r>
                    <w:rPr>
                      <w:color w:val="auto"/>
                      <w:sz w:val="21"/>
                      <w:szCs w:val="21"/>
                    </w:rPr>
                    <w:t>生产</w:t>
                  </w:r>
                  <w:r>
                    <w:rPr>
                      <w:rFonts w:hint="eastAsia"/>
                      <w:color w:val="auto"/>
                      <w:sz w:val="21"/>
                      <w:szCs w:val="21"/>
                      <w:lang w:val="en-US" w:eastAsia="zh-CN"/>
                    </w:rPr>
                    <w:t>过程</w:t>
                  </w:r>
                </w:p>
              </w:tc>
              <w:tc>
                <w:tcPr>
                  <w:tcW w:w="2776" w:type="dxa"/>
                  <w:gridSpan w:val="2"/>
                  <w:noWrap w:val="0"/>
                  <w:vAlign w:val="center"/>
                </w:tcPr>
                <w:p w14:paraId="597A9933">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SA"/>
                    </w:rPr>
                    <w:t>坚果皮</w:t>
                  </w:r>
                  <w:r>
                    <w:rPr>
                      <w:rFonts w:hint="eastAsia" w:ascii="Times New Roman" w:hAnsi="Times New Roman" w:eastAsia="宋体" w:cs="Times New Roman"/>
                      <w:color w:val="auto"/>
                      <w:kern w:val="0"/>
                      <w:sz w:val="21"/>
                      <w:szCs w:val="21"/>
                      <w:lang w:val="en-US" w:eastAsia="zh-CN" w:bidi="ar-SA"/>
                    </w:rPr>
                    <w:t>S1</w:t>
                  </w:r>
                </w:p>
              </w:tc>
              <w:tc>
                <w:tcPr>
                  <w:tcW w:w="1575" w:type="dxa"/>
                  <w:noWrap w:val="0"/>
                  <w:vAlign w:val="center"/>
                </w:tcPr>
                <w:p w14:paraId="612B1160">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暂存于废料堆放大棚，</w:t>
                  </w:r>
                  <w:r>
                    <w:rPr>
                      <w:rFonts w:hint="default" w:ascii="Times New Roman" w:hAnsi="Times New Roman" w:eastAsia="宋体" w:cs="Times New Roman"/>
                      <w:color w:val="auto"/>
                      <w:kern w:val="0"/>
                      <w:sz w:val="21"/>
                      <w:szCs w:val="21"/>
                      <w:lang w:val="en-US" w:eastAsia="zh-CN" w:bidi="ar-SA"/>
                    </w:rPr>
                    <w:t>由附近农户清运至坚果种植基地作为肥料施用</w:t>
                  </w:r>
                  <w:r>
                    <w:rPr>
                      <w:rFonts w:hint="eastAsia" w:ascii="Times New Roman" w:hAnsi="Times New Roman" w:eastAsia="宋体" w:cs="Times New Roman"/>
                      <w:color w:val="auto"/>
                      <w:kern w:val="0"/>
                      <w:sz w:val="21"/>
                      <w:szCs w:val="21"/>
                      <w:lang w:val="en-US" w:eastAsia="zh-CN" w:bidi="ar-SA"/>
                    </w:rPr>
                    <w:t>。</w:t>
                  </w:r>
                </w:p>
              </w:tc>
              <w:tc>
                <w:tcPr>
                  <w:tcW w:w="886" w:type="dxa"/>
                  <w:vMerge w:val="restart"/>
                  <w:noWrap w:val="0"/>
                  <w:vAlign w:val="center"/>
                </w:tcPr>
                <w:p w14:paraId="1C14F136">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固废处置率100%</w:t>
                  </w:r>
                </w:p>
              </w:tc>
            </w:tr>
            <w:tr w14:paraId="7BE9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72" w:type="dxa"/>
                  <w:vMerge w:val="continue"/>
                  <w:noWrap w:val="0"/>
                  <w:vAlign w:val="center"/>
                </w:tcPr>
                <w:p w14:paraId="2935BCAD">
                  <w:pPr>
                    <w:spacing w:line="240" w:lineRule="auto"/>
                    <w:jc w:val="center"/>
                    <w:rPr>
                      <w:color w:val="auto"/>
                      <w:sz w:val="21"/>
                      <w:szCs w:val="21"/>
                    </w:rPr>
                  </w:pPr>
                </w:p>
              </w:tc>
              <w:tc>
                <w:tcPr>
                  <w:tcW w:w="1671" w:type="dxa"/>
                  <w:vMerge w:val="continue"/>
                  <w:noWrap w:val="0"/>
                  <w:vAlign w:val="center"/>
                </w:tcPr>
                <w:p w14:paraId="76C3E9F7">
                  <w:pPr>
                    <w:spacing w:line="240" w:lineRule="auto"/>
                    <w:jc w:val="center"/>
                    <w:rPr>
                      <w:rFonts w:hint="eastAsia" w:eastAsia="宋体"/>
                      <w:color w:val="auto"/>
                      <w:sz w:val="21"/>
                      <w:szCs w:val="21"/>
                      <w:lang w:eastAsia="zh-CN"/>
                    </w:rPr>
                  </w:pPr>
                </w:p>
              </w:tc>
              <w:tc>
                <w:tcPr>
                  <w:tcW w:w="2776" w:type="dxa"/>
                  <w:gridSpan w:val="2"/>
                  <w:noWrap w:val="0"/>
                  <w:vAlign w:val="center"/>
                </w:tcPr>
                <w:p w14:paraId="050C315F">
                  <w:pPr>
                    <w:pStyle w:val="80"/>
                    <w:jc w:val="center"/>
                    <w:rPr>
                      <w:rFonts w:hint="default" w:eastAsia="宋体"/>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废弃的残次坚果、不合格品</w:t>
                  </w:r>
                  <w:r>
                    <w:rPr>
                      <w:rFonts w:hint="eastAsia" w:ascii="Times New Roman" w:hAnsi="Times New Roman" w:eastAsia="宋体" w:cs="Times New Roman"/>
                      <w:color w:val="auto"/>
                      <w:kern w:val="0"/>
                      <w:sz w:val="21"/>
                      <w:szCs w:val="21"/>
                      <w:lang w:val="en-US" w:eastAsia="zh-CN" w:bidi="ar-SA"/>
                    </w:rPr>
                    <w:t>S2-S5</w:t>
                  </w:r>
                </w:p>
              </w:tc>
              <w:tc>
                <w:tcPr>
                  <w:tcW w:w="1575" w:type="dxa"/>
                  <w:noWrap w:val="0"/>
                  <w:vAlign w:val="center"/>
                </w:tcPr>
                <w:p w14:paraId="274BBC60">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外售给回收商进行加工再利用。</w:t>
                  </w:r>
                </w:p>
              </w:tc>
              <w:tc>
                <w:tcPr>
                  <w:tcW w:w="886" w:type="dxa"/>
                  <w:vMerge w:val="continue"/>
                  <w:noWrap w:val="0"/>
                  <w:vAlign w:val="center"/>
                </w:tcPr>
                <w:p w14:paraId="24B2B750">
                  <w:pPr>
                    <w:spacing w:line="240" w:lineRule="auto"/>
                    <w:jc w:val="center"/>
                    <w:rPr>
                      <w:color w:val="auto"/>
                      <w:sz w:val="21"/>
                      <w:szCs w:val="21"/>
                    </w:rPr>
                  </w:pPr>
                </w:p>
              </w:tc>
            </w:tr>
            <w:tr w14:paraId="18F1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1272" w:type="dxa"/>
                  <w:vMerge w:val="continue"/>
                  <w:noWrap w:val="0"/>
                  <w:vAlign w:val="center"/>
                </w:tcPr>
                <w:p w14:paraId="77BB6690">
                  <w:pPr>
                    <w:spacing w:line="240" w:lineRule="auto"/>
                    <w:jc w:val="center"/>
                    <w:rPr>
                      <w:color w:val="auto"/>
                      <w:sz w:val="21"/>
                      <w:szCs w:val="21"/>
                    </w:rPr>
                  </w:pPr>
                </w:p>
              </w:tc>
              <w:tc>
                <w:tcPr>
                  <w:tcW w:w="1671" w:type="dxa"/>
                  <w:vMerge w:val="continue"/>
                  <w:noWrap w:val="0"/>
                  <w:vAlign w:val="center"/>
                </w:tcPr>
                <w:p w14:paraId="611A4344">
                  <w:pPr>
                    <w:spacing w:line="240" w:lineRule="auto"/>
                    <w:jc w:val="center"/>
                    <w:rPr>
                      <w:color w:val="auto"/>
                      <w:sz w:val="21"/>
                      <w:szCs w:val="21"/>
                    </w:rPr>
                  </w:pPr>
                </w:p>
              </w:tc>
              <w:tc>
                <w:tcPr>
                  <w:tcW w:w="2776" w:type="dxa"/>
                  <w:gridSpan w:val="2"/>
                  <w:noWrap w:val="0"/>
                  <w:vAlign w:val="center"/>
                </w:tcPr>
                <w:p w14:paraId="2F0AE614">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eastAsia="宋体"/>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果壳S7-S8</w:t>
                  </w:r>
                </w:p>
              </w:tc>
              <w:tc>
                <w:tcPr>
                  <w:tcW w:w="1575" w:type="dxa"/>
                  <w:noWrap w:val="0"/>
                  <w:vAlign w:val="center"/>
                </w:tcPr>
                <w:p w14:paraId="6609E9AE">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886" w:type="dxa"/>
                  <w:vMerge w:val="continue"/>
                  <w:noWrap w:val="0"/>
                  <w:vAlign w:val="center"/>
                </w:tcPr>
                <w:p w14:paraId="097196C8">
                  <w:pPr>
                    <w:spacing w:line="240" w:lineRule="auto"/>
                    <w:jc w:val="center"/>
                    <w:rPr>
                      <w:color w:val="auto"/>
                      <w:sz w:val="21"/>
                      <w:szCs w:val="21"/>
                    </w:rPr>
                  </w:pPr>
                </w:p>
              </w:tc>
            </w:tr>
            <w:tr w14:paraId="510D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72" w:type="dxa"/>
                  <w:vMerge w:val="continue"/>
                  <w:noWrap w:val="0"/>
                  <w:vAlign w:val="center"/>
                </w:tcPr>
                <w:p w14:paraId="11ECCE81">
                  <w:pPr>
                    <w:spacing w:line="240" w:lineRule="auto"/>
                    <w:jc w:val="center"/>
                    <w:rPr>
                      <w:color w:val="auto"/>
                      <w:sz w:val="21"/>
                      <w:szCs w:val="21"/>
                    </w:rPr>
                  </w:pPr>
                </w:p>
              </w:tc>
              <w:tc>
                <w:tcPr>
                  <w:tcW w:w="1671" w:type="dxa"/>
                  <w:noWrap w:val="0"/>
                  <w:vAlign w:val="center"/>
                </w:tcPr>
                <w:p w14:paraId="0431765E">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原料使用及产品</w:t>
                  </w:r>
                  <w:r>
                    <w:rPr>
                      <w:rFonts w:hint="eastAsia" w:ascii="Times New Roman" w:hAnsi="Times New Roman" w:eastAsia="宋体" w:cs="Times New Roman"/>
                      <w:color w:val="auto"/>
                      <w:sz w:val="21"/>
                      <w:szCs w:val="21"/>
                      <w:lang w:val="en-US" w:eastAsia="zh-CN"/>
                    </w:rPr>
                    <w:t>包装</w:t>
                  </w:r>
                  <w:r>
                    <w:rPr>
                      <w:rFonts w:hint="default" w:ascii="Times New Roman" w:hAnsi="Times New Roman" w:eastAsia="宋体" w:cs="Times New Roman"/>
                      <w:color w:val="auto"/>
                      <w:sz w:val="21"/>
                      <w:szCs w:val="21"/>
                      <w:lang w:val="en-US" w:eastAsia="zh-CN"/>
                    </w:rPr>
                    <w:t>过程</w:t>
                  </w:r>
                </w:p>
              </w:tc>
              <w:tc>
                <w:tcPr>
                  <w:tcW w:w="2776" w:type="dxa"/>
                  <w:gridSpan w:val="2"/>
                  <w:noWrap w:val="0"/>
                  <w:vAlign w:val="center"/>
                </w:tcPr>
                <w:p w14:paraId="41DDACCF">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r>
                    <w:rPr>
                      <w:rFonts w:hint="eastAsia" w:ascii="Times New Roman" w:hAnsi="Times New Roman" w:eastAsia="宋体" w:cs="Times New Roman"/>
                      <w:color w:val="auto"/>
                      <w:sz w:val="21"/>
                      <w:szCs w:val="21"/>
                      <w:lang w:val="en-US" w:eastAsia="zh-CN"/>
                    </w:rPr>
                    <w:t>S6、S9</w:t>
                  </w:r>
                </w:p>
              </w:tc>
              <w:tc>
                <w:tcPr>
                  <w:tcW w:w="1575" w:type="dxa"/>
                  <w:noWrap w:val="0"/>
                  <w:vAlign w:val="center"/>
                </w:tcPr>
                <w:p w14:paraId="6BDE1137">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rFonts w:hint="default" w:ascii="Times New Roman" w:hAnsi="Times New Roman" w:eastAsia="宋体" w:cs="Times New Roman"/>
                      <w:color w:val="auto"/>
                      <w:kern w:val="0"/>
                      <w:sz w:val="21"/>
                      <w:szCs w:val="21"/>
                      <w:lang w:val="en-US" w:eastAsia="zh-CN" w:bidi="ar-SA"/>
                    </w:rPr>
                    <w:t>外售给废品回收站回收综合利用</w:t>
                  </w:r>
                  <w:r>
                    <w:rPr>
                      <w:rFonts w:hint="eastAsia" w:ascii="Times New Roman" w:hAnsi="Times New Roman" w:eastAsia="宋体" w:cs="Times New Roman"/>
                      <w:color w:val="auto"/>
                      <w:kern w:val="0"/>
                      <w:sz w:val="21"/>
                      <w:szCs w:val="21"/>
                      <w:lang w:val="en-US" w:eastAsia="zh-CN" w:bidi="ar-SA"/>
                    </w:rPr>
                    <w:t>。</w:t>
                  </w:r>
                </w:p>
              </w:tc>
              <w:tc>
                <w:tcPr>
                  <w:tcW w:w="886" w:type="dxa"/>
                  <w:vMerge w:val="continue"/>
                  <w:noWrap w:val="0"/>
                  <w:vAlign w:val="center"/>
                </w:tcPr>
                <w:p w14:paraId="43A29EF8">
                  <w:pPr>
                    <w:spacing w:line="240" w:lineRule="auto"/>
                    <w:jc w:val="center"/>
                    <w:rPr>
                      <w:color w:val="auto"/>
                      <w:sz w:val="21"/>
                      <w:szCs w:val="21"/>
                    </w:rPr>
                  </w:pPr>
                </w:p>
              </w:tc>
            </w:tr>
            <w:tr w14:paraId="4141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72" w:type="dxa"/>
                  <w:vMerge w:val="continue"/>
                  <w:noWrap w:val="0"/>
                  <w:vAlign w:val="center"/>
                </w:tcPr>
                <w:p w14:paraId="355FDD2D">
                  <w:pPr>
                    <w:spacing w:line="240" w:lineRule="auto"/>
                    <w:jc w:val="center"/>
                    <w:rPr>
                      <w:color w:val="auto"/>
                      <w:sz w:val="21"/>
                      <w:szCs w:val="21"/>
                    </w:rPr>
                  </w:pPr>
                </w:p>
              </w:tc>
              <w:tc>
                <w:tcPr>
                  <w:tcW w:w="1671" w:type="dxa"/>
                  <w:noWrap w:val="0"/>
                  <w:vAlign w:val="center"/>
                </w:tcPr>
                <w:p w14:paraId="3DA63C7F">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布袋除尘器</w:t>
                  </w:r>
                </w:p>
              </w:tc>
              <w:tc>
                <w:tcPr>
                  <w:tcW w:w="2776" w:type="dxa"/>
                  <w:gridSpan w:val="2"/>
                  <w:noWrap w:val="0"/>
                  <w:vAlign w:val="center"/>
                </w:tcPr>
                <w:p w14:paraId="219A8E8A">
                  <w:pPr>
                    <w:pStyle w:val="8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回收粉尘</w:t>
                  </w:r>
                </w:p>
              </w:tc>
              <w:tc>
                <w:tcPr>
                  <w:tcW w:w="1575" w:type="dxa"/>
                  <w:noWrap w:val="0"/>
                  <w:vAlign w:val="center"/>
                </w:tcPr>
                <w:p w14:paraId="4BB08BA3">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886" w:type="dxa"/>
                  <w:vMerge w:val="continue"/>
                  <w:noWrap w:val="0"/>
                  <w:vAlign w:val="center"/>
                </w:tcPr>
                <w:p w14:paraId="5E8DE0E5">
                  <w:pPr>
                    <w:spacing w:line="240" w:lineRule="auto"/>
                    <w:jc w:val="center"/>
                    <w:rPr>
                      <w:color w:val="auto"/>
                      <w:sz w:val="21"/>
                      <w:szCs w:val="21"/>
                    </w:rPr>
                  </w:pPr>
                </w:p>
              </w:tc>
            </w:tr>
            <w:tr w14:paraId="6925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72" w:type="dxa"/>
                  <w:vMerge w:val="continue"/>
                  <w:noWrap w:val="0"/>
                  <w:vAlign w:val="center"/>
                </w:tcPr>
                <w:p w14:paraId="3FB00D9A">
                  <w:pPr>
                    <w:spacing w:line="240" w:lineRule="auto"/>
                    <w:jc w:val="center"/>
                    <w:rPr>
                      <w:color w:val="auto"/>
                      <w:sz w:val="21"/>
                      <w:szCs w:val="21"/>
                    </w:rPr>
                  </w:pPr>
                </w:p>
              </w:tc>
              <w:tc>
                <w:tcPr>
                  <w:tcW w:w="1671" w:type="dxa"/>
                  <w:noWrap w:val="0"/>
                  <w:vAlign w:val="center"/>
                </w:tcPr>
                <w:p w14:paraId="2C4840EB">
                  <w:pPr>
                    <w:spacing w:line="240" w:lineRule="auto"/>
                    <w:jc w:val="center"/>
                    <w:rPr>
                      <w:color w:val="auto"/>
                      <w:sz w:val="21"/>
                      <w:szCs w:val="21"/>
                    </w:rPr>
                  </w:pPr>
                  <w:r>
                    <w:rPr>
                      <w:color w:val="auto"/>
                      <w:sz w:val="21"/>
                      <w:szCs w:val="21"/>
                    </w:rPr>
                    <w:t>生活区</w:t>
                  </w:r>
                </w:p>
              </w:tc>
              <w:tc>
                <w:tcPr>
                  <w:tcW w:w="2776" w:type="dxa"/>
                  <w:gridSpan w:val="2"/>
                  <w:noWrap w:val="0"/>
                  <w:vAlign w:val="center"/>
                </w:tcPr>
                <w:p w14:paraId="03E3DDE7">
                  <w:pPr>
                    <w:spacing w:line="240" w:lineRule="auto"/>
                    <w:jc w:val="center"/>
                    <w:rPr>
                      <w:rFonts w:hint="default" w:eastAsia="宋体"/>
                      <w:color w:val="auto"/>
                      <w:sz w:val="21"/>
                      <w:szCs w:val="21"/>
                      <w:lang w:val="en-US" w:eastAsia="zh-CN"/>
                    </w:rPr>
                  </w:pPr>
                  <w:r>
                    <w:rPr>
                      <w:color w:val="auto"/>
                      <w:sz w:val="21"/>
                      <w:szCs w:val="21"/>
                    </w:rPr>
                    <w:t>生活垃圾</w:t>
                  </w:r>
                </w:p>
              </w:tc>
              <w:tc>
                <w:tcPr>
                  <w:tcW w:w="1575" w:type="dxa"/>
                  <w:noWrap w:val="0"/>
                  <w:vAlign w:val="center"/>
                </w:tcPr>
                <w:p w14:paraId="41D447FF">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rFonts w:hint="default" w:ascii="Times New Roman" w:hAnsi="Times New Roman" w:eastAsia="宋体" w:cs="Times New Roman"/>
                      <w:color w:val="auto"/>
                      <w:kern w:val="0"/>
                      <w:sz w:val="21"/>
                      <w:szCs w:val="21"/>
                      <w:lang w:val="en-US" w:eastAsia="zh-CN" w:bidi="ar-SA"/>
                    </w:rPr>
                    <w:t>设置2个环保型垃圾收集桶收集，</w:t>
                  </w:r>
                  <w:r>
                    <w:rPr>
                      <w:rFonts w:hint="eastAsia" w:ascii="Times New Roman" w:hAnsi="Times New Roman" w:eastAsia="宋体" w:cs="Times New Roman"/>
                      <w:color w:val="auto"/>
                      <w:kern w:val="0"/>
                      <w:sz w:val="21"/>
                      <w:szCs w:val="21"/>
                      <w:lang w:val="en-US" w:eastAsia="zh-CN" w:bidi="ar-SA"/>
                    </w:rPr>
                    <w:t>定期清运至当地乡镇垃圾收集点由环卫部门定期清运集中处置</w:t>
                  </w:r>
                  <w:r>
                    <w:rPr>
                      <w:rFonts w:hint="default" w:ascii="Times New Roman" w:hAnsi="Times New Roman" w:eastAsia="宋体" w:cs="Times New Roman"/>
                      <w:color w:val="auto"/>
                      <w:kern w:val="0"/>
                      <w:sz w:val="21"/>
                      <w:szCs w:val="21"/>
                      <w:lang w:val="en-US" w:eastAsia="zh-CN" w:bidi="ar-SA"/>
                    </w:rPr>
                    <w:t>。</w:t>
                  </w:r>
                </w:p>
              </w:tc>
              <w:tc>
                <w:tcPr>
                  <w:tcW w:w="886" w:type="dxa"/>
                  <w:vMerge w:val="continue"/>
                  <w:noWrap w:val="0"/>
                  <w:vAlign w:val="center"/>
                </w:tcPr>
                <w:p w14:paraId="521729BD">
                  <w:pPr>
                    <w:spacing w:line="240" w:lineRule="auto"/>
                    <w:jc w:val="center"/>
                    <w:rPr>
                      <w:color w:val="auto"/>
                      <w:sz w:val="21"/>
                      <w:szCs w:val="21"/>
                    </w:rPr>
                  </w:pPr>
                </w:p>
              </w:tc>
            </w:tr>
            <w:tr w14:paraId="7735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72" w:type="dxa"/>
                  <w:vMerge w:val="continue"/>
                  <w:noWrap w:val="0"/>
                  <w:vAlign w:val="center"/>
                </w:tcPr>
                <w:p w14:paraId="5620B9E6">
                  <w:pPr>
                    <w:spacing w:line="240" w:lineRule="auto"/>
                    <w:jc w:val="center"/>
                    <w:rPr>
                      <w:color w:val="auto"/>
                      <w:sz w:val="21"/>
                      <w:szCs w:val="21"/>
                    </w:rPr>
                  </w:pPr>
                </w:p>
              </w:tc>
              <w:tc>
                <w:tcPr>
                  <w:tcW w:w="1671" w:type="dxa"/>
                  <w:noWrap w:val="0"/>
                  <w:vAlign w:val="center"/>
                </w:tcPr>
                <w:p w14:paraId="2B4B407A">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化粪池、沉淀池</w:t>
                  </w:r>
                </w:p>
              </w:tc>
              <w:tc>
                <w:tcPr>
                  <w:tcW w:w="2776" w:type="dxa"/>
                  <w:gridSpan w:val="2"/>
                  <w:noWrap w:val="0"/>
                  <w:vAlign w:val="center"/>
                </w:tcPr>
                <w:p w14:paraId="47CAFDB0">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污泥</w:t>
                  </w:r>
                </w:p>
              </w:tc>
              <w:tc>
                <w:tcPr>
                  <w:tcW w:w="1575" w:type="dxa"/>
                  <w:noWrap w:val="0"/>
                  <w:vAlign w:val="center"/>
                </w:tcPr>
                <w:p w14:paraId="063F4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定期由附近村民清掏作为农家肥使用。</w:t>
                  </w:r>
                </w:p>
              </w:tc>
              <w:tc>
                <w:tcPr>
                  <w:tcW w:w="886" w:type="dxa"/>
                  <w:vMerge w:val="continue"/>
                  <w:noWrap w:val="0"/>
                  <w:vAlign w:val="center"/>
                </w:tcPr>
                <w:p w14:paraId="265649B4">
                  <w:pPr>
                    <w:spacing w:line="240" w:lineRule="auto"/>
                    <w:jc w:val="center"/>
                    <w:rPr>
                      <w:rFonts w:hint="eastAsia"/>
                      <w:color w:val="auto"/>
                      <w:sz w:val="21"/>
                      <w:szCs w:val="21"/>
                      <w:lang w:val="en-US" w:eastAsia="zh-CN"/>
                    </w:rPr>
                  </w:pPr>
                </w:p>
              </w:tc>
            </w:tr>
            <w:tr w14:paraId="570B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72" w:type="dxa"/>
                  <w:vMerge w:val="continue"/>
                  <w:noWrap w:val="0"/>
                  <w:vAlign w:val="center"/>
                </w:tcPr>
                <w:p w14:paraId="6880E60B">
                  <w:pPr>
                    <w:spacing w:line="240" w:lineRule="auto"/>
                    <w:jc w:val="center"/>
                    <w:rPr>
                      <w:color w:val="auto"/>
                      <w:sz w:val="21"/>
                      <w:szCs w:val="21"/>
                    </w:rPr>
                  </w:pPr>
                </w:p>
              </w:tc>
              <w:tc>
                <w:tcPr>
                  <w:tcW w:w="1671" w:type="dxa"/>
                  <w:noWrap w:val="0"/>
                  <w:vAlign w:val="center"/>
                </w:tcPr>
                <w:p w14:paraId="5DD682E7">
                  <w:pPr>
                    <w:spacing w:line="240" w:lineRule="auto"/>
                    <w:jc w:val="center"/>
                    <w:rPr>
                      <w:rFonts w:hint="eastAsia"/>
                      <w:color w:val="auto"/>
                      <w:kern w:val="2"/>
                      <w:sz w:val="21"/>
                      <w:szCs w:val="21"/>
                      <w:lang w:val="en-US" w:eastAsia="zh-CN" w:bidi="ar-SA"/>
                    </w:rPr>
                  </w:pPr>
                  <w:r>
                    <w:rPr>
                      <w:rFonts w:hint="eastAsia"/>
                      <w:color w:val="auto"/>
                      <w:sz w:val="21"/>
                      <w:szCs w:val="21"/>
                      <w:lang w:val="en-US" w:eastAsia="zh-CN"/>
                    </w:rPr>
                    <w:t>隔油池</w:t>
                  </w:r>
                </w:p>
              </w:tc>
              <w:tc>
                <w:tcPr>
                  <w:tcW w:w="2776" w:type="dxa"/>
                  <w:gridSpan w:val="2"/>
                  <w:noWrap w:val="0"/>
                  <w:vAlign w:val="center"/>
                </w:tcPr>
                <w:p w14:paraId="2CB15302">
                  <w:pPr>
                    <w:spacing w:line="240" w:lineRule="auto"/>
                    <w:jc w:val="center"/>
                    <w:rPr>
                      <w:rFonts w:hint="eastAsia"/>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废油脂</w:t>
                  </w:r>
                </w:p>
              </w:tc>
              <w:tc>
                <w:tcPr>
                  <w:tcW w:w="1575" w:type="dxa"/>
                  <w:noWrap w:val="0"/>
                  <w:vAlign w:val="center"/>
                </w:tcPr>
                <w:p w14:paraId="2F3189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建设单位严格按照当地相关政府部门管理要求进行处置。</w:t>
                  </w:r>
                </w:p>
              </w:tc>
              <w:tc>
                <w:tcPr>
                  <w:tcW w:w="886" w:type="dxa"/>
                  <w:vMerge w:val="continue"/>
                  <w:noWrap w:val="0"/>
                  <w:vAlign w:val="center"/>
                </w:tcPr>
                <w:p w14:paraId="0587AF75">
                  <w:pPr>
                    <w:spacing w:line="240" w:lineRule="auto"/>
                    <w:jc w:val="center"/>
                    <w:rPr>
                      <w:rFonts w:hint="eastAsia"/>
                      <w:color w:val="auto"/>
                      <w:sz w:val="21"/>
                      <w:szCs w:val="21"/>
                      <w:lang w:val="en-US" w:eastAsia="zh-CN"/>
                    </w:rPr>
                  </w:pPr>
                </w:p>
              </w:tc>
            </w:tr>
          </w:tbl>
          <w:p w14:paraId="31C7EAE6">
            <w:pPr>
              <w:numPr>
                <w:ilvl w:val="0"/>
                <w:numId w:val="0"/>
              </w:numPr>
              <w:adjustRightInd w:val="0"/>
              <w:snapToGrid w:val="0"/>
              <w:spacing w:line="360" w:lineRule="auto"/>
              <w:jc w:val="left"/>
              <w:rPr>
                <w:rFonts w:hint="default"/>
                <w:b/>
                <w:bCs/>
                <w:color w:val="auto"/>
                <w:sz w:val="24"/>
                <w:szCs w:val="24"/>
                <w:lang w:val="en-US" w:eastAsia="zh-CN"/>
              </w:rPr>
            </w:pPr>
            <w:r>
              <w:rPr>
                <w:rFonts w:hint="eastAsia"/>
                <w:b/>
                <w:bCs/>
                <w:color w:val="auto"/>
                <w:sz w:val="24"/>
                <w:szCs w:val="24"/>
                <w:lang w:val="en-US" w:eastAsia="zh-CN"/>
              </w:rPr>
              <w:t>2、运营期环境影响和保护措施</w:t>
            </w:r>
          </w:p>
          <w:p w14:paraId="2D60265B">
            <w:pPr>
              <w:numPr>
                <w:ilvl w:val="0"/>
                <w:numId w:val="0"/>
              </w:numPr>
              <w:adjustRightInd w:val="0"/>
              <w:snapToGrid w:val="0"/>
              <w:spacing w:line="360" w:lineRule="auto"/>
              <w:jc w:val="left"/>
              <w:rPr>
                <w:rFonts w:hint="default"/>
                <w:b w:val="0"/>
                <w:bCs w:val="0"/>
                <w:color w:val="auto"/>
                <w:sz w:val="24"/>
                <w:szCs w:val="24"/>
                <w:lang w:val="en-US" w:eastAsia="zh-CN"/>
              </w:rPr>
            </w:pPr>
            <w:r>
              <w:rPr>
                <w:rFonts w:hint="eastAsia"/>
                <w:b w:val="0"/>
                <w:bCs w:val="0"/>
                <w:color w:val="auto"/>
                <w:sz w:val="24"/>
                <w:szCs w:val="24"/>
                <w:lang w:val="en-US" w:eastAsia="zh-CN"/>
              </w:rPr>
              <w:t>2.1废气环境影响和保护措施</w:t>
            </w:r>
          </w:p>
          <w:p w14:paraId="2A9A75AB">
            <w:pPr>
              <w:pStyle w:val="13"/>
              <w:rPr>
                <w:rFonts w:hint="eastAsia" w:ascii="宋体" w:hAnsi="宋体" w:eastAsia="宋体" w:cs="宋体"/>
                <w:b w:val="0"/>
                <w:bCs w:val="0"/>
                <w:color w:val="auto"/>
                <w:kern w:val="2"/>
                <w:sz w:val="24"/>
                <w:szCs w:val="24"/>
                <w:highlight w:val="none"/>
                <w:lang w:val="en-US" w:eastAsia="zh-CN" w:bidi="ar-SA"/>
              </w:rPr>
            </w:pPr>
            <w:r>
              <w:rPr>
                <w:rFonts w:hint="eastAsia"/>
                <w:b w:val="0"/>
                <w:bCs w:val="0"/>
                <w:color w:val="auto"/>
                <w:sz w:val="24"/>
                <w:szCs w:val="24"/>
                <w:lang w:val="en-US" w:eastAsia="zh-CN"/>
              </w:rPr>
              <w:t>2.1.1</w:t>
            </w:r>
            <w:r>
              <w:rPr>
                <w:rFonts w:hint="eastAsia" w:ascii="宋体" w:hAnsi="宋体" w:eastAsia="宋体" w:cs="宋体"/>
                <w:b w:val="0"/>
                <w:bCs w:val="0"/>
                <w:color w:val="auto"/>
                <w:kern w:val="2"/>
                <w:sz w:val="24"/>
                <w:szCs w:val="24"/>
                <w:highlight w:val="none"/>
                <w:lang w:val="en-US" w:eastAsia="zh-CN" w:bidi="ar-SA"/>
              </w:rPr>
              <w:t xml:space="preserve">废气产排情况 </w:t>
            </w:r>
          </w:p>
          <w:p w14:paraId="41B14EED">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项目废气主要为生产加工过程产生的粉尘</w:t>
            </w:r>
            <w:r>
              <w:rPr>
                <w:rFonts w:hint="eastAsia" w:ascii="Times New Roman" w:hAnsi="Times New Roman" w:eastAsia="宋体" w:cs="Times New Roman"/>
                <w:b w:val="0"/>
                <w:bCs w:val="0"/>
                <w:color w:val="auto"/>
                <w:sz w:val="24"/>
                <w:szCs w:val="24"/>
                <w:lang w:val="en-US" w:eastAsia="zh-CN"/>
              </w:rPr>
              <w:t>、烘干异味、汽车运输尾气、食堂油烟</w:t>
            </w:r>
            <w:r>
              <w:rPr>
                <w:rFonts w:hint="default" w:ascii="Times New Roman" w:hAnsi="Times New Roman" w:eastAsia="宋体" w:cs="Times New Roman"/>
                <w:b w:val="0"/>
                <w:bCs w:val="0"/>
                <w:color w:val="auto"/>
                <w:sz w:val="24"/>
                <w:szCs w:val="24"/>
                <w:lang w:val="en-US" w:eastAsia="zh-CN"/>
              </w:rPr>
              <w:t>等</w:t>
            </w:r>
            <w:r>
              <w:rPr>
                <w:rFonts w:hint="eastAsia" w:ascii="Times New Roman" w:hAnsi="Times New Roman" w:eastAsia="宋体" w:cs="Times New Roman"/>
                <w:b w:val="0"/>
                <w:bCs w:val="0"/>
                <w:color w:val="auto"/>
                <w:sz w:val="24"/>
                <w:szCs w:val="24"/>
                <w:lang w:val="en-US" w:eastAsia="zh-CN"/>
              </w:rPr>
              <w:t>，详见下表</w:t>
            </w:r>
            <w:r>
              <w:rPr>
                <w:rFonts w:hint="default" w:ascii="Times New Roman" w:hAnsi="Times New Roman" w:eastAsia="宋体" w:cs="Times New Roman"/>
                <w:b w:val="0"/>
                <w:bCs w:val="0"/>
                <w:color w:val="auto"/>
                <w:sz w:val="24"/>
                <w:szCs w:val="24"/>
                <w:lang w:val="en-US" w:eastAsia="zh-CN"/>
              </w:rPr>
              <w:t>。</w:t>
            </w:r>
          </w:p>
          <w:p w14:paraId="43CBA91C">
            <w:pPr>
              <w:pStyle w:val="16"/>
              <w:rPr>
                <w:rFonts w:hint="default" w:ascii="Times New Roman" w:hAnsi="Times New Roman" w:eastAsia="宋体" w:cs="Times New Roman"/>
                <w:b w:val="0"/>
                <w:bCs w:val="0"/>
                <w:color w:val="auto"/>
                <w:sz w:val="24"/>
                <w:szCs w:val="24"/>
                <w:lang w:val="en-US" w:eastAsia="zh-CN"/>
              </w:rPr>
            </w:pPr>
          </w:p>
          <w:p w14:paraId="1BF08142">
            <w:pPr>
              <w:rPr>
                <w:rFonts w:hint="default" w:ascii="Times New Roman" w:hAnsi="Times New Roman" w:eastAsia="宋体" w:cs="Times New Roman"/>
                <w:b w:val="0"/>
                <w:bCs w:val="0"/>
                <w:color w:val="auto"/>
                <w:sz w:val="24"/>
                <w:szCs w:val="24"/>
                <w:lang w:val="en-US" w:eastAsia="zh-CN"/>
              </w:rPr>
            </w:pPr>
          </w:p>
          <w:p w14:paraId="7BB6EDF5">
            <w:pPr>
              <w:pStyle w:val="16"/>
              <w:rPr>
                <w:rFonts w:hint="default" w:ascii="Times New Roman" w:hAnsi="Times New Roman" w:eastAsia="宋体" w:cs="Times New Roman"/>
                <w:b w:val="0"/>
                <w:bCs w:val="0"/>
                <w:color w:val="auto"/>
                <w:sz w:val="24"/>
                <w:szCs w:val="24"/>
                <w:lang w:val="en-US" w:eastAsia="zh-CN"/>
              </w:rPr>
            </w:pPr>
          </w:p>
          <w:p w14:paraId="3AB16DB8">
            <w:pPr>
              <w:rPr>
                <w:rFonts w:hint="default" w:ascii="Times New Roman" w:hAnsi="Times New Roman" w:eastAsia="宋体" w:cs="Times New Roman"/>
                <w:b w:val="0"/>
                <w:bCs w:val="0"/>
                <w:color w:val="auto"/>
                <w:sz w:val="24"/>
                <w:szCs w:val="24"/>
                <w:lang w:val="en-US" w:eastAsia="zh-CN"/>
              </w:rPr>
            </w:pPr>
          </w:p>
          <w:p w14:paraId="358E50CB">
            <w:pPr>
              <w:pStyle w:val="16"/>
              <w:rPr>
                <w:rFonts w:hint="default" w:ascii="Times New Roman" w:hAnsi="Times New Roman" w:eastAsia="宋体" w:cs="Times New Roman"/>
                <w:b w:val="0"/>
                <w:bCs w:val="0"/>
                <w:color w:val="auto"/>
                <w:sz w:val="24"/>
                <w:szCs w:val="24"/>
                <w:lang w:val="en-US" w:eastAsia="zh-CN"/>
              </w:rPr>
            </w:pPr>
          </w:p>
          <w:p w14:paraId="1653D074">
            <w:pPr>
              <w:rPr>
                <w:rFonts w:hint="default" w:ascii="Times New Roman" w:hAnsi="Times New Roman" w:eastAsia="宋体" w:cs="Times New Roman"/>
                <w:b w:val="0"/>
                <w:bCs w:val="0"/>
                <w:color w:val="auto"/>
                <w:sz w:val="24"/>
                <w:szCs w:val="24"/>
                <w:lang w:val="en-US" w:eastAsia="zh-CN"/>
              </w:rPr>
            </w:pPr>
          </w:p>
          <w:p w14:paraId="44524BF1">
            <w:pPr>
              <w:pStyle w:val="16"/>
              <w:rPr>
                <w:rFonts w:hint="default" w:ascii="Times New Roman" w:hAnsi="Times New Roman" w:eastAsia="宋体" w:cs="Times New Roman"/>
                <w:b w:val="0"/>
                <w:bCs w:val="0"/>
                <w:color w:val="auto"/>
                <w:sz w:val="24"/>
                <w:szCs w:val="24"/>
                <w:lang w:val="en-US" w:eastAsia="zh-CN"/>
              </w:rPr>
            </w:pPr>
          </w:p>
          <w:p w14:paraId="7967A783">
            <w:pPr>
              <w:rPr>
                <w:rFonts w:hint="default" w:ascii="Times New Roman" w:hAnsi="Times New Roman" w:eastAsia="宋体" w:cs="Times New Roman"/>
                <w:b w:val="0"/>
                <w:bCs w:val="0"/>
                <w:color w:val="auto"/>
                <w:sz w:val="24"/>
                <w:szCs w:val="24"/>
                <w:lang w:val="en-US" w:eastAsia="zh-CN"/>
              </w:rPr>
            </w:pPr>
          </w:p>
          <w:p w14:paraId="7ACCE4C9">
            <w:pPr>
              <w:pStyle w:val="16"/>
              <w:rPr>
                <w:rFonts w:hint="default" w:ascii="Times New Roman" w:hAnsi="Times New Roman" w:eastAsia="宋体" w:cs="Times New Roman"/>
                <w:b w:val="0"/>
                <w:bCs w:val="0"/>
                <w:color w:val="auto"/>
                <w:sz w:val="24"/>
                <w:szCs w:val="24"/>
                <w:lang w:val="en-US" w:eastAsia="zh-CN"/>
              </w:rPr>
            </w:pPr>
          </w:p>
          <w:p w14:paraId="5D849B8C">
            <w:pPr>
              <w:rPr>
                <w:rFonts w:hint="default" w:ascii="Times New Roman" w:hAnsi="Times New Roman" w:eastAsia="宋体" w:cs="Times New Roman"/>
                <w:b w:val="0"/>
                <w:bCs w:val="0"/>
                <w:color w:val="auto"/>
                <w:sz w:val="24"/>
                <w:szCs w:val="24"/>
                <w:lang w:val="en-US" w:eastAsia="zh-CN"/>
              </w:rPr>
            </w:pPr>
          </w:p>
          <w:p w14:paraId="25170D8B">
            <w:pPr>
              <w:pStyle w:val="16"/>
              <w:rPr>
                <w:rFonts w:hint="default"/>
                <w:color w:val="auto"/>
                <w:lang w:val="en-US" w:eastAsia="zh-CN"/>
              </w:rPr>
            </w:pPr>
          </w:p>
          <w:p w14:paraId="3B9DEB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rPr>
            </w:pPr>
          </w:p>
        </w:tc>
      </w:tr>
    </w:tbl>
    <w:p w14:paraId="55A539CA">
      <w:pPr>
        <w:pStyle w:val="92"/>
        <w:spacing w:line="360" w:lineRule="auto"/>
        <w:ind w:left="0" w:leftChars="0" w:firstLine="0" w:firstLineChars="0"/>
        <w:rPr>
          <w:rFonts w:hint="eastAsia" w:ascii="宋体" w:hAnsi="宋体" w:eastAsia="宋体" w:cs="宋体"/>
          <w:b w:val="0"/>
          <w:bCs/>
          <w:color w:val="auto"/>
          <w:sz w:val="24"/>
          <w:szCs w:val="24"/>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53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433"/>
      </w:tblGrid>
      <w:tr w14:paraId="6A6A3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7" w:hRule="atLeast"/>
          <w:jc w:val="center"/>
        </w:trPr>
        <w:tc>
          <w:tcPr>
            <w:tcW w:w="234" w:type="pct"/>
            <w:noWrap w:val="0"/>
            <w:vAlign w:val="center"/>
          </w:tcPr>
          <w:p w14:paraId="203FFEA5">
            <w:pPr>
              <w:pStyle w:val="92"/>
              <w:spacing w:line="360" w:lineRule="auto"/>
              <w:ind w:left="0" w:leftChars="0" w:firstLine="0" w:firstLineChars="0"/>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pacing w:val="-2"/>
                <w:kern w:val="2"/>
                <w:sz w:val="24"/>
                <w:szCs w:val="24"/>
                <w:lang w:val="en-US" w:eastAsia="zh-CN" w:bidi="ar-SA"/>
              </w:rPr>
              <w:t>运营期环境保护措施</w:t>
            </w:r>
          </w:p>
        </w:tc>
        <w:tc>
          <w:tcPr>
            <w:tcW w:w="4765" w:type="pct"/>
            <w:noWrap w:val="0"/>
            <w:vAlign w:val="center"/>
          </w:tcPr>
          <w:p w14:paraId="6D538854">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表4-</w:t>
            </w: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废气污染源源强核算结果及相关参数一览表</w:t>
            </w:r>
          </w:p>
          <w:tbl>
            <w:tblPr>
              <w:tblStyle w:val="33"/>
              <w:tblW w:w="13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
              <w:gridCol w:w="860"/>
              <w:gridCol w:w="775"/>
              <w:gridCol w:w="489"/>
              <w:gridCol w:w="944"/>
              <w:gridCol w:w="1022"/>
              <w:gridCol w:w="978"/>
              <w:gridCol w:w="1132"/>
              <w:gridCol w:w="1665"/>
              <w:gridCol w:w="889"/>
              <w:gridCol w:w="686"/>
              <w:gridCol w:w="940"/>
              <w:gridCol w:w="940"/>
              <w:gridCol w:w="787"/>
              <w:gridCol w:w="653"/>
            </w:tblGrid>
            <w:tr w14:paraId="1D63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64" w:type="dxa"/>
                  <w:vMerge w:val="restart"/>
                  <w:noWrap w:val="0"/>
                  <w:vAlign w:val="center"/>
                </w:tcPr>
                <w:p w14:paraId="56D272BC">
                  <w:pPr>
                    <w:jc w:val="center"/>
                    <w:rPr>
                      <w:rFonts w:hint="default"/>
                      <w:b/>
                      <w:bCs/>
                      <w:color w:val="auto"/>
                      <w:highlight w:val="none"/>
                      <w:lang w:val="en-US" w:eastAsia="zh-CN"/>
                    </w:rPr>
                  </w:pPr>
                  <w:r>
                    <w:rPr>
                      <w:rFonts w:hint="eastAsia"/>
                      <w:b/>
                      <w:bCs/>
                      <w:color w:val="auto"/>
                      <w:highlight w:val="none"/>
                      <w:lang w:eastAsia="zh-CN"/>
                    </w:rPr>
                    <w:t>工序</w:t>
                  </w:r>
                  <w:r>
                    <w:rPr>
                      <w:rFonts w:hint="eastAsia"/>
                      <w:b/>
                      <w:bCs/>
                      <w:color w:val="auto"/>
                      <w:highlight w:val="none"/>
                      <w:lang w:val="en-US" w:eastAsia="zh-CN"/>
                    </w:rPr>
                    <w:t>/生产线</w:t>
                  </w:r>
                </w:p>
              </w:tc>
              <w:tc>
                <w:tcPr>
                  <w:tcW w:w="860" w:type="dxa"/>
                  <w:vMerge w:val="restart"/>
                  <w:noWrap w:val="0"/>
                  <w:vAlign w:val="center"/>
                </w:tcPr>
                <w:p w14:paraId="2AD6CFA6">
                  <w:pPr>
                    <w:jc w:val="center"/>
                    <w:rPr>
                      <w:rFonts w:hint="default"/>
                      <w:b/>
                      <w:bCs/>
                      <w:color w:val="auto"/>
                      <w:highlight w:val="none"/>
                      <w:lang w:val="en-US" w:eastAsia="zh-CN"/>
                    </w:rPr>
                  </w:pPr>
                  <w:r>
                    <w:rPr>
                      <w:rFonts w:hint="eastAsia"/>
                      <w:b/>
                      <w:bCs/>
                      <w:color w:val="auto"/>
                      <w:highlight w:val="none"/>
                      <w:lang w:val="en-US" w:eastAsia="zh-CN"/>
                    </w:rPr>
                    <w:t>装置</w:t>
                  </w:r>
                </w:p>
              </w:tc>
              <w:tc>
                <w:tcPr>
                  <w:tcW w:w="775" w:type="dxa"/>
                  <w:vMerge w:val="restart"/>
                  <w:noWrap w:val="0"/>
                  <w:vAlign w:val="center"/>
                </w:tcPr>
                <w:p w14:paraId="4CBAC25D">
                  <w:pPr>
                    <w:jc w:val="center"/>
                    <w:rPr>
                      <w:rFonts w:hint="default"/>
                      <w:b/>
                      <w:bCs/>
                      <w:color w:val="auto"/>
                      <w:highlight w:val="none"/>
                      <w:lang w:val="en-US" w:eastAsia="zh-CN"/>
                    </w:rPr>
                  </w:pPr>
                  <w:r>
                    <w:rPr>
                      <w:rFonts w:hint="eastAsia"/>
                      <w:b/>
                      <w:bCs/>
                      <w:color w:val="auto"/>
                      <w:highlight w:val="none"/>
                      <w:lang w:val="en-US" w:eastAsia="zh-CN"/>
                    </w:rPr>
                    <w:t>污染源类型</w:t>
                  </w:r>
                </w:p>
              </w:tc>
              <w:tc>
                <w:tcPr>
                  <w:tcW w:w="489" w:type="dxa"/>
                  <w:vMerge w:val="restart"/>
                  <w:noWrap w:val="0"/>
                  <w:vAlign w:val="center"/>
                </w:tcPr>
                <w:p w14:paraId="04DF4013">
                  <w:pPr>
                    <w:jc w:val="center"/>
                    <w:rPr>
                      <w:rFonts w:hint="default"/>
                      <w:b/>
                      <w:bCs/>
                      <w:color w:val="auto"/>
                      <w:highlight w:val="none"/>
                      <w:lang w:val="en-US" w:eastAsia="zh-CN"/>
                    </w:rPr>
                  </w:pPr>
                  <w:r>
                    <w:rPr>
                      <w:rFonts w:hint="default"/>
                      <w:b/>
                      <w:bCs/>
                      <w:color w:val="auto"/>
                      <w:highlight w:val="none"/>
                    </w:rPr>
                    <w:t>污染物</w:t>
                  </w:r>
                </w:p>
              </w:tc>
              <w:tc>
                <w:tcPr>
                  <w:tcW w:w="4076" w:type="dxa"/>
                  <w:gridSpan w:val="4"/>
                  <w:tcBorders>
                    <w:right w:val="single" w:color="auto" w:sz="4" w:space="0"/>
                  </w:tcBorders>
                  <w:noWrap w:val="0"/>
                  <w:vAlign w:val="center"/>
                </w:tcPr>
                <w:p w14:paraId="661161C6">
                  <w:pPr>
                    <w:jc w:val="center"/>
                    <w:rPr>
                      <w:rFonts w:hint="eastAsia"/>
                      <w:b/>
                      <w:bCs/>
                      <w:color w:val="auto"/>
                      <w:highlight w:val="none"/>
                      <w:lang w:eastAsia="zh-CN"/>
                    </w:rPr>
                  </w:pPr>
                  <w:r>
                    <w:rPr>
                      <w:rFonts w:hint="default"/>
                      <w:b/>
                      <w:bCs/>
                      <w:color w:val="auto"/>
                      <w:highlight w:val="none"/>
                    </w:rPr>
                    <w:t>污染物产生</w:t>
                  </w:r>
                </w:p>
              </w:tc>
              <w:tc>
                <w:tcPr>
                  <w:tcW w:w="2554" w:type="dxa"/>
                  <w:gridSpan w:val="2"/>
                  <w:tcBorders>
                    <w:left w:val="single" w:color="auto" w:sz="4" w:space="0"/>
                  </w:tcBorders>
                  <w:noWrap w:val="0"/>
                  <w:vAlign w:val="center"/>
                </w:tcPr>
                <w:p w14:paraId="6AFD29DA">
                  <w:pPr>
                    <w:jc w:val="center"/>
                    <w:rPr>
                      <w:rFonts w:hint="default"/>
                      <w:b/>
                      <w:bCs/>
                      <w:color w:val="auto"/>
                      <w:highlight w:val="none"/>
                    </w:rPr>
                  </w:pPr>
                  <w:r>
                    <w:rPr>
                      <w:rFonts w:hint="default"/>
                      <w:b/>
                      <w:bCs/>
                      <w:color w:val="auto"/>
                      <w:highlight w:val="none"/>
                    </w:rPr>
                    <w:t>治理措施</w:t>
                  </w:r>
                </w:p>
              </w:tc>
              <w:tc>
                <w:tcPr>
                  <w:tcW w:w="4006" w:type="dxa"/>
                  <w:gridSpan w:val="5"/>
                  <w:noWrap w:val="0"/>
                  <w:vAlign w:val="center"/>
                </w:tcPr>
                <w:p w14:paraId="787FE2CF">
                  <w:pPr>
                    <w:jc w:val="center"/>
                    <w:rPr>
                      <w:rFonts w:hint="default"/>
                      <w:b/>
                      <w:bCs/>
                      <w:color w:val="auto"/>
                      <w:highlight w:val="none"/>
                    </w:rPr>
                  </w:pPr>
                  <w:r>
                    <w:rPr>
                      <w:rFonts w:hint="default"/>
                      <w:b/>
                      <w:bCs/>
                      <w:color w:val="auto"/>
                      <w:highlight w:val="none"/>
                    </w:rPr>
                    <w:t>污染物排放</w:t>
                  </w:r>
                </w:p>
              </w:tc>
            </w:tr>
            <w:tr w14:paraId="24A5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464" w:type="dxa"/>
                  <w:vMerge w:val="continue"/>
                  <w:noWrap w:val="0"/>
                  <w:vAlign w:val="center"/>
                </w:tcPr>
                <w:p w14:paraId="41572A87">
                  <w:pPr>
                    <w:jc w:val="center"/>
                    <w:rPr>
                      <w:rFonts w:hint="default"/>
                      <w:b/>
                      <w:bCs/>
                      <w:color w:val="auto"/>
                      <w:highlight w:val="none"/>
                    </w:rPr>
                  </w:pPr>
                </w:p>
              </w:tc>
              <w:tc>
                <w:tcPr>
                  <w:tcW w:w="860" w:type="dxa"/>
                  <w:vMerge w:val="continue"/>
                  <w:noWrap w:val="0"/>
                  <w:vAlign w:val="center"/>
                </w:tcPr>
                <w:p w14:paraId="56CBEE2E">
                  <w:pPr>
                    <w:jc w:val="center"/>
                    <w:rPr>
                      <w:rFonts w:hint="default"/>
                      <w:b/>
                      <w:bCs/>
                      <w:color w:val="auto"/>
                      <w:highlight w:val="none"/>
                    </w:rPr>
                  </w:pPr>
                </w:p>
              </w:tc>
              <w:tc>
                <w:tcPr>
                  <w:tcW w:w="775" w:type="dxa"/>
                  <w:vMerge w:val="continue"/>
                  <w:noWrap w:val="0"/>
                  <w:vAlign w:val="center"/>
                </w:tcPr>
                <w:p w14:paraId="39C3FE7F">
                  <w:pPr>
                    <w:jc w:val="center"/>
                    <w:rPr>
                      <w:rFonts w:hint="default"/>
                      <w:b/>
                      <w:bCs/>
                      <w:color w:val="auto"/>
                      <w:highlight w:val="none"/>
                    </w:rPr>
                  </w:pPr>
                </w:p>
              </w:tc>
              <w:tc>
                <w:tcPr>
                  <w:tcW w:w="489" w:type="dxa"/>
                  <w:vMerge w:val="continue"/>
                  <w:noWrap w:val="0"/>
                  <w:vAlign w:val="center"/>
                </w:tcPr>
                <w:p w14:paraId="28ACC429">
                  <w:pPr>
                    <w:jc w:val="center"/>
                    <w:rPr>
                      <w:rFonts w:hint="default"/>
                      <w:b/>
                      <w:bCs/>
                      <w:color w:val="auto"/>
                      <w:highlight w:val="none"/>
                    </w:rPr>
                  </w:pPr>
                </w:p>
              </w:tc>
              <w:tc>
                <w:tcPr>
                  <w:tcW w:w="944" w:type="dxa"/>
                  <w:tcBorders>
                    <w:right w:val="single" w:color="auto" w:sz="4" w:space="0"/>
                  </w:tcBorders>
                  <w:noWrap w:val="0"/>
                  <w:vAlign w:val="center"/>
                </w:tcPr>
                <w:p w14:paraId="309C2DA2">
                  <w:pPr>
                    <w:jc w:val="center"/>
                    <w:rPr>
                      <w:rFonts w:hint="default"/>
                      <w:b/>
                      <w:bCs/>
                      <w:color w:val="auto"/>
                      <w:highlight w:val="none"/>
                    </w:rPr>
                  </w:pPr>
                  <w:r>
                    <w:rPr>
                      <w:rFonts w:hint="default"/>
                      <w:b/>
                      <w:bCs/>
                      <w:color w:val="auto"/>
                      <w:highlight w:val="none"/>
                    </w:rPr>
                    <w:t>核算方法</w:t>
                  </w:r>
                </w:p>
              </w:tc>
              <w:tc>
                <w:tcPr>
                  <w:tcW w:w="1022" w:type="dxa"/>
                  <w:tcBorders>
                    <w:left w:val="single" w:color="auto" w:sz="4" w:space="0"/>
                    <w:bottom w:val="single" w:color="auto" w:sz="4" w:space="0"/>
                    <w:right w:val="single" w:color="auto" w:sz="4" w:space="0"/>
                  </w:tcBorders>
                  <w:noWrap w:val="0"/>
                  <w:vAlign w:val="center"/>
                </w:tcPr>
                <w:p w14:paraId="09C3DD63">
                  <w:pPr>
                    <w:jc w:val="center"/>
                    <w:rPr>
                      <w:rFonts w:hint="default"/>
                      <w:b/>
                      <w:bCs/>
                      <w:color w:val="auto"/>
                      <w:highlight w:val="none"/>
                    </w:rPr>
                  </w:pPr>
                  <w:r>
                    <w:rPr>
                      <w:rFonts w:hint="eastAsia"/>
                      <w:b/>
                      <w:bCs/>
                      <w:color w:val="auto"/>
                      <w:highlight w:val="none"/>
                      <w:lang w:eastAsia="zh-CN"/>
                    </w:rPr>
                    <w:t>废气产生量（</w:t>
                  </w:r>
                  <w:r>
                    <w:rPr>
                      <w:rFonts w:hint="eastAsia"/>
                      <w:b/>
                      <w:bCs/>
                      <w:color w:val="auto"/>
                      <w:highlight w:val="none"/>
                      <w:lang w:val="en-US" w:eastAsia="zh-CN"/>
                    </w:rPr>
                    <w:t>万m</w:t>
                  </w:r>
                  <w:r>
                    <w:rPr>
                      <w:rFonts w:hint="eastAsia"/>
                      <w:b/>
                      <w:bCs/>
                      <w:color w:val="auto"/>
                      <w:highlight w:val="none"/>
                      <w:vertAlign w:val="superscript"/>
                      <w:lang w:val="en-US" w:eastAsia="zh-CN"/>
                    </w:rPr>
                    <w:t>3</w:t>
                  </w:r>
                  <w:r>
                    <w:rPr>
                      <w:rFonts w:hint="eastAsia"/>
                      <w:b/>
                      <w:bCs/>
                      <w:color w:val="auto"/>
                      <w:highlight w:val="none"/>
                      <w:lang w:val="en-US" w:eastAsia="zh-CN"/>
                    </w:rPr>
                    <w:t>/a</w:t>
                  </w:r>
                  <w:r>
                    <w:rPr>
                      <w:rFonts w:hint="eastAsia"/>
                      <w:b/>
                      <w:bCs/>
                      <w:color w:val="auto"/>
                      <w:highlight w:val="none"/>
                      <w:lang w:eastAsia="zh-CN"/>
                    </w:rPr>
                    <w:t>）</w:t>
                  </w:r>
                </w:p>
              </w:tc>
              <w:tc>
                <w:tcPr>
                  <w:tcW w:w="978" w:type="dxa"/>
                  <w:tcBorders>
                    <w:top w:val="single" w:color="auto" w:sz="4" w:space="0"/>
                    <w:left w:val="single" w:color="auto" w:sz="4" w:space="0"/>
                    <w:bottom w:val="single" w:color="auto" w:sz="4" w:space="0"/>
                    <w:right w:val="single" w:color="auto" w:sz="4" w:space="0"/>
                  </w:tcBorders>
                  <w:noWrap w:val="0"/>
                  <w:vAlign w:val="center"/>
                </w:tcPr>
                <w:p w14:paraId="286D9EB5">
                  <w:pPr>
                    <w:jc w:val="center"/>
                    <w:rPr>
                      <w:rFonts w:hint="default"/>
                      <w:b/>
                      <w:bCs/>
                      <w:color w:val="auto"/>
                      <w:highlight w:val="none"/>
                    </w:rPr>
                  </w:pPr>
                  <w:r>
                    <w:rPr>
                      <w:rFonts w:hint="eastAsia"/>
                      <w:b/>
                      <w:bCs/>
                      <w:color w:val="auto"/>
                      <w:highlight w:val="none"/>
                      <w:lang w:eastAsia="zh-CN"/>
                    </w:rPr>
                    <w:t>产生</w:t>
                  </w:r>
                  <w:r>
                    <w:rPr>
                      <w:rFonts w:hint="default"/>
                      <w:b/>
                      <w:bCs/>
                      <w:color w:val="auto"/>
                      <w:highlight w:val="none"/>
                    </w:rPr>
                    <w:t>浓度（mg/m</w:t>
                  </w:r>
                  <w:r>
                    <w:rPr>
                      <w:rFonts w:hint="default"/>
                      <w:b/>
                      <w:bCs/>
                      <w:color w:val="auto"/>
                      <w:highlight w:val="none"/>
                      <w:vertAlign w:val="superscript"/>
                    </w:rPr>
                    <w:t>3</w:t>
                  </w:r>
                  <w:r>
                    <w:rPr>
                      <w:rFonts w:hint="default"/>
                      <w:b/>
                      <w:bCs/>
                      <w:color w:val="auto"/>
                      <w:highlight w:val="none"/>
                    </w:rPr>
                    <w: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16999DF">
                  <w:pPr>
                    <w:jc w:val="center"/>
                    <w:rPr>
                      <w:rFonts w:hint="default"/>
                      <w:b/>
                      <w:bCs/>
                      <w:color w:val="auto"/>
                      <w:highlight w:val="none"/>
                    </w:rPr>
                  </w:pPr>
                  <w:r>
                    <w:rPr>
                      <w:rFonts w:hint="eastAsia"/>
                      <w:b/>
                      <w:bCs/>
                      <w:color w:val="auto"/>
                      <w:highlight w:val="none"/>
                      <w:lang w:eastAsia="zh-CN"/>
                    </w:rPr>
                    <w:t>产生</w:t>
                  </w:r>
                  <w:r>
                    <w:rPr>
                      <w:rFonts w:hint="default"/>
                      <w:b/>
                      <w:bCs/>
                      <w:color w:val="auto"/>
                      <w:highlight w:val="none"/>
                    </w:rPr>
                    <w:t>量（</w:t>
                  </w:r>
                  <w:r>
                    <w:rPr>
                      <w:rFonts w:hint="eastAsia"/>
                      <w:b/>
                      <w:bCs/>
                      <w:color w:val="auto"/>
                      <w:highlight w:val="none"/>
                      <w:lang w:val="en-US" w:eastAsia="zh-CN"/>
                    </w:rPr>
                    <w:t>t</w:t>
                  </w:r>
                  <w:r>
                    <w:rPr>
                      <w:rFonts w:hint="default"/>
                      <w:b/>
                      <w:bCs/>
                      <w:color w:val="auto"/>
                      <w:highlight w:val="none"/>
                    </w:rPr>
                    <w:t>/</w:t>
                  </w:r>
                  <w:r>
                    <w:rPr>
                      <w:rFonts w:hint="eastAsia"/>
                      <w:b/>
                      <w:bCs/>
                      <w:color w:val="auto"/>
                      <w:highlight w:val="none"/>
                      <w:lang w:val="en-US" w:eastAsia="zh-CN"/>
                    </w:rPr>
                    <w:t>a</w:t>
                  </w:r>
                  <w:r>
                    <w:rPr>
                      <w:rFonts w:hint="default"/>
                      <w:b/>
                      <w:bCs/>
                      <w:color w:val="auto"/>
                      <w:highlight w:val="none"/>
                    </w:rPr>
                    <w:t>）</w:t>
                  </w:r>
                </w:p>
              </w:tc>
              <w:tc>
                <w:tcPr>
                  <w:tcW w:w="1665" w:type="dxa"/>
                  <w:tcBorders>
                    <w:left w:val="single" w:color="auto" w:sz="4" w:space="0"/>
                  </w:tcBorders>
                  <w:noWrap w:val="0"/>
                  <w:vAlign w:val="center"/>
                </w:tcPr>
                <w:p w14:paraId="479B867B">
                  <w:pPr>
                    <w:jc w:val="center"/>
                    <w:rPr>
                      <w:rFonts w:hint="default"/>
                      <w:b/>
                      <w:bCs/>
                      <w:color w:val="auto"/>
                      <w:highlight w:val="none"/>
                    </w:rPr>
                  </w:pPr>
                  <w:r>
                    <w:rPr>
                      <w:rFonts w:hint="default"/>
                      <w:b/>
                      <w:bCs/>
                      <w:color w:val="auto"/>
                      <w:highlight w:val="none"/>
                    </w:rPr>
                    <w:t>工艺</w:t>
                  </w:r>
                </w:p>
              </w:tc>
              <w:tc>
                <w:tcPr>
                  <w:tcW w:w="889" w:type="dxa"/>
                  <w:noWrap w:val="0"/>
                  <w:vAlign w:val="center"/>
                </w:tcPr>
                <w:p w14:paraId="1343D89B">
                  <w:pPr>
                    <w:jc w:val="center"/>
                    <w:rPr>
                      <w:rFonts w:hint="default"/>
                      <w:b/>
                      <w:bCs/>
                      <w:color w:val="auto"/>
                      <w:highlight w:val="none"/>
                    </w:rPr>
                  </w:pPr>
                  <w:r>
                    <w:rPr>
                      <w:rFonts w:hint="default"/>
                      <w:b/>
                      <w:bCs/>
                      <w:color w:val="auto"/>
                      <w:highlight w:val="none"/>
                      <w:lang w:val="en-US" w:eastAsia="zh-CN"/>
                    </w:rPr>
                    <w:t>效率（%）</w:t>
                  </w:r>
                </w:p>
              </w:tc>
              <w:tc>
                <w:tcPr>
                  <w:tcW w:w="686" w:type="dxa"/>
                  <w:noWrap w:val="0"/>
                  <w:vAlign w:val="center"/>
                </w:tcPr>
                <w:p w14:paraId="048734CC">
                  <w:pPr>
                    <w:jc w:val="center"/>
                    <w:rPr>
                      <w:rFonts w:hint="eastAsia"/>
                      <w:b/>
                      <w:bCs/>
                      <w:color w:val="auto"/>
                      <w:highlight w:val="none"/>
                      <w:lang w:eastAsia="zh-CN"/>
                    </w:rPr>
                  </w:pPr>
                  <w:r>
                    <w:rPr>
                      <w:rFonts w:hint="eastAsia"/>
                      <w:b/>
                      <w:bCs/>
                      <w:color w:val="auto"/>
                      <w:highlight w:val="none"/>
                      <w:lang w:eastAsia="zh-CN"/>
                    </w:rPr>
                    <w:t>核算方法</w:t>
                  </w:r>
                </w:p>
              </w:tc>
              <w:tc>
                <w:tcPr>
                  <w:tcW w:w="940" w:type="dxa"/>
                  <w:noWrap w:val="0"/>
                  <w:vAlign w:val="center"/>
                </w:tcPr>
                <w:p w14:paraId="3A72267B">
                  <w:pPr>
                    <w:jc w:val="center"/>
                    <w:rPr>
                      <w:rFonts w:hint="eastAsia"/>
                      <w:b/>
                      <w:bCs/>
                      <w:color w:val="auto"/>
                      <w:highlight w:val="none"/>
                      <w:lang w:eastAsia="zh-CN"/>
                    </w:rPr>
                  </w:pPr>
                  <w:r>
                    <w:rPr>
                      <w:rFonts w:hint="eastAsia"/>
                      <w:b/>
                      <w:bCs/>
                      <w:color w:val="auto"/>
                      <w:highlight w:val="none"/>
                      <w:lang w:eastAsia="zh-CN"/>
                    </w:rPr>
                    <w:t>废气排放量（</w:t>
                  </w:r>
                  <w:r>
                    <w:rPr>
                      <w:rFonts w:hint="eastAsia"/>
                      <w:b/>
                      <w:bCs/>
                      <w:color w:val="auto"/>
                      <w:highlight w:val="none"/>
                      <w:lang w:val="en-US" w:eastAsia="zh-CN"/>
                    </w:rPr>
                    <w:t>万m</w:t>
                  </w:r>
                  <w:r>
                    <w:rPr>
                      <w:rFonts w:hint="eastAsia"/>
                      <w:b/>
                      <w:bCs/>
                      <w:color w:val="auto"/>
                      <w:highlight w:val="none"/>
                      <w:vertAlign w:val="superscript"/>
                      <w:lang w:val="en-US" w:eastAsia="zh-CN"/>
                    </w:rPr>
                    <w:t>3</w:t>
                  </w:r>
                  <w:r>
                    <w:rPr>
                      <w:rFonts w:hint="eastAsia"/>
                      <w:b/>
                      <w:bCs/>
                      <w:color w:val="auto"/>
                      <w:highlight w:val="none"/>
                      <w:lang w:val="en-US" w:eastAsia="zh-CN"/>
                    </w:rPr>
                    <w:t>/a</w:t>
                  </w:r>
                  <w:r>
                    <w:rPr>
                      <w:rFonts w:hint="eastAsia"/>
                      <w:b/>
                      <w:bCs/>
                      <w:color w:val="auto"/>
                      <w:highlight w:val="none"/>
                      <w:lang w:eastAsia="zh-CN"/>
                    </w:rPr>
                    <w:t>）</w:t>
                  </w:r>
                </w:p>
              </w:tc>
              <w:tc>
                <w:tcPr>
                  <w:tcW w:w="940" w:type="dxa"/>
                  <w:noWrap w:val="0"/>
                  <w:vAlign w:val="center"/>
                </w:tcPr>
                <w:p w14:paraId="71888BBF">
                  <w:pPr>
                    <w:jc w:val="center"/>
                    <w:rPr>
                      <w:rFonts w:hint="default"/>
                      <w:b/>
                      <w:bCs/>
                      <w:color w:val="auto"/>
                      <w:highlight w:val="none"/>
                    </w:rPr>
                  </w:pPr>
                  <w:r>
                    <w:rPr>
                      <w:rFonts w:hint="eastAsia"/>
                      <w:b/>
                      <w:bCs/>
                      <w:color w:val="auto"/>
                      <w:highlight w:val="none"/>
                      <w:lang w:eastAsia="zh-CN"/>
                    </w:rPr>
                    <w:t>排放</w:t>
                  </w:r>
                  <w:r>
                    <w:rPr>
                      <w:rFonts w:hint="default"/>
                      <w:b/>
                      <w:bCs/>
                      <w:color w:val="auto"/>
                      <w:highlight w:val="none"/>
                    </w:rPr>
                    <w:t>浓度（mg/m</w:t>
                  </w:r>
                  <w:r>
                    <w:rPr>
                      <w:rFonts w:hint="default"/>
                      <w:b/>
                      <w:bCs/>
                      <w:color w:val="auto"/>
                      <w:highlight w:val="none"/>
                      <w:vertAlign w:val="superscript"/>
                    </w:rPr>
                    <w:t>3</w:t>
                  </w:r>
                  <w:r>
                    <w:rPr>
                      <w:rFonts w:hint="default"/>
                      <w:b/>
                      <w:bCs/>
                      <w:color w:val="auto"/>
                      <w:highlight w:val="none"/>
                    </w:rPr>
                    <w:t>）</w:t>
                  </w:r>
                </w:p>
              </w:tc>
              <w:tc>
                <w:tcPr>
                  <w:tcW w:w="787" w:type="dxa"/>
                  <w:noWrap w:val="0"/>
                  <w:vAlign w:val="center"/>
                </w:tcPr>
                <w:p w14:paraId="1B838E8F">
                  <w:pPr>
                    <w:jc w:val="center"/>
                    <w:rPr>
                      <w:rFonts w:hint="default"/>
                      <w:b/>
                      <w:bCs/>
                      <w:color w:val="auto"/>
                      <w:highlight w:val="none"/>
                    </w:rPr>
                  </w:pPr>
                  <w:r>
                    <w:rPr>
                      <w:rFonts w:hint="default"/>
                      <w:b/>
                      <w:bCs/>
                      <w:color w:val="auto"/>
                      <w:highlight w:val="none"/>
                    </w:rPr>
                    <w:t>排</w:t>
                  </w:r>
                  <w:r>
                    <w:rPr>
                      <w:rFonts w:hint="eastAsia"/>
                      <w:b/>
                      <w:bCs/>
                      <w:color w:val="auto"/>
                      <w:highlight w:val="none"/>
                      <w:lang w:eastAsia="zh-CN"/>
                    </w:rPr>
                    <w:t>放</w:t>
                  </w:r>
                  <w:r>
                    <w:rPr>
                      <w:rFonts w:hint="default"/>
                      <w:b/>
                      <w:bCs/>
                      <w:color w:val="auto"/>
                      <w:highlight w:val="none"/>
                    </w:rPr>
                    <w:t>量（</w:t>
                  </w:r>
                  <w:r>
                    <w:rPr>
                      <w:rFonts w:hint="eastAsia"/>
                      <w:b/>
                      <w:bCs/>
                      <w:color w:val="auto"/>
                      <w:highlight w:val="none"/>
                      <w:lang w:val="en-US" w:eastAsia="zh-CN"/>
                    </w:rPr>
                    <w:t>t</w:t>
                  </w:r>
                  <w:r>
                    <w:rPr>
                      <w:rFonts w:hint="default"/>
                      <w:b/>
                      <w:bCs/>
                      <w:color w:val="auto"/>
                      <w:highlight w:val="none"/>
                    </w:rPr>
                    <w:t>/</w:t>
                  </w:r>
                  <w:r>
                    <w:rPr>
                      <w:rFonts w:hint="eastAsia"/>
                      <w:b/>
                      <w:bCs/>
                      <w:color w:val="auto"/>
                      <w:highlight w:val="none"/>
                      <w:lang w:val="en-US" w:eastAsia="zh-CN"/>
                    </w:rPr>
                    <w:t>a</w:t>
                  </w:r>
                  <w:r>
                    <w:rPr>
                      <w:rFonts w:hint="default"/>
                      <w:b/>
                      <w:bCs/>
                      <w:color w:val="auto"/>
                      <w:highlight w:val="none"/>
                    </w:rPr>
                    <w:t>）</w:t>
                  </w:r>
                </w:p>
              </w:tc>
              <w:tc>
                <w:tcPr>
                  <w:tcW w:w="653" w:type="dxa"/>
                  <w:noWrap w:val="0"/>
                  <w:vAlign w:val="center"/>
                </w:tcPr>
                <w:p w14:paraId="26C7EF87">
                  <w:pPr>
                    <w:jc w:val="center"/>
                    <w:rPr>
                      <w:rFonts w:hint="default"/>
                      <w:b/>
                      <w:bCs/>
                      <w:color w:val="auto"/>
                      <w:highlight w:val="none"/>
                      <w:lang w:val="en-US" w:eastAsia="zh-CN"/>
                    </w:rPr>
                  </w:pPr>
                  <w:r>
                    <w:rPr>
                      <w:rFonts w:hint="eastAsia"/>
                      <w:b/>
                      <w:bCs/>
                      <w:color w:val="auto"/>
                      <w:highlight w:val="none"/>
                      <w:lang w:eastAsia="zh-CN"/>
                    </w:rPr>
                    <w:t>排放时间</w:t>
                  </w:r>
                  <w:r>
                    <w:rPr>
                      <w:rFonts w:hint="eastAsia"/>
                      <w:b/>
                      <w:bCs/>
                      <w:color w:val="auto"/>
                      <w:highlight w:val="none"/>
                      <w:lang w:val="en-US" w:eastAsia="zh-CN"/>
                    </w:rPr>
                    <w:t>h</w:t>
                  </w:r>
                </w:p>
              </w:tc>
            </w:tr>
            <w:tr w14:paraId="641B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464" w:type="dxa"/>
                  <w:vMerge w:val="restart"/>
                  <w:noWrap w:val="0"/>
                  <w:vAlign w:val="center"/>
                </w:tcPr>
                <w:p w14:paraId="52085546">
                  <w:pPr>
                    <w:spacing w:line="214" w:lineRule="exact"/>
                    <w:ind w:right="113"/>
                    <w:jc w:val="center"/>
                    <w:rPr>
                      <w:rFonts w:hint="eastAsia"/>
                      <w:color w:val="auto"/>
                      <w:highlight w:val="none"/>
                      <w:lang w:val="en-US" w:eastAsia="zh-CN"/>
                    </w:rPr>
                  </w:pPr>
                  <w:r>
                    <w:rPr>
                      <w:rFonts w:hint="eastAsia"/>
                      <w:color w:val="auto"/>
                      <w:highlight w:val="none"/>
                      <w:lang w:val="en-US" w:eastAsia="zh-CN"/>
                    </w:rPr>
                    <w:t>生产加工生</w:t>
                  </w:r>
                </w:p>
                <w:p w14:paraId="43DD23EF">
                  <w:pPr>
                    <w:spacing w:line="214" w:lineRule="exact"/>
                    <w:ind w:right="113"/>
                    <w:jc w:val="center"/>
                    <w:rPr>
                      <w:rFonts w:hint="eastAsia"/>
                      <w:color w:val="auto"/>
                      <w:highlight w:val="none"/>
                      <w:lang w:val="en-US" w:eastAsia="zh-CN"/>
                    </w:rPr>
                  </w:pPr>
                  <w:r>
                    <w:rPr>
                      <w:rFonts w:hint="eastAsia"/>
                      <w:color w:val="auto"/>
                      <w:highlight w:val="none"/>
                      <w:lang w:val="en-US" w:eastAsia="zh-CN"/>
                    </w:rPr>
                    <w:t>产</w:t>
                  </w:r>
                </w:p>
                <w:p w14:paraId="1F57B9E8">
                  <w:pPr>
                    <w:spacing w:line="214" w:lineRule="exact"/>
                    <w:ind w:right="113"/>
                    <w:jc w:val="center"/>
                    <w:rPr>
                      <w:rFonts w:hint="default"/>
                      <w:color w:val="auto"/>
                      <w:highlight w:val="none"/>
                    </w:rPr>
                  </w:pPr>
                  <w:r>
                    <w:rPr>
                      <w:rFonts w:hint="eastAsia"/>
                      <w:color w:val="auto"/>
                      <w:highlight w:val="none"/>
                      <w:lang w:val="en-US" w:eastAsia="zh-CN"/>
                    </w:rPr>
                    <w:t>线</w:t>
                  </w:r>
                </w:p>
              </w:tc>
              <w:tc>
                <w:tcPr>
                  <w:tcW w:w="860" w:type="dxa"/>
                  <w:noWrap w:val="0"/>
                  <w:vAlign w:val="center"/>
                </w:tcPr>
                <w:p w14:paraId="03AAA44E">
                  <w:pPr>
                    <w:spacing w:line="240" w:lineRule="auto"/>
                    <w:jc w:val="center"/>
                    <w:rPr>
                      <w:rFonts w:hint="default"/>
                      <w:color w:val="auto"/>
                      <w:highlight w:val="none"/>
                      <w:lang w:val="en-US" w:eastAsia="zh-CN"/>
                    </w:rPr>
                  </w:pPr>
                  <w:r>
                    <w:rPr>
                      <w:rFonts w:hint="eastAsia"/>
                      <w:b w:val="0"/>
                      <w:bCs/>
                      <w:color w:val="auto"/>
                      <w:sz w:val="21"/>
                      <w:szCs w:val="21"/>
                      <w:lang w:val="en-US" w:eastAsia="zh-CN"/>
                    </w:rPr>
                    <w:t>原料堆放、装卸</w:t>
                  </w:r>
                </w:p>
              </w:tc>
              <w:tc>
                <w:tcPr>
                  <w:tcW w:w="775" w:type="dxa"/>
                  <w:noWrap w:val="0"/>
                  <w:vAlign w:val="center"/>
                </w:tcPr>
                <w:p w14:paraId="4992C0C0">
                  <w:pPr>
                    <w:pStyle w:val="91"/>
                    <w:spacing w:before="121"/>
                    <w:ind w:left="58" w:leftChars="0"/>
                    <w:jc w:val="center"/>
                    <w:rPr>
                      <w:rFonts w:hint="eastAsia" w:eastAsia="宋体"/>
                      <w:color w:val="auto"/>
                      <w:highlight w:val="none"/>
                      <w:lang w:eastAsia="zh-CN"/>
                    </w:rPr>
                  </w:pPr>
                  <w:r>
                    <w:rPr>
                      <w:rFonts w:hint="default" w:ascii="Times New Roman" w:hAnsi="Times New Roman" w:cs="Times New Roman"/>
                      <w:color w:val="auto"/>
                      <w:highlight w:val="none"/>
                      <w:lang w:eastAsia="zh-CN"/>
                    </w:rPr>
                    <w:t>无组织排放</w:t>
                  </w:r>
                </w:p>
              </w:tc>
              <w:tc>
                <w:tcPr>
                  <w:tcW w:w="489" w:type="dxa"/>
                  <w:noWrap w:val="0"/>
                  <w:vAlign w:val="center"/>
                </w:tcPr>
                <w:p w14:paraId="40EF42BC">
                  <w:pPr>
                    <w:spacing w:line="214" w:lineRule="exact"/>
                    <w:ind w:right="113"/>
                    <w:jc w:val="center"/>
                    <w:rPr>
                      <w:rFonts w:hint="default"/>
                      <w:color w:val="auto"/>
                      <w:highlight w:val="none"/>
                    </w:rPr>
                  </w:pPr>
                </w:p>
                <w:p w14:paraId="24573E58">
                  <w:pPr>
                    <w:spacing w:line="214" w:lineRule="exact"/>
                    <w:ind w:right="113"/>
                    <w:jc w:val="center"/>
                    <w:rPr>
                      <w:rFonts w:hint="default"/>
                      <w:color w:val="auto"/>
                      <w:highlight w:val="none"/>
                    </w:rPr>
                  </w:pPr>
                  <w:r>
                    <w:rPr>
                      <w:rFonts w:hint="default"/>
                      <w:color w:val="auto"/>
                      <w:highlight w:val="none"/>
                    </w:rPr>
                    <w:t>颗粒物</w:t>
                  </w:r>
                </w:p>
              </w:tc>
              <w:tc>
                <w:tcPr>
                  <w:tcW w:w="944" w:type="dxa"/>
                  <w:noWrap w:val="0"/>
                  <w:vAlign w:val="center"/>
                </w:tcPr>
                <w:p w14:paraId="36F2D7D0">
                  <w:pPr>
                    <w:jc w:val="center"/>
                    <w:rPr>
                      <w:rFonts w:hint="default"/>
                      <w:color w:val="auto"/>
                      <w:highlight w:val="none"/>
                      <w:lang w:val="en-US" w:eastAsia="zh-CN"/>
                    </w:rPr>
                  </w:pPr>
                </w:p>
                <w:p w14:paraId="3208C694">
                  <w:pPr>
                    <w:jc w:val="center"/>
                    <w:rPr>
                      <w:rFonts w:hint="default"/>
                      <w:color w:val="auto"/>
                      <w:highlight w:val="none"/>
                      <w:lang w:val="en-US" w:eastAsia="zh-CN"/>
                    </w:rPr>
                  </w:pPr>
                  <w:r>
                    <w:rPr>
                      <w:rFonts w:hint="eastAsia"/>
                      <w:color w:val="auto"/>
                      <w:highlight w:val="none"/>
                      <w:lang w:val="en-US" w:eastAsia="zh-CN"/>
                    </w:rPr>
                    <w:t>经验公式法</w:t>
                  </w:r>
                </w:p>
              </w:tc>
              <w:tc>
                <w:tcPr>
                  <w:tcW w:w="1022" w:type="dxa"/>
                  <w:tcBorders>
                    <w:top w:val="single" w:color="auto" w:sz="4" w:space="0"/>
                  </w:tcBorders>
                  <w:noWrap w:val="0"/>
                  <w:vAlign w:val="center"/>
                </w:tcPr>
                <w:p w14:paraId="23409EDA">
                  <w:pPr>
                    <w:pStyle w:val="13"/>
                    <w:jc w:val="center"/>
                    <w:rPr>
                      <w:rFonts w:hint="default"/>
                      <w:color w:val="auto"/>
                      <w:highlight w:val="none"/>
                      <w:lang w:val="en-US" w:eastAsia="zh-CN"/>
                    </w:rPr>
                  </w:pPr>
                  <w:r>
                    <w:rPr>
                      <w:rFonts w:hint="default"/>
                      <w:color w:val="auto"/>
                      <w:highlight w:val="none"/>
                      <w:lang w:val="en-US" w:eastAsia="zh-CN"/>
                    </w:rPr>
                    <w:t>/</w:t>
                  </w:r>
                </w:p>
              </w:tc>
              <w:tc>
                <w:tcPr>
                  <w:tcW w:w="978" w:type="dxa"/>
                  <w:tcBorders>
                    <w:top w:val="single" w:color="auto" w:sz="4" w:space="0"/>
                  </w:tcBorders>
                  <w:noWrap w:val="0"/>
                  <w:vAlign w:val="center"/>
                </w:tcPr>
                <w:p w14:paraId="0A6D02E9">
                  <w:pPr>
                    <w:jc w:val="center"/>
                    <w:rPr>
                      <w:rFonts w:hint="default"/>
                      <w:color w:val="auto"/>
                      <w:highlight w:val="none"/>
                      <w:lang w:val="en-US" w:eastAsia="zh-CN"/>
                    </w:rPr>
                  </w:pPr>
                  <w:r>
                    <w:rPr>
                      <w:rFonts w:hint="default"/>
                      <w:color w:val="auto"/>
                      <w:highlight w:val="none"/>
                      <w:lang w:val="en-US" w:eastAsia="zh-CN"/>
                    </w:rPr>
                    <w:t>/</w:t>
                  </w:r>
                </w:p>
              </w:tc>
              <w:tc>
                <w:tcPr>
                  <w:tcW w:w="1132" w:type="dxa"/>
                  <w:tcBorders>
                    <w:top w:val="single" w:color="auto" w:sz="4" w:space="0"/>
                  </w:tcBorders>
                  <w:noWrap w:val="0"/>
                  <w:vAlign w:val="center"/>
                </w:tcPr>
                <w:p w14:paraId="161FBCF8">
                  <w:pPr>
                    <w:pStyle w:val="91"/>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0.053</w:t>
                  </w:r>
                </w:p>
              </w:tc>
              <w:tc>
                <w:tcPr>
                  <w:tcW w:w="1665" w:type="dxa"/>
                  <w:noWrap w:val="0"/>
                  <w:vAlign w:val="center"/>
                </w:tcPr>
                <w:p w14:paraId="48806731">
                  <w:pPr>
                    <w:jc w:val="center"/>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1"/>
                      <w:szCs w:val="21"/>
                      <w:lang w:val="en-US" w:eastAsia="zh-CN" w:bidi="ar"/>
                    </w:rPr>
                    <w:t>生产车间内</w:t>
                  </w: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原料堆放区，半封闭结构；设置废料堆放棚，不露天堆放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严禁物料堆放高度超出堆场隔墙，</w:t>
                  </w:r>
                  <w:r>
                    <w:rPr>
                      <w:rFonts w:hint="default" w:ascii="Times New Roman" w:hAnsi="Times New Roman" w:eastAsia="宋体" w:cs="Times New Roman"/>
                      <w:color w:val="auto"/>
                      <w:sz w:val="21"/>
                      <w:szCs w:val="21"/>
                    </w:rPr>
                    <w:t>缩短堆放时间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厂区硬化，定期清扫、洒水降尘</w:t>
                  </w:r>
                  <w:r>
                    <w:rPr>
                      <w:rFonts w:hint="eastAsia" w:ascii="Times New Roman" w:hAnsi="Times New Roman" w:eastAsia="宋体" w:cs="Times New Roman"/>
                      <w:color w:val="auto"/>
                      <w:sz w:val="21"/>
                      <w:szCs w:val="21"/>
                      <w:lang w:val="en-US" w:eastAsia="zh-CN"/>
                    </w:rPr>
                    <w:t>；运输车斗采用</w:t>
                  </w:r>
                  <w:r>
                    <w:rPr>
                      <w:rFonts w:hint="default" w:ascii="Times New Roman" w:hAnsi="Times New Roman" w:eastAsia="宋体" w:cs="Times New Roman"/>
                      <w:color w:val="auto"/>
                      <w:sz w:val="21"/>
                      <w:szCs w:val="21"/>
                    </w:rPr>
                    <w:t>苫布覆盖</w:t>
                  </w:r>
                </w:p>
              </w:tc>
              <w:tc>
                <w:tcPr>
                  <w:tcW w:w="889" w:type="dxa"/>
                  <w:noWrap w:val="0"/>
                  <w:vAlign w:val="center"/>
                </w:tcPr>
                <w:p w14:paraId="14ED13DA">
                  <w:pPr>
                    <w:pStyle w:val="91"/>
                    <w:jc w:val="center"/>
                    <w:rPr>
                      <w:rFonts w:hint="default" w:ascii="Times New Roman" w:hAnsi="Times New Roman" w:cs="Times New Roman"/>
                      <w:color w:val="auto"/>
                      <w:highlight w:val="yellow"/>
                      <w:lang w:val="en-US" w:eastAsia="zh-CN"/>
                    </w:rPr>
                  </w:pPr>
                  <w:r>
                    <w:rPr>
                      <w:rFonts w:hint="eastAsia" w:ascii="Times New Roman" w:hAnsi="Times New Roman" w:cs="Times New Roman"/>
                      <w:b w:val="0"/>
                      <w:bCs w:val="0"/>
                      <w:color w:val="auto"/>
                      <w:sz w:val="21"/>
                      <w:szCs w:val="21"/>
                      <w:highlight w:val="none"/>
                      <w:lang w:val="en-US" w:eastAsia="zh-CN"/>
                    </w:rPr>
                    <w:t>99.8%</w:t>
                  </w:r>
                </w:p>
              </w:tc>
              <w:tc>
                <w:tcPr>
                  <w:tcW w:w="686" w:type="dxa"/>
                  <w:noWrap w:val="0"/>
                  <w:vAlign w:val="center"/>
                </w:tcPr>
                <w:p w14:paraId="31BDFFAE">
                  <w:pPr>
                    <w:jc w:val="center"/>
                    <w:rPr>
                      <w:rFonts w:hint="default"/>
                      <w:color w:val="auto"/>
                      <w:highlight w:val="none"/>
                      <w:lang w:val="en-US" w:eastAsia="zh-CN"/>
                    </w:rPr>
                  </w:pPr>
                </w:p>
                <w:p w14:paraId="77B0618D">
                  <w:pPr>
                    <w:jc w:val="center"/>
                    <w:rPr>
                      <w:rFonts w:hint="eastAsia"/>
                      <w:color w:val="auto"/>
                      <w:highlight w:val="yellow"/>
                      <w:lang w:val="en-US" w:eastAsia="zh-CN"/>
                    </w:rPr>
                  </w:pPr>
                  <w:r>
                    <w:rPr>
                      <w:rFonts w:hint="eastAsia"/>
                      <w:color w:val="auto"/>
                      <w:highlight w:val="none"/>
                      <w:lang w:val="en-US" w:eastAsia="zh-CN"/>
                    </w:rPr>
                    <w:t>经验公式法</w:t>
                  </w:r>
                </w:p>
              </w:tc>
              <w:tc>
                <w:tcPr>
                  <w:tcW w:w="940" w:type="dxa"/>
                  <w:noWrap w:val="0"/>
                  <w:vAlign w:val="center"/>
                </w:tcPr>
                <w:p w14:paraId="6DAD42CA">
                  <w:pPr>
                    <w:jc w:val="center"/>
                    <w:rPr>
                      <w:rFonts w:hint="eastAsia"/>
                      <w:color w:val="auto"/>
                      <w:highlight w:val="yellow"/>
                      <w:lang w:val="en-US" w:eastAsia="zh-CN"/>
                    </w:rPr>
                  </w:pPr>
                  <w:r>
                    <w:rPr>
                      <w:rFonts w:hint="default"/>
                      <w:color w:val="auto"/>
                      <w:highlight w:val="none"/>
                      <w:lang w:val="en-US" w:eastAsia="zh-CN"/>
                    </w:rPr>
                    <w:t>/</w:t>
                  </w:r>
                </w:p>
              </w:tc>
              <w:tc>
                <w:tcPr>
                  <w:tcW w:w="940" w:type="dxa"/>
                  <w:noWrap w:val="0"/>
                  <w:vAlign w:val="center"/>
                </w:tcPr>
                <w:p w14:paraId="0297EAB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787" w:type="dxa"/>
                  <w:noWrap w:val="0"/>
                  <w:vAlign w:val="center"/>
                </w:tcPr>
                <w:p w14:paraId="6267C1AC">
                  <w:pPr>
                    <w:pStyle w:val="91"/>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0.0007</w:t>
                  </w:r>
                </w:p>
              </w:tc>
              <w:tc>
                <w:tcPr>
                  <w:tcW w:w="653" w:type="dxa"/>
                  <w:noWrap w:val="0"/>
                  <w:vAlign w:val="center"/>
                </w:tcPr>
                <w:p w14:paraId="47200313">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1600</w:t>
                  </w:r>
                </w:p>
              </w:tc>
            </w:tr>
            <w:tr w14:paraId="03E5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7" w:hRule="atLeast"/>
              </w:trPr>
              <w:tc>
                <w:tcPr>
                  <w:tcW w:w="464" w:type="dxa"/>
                  <w:vMerge w:val="continue"/>
                  <w:noWrap w:val="0"/>
                  <w:vAlign w:val="center"/>
                </w:tcPr>
                <w:p w14:paraId="177D0B79">
                  <w:pPr>
                    <w:pStyle w:val="91"/>
                    <w:jc w:val="center"/>
                    <w:rPr>
                      <w:rFonts w:hint="default"/>
                      <w:color w:val="auto"/>
                      <w:highlight w:val="yellow"/>
                      <w:lang w:val="en-US" w:eastAsia="zh-CN"/>
                    </w:rPr>
                  </w:pPr>
                </w:p>
              </w:tc>
              <w:tc>
                <w:tcPr>
                  <w:tcW w:w="860" w:type="dxa"/>
                  <w:vMerge w:val="restart"/>
                  <w:noWrap w:val="0"/>
                  <w:vAlign w:val="center"/>
                </w:tcPr>
                <w:p w14:paraId="46C26780">
                  <w:pPr>
                    <w:spacing w:line="240" w:lineRule="auto"/>
                    <w:jc w:val="center"/>
                    <w:rPr>
                      <w:rFonts w:hint="default" w:ascii="Times New Roman" w:hAnsi="Times New Roman" w:cs="Times New Roman"/>
                      <w:color w:val="auto"/>
                      <w:sz w:val="21"/>
                      <w:szCs w:val="21"/>
                      <w:highlight w:val="yellow"/>
                      <w:lang w:val="en-US" w:eastAsia="zh-CN"/>
                    </w:rPr>
                  </w:pPr>
                  <w:r>
                    <w:rPr>
                      <w:rFonts w:hint="eastAsia"/>
                      <w:bCs/>
                      <w:color w:val="auto"/>
                      <w:sz w:val="21"/>
                      <w:szCs w:val="21"/>
                      <w:lang w:val="en-US" w:eastAsia="zh-CN"/>
                    </w:rPr>
                    <w:t>脱壳、振动筛分等工序</w:t>
                  </w:r>
                </w:p>
              </w:tc>
              <w:tc>
                <w:tcPr>
                  <w:tcW w:w="775" w:type="dxa"/>
                  <w:vMerge w:val="restart"/>
                  <w:noWrap w:val="0"/>
                  <w:vAlign w:val="center"/>
                </w:tcPr>
                <w:p w14:paraId="0FDA4D8C">
                  <w:pPr>
                    <w:pStyle w:val="91"/>
                    <w:spacing w:before="121"/>
                    <w:ind w:left="58" w:leftChars="0"/>
                    <w:jc w:val="center"/>
                    <w:rPr>
                      <w:rFonts w:hint="default"/>
                      <w:color w:val="auto"/>
                      <w:highlight w:val="none"/>
                      <w:lang w:val="en-US" w:eastAsia="zh-CN"/>
                    </w:rPr>
                  </w:pPr>
                  <w:r>
                    <w:rPr>
                      <w:rFonts w:hint="eastAsia"/>
                      <w:color w:val="auto"/>
                      <w:highlight w:val="none"/>
                      <w:lang w:val="en-US" w:eastAsia="zh-CN"/>
                    </w:rPr>
                    <w:t>无组织排放</w:t>
                  </w:r>
                </w:p>
              </w:tc>
              <w:tc>
                <w:tcPr>
                  <w:tcW w:w="489" w:type="dxa"/>
                  <w:vMerge w:val="restart"/>
                  <w:noWrap w:val="0"/>
                  <w:vAlign w:val="center"/>
                </w:tcPr>
                <w:p w14:paraId="568C2ED7">
                  <w:pPr>
                    <w:pStyle w:val="91"/>
                    <w:spacing w:before="1" w:line="213" w:lineRule="exact"/>
                    <w:ind w:right="113" w:rightChars="0"/>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颗粒物</w:t>
                  </w:r>
                </w:p>
              </w:tc>
              <w:tc>
                <w:tcPr>
                  <w:tcW w:w="944" w:type="dxa"/>
                  <w:vMerge w:val="restart"/>
                  <w:noWrap w:val="0"/>
                  <w:vAlign w:val="center"/>
                </w:tcPr>
                <w:p w14:paraId="6F1448F8">
                  <w:pPr>
                    <w:pStyle w:val="91"/>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产污系数法</w:t>
                  </w:r>
                </w:p>
                <w:p w14:paraId="60F80D20">
                  <w:pPr>
                    <w:pStyle w:val="91"/>
                    <w:jc w:val="center"/>
                    <w:rPr>
                      <w:rFonts w:hint="default"/>
                      <w:color w:val="auto"/>
                      <w:highlight w:val="none"/>
                      <w:lang w:val="en-US" w:eastAsia="zh-CN"/>
                    </w:rPr>
                  </w:pPr>
                  <w:r>
                    <w:rPr>
                      <w:rFonts w:hint="eastAsia" w:ascii="Times New Roman" w:hAnsi="Times New Roman" w:cs="Times New Roman"/>
                      <w:color w:val="auto"/>
                      <w:kern w:val="0"/>
                      <w:sz w:val="21"/>
                      <w:szCs w:val="21"/>
                      <w:lang w:val="en-US" w:eastAsia="zh-CN"/>
                    </w:rPr>
                    <w:t>1.2</w:t>
                  </w:r>
                  <w:r>
                    <w:rPr>
                      <w:rFonts w:hint="default" w:ascii="Arial" w:hAnsi="Arial" w:cs="Arial"/>
                      <w:color w:val="auto"/>
                      <w:kern w:val="0"/>
                      <w:sz w:val="21"/>
                      <w:szCs w:val="21"/>
                      <w:lang w:val="en-US" w:eastAsia="zh-CN"/>
                    </w:rPr>
                    <w:t>×</w:t>
                  </w:r>
                  <w:r>
                    <w:rPr>
                      <w:rFonts w:hint="eastAsia" w:ascii="Times New Roman" w:hAnsi="Times New Roman" w:cs="Times New Roman"/>
                      <w:color w:val="auto"/>
                      <w:kern w:val="0"/>
                      <w:sz w:val="21"/>
                      <w:szCs w:val="21"/>
                      <w:lang w:val="en-US" w:eastAsia="zh-CN"/>
                    </w:rPr>
                    <w:t>10</w:t>
                  </w:r>
                  <w:r>
                    <w:rPr>
                      <w:rFonts w:hint="eastAsia"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rPr>
                    <w:t>克/吨-产品</w:t>
                  </w:r>
                </w:p>
              </w:tc>
              <w:tc>
                <w:tcPr>
                  <w:tcW w:w="1022" w:type="dxa"/>
                  <w:vMerge w:val="restart"/>
                  <w:noWrap w:val="0"/>
                  <w:vAlign w:val="center"/>
                </w:tcPr>
                <w:p w14:paraId="2DEFE92D">
                  <w:pPr>
                    <w:spacing w:before="1" w:line="213" w:lineRule="exact"/>
                    <w:ind w:right="113" w:rightChars="0"/>
                    <w:jc w:val="center"/>
                    <w:rPr>
                      <w:rFonts w:hint="default"/>
                      <w:color w:val="auto"/>
                      <w:highlight w:val="yellow"/>
                      <w:lang w:val="en-US" w:eastAsia="zh-CN"/>
                    </w:rPr>
                  </w:pPr>
                  <w:r>
                    <w:rPr>
                      <w:rFonts w:hint="eastAsia" w:ascii="Times New Roman" w:hAnsi="Times New Roman" w:cs="Times New Roman"/>
                      <w:color w:val="auto"/>
                      <w:sz w:val="21"/>
                      <w:szCs w:val="21"/>
                      <w:lang w:val="en-US" w:eastAsia="zh-CN"/>
                    </w:rPr>
                    <w:t>600</w:t>
                  </w:r>
                </w:p>
              </w:tc>
              <w:tc>
                <w:tcPr>
                  <w:tcW w:w="978" w:type="dxa"/>
                  <w:vMerge w:val="restart"/>
                  <w:noWrap w:val="0"/>
                  <w:vAlign w:val="center"/>
                </w:tcPr>
                <w:p w14:paraId="4D90350C">
                  <w:pPr>
                    <w:keepNext w:val="0"/>
                    <w:keepLines w:val="0"/>
                    <w:widowControl/>
                    <w:suppressLineNumbers w:val="0"/>
                    <w:jc w:val="center"/>
                    <w:textAlignment w:val="center"/>
                    <w:rPr>
                      <w:rFonts w:hint="default"/>
                      <w:color w:val="auto"/>
                      <w:highlight w:val="none"/>
                      <w:lang w:val="en-US" w:eastAsia="zh-CN"/>
                    </w:rPr>
                  </w:pPr>
                  <w:r>
                    <w:rPr>
                      <w:rFonts w:hint="eastAsia" w:ascii="Times New Roman" w:hAnsi="Times New Roman" w:eastAsia="宋体" w:cs="Times New Roman"/>
                      <w:color w:val="auto"/>
                      <w:spacing w:val="-3"/>
                      <w:position w:val="2"/>
                      <w:sz w:val="21"/>
                      <w:szCs w:val="21"/>
                      <w:highlight w:val="none"/>
                      <w:lang w:val="en-US" w:eastAsia="zh-CN"/>
                    </w:rPr>
                    <w:t>40</w:t>
                  </w:r>
                </w:p>
              </w:tc>
              <w:tc>
                <w:tcPr>
                  <w:tcW w:w="1132" w:type="dxa"/>
                  <w:vMerge w:val="restart"/>
                  <w:noWrap w:val="0"/>
                  <w:vAlign w:val="center"/>
                </w:tcPr>
                <w:p w14:paraId="27F47D2E">
                  <w:pPr>
                    <w:jc w:val="center"/>
                    <w:rPr>
                      <w:rFonts w:hint="default" w:ascii="Times New Roman" w:hAnsi="Times New Roman" w:eastAsia="宋体" w:cs="Times New Roman"/>
                      <w:b w:val="0"/>
                      <w:bCs w:val="0"/>
                      <w:color w:val="auto"/>
                      <w:spacing w:val="-4"/>
                      <w:sz w:val="21"/>
                      <w:szCs w:val="21"/>
                      <w:highlight w:val="none"/>
                      <w:lang w:val="en-US" w:eastAsia="zh-CN"/>
                    </w:rPr>
                  </w:pPr>
                  <w:r>
                    <w:rPr>
                      <w:rFonts w:hint="eastAsia" w:ascii="Times New Roman" w:hAnsi="Times New Roman" w:eastAsia="宋体" w:cs="Times New Roman"/>
                      <w:b w:val="0"/>
                      <w:bCs w:val="0"/>
                      <w:color w:val="auto"/>
                      <w:spacing w:val="-4"/>
                      <w:sz w:val="21"/>
                      <w:szCs w:val="21"/>
                      <w:highlight w:val="none"/>
                      <w:lang w:val="en-US" w:eastAsia="zh-CN"/>
                    </w:rPr>
                    <w:t>0.24</w:t>
                  </w:r>
                </w:p>
              </w:tc>
              <w:tc>
                <w:tcPr>
                  <w:tcW w:w="1665" w:type="dxa"/>
                  <w:noWrap w:val="0"/>
                  <w:vAlign w:val="center"/>
                </w:tcPr>
                <w:p w14:paraId="755B28C4">
                  <w:pPr>
                    <w:pStyle w:val="91"/>
                    <w:jc w:val="center"/>
                    <w:rPr>
                      <w:rFonts w:hint="default"/>
                      <w:color w:val="auto"/>
                      <w:highlight w:val="none"/>
                      <w:lang w:val="en-US" w:eastAsia="zh-CN"/>
                    </w:rPr>
                  </w:pPr>
                  <w:r>
                    <w:rPr>
                      <w:rFonts w:hint="eastAsia" w:eastAsia="宋体"/>
                      <w:color w:val="auto"/>
                      <w:szCs w:val="21"/>
                      <w:lang w:val="en-US" w:eastAsia="zh-CN"/>
                    </w:rPr>
                    <w:t>3台开口设备自带1套布袋除尘器，集气效率90%，除尘效率不低于98%，同时在排气口末端设置布袋二级除尘，总的除尘效率可达99.96%。</w:t>
                  </w:r>
                </w:p>
              </w:tc>
              <w:tc>
                <w:tcPr>
                  <w:tcW w:w="889" w:type="dxa"/>
                  <w:vMerge w:val="restart"/>
                  <w:noWrap w:val="0"/>
                  <w:vAlign w:val="center"/>
                </w:tcPr>
                <w:p w14:paraId="25659661">
                  <w:pPr>
                    <w:pStyle w:val="91"/>
                    <w:jc w:val="both"/>
                    <w:rPr>
                      <w:rFonts w:hint="default"/>
                      <w:color w:val="auto"/>
                      <w:highlight w:val="none"/>
                      <w:lang w:val="en-US" w:eastAsia="zh-CN"/>
                    </w:rPr>
                  </w:pPr>
                  <w:r>
                    <w:rPr>
                      <w:rFonts w:hint="eastAsia" w:eastAsia="宋体"/>
                      <w:color w:val="auto"/>
                      <w:szCs w:val="21"/>
                      <w:lang w:val="en-US" w:eastAsia="zh-CN"/>
                    </w:rPr>
                    <w:t>集气效率90%，除尘效率不低于99.96%</w:t>
                  </w:r>
                </w:p>
              </w:tc>
              <w:tc>
                <w:tcPr>
                  <w:tcW w:w="686" w:type="dxa"/>
                  <w:vMerge w:val="restart"/>
                  <w:noWrap w:val="0"/>
                  <w:vAlign w:val="center"/>
                </w:tcPr>
                <w:p w14:paraId="1C8DA59C">
                  <w:pPr>
                    <w:pStyle w:val="91"/>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产污系数法</w:t>
                  </w:r>
                </w:p>
                <w:p w14:paraId="6C9F0FE6">
                  <w:pPr>
                    <w:jc w:val="center"/>
                    <w:rPr>
                      <w:rFonts w:hint="default"/>
                      <w:color w:val="auto"/>
                      <w:highlight w:val="yellow"/>
                      <w:lang w:val="en-US" w:eastAsia="zh-CN"/>
                    </w:rPr>
                  </w:pPr>
                </w:p>
              </w:tc>
              <w:tc>
                <w:tcPr>
                  <w:tcW w:w="940" w:type="dxa"/>
                  <w:vMerge w:val="restart"/>
                  <w:noWrap w:val="0"/>
                  <w:vAlign w:val="center"/>
                </w:tcPr>
                <w:p w14:paraId="032DD336">
                  <w:pPr>
                    <w:jc w:val="center"/>
                    <w:rPr>
                      <w:rFonts w:hint="default"/>
                      <w:color w:val="auto"/>
                      <w:highlight w:val="yellow"/>
                      <w:lang w:val="en-US" w:eastAsia="zh-CN"/>
                    </w:rPr>
                  </w:pPr>
                  <w:r>
                    <w:rPr>
                      <w:rFonts w:hint="eastAsia" w:ascii="Times New Roman" w:hAnsi="Times New Roman" w:cs="Times New Roman"/>
                      <w:color w:val="auto"/>
                      <w:sz w:val="21"/>
                      <w:szCs w:val="21"/>
                      <w:lang w:val="en-US" w:eastAsia="zh-CN"/>
                    </w:rPr>
                    <w:t>/</w:t>
                  </w:r>
                </w:p>
              </w:tc>
              <w:tc>
                <w:tcPr>
                  <w:tcW w:w="940" w:type="dxa"/>
                  <w:vMerge w:val="restart"/>
                  <w:noWrap w:val="0"/>
                  <w:vAlign w:val="center"/>
                </w:tcPr>
                <w:p w14:paraId="539F3A96">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pacing w:val="-3"/>
                      <w:position w:val="2"/>
                      <w:sz w:val="21"/>
                      <w:szCs w:val="21"/>
                      <w:highlight w:val="none"/>
                      <w:lang w:val="en-US" w:eastAsia="zh-CN"/>
                    </w:rPr>
                    <w:t>/</w:t>
                  </w:r>
                </w:p>
              </w:tc>
              <w:tc>
                <w:tcPr>
                  <w:tcW w:w="787" w:type="dxa"/>
                  <w:vMerge w:val="restart"/>
                  <w:noWrap w:val="0"/>
                  <w:vAlign w:val="center"/>
                </w:tcPr>
                <w:p w14:paraId="4D42F36D">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pacing w:val="-3"/>
                      <w:position w:val="2"/>
                      <w:sz w:val="21"/>
                      <w:szCs w:val="21"/>
                      <w:highlight w:val="none"/>
                      <w:lang w:val="en-US" w:eastAsia="zh-CN"/>
                    </w:rPr>
                    <w:t>0.0241</w:t>
                  </w:r>
                </w:p>
              </w:tc>
              <w:tc>
                <w:tcPr>
                  <w:tcW w:w="653" w:type="dxa"/>
                  <w:vMerge w:val="restart"/>
                  <w:noWrap w:val="0"/>
                  <w:vAlign w:val="center"/>
                </w:tcPr>
                <w:p w14:paraId="3A0901B7">
                  <w:pPr>
                    <w:pStyle w:val="91"/>
                    <w:jc w:val="center"/>
                    <w:rPr>
                      <w:rFonts w:hint="default"/>
                      <w:color w:val="auto"/>
                      <w:highlight w:val="none"/>
                      <w:lang w:val="en-US" w:eastAsia="zh-CN"/>
                    </w:rPr>
                  </w:pPr>
                  <w:r>
                    <w:rPr>
                      <w:rFonts w:hint="eastAsia"/>
                      <w:color w:val="auto"/>
                      <w:highlight w:val="none"/>
                      <w:lang w:val="en-US" w:eastAsia="zh-CN"/>
                    </w:rPr>
                    <w:t>1600</w:t>
                  </w:r>
                </w:p>
              </w:tc>
            </w:tr>
            <w:tr w14:paraId="6C6F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trPr>
              <w:tc>
                <w:tcPr>
                  <w:tcW w:w="464" w:type="dxa"/>
                  <w:vMerge w:val="continue"/>
                  <w:noWrap w:val="0"/>
                  <w:vAlign w:val="center"/>
                </w:tcPr>
                <w:p w14:paraId="6881FFCF">
                  <w:pPr>
                    <w:pStyle w:val="91"/>
                    <w:jc w:val="center"/>
                    <w:rPr>
                      <w:rFonts w:hint="default"/>
                      <w:color w:val="auto"/>
                      <w:highlight w:val="yellow"/>
                      <w:lang w:val="en-US" w:eastAsia="zh-CN"/>
                    </w:rPr>
                  </w:pPr>
                </w:p>
              </w:tc>
              <w:tc>
                <w:tcPr>
                  <w:tcW w:w="860" w:type="dxa"/>
                  <w:vMerge w:val="continue"/>
                  <w:noWrap w:val="0"/>
                  <w:vAlign w:val="center"/>
                </w:tcPr>
                <w:p w14:paraId="6312E01E">
                  <w:pPr>
                    <w:pStyle w:val="91"/>
                    <w:spacing w:before="1" w:line="213" w:lineRule="exact"/>
                    <w:ind w:left="38" w:leftChars="0" w:right="11" w:rightChars="0"/>
                    <w:jc w:val="center"/>
                    <w:rPr>
                      <w:rFonts w:hint="eastAsia"/>
                      <w:b w:val="0"/>
                      <w:bCs w:val="0"/>
                      <w:color w:val="auto"/>
                      <w:highlight w:val="none"/>
                      <w:lang w:val="en-US" w:eastAsia="zh-CN"/>
                    </w:rPr>
                  </w:pPr>
                </w:p>
              </w:tc>
              <w:tc>
                <w:tcPr>
                  <w:tcW w:w="775" w:type="dxa"/>
                  <w:vMerge w:val="continue"/>
                  <w:noWrap w:val="0"/>
                  <w:vAlign w:val="center"/>
                </w:tcPr>
                <w:p w14:paraId="584782BF">
                  <w:pPr>
                    <w:pStyle w:val="91"/>
                    <w:spacing w:before="121"/>
                    <w:ind w:left="58" w:leftChars="0"/>
                    <w:jc w:val="center"/>
                    <w:rPr>
                      <w:rFonts w:hint="default"/>
                      <w:color w:val="auto"/>
                      <w:highlight w:val="none"/>
                      <w:lang w:val="en-US" w:eastAsia="zh-CN"/>
                    </w:rPr>
                  </w:pPr>
                </w:p>
              </w:tc>
              <w:tc>
                <w:tcPr>
                  <w:tcW w:w="489" w:type="dxa"/>
                  <w:vMerge w:val="continue"/>
                  <w:noWrap w:val="0"/>
                  <w:vAlign w:val="center"/>
                </w:tcPr>
                <w:p w14:paraId="35F6675B">
                  <w:pPr>
                    <w:pStyle w:val="91"/>
                    <w:spacing w:before="1" w:line="213" w:lineRule="exact"/>
                    <w:ind w:right="113" w:rightChars="0"/>
                    <w:jc w:val="center"/>
                    <w:rPr>
                      <w:rFonts w:hint="default" w:ascii="Times New Roman" w:hAnsi="Times New Roman" w:eastAsia="宋体" w:cs="Times New Roman"/>
                      <w:color w:val="auto"/>
                      <w:sz w:val="21"/>
                      <w:szCs w:val="21"/>
                      <w:highlight w:val="none"/>
                      <w:lang w:val="en-US" w:eastAsia="zh-CN"/>
                    </w:rPr>
                  </w:pPr>
                </w:p>
              </w:tc>
              <w:tc>
                <w:tcPr>
                  <w:tcW w:w="944" w:type="dxa"/>
                  <w:vMerge w:val="continue"/>
                  <w:noWrap w:val="0"/>
                  <w:vAlign w:val="center"/>
                </w:tcPr>
                <w:p w14:paraId="15712287">
                  <w:pPr>
                    <w:pStyle w:val="91"/>
                    <w:jc w:val="center"/>
                    <w:rPr>
                      <w:rFonts w:hint="eastAsia"/>
                      <w:color w:val="auto"/>
                      <w:highlight w:val="none"/>
                      <w:lang w:val="en-US" w:eastAsia="zh-CN"/>
                    </w:rPr>
                  </w:pPr>
                </w:p>
              </w:tc>
              <w:tc>
                <w:tcPr>
                  <w:tcW w:w="1022" w:type="dxa"/>
                  <w:vMerge w:val="continue"/>
                  <w:noWrap w:val="0"/>
                  <w:vAlign w:val="center"/>
                </w:tcPr>
                <w:p w14:paraId="6CA4C573">
                  <w:pPr>
                    <w:spacing w:before="1" w:line="213" w:lineRule="exact"/>
                    <w:ind w:right="113" w:rightChars="0"/>
                    <w:jc w:val="center"/>
                    <w:rPr>
                      <w:rFonts w:hint="eastAsia"/>
                      <w:color w:val="auto"/>
                      <w:highlight w:val="yellow"/>
                      <w:lang w:val="en-US" w:eastAsia="zh-CN"/>
                    </w:rPr>
                  </w:pPr>
                </w:p>
              </w:tc>
              <w:tc>
                <w:tcPr>
                  <w:tcW w:w="978" w:type="dxa"/>
                  <w:vMerge w:val="continue"/>
                  <w:noWrap w:val="0"/>
                  <w:vAlign w:val="center"/>
                </w:tcPr>
                <w:p w14:paraId="3694DBAA">
                  <w:pPr>
                    <w:jc w:val="center"/>
                    <w:rPr>
                      <w:rFonts w:hint="eastAsia" w:ascii="Times New Roman" w:hAnsi="Times New Roman" w:cs="Times New Roman"/>
                      <w:color w:val="auto"/>
                      <w:sz w:val="21"/>
                      <w:szCs w:val="21"/>
                      <w:highlight w:val="none"/>
                      <w:lang w:val="en-US" w:eastAsia="zh-CN"/>
                    </w:rPr>
                  </w:pPr>
                </w:p>
              </w:tc>
              <w:tc>
                <w:tcPr>
                  <w:tcW w:w="1132" w:type="dxa"/>
                  <w:vMerge w:val="continue"/>
                  <w:noWrap w:val="0"/>
                  <w:vAlign w:val="center"/>
                </w:tcPr>
                <w:p w14:paraId="1C730EAC">
                  <w:pPr>
                    <w:jc w:val="center"/>
                    <w:rPr>
                      <w:rFonts w:hint="default" w:ascii="Times New Roman" w:hAnsi="Times New Roman" w:eastAsia="宋体" w:cs="Times New Roman"/>
                      <w:b w:val="0"/>
                      <w:bCs w:val="0"/>
                      <w:color w:val="auto"/>
                      <w:spacing w:val="-4"/>
                      <w:sz w:val="21"/>
                      <w:szCs w:val="21"/>
                      <w:highlight w:val="none"/>
                      <w:lang w:val="en-US" w:eastAsia="zh-CN"/>
                    </w:rPr>
                  </w:pPr>
                </w:p>
              </w:tc>
              <w:tc>
                <w:tcPr>
                  <w:tcW w:w="1665" w:type="dxa"/>
                  <w:noWrap w:val="0"/>
                  <w:vAlign w:val="center"/>
                </w:tcPr>
                <w:p w14:paraId="5D829EDB">
                  <w:pPr>
                    <w:pStyle w:val="91"/>
                    <w:jc w:val="center"/>
                    <w:rPr>
                      <w:rFonts w:hint="default"/>
                      <w:color w:val="auto"/>
                      <w:highlight w:val="none"/>
                      <w:lang w:val="en-US" w:eastAsia="zh-CN"/>
                    </w:rPr>
                  </w:pPr>
                  <w:r>
                    <w:rPr>
                      <w:rFonts w:hint="eastAsia" w:eastAsia="宋体"/>
                      <w:color w:val="auto"/>
                      <w:szCs w:val="21"/>
                      <w:lang w:val="en-US" w:eastAsia="zh-CN"/>
                    </w:rPr>
                    <w:t>生产车间半封闭结构，无组织粉尘在生产车间内自然沉降。</w:t>
                  </w:r>
                </w:p>
              </w:tc>
              <w:tc>
                <w:tcPr>
                  <w:tcW w:w="889" w:type="dxa"/>
                  <w:vMerge w:val="continue"/>
                  <w:noWrap w:val="0"/>
                  <w:vAlign w:val="center"/>
                </w:tcPr>
                <w:p w14:paraId="65315998">
                  <w:pPr>
                    <w:pStyle w:val="91"/>
                    <w:jc w:val="center"/>
                    <w:rPr>
                      <w:rFonts w:hint="default"/>
                      <w:color w:val="auto"/>
                      <w:highlight w:val="none"/>
                      <w:lang w:val="en-US" w:eastAsia="zh-CN"/>
                    </w:rPr>
                  </w:pPr>
                </w:p>
              </w:tc>
              <w:tc>
                <w:tcPr>
                  <w:tcW w:w="686" w:type="dxa"/>
                  <w:vMerge w:val="continue"/>
                  <w:noWrap w:val="0"/>
                  <w:vAlign w:val="center"/>
                </w:tcPr>
                <w:p w14:paraId="2338D6D0">
                  <w:pPr>
                    <w:jc w:val="center"/>
                    <w:rPr>
                      <w:rFonts w:hint="eastAsia"/>
                      <w:color w:val="auto"/>
                      <w:highlight w:val="none"/>
                      <w:lang w:val="en-US" w:eastAsia="zh-CN"/>
                    </w:rPr>
                  </w:pPr>
                </w:p>
              </w:tc>
              <w:tc>
                <w:tcPr>
                  <w:tcW w:w="940" w:type="dxa"/>
                  <w:vMerge w:val="continue"/>
                  <w:noWrap w:val="0"/>
                  <w:vAlign w:val="center"/>
                </w:tcPr>
                <w:p w14:paraId="17C15C09">
                  <w:pPr>
                    <w:jc w:val="center"/>
                    <w:rPr>
                      <w:rFonts w:hint="default"/>
                      <w:color w:val="auto"/>
                      <w:highlight w:val="yellow"/>
                      <w:lang w:val="en-US" w:eastAsia="zh-CN"/>
                    </w:rPr>
                  </w:pPr>
                </w:p>
              </w:tc>
              <w:tc>
                <w:tcPr>
                  <w:tcW w:w="940" w:type="dxa"/>
                  <w:vMerge w:val="continue"/>
                  <w:noWrap w:val="0"/>
                  <w:vAlign w:val="center"/>
                </w:tcPr>
                <w:p w14:paraId="7964DCB5">
                  <w:pPr>
                    <w:jc w:val="center"/>
                    <w:rPr>
                      <w:rFonts w:hint="default" w:ascii="Times New Roman" w:hAnsi="Times New Roman" w:cs="Times New Roman"/>
                      <w:color w:val="auto"/>
                      <w:sz w:val="21"/>
                      <w:szCs w:val="21"/>
                      <w:highlight w:val="none"/>
                      <w:lang w:val="en-US" w:eastAsia="zh-CN"/>
                    </w:rPr>
                  </w:pPr>
                </w:p>
              </w:tc>
              <w:tc>
                <w:tcPr>
                  <w:tcW w:w="787" w:type="dxa"/>
                  <w:vMerge w:val="continue"/>
                  <w:noWrap w:val="0"/>
                  <w:vAlign w:val="center"/>
                </w:tcPr>
                <w:p w14:paraId="614CFDF3">
                  <w:pPr>
                    <w:jc w:val="center"/>
                    <w:rPr>
                      <w:rFonts w:hint="default" w:ascii="Times New Roman" w:hAnsi="Times New Roman" w:cs="Times New Roman"/>
                      <w:color w:val="auto"/>
                      <w:sz w:val="21"/>
                      <w:szCs w:val="21"/>
                      <w:highlight w:val="none"/>
                      <w:lang w:val="en-US" w:eastAsia="zh-CN"/>
                    </w:rPr>
                  </w:pPr>
                </w:p>
              </w:tc>
              <w:tc>
                <w:tcPr>
                  <w:tcW w:w="653" w:type="dxa"/>
                  <w:vMerge w:val="continue"/>
                  <w:noWrap w:val="0"/>
                  <w:vAlign w:val="center"/>
                </w:tcPr>
                <w:p w14:paraId="7D6944A8">
                  <w:pPr>
                    <w:pStyle w:val="91"/>
                    <w:jc w:val="center"/>
                    <w:rPr>
                      <w:rFonts w:hint="default"/>
                      <w:color w:val="auto"/>
                      <w:highlight w:val="yellow"/>
                      <w:lang w:val="en-US" w:eastAsia="zh-CN"/>
                    </w:rPr>
                  </w:pPr>
                </w:p>
              </w:tc>
            </w:tr>
            <w:tr w14:paraId="4CCA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8" w:hRule="atLeast"/>
              </w:trPr>
              <w:tc>
                <w:tcPr>
                  <w:tcW w:w="464" w:type="dxa"/>
                  <w:noWrap w:val="0"/>
                  <w:vAlign w:val="center"/>
                </w:tcPr>
                <w:p w14:paraId="431FABBD">
                  <w:pPr>
                    <w:pStyle w:val="91"/>
                    <w:jc w:val="center"/>
                    <w:rPr>
                      <w:rFonts w:hint="default"/>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运输车辆</w:t>
                  </w:r>
                </w:p>
              </w:tc>
              <w:tc>
                <w:tcPr>
                  <w:tcW w:w="860" w:type="dxa"/>
                  <w:noWrap w:val="0"/>
                  <w:vAlign w:val="center"/>
                </w:tcPr>
                <w:p w14:paraId="1146D0B1">
                  <w:pPr>
                    <w:pStyle w:val="91"/>
                    <w:jc w:val="center"/>
                    <w:rPr>
                      <w:rFonts w:hint="eastAsia"/>
                      <w:b w:val="0"/>
                      <w:bCs w:val="0"/>
                      <w:color w:val="auto"/>
                      <w:highlight w:val="none"/>
                      <w:lang w:val="en-US" w:eastAsia="zh-CN"/>
                    </w:rPr>
                  </w:pPr>
                  <w:r>
                    <w:rPr>
                      <w:rFonts w:hint="eastAsia"/>
                      <w:color w:val="auto"/>
                      <w:highlight w:val="none"/>
                      <w:lang w:val="en-US" w:eastAsia="zh-CN"/>
                    </w:rPr>
                    <w:t>汽车尾气</w:t>
                  </w:r>
                </w:p>
              </w:tc>
              <w:tc>
                <w:tcPr>
                  <w:tcW w:w="775" w:type="dxa"/>
                  <w:noWrap w:val="0"/>
                  <w:vAlign w:val="center"/>
                </w:tcPr>
                <w:p w14:paraId="26B84696">
                  <w:pPr>
                    <w:spacing w:before="121"/>
                    <w:ind w:left="58" w:leftChars="0"/>
                    <w:jc w:val="center"/>
                    <w:rPr>
                      <w:rFonts w:hint="default"/>
                      <w:color w:val="auto"/>
                      <w:highlight w:val="yellow"/>
                      <w:lang w:val="en-US" w:eastAsia="zh-CN"/>
                    </w:rPr>
                  </w:pPr>
                  <w:r>
                    <w:rPr>
                      <w:rFonts w:hint="eastAsia"/>
                      <w:color w:val="auto"/>
                      <w:highlight w:val="none"/>
                      <w:lang w:eastAsia="zh-CN"/>
                    </w:rPr>
                    <w:t>无组织排放</w:t>
                  </w:r>
                </w:p>
              </w:tc>
              <w:tc>
                <w:tcPr>
                  <w:tcW w:w="489" w:type="dxa"/>
                  <w:noWrap w:val="0"/>
                  <w:vAlign w:val="center"/>
                </w:tcPr>
                <w:p w14:paraId="24A106EC">
                  <w:pPr>
                    <w:spacing w:line="214" w:lineRule="exact"/>
                    <w:ind w:right="113" w:rightChars="0"/>
                    <w:jc w:val="center"/>
                    <w:rPr>
                      <w:rFonts w:hint="eastAsia"/>
                      <w:color w:val="auto"/>
                      <w:highlight w:val="yellow"/>
                      <w:lang w:eastAsia="zh-CN"/>
                    </w:rPr>
                  </w:pPr>
                  <w:r>
                    <w:rPr>
                      <w:rFonts w:hint="default" w:ascii="Times New Roman" w:hAnsi="Times New Roman" w:eastAsia="宋体" w:cs="Times New Roman"/>
                      <w:color w:val="auto"/>
                      <w:sz w:val="21"/>
                      <w:szCs w:val="21"/>
                      <w:highlight w:val="none"/>
                      <w:lang w:val="en-US" w:eastAsia="zh-CN"/>
                    </w:rPr>
                    <w:t>/</w:t>
                  </w:r>
                </w:p>
              </w:tc>
              <w:tc>
                <w:tcPr>
                  <w:tcW w:w="944" w:type="dxa"/>
                  <w:noWrap w:val="0"/>
                  <w:vAlign w:val="center"/>
                </w:tcPr>
                <w:p w14:paraId="32BCAEF4">
                  <w:pPr>
                    <w:jc w:val="center"/>
                    <w:rPr>
                      <w:rFonts w:hint="eastAsia"/>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1022" w:type="dxa"/>
                  <w:noWrap w:val="0"/>
                  <w:vAlign w:val="center"/>
                </w:tcPr>
                <w:p w14:paraId="57D531ED">
                  <w:pPr>
                    <w:jc w:val="center"/>
                    <w:rPr>
                      <w:rFonts w:hint="eastAsia"/>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978" w:type="dxa"/>
                  <w:noWrap w:val="0"/>
                  <w:vAlign w:val="center"/>
                </w:tcPr>
                <w:p w14:paraId="568A7599">
                  <w:pPr>
                    <w:jc w:val="center"/>
                    <w:rPr>
                      <w:rFonts w:hint="eastAsia"/>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1132" w:type="dxa"/>
                  <w:noWrap w:val="0"/>
                  <w:vAlign w:val="center"/>
                </w:tcPr>
                <w:p w14:paraId="448669A8">
                  <w:pPr>
                    <w:jc w:val="center"/>
                    <w:rPr>
                      <w:rFonts w:hint="eastAsia"/>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少量</w:t>
                  </w:r>
                </w:p>
              </w:tc>
              <w:tc>
                <w:tcPr>
                  <w:tcW w:w="1665" w:type="dxa"/>
                  <w:noWrap w:val="0"/>
                  <w:vAlign w:val="center"/>
                </w:tcPr>
                <w:p w14:paraId="2BCB59E6">
                  <w:pPr>
                    <w:pStyle w:val="91"/>
                    <w:jc w:val="center"/>
                    <w:rPr>
                      <w:rFonts w:hint="default"/>
                      <w:color w:val="auto"/>
                      <w:highlight w:val="none"/>
                      <w:lang w:val="en-US" w:eastAsia="zh-CN"/>
                    </w:rPr>
                  </w:pPr>
                  <w:r>
                    <w:rPr>
                      <w:rFonts w:hint="default"/>
                      <w:color w:val="auto"/>
                      <w:highlight w:val="none"/>
                      <w:lang w:val="en-US" w:eastAsia="zh-CN"/>
                    </w:rPr>
                    <w:t>加强车辆管理、自然扩散、周边</w:t>
                  </w:r>
                  <w:r>
                    <w:rPr>
                      <w:rFonts w:hint="eastAsia"/>
                      <w:color w:val="auto"/>
                      <w:highlight w:val="none"/>
                      <w:lang w:val="en-US" w:eastAsia="zh-CN"/>
                    </w:rPr>
                    <w:t>植被</w:t>
                  </w:r>
                  <w:r>
                    <w:rPr>
                      <w:rFonts w:hint="default"/>
                      <w:color w:val="auto"/>
                      <w:highlight w:val="none"/>
                      <w:lang w:val="en-US" w:eastAsia="zh-CN"/>
                    </w:rPr>
                    <w:t>吸收</w:t>
                  </w:r>
                </w:p>
              </w:tc>
              <w:tc>
                <w:tcPr>
                  <w:tcW w:w="889" w:type="dxa"/>
                  <w:noWrap w:val="0"/>
                  <w:vAlign w:val="center"/>
                </w:tcPr>
                <w:p w14:paraId="014C9C94">
                  <w:pPr>
                    <w:jc w:val="center"/>
                    <w:rPr>
                      <w:rFonts w:hint="eastAsia"/>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14:paraId="248852EA">
                  <w:pPr>
                    <w:jc w:val="center"/>
                    <w:rPr>
                      <w:rFonts w:hint="default"/>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940" w:type="dxa"/>
                  <w:noWrap w:val="0"/>
                  <w:vAlign w:val="center"/>
                </w:tcPr>
                <w:p w14:paraId="62B20924">
                  <w:pPr>
                    <w:jc w:val="center"/>
                    <w:rPr>
                      <w:rFonts w:hint="default"/>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940" w:type="dxa"/>
                  <w:noWrap w:val="0"/>
                  <w:vAlign w:val="center"/>
                </w:tcPr>
                <w:p w14:paraId="11422D51">
                  <w:pPr>
                    <w:jc w:val="center"/>
                    <w:rPr>
                      <w:rFonts w:hint="eastAsia"/>
                      <w:color w:val="auto"/>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c>
                <w:tcPr>
                  <w:tcW w:w="787" w:type="dxa"/>
                  <w:noWrap w:val="0"/>
                  <w:vAlign w:val="center"/>
                </w:tcPr>
                <w:p w14:paraId="4C9D29DE">
                  <w:pPr>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少量</w:t>
                  </w:r>
                </w:p>
              </w:tc>
              <w:tc>
                <w:tcPr>
                  <w:tcW w:w="653" w:type="dxa"/>
                  <w:noWrap w:val="0"/>
                  <w:vAlign w:val="center"/>
                </w:tcPr>
                <w:p w14:paraId="6503A169">
                  <w:pPr>
                    <w:jc w:val="center"/>
                    <w:rPr>
                      <w:rFonts w:hint="default"/>
                      <w:color w:val="auto"/>
                      <w:highlight w:val="none"/>
                      <w:lang w:val="en-US" w:eastAsia="zh-CN"/>
                    </w:rPr>
                  </w:pPr>
                  <w:r>
                    <w:rPr>
                      <w:rFonts w:hint="eastAsia" w:cs="Times New Roman"/>
                      <w:color w:val="auto"/>
                      <w:sz w:val="21"/>
                      <w:szCs w:val="21"/>
                      <w:highlight w:val="none"/>
                      <w:lang w:val="en-US" w:eastAsia="zh-CN"/>
                    </w:rPr>
                    <w:t>100</w:t>
                  </w:r>
                </w:p>
              </w:tc>
            </w:tr>
            <w:tr w14:paraId="157B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8" w:hRule="atLeast"/>
              </w:trPr>
              <w:tc>
                <w:tcPr>
                  <w:tcW w:w="464" w:type="dxa"/>
                  <w:noWrap w:val="0"/>
                  <w:vAlign w:val="center"/>
                </w:tcPr>
                <w:p w14:paraId="1B283235">
                  <w:pPr>
                    <w:pStyle w:val="9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w:t>
                  </w:r>
                </w:p>
              </w:tc>
              <w:tc>
                <w:tcPr>
                  <w:tcW w:w="860" w:type="dxa"/>
                  <w:noWrap w:val="0"/>
                  <w:vAlign w:val="center"/>
                </w:tcPr>
                <w:p w14:paraId="00470DED">
                  <w:pPr>
                    <w:pStyle w:val="91"/>
                    <w:jc w:val="center"/>
                    <w:rPr>
                      <w:rFonts w:hint="default"/>
                      <w:color w:val="auto"/>
                      <w:highlight w:val="none"/>
                      <w:lang w:val="en-US" w:eastAsia="zh-CN"/>
                    </w:rPr>
                  </w:pPr>
                  <w:r>
                    <w:rPr>
                      <w:rFonts w:hint="eastAsia"/>
                      <w:color w:val="auto"/>
                      <w:highlight w:val="none"/>
                      <w:lang w:val="en-US" w:eastAsia="zh-CN"/>
                    </w:rPr>
                    <w:t>油烟</w:t>
                  </w:r>
                </w:p>
              </w:tc>
              <w:tc>
                <w:tcPr>
                  <w:tcW w:w="775" w:type="dxa"/>
                  <w:noWrap w:val="0"/>
                  <w:vAlign w:val="center"/>
                </w:tcPr>
                <w:p w14:paraId="5BFB4F24">
                  <w:pPr>
                    <w:spacing w:before="121"/>
                    <w:ind w:left="58"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有组织</w:t>
                  </w:r>
                </w:p>
              </w:tc>
              <w:tc>
                <w:tcPr>
                  <w:tcW w:w="489" w:type="dxa"/>
                  <w:noWrap w:val="0"/>
                  <w:vAlign w:val="center"/>
                </w:tcPr>
                <w:p w14:paraId="4A09033E">
                  <w:pPr>
                    <w:spacing w:before="121"/>
                    <w:ind w:left="58"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油烟</w:t>
                  </w:r>
                </w:p>
              </w:tc>
              <w:tc>
                <w:tcPr>
                  <w:tcW w:w="944" w:type="dxa"/>
                  <w:noWrap w:val="0"/>
                  <w:vAlign w:val="center"/>
                </w:tcPr>
                <w:p w14:paraId="7EAF241C">
                  <w:pPr>
                    <w:pStyle w:val="91"/>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经验系数2.83%</w:t>
                  </w:r>
                </w:p>
              </w:tc>
              <w:tc>
                <w:tcPr>
                  <w:tcW w:w="1022" w:type="dxa"/>
                  <w:noWrap w:val="0"/>
                  <w:vAlign w:val="center"/>
                </w:tcPr>
                <w:p w14:paraId="0C0CB34E">
                  <w:pPr>
                    <w:pStyle w:val="91"/>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32.0</w:t>
                  </w:r>
                </w:p>
              </w:tc>
              <w:tc>
                <w:tcPr>
                  <w:tcW w:w="978" w:type="dxa"/>
                  <w:noWrap w:val="0"/>
                  <w:vAlign w:val="center"/>
                </w:tcPr>
                <w:p w14:paraId="54323DF1">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2.5</w:t>
                  </w:r>
                </w:p>
              </w:tc>
              <w:tc>
                <w:tcPr>
                  <w:tcW w:w="1132" w:type="dxa"/>
                  <w:noWrap w:val="0"/>
                  <w:vAlign w:val="center"/>
                </w:tcPr>
                <w:p w14:paraId="49744581">
                  <w:pPr>
                    <w:pStyle w:val="91"/>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0.0008</w:t>
                  </w:r>
                </w:p>
              </w:tc>
              <w:tc>
                <w:tcPr>
                  <w:tcW w:w="1665" w:type="dxa"/>
                  <w:noWrap w:val="0"/>
                  <w:vAlign w:val="center"/>
                </w:tcPr>
                <w:p w14:paraId="7E7024B1">
                  <w:pPr>
                    <w:pStyle w:val="91"/>
                    <w:jc w:val="center"/>
                    <w:rPr>
                      <w:rFonts w:hint="default"/>
                      <w:color w:val="auto"/>
                      <w:highlight w:val="none"/>
                      <w:lang w:val="en-US" w:eastAsia="zh-CN"/>
                    </w:rPr>
                  </w:pPr>
                  <w:r>
                    <w:rPr>
                      <w:rFonts w:hint="eastAsia" w:ascii="Times New Roman" w:hAnsi="Times New Roman" w:eastAsia="宋体" w:cs="Times New Roman"/>
                      <w:color w:val="auto"/>
                      <w:sz w:val="21"/>
                      <w:szCs w:val="21"/>
                      <w:lang w:val="en-US" w:eastAsia="zh-CN"/>
                    </w:rPr>
                    <w:t>抽油烟机</w:t>
                  </w:r>
                </w:p>
              </w:tc>
              <w:tc>
                <w:tcPr>
                  <w:tcW w:w="889" w:type="dxa"/>
                  <w:noWrap w:val="0"/>
                  <w:vAlign w:val="center"/>
                </w:tcPr>
                <w:p w14:paraId="26093E6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686" w:type="dxa"/>
                  <w:noWrap w:val="0"/>
                  <w:vAlign w:val="center"/>
                </w:tcPr>
                <w:p w14:paraId="10CF7C2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经验系数</w:t>
                  </w:r>
                </w:p>
              </w:tc>
              <w:tc>
                <w:tcPr>
                  <w:tcW w:w="940" w:type="dxa"/>
                  <w:noWrap w:val="0"/>
                  <w:vAlign w:val="center"/>
                </w:tcPr>
                <w:p w14:paraId="5BCFF77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w:t>
                  </w:r>
                </w:p>
              </w:tc>
              <w:tc>
                <w:tcPr>
                  <w:tcW w:w="940" w:type="dxa"/>
                  <w:noWrap w:val="0"/>
                  <w:vAlign w:val="center"/>
                </w:tcPr>
                <w:p w14:paraId="24728DF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787" w:type="dxa"/>
                  <w:noWrap w:val="0"/>
                  <w:vAlign w:val="center"/>
                </w:tcPr>
                <w:p w14:paraId="4439DCB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0.00032</w:t>
                  </w:r>
                </w:p>
              </w:tc>
              <w:tc>
                <w:tcPr>
                  <w:tcW w:w="653" w:type="dxa"/>
                  <w:noWrap w:val="0"/>
                  <w:vAlign w:val="center"/>
                </w:tcPr>
                <w:p w14:paraId="23996D0E">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r>
            <w:tr w14:paraId="3F22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8" w:hRule="atLeast"/>
              </w:trPr>
              <w:tc>
                <w:tcPr>
                  <w:tcW w:w="464" w:type="dxa"/>
                  <w:noWrap w:val="0"/>
                  <w:vAlign w:val="center"/>
                </w:tcPr>
                <w:p w14:paraId="665D177F">
                  <w:pPr>
                    <w:pStyle w:val="9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烘干</w:t>
                  </w:r>
                </w:p>
              </w:tc>
              <w:tc>
                <w:tcPr>
                  <w:tcW w:w="860" w:type="dxa"/>
                  <w:noWrap w:val="0"/>
                  <w:vAlign w:val="center"/>
                </w:tcPr>
                <w:p w14:paraId="7BA4044A">
                  <w:pPr>
                    <w:pStyle w:val="91"/>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异味</w:t>
                  </w:r>
                </w:p>
              </w:tc>
              <w:tc>
                <w:tcPr>
                  <w:tcW w:w="775" w:type="dxa"/>
                  <w:noWrap w:val="0"/>
                  <w:vAlign w:val="center"/>
                </w:tcPr>
                <w:p w14:paraId="1C730DEE">
                  <w:pPr>
                    <w:spacing w:before="121"/>
                    <w:ind w:left="58"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无组织排放</w:t>
                  </w:r>
                </w:p>
              </w:tc>
              <w:tc>
                <w:tcPr>
                  <w:tcW w:w="489" w:type="dxa"/>
                  <w:noWrap w:val="0"/>
                  <w:vAlign w:val="center"/>
                </w:tcPr>
                <w:p w14:paraId="272BABF3">
                  <w:pPr>
                    <w:spacing w:before="121"/>
                    <w:ind w:left="58"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恶臭</w:t>
                  </w:r>
                </w:p>
              </w:tc>
              <w:tc>
                <w:tcPr>
                  <w:tcW w:w="944" w:type="dxa"/>
                  <w:noWrap w:val="0"/>
                  <w:vAlign w:val="center"/>
                </w:tcPr>
                <w:p w14:paraId="254F9F89">
                  <w:pPr>
                    <w:pStyle w:val="91"/>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022" w:type="dxa"/>
                  <w:noWrap w:val="0"/>
                  <w:vAlign w:val="center"/>
                </w:tcPr>
                <w:p w14:paraId="55A124EB">
                  <w:pPr>
                    <w:pStyle w:val="91"/>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78" w:type="dxa"/>
                  <w:noWrap w:val="0"/>
                  <w:vAlign w:val="center"/>
                </w:tcPr>
                <w:p w14:paraId="1FD630DD">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32" w:type="dxa"/>
                  <w:noWrap w:val="0"/>
                  <w:vAlign w:val="center"/>
                </w:tcPr>
                <w:p w14:paraId="00EE44C1">
                  <w:pPr>
                    <w:pStyle w:val="9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少量</w:t>
                  </w:r>
                </w:p>
              </w:tc>
              <w:tc>
                <w:tcPr>
                  <w:tcW w:w="1665" w:type="dxa"/>
                  <w:noWrap w:val="0"/>
                  <w:vAlign w:val="center"/>
                </w:tcPr>
                <w:p w14:paraId="37E070A7">
                  <w:pPr>
                    <w:pStyle w:val="9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车间通风</w:t>
                  </w:r>
                </w:p>
              </w:tc>
              <w:tc>
                <w:tcPr>
                  <w:tcW w:w="889" w:type="dxa"/>
                  <w:noWrap w:val="0"/>
                  <w:vAlign w:val="center"/>
                </w:tcPr>
                <w:p w14:paraId="391642F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86" w:type="dxa"/>
                  <w:noWrap w:val="0"/>
                  <w:vAlign w:val="center"/>
                </w:tcPr>
                <w:p w14:paraId="66575CE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40" w:type="dxa"/>
                  <w:noWrap w:val="0"/>
                  <w:vAlign w:val="center"/>
                </w:tcPr>
                <w:p w14:paraId="3D33732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40" w:type="dxa"/>
                  <w:noWrap w:val="0"/>
                  <w:vAlign w:val="center"/>
                </w:tcPr>
                <w:p w14:paraId="12AA286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87" w:type="dxa"/>
                  <w:noWrap w:val="0"/>
                  <w:vAlign w:val="center"/>
                </w:tcPr>
                <w:p w14:paraId="35D48B3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少量</w:t>
                  </w:r>
                </w:p>
              </w:tc>
              <w:tc>
                <w:tcPr>
                  <w:tcW w:w="653" w:type="dxa"/>
                  <w:noWrap w:val="0"/>
                  <w:vAlign w:val="center"/>
                </w:tcPr>
                <w:p w14:paraId="42A4790F">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4800</w:t>
                  </w:r>
                </w:p>
              </w:tc>
            </w:tr>
          </w:tbl>
          <w:p w14:paraId="2DB35D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rPr>
            </w:pPr>
          </w:p>
        </w:tc>
      </w:tr>
    </w:tbl>
    <w:p w14:paraId="741DA411">
      <w:pPr>
        <w:keepNext w:val="0"/>
        <w:keepLines w:val="0"/>
        <w:widowControl/>
        <w:suppressLineNumbers w:val="0"/>
        <w:spacing w:line="360" w:lineRule="auto"/>
        <w:jc w:val="left"/>
        <w:rPr>
          <w:rFonts w:hint="eastAsia" w:ascii="宋体" w:hAnsi="宋体" w:eastAsia="宋体" w:cs="宋体"/>
          <w:b w:val="0"/>
          <w:bCs/>
          <w:color w:val="auto"/>
          <w:spacing w:val="-2"/>
          <w:kern w:val="2"/>
          <w:sz w:val="24"/>
          <w:szCs w:val="24"/>
          <w:lang w:val="en-US" w:eastAsia="zh-CN" w:bidi="ar-S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53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202"/>
      </w:tblGrid>
      <w:tr w14:paraId="65DA9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234" w:type="pct"/>
            <w:noWrap w:val="0"/>
            <w:vAlign w:val="center"/>
          </w:tcPr>
          <w:p w14:paraId="280B286D">
            <w:pPr>
              <w:keepNext w:val="0"/>
              <w:keepLines w:val="0"/>
              <w:widowControl/>
              <w:suppressLineNumbers w:val="0"/>
              <w:spacing w:line="360" w:lineRule="auto"/>
              <w:jc w:val="left"/>
              <w:rPr>
                <w:rFonts w:hint="default" w:ascii="宋体" w:hAnsi="宋体" w:eastAsia="宋体" w:cs="宋体"/>
                <w:bCs/>
                <w:color w:val="auto"/>
                <w:spacing w:val="-10"/>
                <w:sz w:val="24"/>
                <w:szCs w:val="24"/>
                <w:lang w:val="en-US" w:eastAsia="zh-CN"/>
              </w:rPr>
            </w:pPr>
            <w:r>
              <w:rPr>
                <w:rFonts w:hint="eastAsia" w:ascii="宋体" w:hAnsi="宋体" w:eastAsia="宋体" w:cs="宋体"/>
                <w:b w:val="0"/>
                <w:bCs/>
                <w:color w:val="auto"/>
                <w:spacing w:val="-2"/>
                <w:kern w:val="2"/>
                <w:sz w:val="24"/>
                <w:szCs w:val="24"/>
                <w:lang w:val="en-US" w:eastAsia="zh-CN" w:bidi="ar-SA"/>
              </w:rPr>
              <w:t>运营期环境保护措施</w:t>
            </w:r>
          </w:p>
        </w:tc>
        <w:tc>
          <w:tcPr>
            <w:tcW w:w="4765" w:type="pct"/>
            <w:noWrap w:val="0"/>
            <w:vAlign w:val="center"/>
          </w:tcPr>
          <w:p w14:paraId="3A3D5B63">
            <w:pPr>
              <w:pStyle w:val="13"/>
              <w:numPr>
                <w:ilvl w:val="0"/>
                <w:numId w:val="0"/>
              </w:numPr>
              <w:ind w:right="113" w:rightChars="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2.1.2废气产排计算过程简述</w:t>
            </w:r>
          </w:p>
          <w:p w14:paraId="0770B1A7">
            <w:pPr>
              <w:pStyle w:val="116"/>
              <w:numPr>
                <w:ilvl w:val="0"/>
                <w:numId w:val="0"/>
              </w:numPr>
              <w:spacing w:line="360" w:lineRule="auto"/>
              <w:ind w:firstLine="496" w:firstLineChars="200"/>
              <w:rPr>
                <w:rFonts w:hint="default" w:ascii="宋体" w:hAnsi="宋体" w:eastAsia="宋体" w:cs="宋体"/>
                <w:b w:val="0"/>
                <w:bCs w:val="0"/>
                <w:color w:val="auto"/>
                <w:spacing w:val="4"/>
                <w:sz w:val="24"/>
                <w:szCs w:val="24"/>
                <w:lang w:val="en-US" w:eastAsia="zh-CN"/>
              </w:rPr>
            </w:pPr>
            <w:r>
              <w:rPr>
                <w:rFonts w:hint="eastAsia" w:ascii="宋体" w:hAnsi="宋体" w:eastAsia="宋体" w:cs="宋体"/>
                <w:b w:val="0"/>
                <w:bCs w:val="0"/>
                <w:color w:val="auto"/>
                <w:spacing w:val="4"/>
                <w:sz w:val="24"/>
                <w:szCs w:val="24"/>
                <w:lang w:val="en-US" w:eastAsia="zh-CN"/>
              </w:rPr>
              <w:t>（1）粉尘</w:t>
            </w:r>
          </w:p>
          <w:p w14:paraId="615A2086">
            <w:pPr>
              <w:pStyle w:val="116"/>
              <w:numPr>
                <w:ilvl w:val="0"/>
                <w:numId w:val="0"/>
              </w:numPr>
              <w:spacing w:line="360" w:lineRule="auto"/>
              <w:ind w:firstLine="496" w:firstLineChars="200"/>
              <w:rPr>
                <w:rFonts w:hint="default" w:ascii="宋体" w:hAnsi="宋体" w:eastAsia="宋体" w:cs="宋体"/>
                <w:b w:val="0"/>
                <w:bCs w:val="0"/>
                <w:color w:val="auto"/>
                <w:spacing w:val="4"/>
                <w:sz w:val="24"/>
                <w:szCs w:val="24"/>
                <w:lang w:val="en-US" w:eastAsia="zh-CN"/>
              </w:rPr>
            </w:pPr>
            <w:r>
              <w:rPr>
                <w:rFonts w:hint="default" w:ascii="宋体" w:hAnsi="宋体" w:eastAsia="宋体" w:cs="宋体"/>
                <w:b w:val="0"/>
                <w:bCs w:val="0"/>
                <w:color w:val="auto"/>
                <w:spacing w:val="4"/>
                <w:sz w:val="24"/>
                <w:szCs w:val="24"/>
                <w:lang w:val="en-US" w:eastAsia="zh-CN"/>
              </w:rPr>
              <w:t>①</w:t>
            </w:r>
            <w:r>
              <w:rPr>
                <w:rFonts w:hint="eastAsia" w:ascii="宋体" w:hAnsi="宋体" w:eastAsia="宋体" w:cs="宋体"/>
                <w:b w:val="0"/>
                <w:bCs w:val="0"/>
                <w:color w:val="auto"/>
                <w:spacing w:val="4"/>
                <w:sz w:val="24"/>
                <w:szCs w:val="24"/>
                <w:lang w:val="en-US" w:eastAsia="zh-CN"/>
              </w:rPr>
              <w:t>原料</w:t>
            </w:r>
            <w:r>
              <w:rPr>
                <w:rFonts w:hint="default" w:ascii="宋体" w:hAnsi="宋体" w:eastAsia="宋体" w:cs="宋体"/>
                <w:b w:val="0"/>
                <w:bCs w:val="0"/>
                <w:color w:val="auto"/>
                <w:spacing w:val="4"/>
                <w:sz w:val="24"/>
                <w:szCs w:val="24"/>
                <w:lang w:val="en-US" w:eastAsia="zh-CN"/>
              </w:rPr>
              <w:t>堆放</w:t>
            </w:r>
            <w:r>
              <w:rPr>
                <w:rFonts w:hint="eastAsia" w:ascii="宋体" w:hAnsi="宋体" w:eastAsia="宋体" w:cs="宋体"/>
                <w:b w:val="0"/>
                <w:bCs w:val="0"/>
                <w:color w:val="auto"/>
                <w:spacing w:val="4"/>
                <w:sz w:val="24"/>
                <w:szCs w:val="24"/>
                <w:lang w:val="en-US" w:eastAsia="zh-CN"/>
              </w:rPr>
              <w:t>、装卸运输</w:t>
            </w:r>
            <w:r>
              <w:rPr>
                <w:rFonts w:hint="default" w:ascii="宋体" w:hAnsi="宋体" w:eastAsia="宋体" w:cs="宋体"/>
                <w:b w:val="0"/>
                <w:bCs w:val="0"/>
                <w:color w:val="auto"/>
                <w:spacing w:val="4"/>
                <w:sz w:val="24"/>
                <w:szCs w:val="24"/>
                <w:lang w:val="en-US" w:eastAsia="zh-CN"/>
              </w:rPr>
              <w:t>粉尘</w:t>
            </w:r>
          </w:p>
          <w:p w14:paraId="18E3D9E8">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项目所使用原料、产品</w:t>
            </w:r>
            <w:r>
              <w:rPr>
                <w:rFonts w:hint="eastAsia" w:ascii="Times New Roman" w:hAnsi="Times New Roman" w:eastAsia="宋体" w:cs="Times New Roman"/>
                <w:color w:val="auto"/>
                <w:sz w:val="24"/>
                <w:szCs w:val="24"/>
                <w:lang w:val="en-US" w:eastAsia="zh-CN"/>
              </w:rPr>
              <w:t>、废料等</w:t>
            </w:r>
            <w:r>
              <w:rPr>
                <w:rFonts w:hint="default" w:ascii="Times New Roman" w:hAnsi="Times New Roman" w:eastAsia="宋体" w:cs="Times New Roman"/>
                <w:color w:val="auto"/>
                <w:sz w:val="24"/>
                <w:szCs w:val="24"/>
                <w:lang w:val="en-US" w:eastAsia="zh-CN"/>
              </w:rPr>
              <w:t>均含有一定的水分</w:t>
            </w:r>
            <w:r>
              <w:rPr>
                <w:rFonts w:hint="eastAsia" w:ascii="Times New Roman" w:hAnsi="Times New Roman" w:eastAsia="宋体" w:cs="Times New Roman"/>
                <w:color w:val="auto"/>
                <w:sz w:val="24"/>
                <w:szCs w:val="24"/>
                <w:lang w:val="en-US" w:eastAsia="zh-CN"/>
              </w:rPr>
              <w:t>，并且均装袋堆存，不露天堆存，</w:t>
            </w:r>
            <w:r>
              <w:rPr>
                <w:rFonts w:hint="default" w:ascii="Times New Roman" w:hAnsi="Times New Roman" w:eastAsia="宋体" w:cs="Times New Roman"/>
                <w:color w:val="auto"/>
                <w:sz w:val="24"/>
                <w:szCs w:val="24"/>
                <w:lang w:val="en-US" w:eastAsia="zh-CN"/>
              </w:rPr>
              <w:t>由于物料</w:t>
            </w:r>
            <w:r>
              <w:rPr>
                <w:rFonts w:hint="eastAsia" w:ascii="Times New Roman" w:hAnsi="Times New Roman" w:eastAsia="宋体" w:cs="Times New Roman"/>
                <w:color w:val="auto"/>
                <w:sz w:val="24"/>
                <w:szCs w:val="24"/>
                <w:lang w:val="en-US" w:eastAsia="zh-CN"/>
              </w:rPr>
              <w:t>不属于粉状物料，且</w:t>
            </w:r>
            <w:r>
              <w:rPr>
                <w:rFonts w:hint="default" w:ascii="Times New Roman" w:hAnsi="Times New Roman" w:eastAsia="宋体" w:cs="Times New Roman"/>
                <w:color w:val="auto"/>
                <w:sz w:val="24"/>
                <w:szCs w:val="24"/>
                <w:lang w:val="en-US" w:eastAsia="zh-CN"/>
              </w:rPr>
              <w:t>物料堆放、转运过程中保持较高的含水率，粉尘产生量极少</w:t>
            </w:r>
            <w:r>
              <w:rPr>
                <w:rFonts w:hint="eastAsia" w:ascii="Times New Roman" w:hAnsi="Times New Roman" w:eastAsia="宋体" w:cs="Times New Roman"/>
                <w:color w:val="auto"/>
                <w:sz w:val="24"/>
                <w:szCs w:val="24"/>
                <w:lang w:val="en-US" w:eastAsia="zh-CN"/>
              </w:rPr>
              <w:t>。本项目设计原料堆放在生产车间内料仓内，成品设置有成品间、冷库储存，生产车间为半封闭钢架结构，</w:t>
            </w:r>
            <w:r>
              <w:rPr>
                <w:rFonts w:hint="default" w:ascii="Times New Roman" w:hAnsi="Times New Roman" w:eastAsia="宋体" w:cs="Times New Roman"/>
                <w:color w:val="auto"/>
                <w:spacing w:val="-4"/>
                <w:sz w:val="24"/>
                <w:szCs w:val="24"/>
                <w:lang w:val="en-US" w:eastAsia="zh-CN"/>
              </w:rPr>
              <w:t>物料</w:t>
            </w:r>
            <w:r>
              <w:rPr>
                <w:rFonts w:hint="default" w:ascii="Times New Roman" w:hAnsi="Times New Roman" w:eastAsia="宋体" w:cs="Times New Roman"/>
                <w:color w:val="auto"/>
                <w:spacing w:val="-4"/>
                <w:sz w:val="24"/>
                <w:szCs w:val="24"/>
              </w:rPr>
              <w:t>运输采用载重</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pacing w:val="-3"/>
                <w:sz w:val="24"/>
                <w:szCs w:val="24"/>
              </w:rPr>
              <w:t>级自</w:t>
            </w:r>
            <w:r>
              <w:rPr>
                <w:rFonts w:hint="default" w:ascii="Times New Roman" w:hAnsi="Times New Roman" w:eastAsia="宋体" w:cs="Times New Roman"/>
                <w:color w:val="auto"/>
                <w:spacing w:val="-5"/>
                <w:sz w:val="24"/>
                <w:szCs w:val="24"/>
              </w:rPr>
              <w:t>卸</w:t>
            </w:r>
            <w:r>
              <w:rPr>
                <w:rFonts w:hint="eastAsia" w:ascii="Times New Roman" w:hAnsi="Times New Roman" w:eastAsia="宋体" w:cs="Times New Roman"/>
                <w:color w:val="auto"/>
                <w:spacing w:val="-5"/>
                <w:sz w:val="24"/>
                <w:szCs w:val="24"/>
                <w:lang w:val="en-US" w:eastAsia="zh-CN"/>
              </w:rPr>
              <w:t>货车</w:t>
            </w:r>
            <w:r>
              <w:rPr>
                <w:rFonts w:hint="default" w:ascii="Times New Roman" w:hAnsi="Times New Roman" w:eastAsia="宋体" w:cs="Times New Roman"/>
                <w:color w:val="auto"/>
                <w:spacing w:val="-5"/>
                <w:sz w:val="24"/>
                <w:szCs w:val="24"/>
              </w:rPr>
              <w:t>，车自重</w:t>
            </w:r>
            <w:r>
              <w:rPr>
                <w:rFonts w:hint="default" w:ascii="Times New Roman" w:hAnsi="Times New Roman" w:eastAsia="宋体" w:cs="Times New Roman"/>
                <w:color w:val="auto"/>
                <w:spacing w:val="-4"/>
                <w:sz w:val="24"/>
                <w:szCs w:val="24"/>
              </w:rPr>
              <w:t>10t，</w:t>
            </w:r>
            <w:r>
              <w:rPr>
                <w:rFonts w:hint="default" w:ascii="Times New Roman" w:hAnsi="Times New Roman" w:eastAsia="宋体" w:cs="Times New Roman"/>
                <w:color w:val="auto"/>
                <w:spacing w:val="-4"/>
                <w:sz w:val="24"/>
                <w:szCs w:val="24"/>
                <w:lang w:eastAsia="zh-CN"/>
              </w:rPr>
              <w:t>负重时</w:t>
            </w:r>
            <w:r>
              <w:rPr>
                <w:rFonts w:hint="eastAsia" w:ascii="Times New Roman" w:hAnsi="Times New Roman" w:eastAsia="宋体" w:cs="Times New Roman"/>
                <w:color w:val="auto"/>
                <w:spacing w:val="-5"/>
                <w:sz w:val="24"/>
                <w:szCs w:val="24"/>
                <w:lang w:val="en-US" w:eastAsia="zh-CN"/>
              </w:rPr>
              <w:t>30</w:t>
            </w:r>
            <w:r>
              <w:rPr>
                <w:rFonts w:hint="default" w:ascii="Times New Roman" w:hAnsi="Times New Roman" w:eastAsia="宋体" w:cs="Times New Roman"/>
                <w:color w:val="auto"/>
                <w:spacing w:val="-5"/>
                <w:sz w:val="24"/>
                <w:szCs w:val="24"/>
              </w:rPr>
              <w:t>t。</w:t>
            </w:r>
            <w:r>
              <w:rPr>
                <w:rFonts w:hint="default" w:ascii="Times New Roman" w:hAnsi="Times New Roman" w:eastAsia="宋体" w:cs="Times New Roman"/>
                <w:color w:val="auto"/>
                <w:spacing w:val="-4"/>
                <w:sz w:val="24"/>
                <w:szCs w:val="24"/>
              </w:rPr>
              <w:t>本项目</w:t>
            </w:r>
            <w:r>
              <w:rPr>
                <w:rFonts w:hint="eastAsia" w:ascii="Times New Roman" w:hAnsi="Times New Roman" w:eastAsia="宋体" w:cs="Times New Roman"/>
                <w:color w:val="auto"/>
                <w:spacing w:val="-4"/>
                <w:sz w:val="24"/>
                <w:szCs w:val="24"/>
                <w:lang w:val="en-US" w:eastAsia="zh-CN"/>
              </w:rPr>
              <w:t>原料及产品总</w:t>
            </w:r>
            <w:r>
              <w:rPr>
                <w:rFonts w:hint="default" w:ascii="Times New Roman" w:hAnsi="Times New Roman" w:eastAsia="宋体" w:cs="Times New Roman"/>
                <w:color w:val="auto"/>
                <w:spacing w:val="-4"/>
                <w:sz w:val="24"/>
                <w:szCs w:val="24"/>
                <w:lang w:eastAsia="zh-CN"/>
              </w:rPr>
              <w:t>量为</w:t>
            </w:r>
            <w:r>
              <w:rPr>
                <w:rFonts w:hint="eastAsia" w:ascii="Times New Roman" w:hAnsi="Times New Roman" w:eastAsia="宋体" w:cs="Times New Roman"/>
                <w:color w:val="auto"/>
                <w:spacing w:val="-4"/>
                <w:sz w:val="24"/>
                <w:szCs w:val="24"/>
                <w:lang w:val="en-US" w:eastAsia="zh-CN"/>
              </w:rPr>
              <w:t>10900</w:t>
            </w:r>
            <w:r>
              <w:rPr>
                <w:rFonts w:hint="default" w:ascii="Times New Roman" w:hAnsi="Times New Roman" w:eastAsia="宋体" w:cs="Times New Roman"/>
                <w:color w:val="auto"/>
                <w:spacing w:val="-4"/>
                <w:sz w:val="24"/>
                <w:szCs w:val="24"/>
                <w:lang w:eastAsia="zh-CN"/>
              </w:rPr>
              <w:t>t/a，</w:t>
            </w:r>
            <w:r>
              <w:rPr>
                <w:rFonts w:hint="default" w:ascii="Times New Roman" w:hAnsi="Times New Roman" w:eastAsia="宋体" w:cs="Times New Roman"/>
                <w:color w:val="auto"/>
                <w:spacing w:val="-5"/>
                <w:sz w:val="24"/>
                <w:szCs w:val="24"/>
              </w:rPr>
              <w:t>车次为</w:t>
            </w:r>
            <w:r>
              <w:rPr>
                <w:rFonts w:hint="eastAsia" w:ascii="Times New Roman" w:hAnsi="Times New Roman" w:eastAsia="宋体" w:cs="Times New Roman"/>
                <w:color w:val="auto"/>
                <w:spacing w:val="-9"/>
                <w:sz w:val="24"/>
                <w:szCs w:val="24"/>
                <w:lang w:val="en-US" w:eastAsia="zh-CN"/>
              </w:rPr>
              <w:t>545</w:t>
            </w:r>
            <w:r>
              <w:rPr>
                <w:rFonts w:hint="default" w:ascii="Times New Roman" w:hAnsi="Times New Roman" w:eastAsia="宋体" w:cs="Times New Roman"/>
                <w:color w:val="auto"/>
                <w:spacing w:val="-9"/>
                <w:sz w:val="24"/>
                <w:szCs w:val="24"/>
              </w:rPr>
              <w:t>次/年。</w:t>
            </w:r>
          </w:p>
          <w:p w14:paraId="2E046EA7">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工业企业固体物料堆存颗粒物包括装卸扬尘和风蚀扬尘，在此采用《固体物料堆存颗粒物产排核算系数手册》中固体物料堆存颗粒物产生量核算公式计算</w:t>
            </w:r>
            <w:r>
              <w:rPr>
                <w:rFonts w:hint="default" w:ascii="Times New Roman" w:hAnsi="Times New Roman" w:eastAsia="宋体" w:cs="Times New Roman"/>
                <w:color w:val="auto"/>
                <w:sz w:val="24"/>
                <w:szCs w:val="24"/>
              </w:rPr>
              <w:t>物料堆场的扬尘</w:t>
            </w:r>
            <w:r>
              <w:rPr>
                <w:rFonts w:hint="default" w:ascii="Times New Roman" w:hAnsi="Times New Roman" w:eastAsia="宋体" w:cs="Times New Roman"/>
                <w:color w:val="auto"/>
                <w:sz w:val="24"/>
                <w:szCs w:val="24"/>
                <w:lang w:val="en-US" w:eastAsia="zh-CN"/>
              </w:rPr>
              <w:t>产生</w:t>
            </w:r>
            <w:r>
              <w:rPr>
                <w:rFonts w:hint="default" w:ascii="Times New Roman" w:hAnsi="Times New Roman" w:eastAsia="宋体" w:cs="Times New Roman"/>
                <w:color w:val="auto"/>
                <w:sz w:val="24"/>
                <w:szCs w:val="24"/>
              </w:rPr>
              <w:t>量。</w:t>
            </w:r>
          </w:p>
          <w:p w14:paraId="02CEBE09">
            <w:pPr>
              <w:keepNext w:val="0"/>
              <w:keepLines w:val="0"/>
              <w:pageBreakBefore w:val="0"/>
              <w:widowControl w:val="0"/>
              <w:kinsoku w:val="0"/>
              <w:wordWrap/>
              <w:overflowPunct w:val="0"/>
              <w:topLinePunct w:val="0"/>
              <w:autoSpaceDE w:val="0"/>
              <w:autoSpaceDN/>
              <w:bidi w:val="0"/>
              <w:spacing w:line="360" w:lineRule="auto"/>
              <w:ind w:firstLine="470" w:firstLineChars="1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公式如下：</w:t>
            </w:r>
          </w:p>
          <w:p w14:paraId="6752DF8D">
            <w:pPr>
              <w:keepNext w:val="0"/>
              <w:keepLines w:val="0"/>
              <w:pageBreakBefore w:val="0"/>
              <w:widowControl w:val="0"/>
              <w:wordWrap/>
              <w:topLinePunct w:val="0"/>
              <w:autoSpaceDN/>
              <w:bidi w:val="0"/>
              <w:spacing w:line="360" w:lineRule="auto"/>
              <w:ind w:firstLine="48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105910" cy="390525"/>
                  <wp:effectExtent l="0" t="0" r="8890" b="9525"/>
                  <wp:docPr id="6" name="图片 18" descr="165899389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1658993895014"/>
                          <pic:cNvPicPr>
                            <a:picLocks noChangeAspect="1"/>
                          </pic:cNvPicPr>
                        </pic:nvPicPr>
                        <pic:blipFill>
                          <a:blip r:embed="rId23"/>
                          <a:stretch>
                            <a:fillRect/>
                          </a:stretch>
                        </pic:blipFill>
                        <pic:spPr>
                          <a:xfrm>
                            <a:off x="0" y="0"/>
                            <a:ext cx="4105910" cy="390525"/>
                          </a:xfrm>
                          <a:prstGeom prst="rect">
                            <a:avLst/>
                          </a:prstGeom>
                          <a:noFill/>
                          <a:ln>
                            <a:noFill/>
                          </a:ln>
                        </pic:spPr>
                      </pic:pic>
                    </a:graphicData>
                  </a:graphic>
                </wp:inline>
              </w:drawing>
            </w:r>
          </w:p>
          <w:p w14:paraId="5DDCA590">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式中：P 指颗粒物产生量（单位：吨）； </w:t>
            </w:r>
          </w:p>
          <w:p w14:paraId="06AF8710">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ZCy指装卸扬尘产生量（单位：吨）； </w:t>
            </w:r>
          </w:p>
          <w:p w14:paraId="6DBCC144">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FCy指风蚀扬尘产生量（单位：吨）； </w:t>
            </w:r>
          </w:p>
          <w:p w14:paraId="24055F62">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Nc指年物料运载车次（单位：车），</w:t>
            </w:r>
            <w:r>
              <w:rPr>
                <w:rFonts w:hint="eastAsia" w:ascii="Times New Roman" w:hAnsi="Times New Roman" w:eastAsia="宋体" w:cs="Times New Roman"/>
                <w:color w:val="auto"/>
                <w:spacing w:val="-9"/>
                <w:sz w:val="24"/>
                <w:szCs w:val="24"/>
                <w:lang w:val="en-US" w:eastAsia="zh-CN"/>
              </w:rPr>
              <w:t>545</w:t>
            </w:r>
            <w:r>
              <w:rPr>
                <w:rFonts w:hint="default" w:ascii="Times New Roman" w:hAnsi="Times New Roman" w:eastAsia="宋体" w:cs="Times New Roman"/>
                <w:color w:val="auto"/>
                <w:sz w:val="24"/>
                <w:szCs w:val="24"/>
                <w:lang w:val="en-US" w:eastAsia="zh-CN"/>
              </w:rPr>
              <w:t xml:space="preserve">车次； </w:t>
            </w:r>
          </w:p>
          <w:p w14:paraId="480B2497">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 指单车平均运载量（单位：吨/车），本环评取2</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 xml:space="preserve">t； </w:t>
            </w:r>
          </w:p>
          <w:p w14:paraId="31E5E9F2">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（a/b）指装卸扬尘概化系数（单位：千克/吨），a指各省风速概化系数，本环评取0.0009，b 指物料含水率概化系数， 本环评取0.</w:t>
            </w:r>
            <w:r>
              <w:rPr>
                <w:rFonts w:hint="eastAsia" w:ascii="Times New Roman" w:hAnsi="Times New Roman" w:eastAsia="宋体" w:cs="Times New Roman"/>
                <w:color w:val="auto"/>
                <w:sz w:val="24"/>
                <w:szCs w:val="24"/>
                <w:lang w:val="en-US" w:eastAsia="zh-CN"/>
              </w:rPr>
              <w:t>1853</w:t>
            </w:r>
            <w:r>
              <w:rPr>
                <w:rFonts w:hint="default" w:ascii="Times New Roman" w:hAnsi="Times New Roman" w:eastAsia="宋体" w:cs="Times New Roman"/>
                <w:color w:val="auto"/>
                <w:sz w:val="24"/>
                <w:szCs w:val="24"/>
                <w:lang w:val="en-US" w:eastAsia="zh-CN"/>
              </w:rPr>
              <w:t xml:space="preserve">； </w:t>
            </w:r>
          </w:p>
          <w:p w14:paraId="72ACD371">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Ef指堆场风蚀扬尘概化系数，本环评取</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 xml:space="preserve">（单位：千克/平方米）； </w:t>
            </w:r>
          </w:p>
          <w:p w14:paraId="33634858">
            <w:pPr>
              <w:keepNext w:val="0"/>
              <w:keepLines w:val="0"/>
              <w:pageBreakBefore w:val="0"/>
              <w:widowControl w:val="0"/>
              <w:wordWrap/>
              <w:topLinePunct w:val="0"/>
              <w:autoSpaceDN/>
              <w:bidi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S 指堆场占地面积（单位：平方米），</w:t>
            </w:r>
            <w:r>
              <w:rPr>
                <w:rFonts w:hint="eastAsia" w:ascii="Times New Roman" w:hAnsi="Times New Roman" w:eastAsia="宋体" w:cs="Times New Roman"/>
                <w:color w:val="auto"/>
                <w:sz w:val="24"/>
                <w:szCs w:val="24"/>
                <w:lang w:val="en-US" w:eastAsia="zh-CN"/>
              </w:rPr>
              <w:t>堆放区</w:t>
            </w:r>
            <w:r>
              <w:rPr>
                <w:rFonts w:hint="default" w:ascii="Times New Roman" w:hAnsi="Times New Roman" w:eastAsia="宋体" w:cs="Times New Roman"/>
                <w:color w:val="auto"/>
                <w:sz w:val="24"/>
                <w:szCs w:val="24"/>
              </w:rPr>
              <w:t>面积为</w:t>
            </w:r>
            <w:r>
              <w:rPr>
                <w:rFonts w:hint="eastAsia" w:ascii="Times New Roman" w:hAnsi="Times New Roman" w:eastAsia="宋体" w:cs="Times New Roman"/>
                <w:color w:val="auto"/>
                <w:sz w:val="24"/>
                <w:szCs w:val="24"/>
                <w:lang w:val="en-US" w:eastAsia="zh-CN"/>
              </w:rPr>
              <w:t>500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3A44A834">
            <w:pPr>
              <w:pStyle w:val="13"/>
              <w:keepNext w:val="0"/>
              <w:keepLines w:val="0"/>
              <w:pageBreakBefore w:val="0"/>
              <w:widowControl w:val="0"/>
              <w:kinsoku w:val="0"/>
              <w:wordWrap/>
              <w:overflowPunct w:val="0"/>
              <w:topLinePunct w:val="0"/>
              <w:autoSpaceDE w:val="0"/>
              <w:autoSpaceDN/>
              <w:bidi w:val="0"/>
              <w:adjustRightInd w:val="0"/>
              <w:snapToGrid w:val="0"/>
              <w:spacing w:before="0" w:after="0" w:line="360" w:lineRule="auto"/>
              <w:ind w:firstLine="482"/>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通过以上核算，本项目无组织粉尘产量为</w:t>
            </w:r>
            <w:r>
              <w:rPr>
                <w:rFonts w:hint="eastAsia" w:ascii="Times New Roman" w:hAnsi="Times New Roman" w:eastAsia="宋体" w:cs="Times New Roman"/>
                <w:color w:val="auto"/>
                <w:sz w:val="24"/>
                <w:szCs w:val="24"/>
                <w:lang w:val="en-US" w:eastAsia="zh-CN"/>
              </w:rPr>
              <w:t>0.053</w:t>
            </w:r>
            <w:r>
              <w:rPr>
                <w:rFonts w:hint="default" w:ascii="Times New Roman" w:hAnsi="Times New Roman" w:eastAsia="宋体" w:cs="Times New Roman"/>
                <w:color w:val="auto"/>
                <w:sz w:val="24"/>
                <w:szCs w:val="24"/>
                <w:lang w:val="en-US" w:eastAsia="zh-CN"/>
              </w:rPr>
              <w:t>t。</w:t>
            </w:r>
          </w:p>
          <w:p w14:paraId="4DC3B22E">
            <w:pPr>
              <w:pStyle w:val="13"/>
              <w:keepNext w:val="0"/>
              <w:keepLines w:val="0"/>
              <w:pageBreakBefore w:val="0"/>
              <w:widowControl w:val="0"/>
              <w:kinsoku w:val="0"/>
              <w:wordWrap/>
              <w:overflowPunct w:val="0"/>
              <w:topLinePunct w:val="0"/>
              <w:autoSpaceDE w:val="0"/>
              <w:autoSpaceDN/>
              <w:bidi w:val="0"/>
              <w:adjustRightInd w:val="0"/>
              <w:snapToGrid w:val="0"/>
              <w:spacing w:before="0" w:after="0" w:line="360" w:lineRule="auto"/>
              <w:ind w:firstLine="482"/>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为减少</w:t>
            </w:r>
            <w:r>
              <w:rPr>
                <w:rFonts w:hint="default" w:ascii="Times New Roman" w:hAnsi="Times New Roman" w:eastAsia="宋体" w:cs="Times New Roman"/>
                <w:color w:val="auto"/>
                <w:sz w:val="24"/>
                <w:szCs w:val="24"/>
                <w:lang w:val="en-US" w:eastAsia="zh-CN"/>
              </w:rPr>
              <w:t>物料堆存、</w:t>
            </w:r>
            <w:r>
              <w:rPr>
                <w:rFonts w:hint="eastAsia" w:ascii="Times New Roman" w:hAnsi="Times New Roman" w:eastAsia="宋体" w:cs="Times New Roman"/>
                <w:color w:val="auto"/>
                <w:sz w:val="24"/>
                <w:szCs w:val="24"/>
                <w:lang w:val="en-US" w:eastAsia="zh-CN"/>
              </w:rPr>
              <w:t>装卸运输</w:t>
            </w:r>
            <w:r>
              <w:rPr>
                <w:rFonts w:hint="default" w:ascii="Times New Roman" w:hAnsi="Times New Roman" w:eastAsia="宋体" w:cs="Times New Roman"/>
                <w:color w:val="auto"/>
                <w:sz w:val="24"/>
                <w:szCs w:val="24"/>
              </w:rPr>
              <w:t>产生的颗粒物，建设单位应采取如下措施：</w:t>
            </w:r>
          </w:p>
          <w:p w14:paraId="606A40C0">
            <w:pPr>
              <w:keepNext w:val="0"/>
              <w:keepLines w:val="0"/>
              <w:pageBreakBefore w:val="0"/>
              <w:widowControl w:val="0"/>
              <w:kinsoku w:val="0"/>
              <w:wordWrap/>
              <w:overflowPunct w:val="0"/>
              <w:topLinePunct w:val="0"/>
              <w:autoSpaceDE w:val="0"/>
              <w:autoSpaceDN/>
              <w:bidi w:val="0"/>
              <w:spacing w:line="360" w:lineRule="auto"/>
              <w:ind w:firstLine="470" w:firstLineChars="196"/>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kern w:val="0"/>
                <w:sz w:val="24"/>
                <w:szCs w:val="24"/>
                <w:lang w:val="en-US" w:eastAsia="zh-CN" w:bidi="ar"/>
              </w:rPr>
              <w:t>设置</w:t>
            </w:r>
            <w:r>
              <w:rPr>
                <w:rFonts w:hint="eastAsia" w:ascii="Times New Roman" w:hAnsi="Times New Roman" w:eastAsia="宋体" w:cs="Times New Roman"/>
                <w:color w:val="auto"/>
                <w:kern w:val="0"/>
                <w:sz w:val="24"/>
                <w:szCs w:val="24"/>
                <w:lang w:val="en-US" w:eastAsia="zh-CN" w:bidi="ar"/>
              </w:rPr>
              <w:t>生产车间内的原料堆放区，半封闭结构；并在紧邻生产车间北侧设置废料堆放棚，做到物料不露天堆放，严禁物料堆放</w:t>
            </w:r>
            <w:r>
              <w:rPr>
                <w:rFonts w:hint="default" w:ascii="Times New Roman" w:hAnsi="Times New Roman" w:eastAsia="宋体" w:cs="Times New Roman"/>
                <w:color w:val="auto"/>
                <w:sz w:val="24"/>
                <w:szCs w:val="24"/>
                <w:lang w:val="en-US" w:eastAsia="zh-CN"/>
              </w:rPr>
              <w:t>超出堆场隔墙，</w:t>
            </w:r>
            <w:r>
              <w:rPr>
                <w:rFonts w:hint="default" w:ascii="Times New Roman" w:hAnsi="Times New Roman" w:eastAsia="宋体" w:cs="Times New Roman"/>
                <w:color w:val="auto"/>
                <w:sz w:val="24"/>
                <w:szCs w:val="24"/>
              </w:rPr>
              <w:t>缩短堆放时间</w:t>
            </w:r>
            <w:r>
              <w:rPr>
                <w:rFonts w:hint="eastAsia" w:ascii="Times New Roman" w:hAnsi="Times New Roman" w:eastAsia="宋体" w:cs="Times New Roman"/>
                <w:color w:val="auto"/>
                <w:sz w:val="24"/>
                <w:szCs w:val="24"/>
                <w:lang w:eastAsia="zh-CN"/>
              </w:rPr>
              <w:t>；</w:t>
            </w:r>
          </w:p>
          <w:p w14:paraId="3059589D">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对厂区道路进行硬化，减少输送车辆扬尘对外环境的影响；</w:t>
            </w:r>
          </w:p>
          <w:p w14:paraId="3B2E4835">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）运输车辆装载高度最高点不得超过车辆槽帮上沿40厘米，两侧边缘应当低于槽帮上缘10厘米，车斗应采用苫布覆盖，苫布边缘至少要遮住槽帮上沿以下15厘米，禁止厂内露天转运散状物料；</w:t>
            </w:r>
          </w:p>
          <w:p w14:paraId="2F49CA8D">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）配备专人对厂区及入厂道路定期清扫，防止积尘，加强场地洒水降尘，以降低扬尘污染；</w:t>
            </w:r>
          </w:p>
          <w:p w14:paraId="21B12C6B">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）厂区内设置洒水装置，企业出厂口配备高压清洗装置对所有车辆车轮、底盘进行冲洗，严禁带泥上路。</w:t>
            </w:r>
          </w:p>
          <w:p w14:paraId="797C8D59">
            <w:pPr>
              <w:pStyle w:val="16"/>
              <w:keepNext w:val="0"/>
              <w:keepLines w:val="0"/>
              <w:pageBreakBefore w:val="0"/>
              <w:widowControl w:val="0"/>
              <w:wordWrap/>
              <w:topLinePunct w:val="0"/>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工业企业固体物料堆场颗粒物排放量核算公式如下：</w:t>
            </w:r>
          </w:p>
          <w:p w14:paraId="4701E9BC">
            <w:pPr>
              <w:keepNext w:val="0"/>
              <w:keepLines w:val="0"/>
              <w:pageBreakBefore w:val="0"/>
              <w:widowControl w:val="0"/>
              <w:wordWrap/>
              <w:topLinePunct w:val="0"/>
              <w:autoSpaceDN/>
              <w:bidi w:val="0"/>
              <w:spacing w:line="36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drawing>
                <wp:inline distT="0" distB="0" distL="114300" distR="114300">
                  <wp:extent cx="2734310" cy="396875"/>
                  <wp:effectExtent l="0" t="0" r="8890" b="3175"/>
                  <wp:docPr id="7" name="图片 19" descr="165899859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1658998595323"/>
                          <pic:cNvPicPr>
                            <a:picLocks noChangeAspect="1"/>
                          </pic:cNvPicPr>
                        </pic:nvPicPr>
                        <pic:blipFill>
                          <a:blip r:embed="rId24"/>
                          <a:stretch>
                            <a:fillRect/>
                          </a:stretch>
                        </pic:blipFill>
                        <pic:spPr>
                          <a:xfrm>
                            <a:off x="0" y="0"/>
                            <a:ext cx="2734310" cy="396875"/>
                          </a:xfrm>
                          <a:prstGeom prst="rect">
                            <a:avLst/>
                          </a:prstGeom>
                          <a:noFill/>
                          <a:ln>
                            <a:noFill/>
                          </a:ln>
                        </pic:spPr>
                      </pic:pic>
                    </a:graphicData>
                  </a:graphic>
                </wp:inline>
              </w:drawing>
            </w:r>
          </w:p>
          <w:p w14:paraId="7E6022EC">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式中：P 指颗粒物产生量（单位：吨）； </w:t>
            </w:r>
          </w:p>
          <w:p w14:paraId="3403AB7C">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Uc指颗粒物排放量（单位：吨）； </w:t>
            </w:r>
          </w:p>
          <w:p w14:paraId="01C3057D">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Cm指颗粒物控制措施控制效率（单位：%）； </w:t>
            </w:r>
          </w:p>
          <w:p w14:paraId="0F6ED449">
            <w:pPr>
              <w:keepNext w:val="0"/>
              <w:keepLines w:val="0"/>
              <w:pageBreakBefore w:val="0"/>
              <w:widowControl w:val="0"/>
              <w:kinsoku w:val="0"/>
              <w:wordWrap/>
              <w:overflowPunct w:val="0"/>
              <w:topLinePunct w:val="0"/>
              <w:autoSpaceDE w:val="0"/>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Tm指堆场类型控制效率（单位：%）。</w:t>
            </w:r>
          </w:p>
          <w:p w14:paraId="3277C39A">
            <w:pPr>
              <w:pStyle w:val="16"/>
              <w:keepNext w:val="0"/>
              <w:keepLines w:val="0"/>
              <w:pageBreakBefore w:val="0"/>
              <w:widowControl w:val="0"/>
              <w:wordWrap/>
              <w:topLinePunct w:val="0"/>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固体物料堆存颗粒物产排核算系数手册》附录4、附录5，采用洒水降尘控制效率为74%，采用围挡控制效率为60%，编织覆盖控制效率为86%，出入车辆冲洗降尘控制效率为78%，半封闭式堆场控制效率为60%，总降尘效率可达99.87%，通过核算本项目</w:t>
            </w:r>
            <w:r>
              <w:rPr>
                <w:rFonts w:hint="eastAsia" w:ascii="Times New Roman" w:hAnsi="Times New Roman" w:eastAsia="宋体" w:cs="Times New Roman"/>
                <w:color w:val="auto"/>
                <w:sz w:val="24"/>
                <w:szCs w:val="24"/>
                <w:lang w:val="en-US" w:eastAsia="zh-CN"/>
              </w:rPr>
              <w:t>原料堆放、装卸运输</w:t>
            </w:r>
            <w:r>
              <w:rPr>
                <w:rFonts w:hint="default" w:ascii="Times New Roman" w:hAnsi="Times New Roman" w:eastAsia="宋体" w:cs="Times New Roman"/>
                <w:color w:val="auto"/>
                <w:sz w:val="24"/>
                <w:szCs w:val="24"/>
                <w:lang w:val="en-US" w:eastAsia="zh-CN"/>
              </w:rPr>
              <w:t>无组织颗粒物排放量</w:t>
            </w:r>
            <w:r>
              <w:rPr>
                <w:rFonts w:hint="eastAsia" w:ascii="Times New Roman" w:hAnsi="Times New Roman" w:eastAsia="宋体" w:cs="Times New Roman"/>
                <w:color w:val="auto"/>
                <w:sz w:val="24"/>
                <w:szCs w:val="24"/>
                <w:lang w:val="en-US" w:eastAsia="zh-CN"/>
              </w:rPr>
              <w:t>为0.0007</w:t>
            </w:r>
            <w:r>
              <w:rPr>
                <w:rFonts w:hint="default" w:ascii="Times New Roman" w:hAnsi="Times New Roman" w:eastAsia="宋体" w:cs="Times New Roman"/>
                <w:color w:val="auto"/>
                <w:sz w:val="24"/>
                <w:szCs w:val="24"/>
                <w:lang w:val="en-US" w:eastAsia="zh-CN"/>
              </w:rPr>
              <w:t>t/a，0.0</w:t>
            </w:r>
            <w:r>
              <w:rPr>
                <w:rFonts w:hint="eastAsia" w:ascii="Times New Roman" w:hAnsi="Times New Roman" w:eastAsia="宋体" w:cs="Times New Roman"/>
                <w:color w:val="auto"/>
                <w:sz w:val="24"/>
                <w:szCs w:val="24"/>
                <w:lang w:val="en-US" w:eastAsia="zh-CN"/>
              </w:rPr>
              <w:t>0044</w:t>
            </w:r>
            <w:r>
              <w:rPr>
                <w:rFonts w:hint="default" w:ascii="Times New Roman" w:hAnsi="Times New Roman" w:eastAsia="宋体" w:cs="Times New Roman"/>
                <w:color w:val="auto"/>
                <w:sz w:val="24"/>
                <w:szCs w:val="24"/>
                <w:lang w:val="en-US" w:eastAsia="zh-CN"/>
              </w:rPr>
              <w:t>kg/h。</w:t>
            </w:r>
          </w:p>
          <w:p w14:paraId="1F138D35">
            <w:pPr>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深加工过程粉尘</w:t>
            </w:r>
          </w:p>
          <w:p w14:paraId="0C719853">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本项目在坚果深加工过程中，将会对坚果开口、筛选，该环节将会由少量的粉尘产生，根据《排放源统计调查产排污核算方法和系数手册》中“137 蔬菜、菌类、水果和坚果加工行业系数手册”1373水果和坚果加工行业，脱壳工序工业废气量产生系数为3.0</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10</w:t>
            </w:r>
            <w:r>
              <w:rPr>
                <w:rFonts w:hint="eastAsia" w:cs="Times New Roman"/>
                <w:color w:val="auto"/>
                <w:sz w:val="24"/>
                <w:szCs w:val="24"/>
                <w:highlight w:val="none"/>
                <w:vertAlign w:val="superscript"/>
                <w:lang w:val="en-US" w:eastAsia="zh-CN"/>
              </w:rPr>
              <w:t>4</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/t-产品，颗粒物产生量为1.2</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10</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g/t-产品，根据设计，果仁产品产量为200t/a，因此经过核算，</w:t>
            </w:r>
            <w:r>
              <w:rPr>
                <w:rFonts w:hint="eastAsia" w:ascii="Times New Roman" w:hAnsi="Times New Roman" w:eastAsia="宋体" w:cs="Times New Roman"/>
                <w:color w:val="auto"/>
                <w:sz w:val="24"/>
                <w:szCs w:val="24"/>
                <w:lang w:val="en-US" w:eastAsia="zh-CN"/>
              </w:rPr>
              <w:t>本项目深加工过程废气产生量为600</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10</w:t>
            </w:r>
            <w:r>
              <w:rPr>
                <w:rFonts w:hint="eastAsia" w:cs="Times New Roman"/>
                <w:color w:val="auto"/>
                <w:sz w:val="24"/>
                <w:szCs w:val="24"/>
                <w:highlight w:val="none"/>
                <w:vertAlign w:val="superscript"/>
                <w:lang w:val="en-US" w:eastAsia="zh-CN"/>
              </w:rPr>
              <w:t>4</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w:t>
            </w:r>
            <w:r>
              <w:rPr>
                <w:rFonts w:hint="eastAsia" w:ascii="Times New Roman" w:hAnsi="Times New Roman" w:eastAsia="宋体" w:cs="Times New Roman"/>
                <w:color w:val="auto"/>
                <w:sz w:val="24"/>
                <w:szCs w:val="24"/>
                <w:lang w:val="en-US" w:eastAsia="zh-CN"/>
              </w:rPr>
              <w:t>粉尘产生量0.24t/a，根据设计，3台开口机自带布袋除尘器，集气效率90%，除尘效率98%，经过净化处理后废气通过1根排气筒引至西侧厂房外，并在排气口的末端加设1个布袋，经过2级除尘后，总的除尘效率为99.96%，则粉尘无组织排放，根据核算，无组织粉尘的排放量为0.0241t/a。</w:t>
            </w:r>
          </w:p>
          <w:p w14:paraId="1B41C086">
            <w:pPr>
              <w:spacing w:line="360" w:lineRule="auto"/>
              <w:ind w:left="42" w:leftChars="20" w:right="42" w:rightChars="20" w:firstLine="482" w:firstLineChars="200"/>
              <w:jc w:val="center"/>
              <w:rPr>
                <w:rFonts w:hint="default" w:ascii="Times New Roman" w:hAnsi="Times New Roman" w:cs="Times New Roman"/>
                <w:b/>
                <w:bCs/>
                <w:i w:val="0"/>
                <w:iCs w:val="0"/>
                <w:color w:val="auto"/>
                <w:sz w:val="24"/>
                <w:szCs w:val="24"/>
                <w:u w:val="none"/>
                <w:lang w:val="en-US"/>
              </w:rPr>
            </w:pPr>
            <w:r>
              <w:rPr>
                <w:rFonts w:hint="eastAsia" w:ascii="Times New Roman" w:hAnsi="Times New Roman" w:eastAsia="宋体" w:cs="Times New Roman"/>
                <w:b/>
                <w:bCs/>
                <w:color w:val="auto"/>
                <w:kern w:val="0"/>
                <w:sz w:val="24"/>
                <w:szCs w:val="24"/>
                <w:lang w:val="en-US" w:eastAsia="zh-CN" w:bidi="ar-SA"/>
              </w:rPr>
              <w:t xml:space="preserve">表4-3 </w:t>
            </w:r>
            <w:r>
              <w:rPr>
                <w:rFonts w:hint="eastAsia" w:cs="Times New Roman"/>
                <w:b/>
                <w:bCs/>
                <w:color w:val="auto"/>
                <w:sz w:val="24"/>
                <w:szCs w:val="24"/>
                <w:highlight w:val="none"/>
                <w:lang w:val="en-US" w:eastAsia="zh-CN"/>
              </w:rPr>
              <w:t>水果和坚果加工行业</w:t>
            </w:r>
            <w:r>
              <w:rPr>
                <w:rFonts w:hint="eastAsia" w:ascii="Times New Roman" w:hAnsi="Times New Roman" w:eastAsia="宋体" w:cs="Times New Roman"/>
                <w:b/>
                <w:bCs/>
                <w:color w:val="auto"/>
                <w:kern w:val="0"/>
                <w:sz w:val="24"/>
                <w:szCs w:val="24"/>
                <w:lang w:val="en-US" w:eastAsia="zh-CN" w:bidi="ar-SA"/>
              </w:rPr>
              <w:t>系数表</w:t>
            </w:r>
          </w:p>
          <w:tbl>
            <w:tblPr>
              <w:tblStyle w:val="3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6"/>
              <w:gridCol w:w="669"/>
              <w:gridCol w:w="1636"/>
              <w:gridCol w:w="1228"/>
              <w:gridCol w:w="1761"/>
              <w:gridCol w:w="1023"/>
              <w:gridCol w:w="733"/>
              <w:gridCol w:w="849"/>
            </w:tblGrid>
            <w:tr w14:paraId="3AD34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94" w:type="pct"/>
                  <w:noWrap w:val="0"/>
                  <w:vAlign w:val="center"/>
                </w:tcPr>
                <w:p w14:paraId="53C23CDA">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产品名称</w:t>
                  </w:r>
                </w:p>
              </w:tc>
              <w:tc>
                <w:tcPr>
                  <w:tcW w:w="373" w:type="pct"/>
                  <w:noWrap w:val="0"/>
                  <w:vAlign w:val="center"/>
                </w:tcPr>
                <w:p w14:paraId="68A7C193">
                  <w:pPr>
                    <w:widowControl/>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val="en-US" w:eastAsia="zh-CN"/>
                    </w:rPr>
                    <w:t>工艺名称</w:t>
                  </w:r>
                </w:p>
              </w:tc>
              <w:tc>
                <w:tcPr>
                  <w:tcW w:w="912" w:type="pct"/>
                  <w:noWrap/>
                  <w:vAlign w:val="center"/>
                </w:tcPr>
                <w:p w14:paraId="475A88CB">
                  <w:pPr>
                    <w:widowControl/>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val="en-US" w:eastAsia="zh-CN"/>
                    </w:rPr>
                    <w:t>产污环节</w:t>
                  </w:r>
                </w:p>
              </w:tc>
              <w:tc>
                <w:tcPr>
                  <w:tcW w:w="684" w:type="pct"/>
                  <w:noWrap/>
                  <w:vAlign w:val="center"/>
                </w:tcPr>
                <w:p w14:paraId="63EC1694">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污染物指标</w:t>
                  </w:r>
                </w:p>
              </w:tc>
              <w:tc>
                <w:tcPr>
                  <w:tcW w:w="982" w:type="pct"/>
                  <w:noWrap/>
                  <w:vAlign w:val="center"/>
                </w:tcPr>
                <w:p w14:paraId="6FE2702F">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单位</w:t>
                  </w:r>
                </w:p>
              </w:tc>
              <w:tc>
                <w:tcPr>
                  <w:tcW w:w="570" w:type="pct"/>
                  <w:noWrap/>
                  <w:vAlign w:val="center"/>
                </w:tcPr>
                <w:p w14:paraId="1257CB59">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产污系数</w:t>
                  </w:r>
                </w:p>
              </w:tc>
              <w:tc>
                <w:tcPr>
                  <w:tcW w:w="408" w:type="pct"/>
                  <w:noWrap w:val="0"/>
                  <w:vAlign w:val="center"/>
                </w:tcPr>
                <w:p w14:paraId="3F3CECF8">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末端治理技术</w:t>
                  </w:r>
                </w:p>
              </w:tc>
              <w:tc>
                <w:tcPr>
                  <w:tcW w:w="473" w:type="pct"/>
                  <w:noWrap w:val="0"/>
                  <w:vAlign w:val="center"/>
                </w:tcPr>
                <w:p w14:paraId="13996C02">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末端治</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理效率</w:t>
                  </w:r>
                </w:p>
              </w:tc>
            </w:tr>
            <w:tr w14:paraId="65883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594" w:type="pct"/>
                  <w:vMerge w:val="restart"/>
                  <w:noWrap w:val="0"/>
                  <w:vAlign w:val="center"/>
                </w:tcPr>
                <w:p w14:paraId="7423AACE">
                  <w:pPr>
                    <w:widowControl/>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果仁</w:t>
                  </w:r>
                </w:p>
              </w:tc>
              <w:tc>
                <w:tcPr>
                  <w:tcW w:w="373" w:type="pct"/>
                  <w:vMerge w:val="restart"/>
                  <w:noWrap w:val="0"/>
                  <w:vAlign w:val="center"/>
                </w:tcPr>
                <w:p w14:paraId="2563D182">
                  <w:pPr>
                    <w:widowControl/>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脱壳</w:t>
                  </w:r>
                </w:p>
              </w:tc>
              <w:tc>
                <w:tcPr>
                  <w:tcW w:w="912" w:type="pct"/>
                  <w:vMerge w:val="restart"/>
                  <w:noWrap/>
                  <w:vAlign w:val="center"/>
                </w:tcPr>
                <w:p w14:paraId="1706E37C">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开口、振动筛分</w:t>
                  </w:r>
                </w:p>
              </w:tc>
              <w:tc>
                <w:tcPr>
                  <w:tcW w:w="684" w:type="pct"/>
                  <w:noWrap/>
                  <w:vAlign w:val="center"/>
                </w:tcPr>
                <w:p w14:paraId="6B368C26">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工业废气量</w:t>
                  </w:r>
                </w:p>
              </w:tc>
              <w:tc>
                <w:tcPr>
                  <w:tcW w:w="982" w:type="pct"/>
                  <w:noWrap/>
                  <w:vAlign w:val="center"/>
                </w:tcPr>
                <w:p w14:paraId="0488EA6F">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标立方米/吨-产品</w:t>
                  </w:r>
                </w:p>
              </w:tc>
              <w:tc>
                <w:tcPr>
                  <w:tcW w:w="570" w:type="pct"/>
                  <w:noWrap/>
                  <w:vAlign w:val="center"/>
                </w:tcPr>
                <w:p w14:paraId="6287F0C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4</w:t>
                  </w:r>
                </w:p>
              </w:tc>
              <w:tc>
                <w:tcPr>
                  <w:tcW w:w="408" w:type="pct"/>
                  <w:vMerge w:val="restart"/>
                  <w:noWrap w:val="0"/>
                  <w:vAlign w:val="center"/>
                </w:tcPr>
                <w:p w14:paraId="56571824">
                  <w:pPr>
                    <w:widowControl/>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二级</w:t>
                  </w:r>
                  <w:r>
                    <w:rPr>
                      <w:rFonts w:hint="default" w:ascii="Times New Roman" w:hAnsi="Times New Roman" w:cs="Times New Roman"/>
                      <w:color w:val="auto"/>
                      <w:kern w:val="0"/>
                      <w:sz w:val="21"/>
                      <w:szCs w:val="21"/>
                    </w:rPr>
                    <w:t>袋式除尘</w:t>
                  </w:r>
                </w:p>
              </w:tc>
              <w:tc>
                <w:tcPr>
                  <w:tcW w:w="473" w:type="pct"/>
                  <w:vMerge w:val="restart"/>
                  <w:noWrap w:val="0"/>
                  <w:vAlign w:val="center"/>
                </w:tcPr>
                <w:p w14:paraId="350C8A54">
                  <w:pPr>
                    <w:widowControl/>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99.96</w:t>
                  </w:r>
                  <w:r>
                    <w:rPr>
                      <w:rFonts w:hint="default" w:ascii="Times New Roman" w:hAnsi="Times New Roman" w:cs="Times New Roman"/>
                      <w:color w:val="auto"/>
                      <w:kern w:val="0"/>
                      <w:sz w:val="21"/>
                      <w:szCs w:val="21"/>
                    </w:rPr>
                    <w:t>%</w:t>
                  </w:r>
                </w:p>
              </w:tc>
            </w:tr>
            <w:tr w14:paraId="1BF6B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594" w:type="pct"/>
                  <w:vMerge w:val="continue"/>
                  <w:tcBorders>
                    <w:bottom w:val="single" w:color="auto" w:sz="4" w:space="0"/>
                  </w:tcBorders>
                  <w:noWrap w:val="0"/>
                  <w:vAlign w:val="center"/>
                </w:tcPr>
                <w:p w14:paraId="30AEE595">
                  <w:pPr>
                    <w:jc w:val="center"/>
                    <w:rPr>
                      <w:rFonts w:hint="default" w:ascii="Times New Roman" w:hAnsi="Times New Roman" w:cs="Times New Roman"/>
                      <w:color w:val="auto"/>
                      <w:kern w:val="0"/>
                      <w:sz w:val="21"/>
                      <w:szCs w:val="21"/>
                    </w:rPr>
                  </w:pPr>
                </w:p>
              </w:tc>
              <w:tc>
                <w:tcPr>
                  <w:tcW w:w="373" w:type="pct"/>
                  <w:vMerge w:val="continue"/>
                  <w:tcBorders>
                    <w:bottom w:val="single" w:color="auto" w:sz="4" w:space="0"/>
                  </w:tcBorders>
                  <w:noWrap w:val="0"/>
                  <w:vAlign w:val="center"/>
                </w:tcPr>
                <w:p w14:paraId="32AED732">
                  <w:pPr>
                    <w:jc w:val="center"/>
                    <w:rPr>
                      <w:rFonts w:hint="default" w:ascii="Times New Roman" w:hAnsi="Times New Roman" w:cs="Times New Roman"/>
                      <w:color w:val="auto"/>
                      <w:kern w:val="0"/>
                      <w:sz w:val="21"/>
                      <w:szCs w:val="21"/>
                    </w:rPr>
                  </w:pPr>
                </w:p>
              </w:tc>
              <w:tc>
                <w:tcPr>
                  <w:tcW w:w="912" w:type="pct"/>
                  <w:vMerge w:val="continue"/>
                  <w:tcBorders>
                    <w:bottom w:val="single" w:color="auto" w:sz="4" w:space="0"/>
                  </w:tcBorders>
                  <w:noWrap/>
                  <w:vAlign w:val="center"/>
                </w:tcPr>
                <w:p w14:paraId="4E578E82">
                  <w:pPr>
                    <w:jc w:val="center"/>
                    <w:rPr>
                      <w:rFonts w:hint="default" w:ascii="Times New Roman" w:hAnsi="Times New Roman" w:cs="Times New Roman"/>
                      <w:color w:val="auto"/>
                      <w:kern w:val="0"/>
                      <w:sz w:val="21"/>
                      <w:szCs w:val="21"/>
                    </w:rPr>
                  </w:pPr>
                </w:p>
              </w:tc>
              <w:tc>
                <w:tcPr>
                  <w:tcW w:w="684" w:type="pct"/>
                  <w:tcBorders>
                    <w:bottom w:val="single" w:color="auto" w:sz="4" w:space="0"/>
                  </w:tcBorders>
                  <w:noWrap/>
                  <w:vAlign w:val="center"/>
                </w:tcPr>
                <w:p w14:paraId="37C5F51C">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颗粒物</w:t>
                  </w:r>
                </w:p>
              </w:tc>
              <w:tc>
                <w:tcPr>
                  <w:tcW w:w="982" w:type="pct"/>
                  <w:noWrap/>
                  <w:vAlign w:val="center"/>
                </w:tcPr>
                <w:p w14:paraId="54394594">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克/吨-产品</w:t>
                  </w:r>
                </w:p>
              </w:tc>
              <w:tc>
                <w:tcPr>
                  <w:tcW w:w="570" w:type="pct"/>
                  <w:tcBorders>
                    <w:bottom w:val="single" w:color="auto" w:sz="4" w:space="0"/>
                  </w:tcBorders>
                  <w:noWrap/>
                  <w:vAlign w:val="center"/>
                </w:tcPr>
                <w:p w14:paraId="207D363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1.2</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3</w:t>
                  </w:r>
                </w:p>
              </w:tc>
              <w:tc>
                <w:tcPr>
                  <w:tcW w:w="408" w:type="pct"/>
                  <w:vMerge w:val="continue"/>
                  <w:tcBorders>
                    <w:bottom w:val="single" w:color="auto" w:sz="4" w:space="0"/>
                  </w:tcBorders>
                  <w:noWrap w:val="0"/>
                  <w:vAlign w:val="center"/>
                </w:tcPr>
                <w:p w14:paraId="7D803F29">
                  <w:pPr>
                    <w:widowControl/>
                    <w:jc w:val="center"/>
                    <w:rPr>
                      <w:rFonts w:hint="default" w:ascii="Times New Roman" w:hAnsi="Times New Roman" w:cs="Times New Roman"/>
                      <w:color w:val="auto"/>
                      <w:kern w:val="0"/>
                      <w:sz w:val="21"/>
                      <w:szCs w:val="21"/>
                    </w:rPr>
                  </w:pPr>
                </w:p>
              </w:tc>
              <w:tc>
                <w:tcPr>
                  <w:tcW w:w="473" w:type="pct"/>
                  <w:vMerge w:val="continue"/>
                  <w:tcBorders>
                    <w:bottom w:val="single" w:color="auto" w:sz="4" w:space="0"/>
                  </w:tcBorders>
                  <w:noWrap w:val="0"/>
                  <w:vAlign w:val="center"/>
                </w:tcPr>
                <w:p w14:paraId="40301163">
                  <w:pPr>
                    <w:widowControl/>
                    <w:jc w:val="center"/>
                    <w:rPr>
                      <w:rFonts w:hint="default" w:ascii="Times New Roman" w:hAnsi="Times New Roman" w:cs="Times New Roman"/>
                      <w:color w:val="auto"/>
                      <w:kern w:val="0"/>
                      <w:sz w:val="21"/>
                      <w:szCs w:val="21"/>
                    </w:rPr>
                  </w:pPr>
                </w:p>
              </w:tc>
            </w:tr>
          </w:tbl>
          <w:p w14:paraId="07C146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2"/>
                <w:lang w:val="en-US" w:eastAsia="zh-CN"/>
              </w:rPr>
            </w:pPr>
            <w:r>
              <w:rPr>
                <w:rFonts w:hint="eastAsia" w:ascii="Times New Roman" w:hAnsi="Times New Roman" w:eastAsia="宋体" w:cs="Times New Roman"/>
                <w:color w:val="auto"/>
                <w:kern w:val="0"/>
                <w:sz w:val="24"/>
                <w:szCs w:val="24"/>
                <w:vertAlign w:val="baseline"/>
                <w:lang w:val="en-US" w:eastAsia="zh-CN" w:bidi="ar-SA"/>
              </w:rPr>
              <w:t>同时为了减少无组织粉尘的排放量，环评要求生产加工车间设置为半封闭结构，及时清扫车间地面，加强车间通风换气，无组织粉尘</w:t>
            </w:r>
            <w:r>
              <w:rPr>
                <w:rFonts w:hint="eastAsia"/>
                <w:color w:val="auto"/>
                <w:sz w:val="24"/>
                <w:szCs w:val="22"/>
                <w:lang w:val="en-US" w:eastAsia="zh-CN"/>
              </w:rPr>
              <w:t>通过大气扩散，周边植被吸附，对周围环境空气质量影响不大。</w:t>
            </w:r>
          </w:p>
          <w:p w14:paraId="1C8277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华文宋体" w:cs="Times New Roman"/>
                <w:b w:val="0"/>
                <w:bCs w:val="0"/>
                <w:color w:val="auto"/>
                <w:sz w:val="24"/>
                <w:szCs w:val="24"/>
                <w:lang w:val="en-US" w:eastAsia="zh-CN"/>
              </w:rPr>
            </w:pPr>
            <w:r>
              <w:rPr>
                <w:rFonts w:hint="eastAsia" w:ascii="Times New Roman" w:hAnsi="Times New Roman" w:eastAsia="华文宋体" w:cs="Times New Roman"/>
                <w:b w:val="0"/>
                <w:bCs w:val="0"/>
                <w:color w:val="auto"/>
                <w:sz w:val="24"/>
                <w:szCs w:val="24"/>
                <w:lang w:val="en-US" w:eastAsia="zh-CN"/>
              </w:rPr>
              <w:t>（2）</w:t>
            </w:r>
            <w:r>
              <w:rPr>
                <w:rFonts w:hint="default" w:ascii="Times New Roman" w:hAnsi="Times New Roman" w:eastAsia="华文宋体" w:cs="Times New Roman"/>
                <w:b w:val="0"/>
                <w:bCs w:val="0"/>
                <w:color w:val="auto"/>
                <w:sz w:val="24"/>
                <w:szCs w:val="24"/>
                <w:lang w:val="en-US" w:eastAsia="zh-CN"/>
              </w:rPr>
              <w:t>烘干异味</w:t>
            </w:r>
          </w:p>
          <w:p w14:paraId="1D613785">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szCs w:val="24"/>
                <w:lang w:eastAsia="zh-CN"/>
              </w:rPr>
            </w:pPr>
            <w:r>
              <w:rPr>
                <w:rFonts w:hint="eastAsia" w:cs="Times New Roman"/>
                <w:color w:val="auto"/>
                <w:sz w:val="24"/>
                <w:szCs w:val="24"/>
                <w:highlight w:val="none"/>
                <w:lang w:val="en-US" w:eastAsia="zh-CN"/>
              </w:rPr>
              <w:t>本项目采用电烘干，因此无烘干烟气产生，仅有少量的水蒸气，对环境无污染。</w:t>
            </w:r>
            <w:r>
              <w:rPr>
                <w:rFonts w:hint="default" w:ascii="Times New Roman" w:hAnsi="Times New Roman" w:cs="Times New Roman"/>
                <w:color w:val="auto"/>
                <w:sz w:val="24"/>
                <w:szCs w:val="24"/>
                <w:lang w:eastAsia="zh-CN"/>
              </w:rPr>
              <w:t>烘干工序会产生少量异味气体，该异味成分复杂，但无毒无害，且影响范围较小，本环评不做定量分析，建议加强车间通风。</w:t>
            </w:r>
          </w:p>
          <w:p w14:paraId="5A53CD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eastAsia" w:ascii="Times New Roman" w:hAnsi="Times New Roman" w:eastAsia="华文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 xml:space="preserve">汽车尾气 </w:t>
            </w:r>
          </w:p>
          <w:p w14:paraId="4776CD25">
            <w:pPr>
              <w:spacing w:line="360" w:lineRule="auto"/>
              <w:ind w:firstLine="460" w:firstLineChars="19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项目内生产所需原辅料及生产的产品需通过运输汽车运输，在汽车的启动和停放过程中产生汽车尾气，废气中主要污染物为 CO、CH、NOx 等，</w:t>
            </w:r>
            <w:r>
              <w:rPr>
                <w:rFonts w:hint="default" w:ascii="Times New Roman" w:hAnsi="Times New Roman" w:eastAsia="宋体" w:cs="Times New Roman"/>
                <w:color w:val="auto"/>
                <w:sz w:val="24"/>
                <w:szCs w:val="24"/>
              </w:rPr>
              <w:t>呈无组织排放，通过自然空气扩散，</w:t>
            </w:r>
            <w:r>
              <w:rPr>
                <w:rFonts w:hint="default" w:ascii="Times New Roman" w:hAnsi="Times New Roman" w:eastAsia="宋体" w:cs="Times New Roman"/>
                <w:color w:val="auto"/>
                <w:sz w:val="24"/>
                <w:szCs w:val="24"/>
                <w:lang w:val="en-US" w:eastAsia="zh-CN"/>
              </w:rPr>
              <w:t>周边农作物</w:t>
            </w:r>
            <w:r>
              <w:rPr>
                <w:rFonts w:hint="default" w:ascii="Times New Roman" w:hAnsi="Times New Roman" w:eastAsia="宋体" w:cs="Times New Roman"/>
                <w:color w:val="auto"/>
                <w:sz w:val="24"/>
                <w:szCs w:val="24"/>
              </w:rPr>
              <w:t>吸附后，对周围环境影响不大。</w:t>
            </w:r>
          </w:p>
          <w:p w14:paraId="1AA4CB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华文宋体" w:cs="Times New Roman"/>
                <w:b w:val="0"/>
                <w:bCs w:val="0"/>
                <w:color w:val="auto"/>
                <w:sz w:val="24"/>
                <w:szCs w:val="24"/>
                <w:lang w:val="en-US" w:eastAsia="zh-CN"/>
              </w:rPr>
            </w:pPr>
            <w:r>
              <w:rPr>
                <w:rFonts w:hint="eastAsia" w:ascii="Times New Roman" w:hAnsi="Times New Roman" w:eastAsia="华文宋体" w:cs="Times New Roman"/>
                <w:b w:val="0"/>
                <w:bCs w:val="0"/>
                <w:color w:val="auto"/>
                <w:sz w:val="24"/>
                <w:szCs w:val="24"/>
                <w:lang w:val="en-US" w:eastAsia="zh-CN"/>
              </w:rPr>
              <w:t>（4）食堂油烟</w:t>
            </w:r>
          </w:p>
          <w:p w14:paraId="2963E30D">
            <w:pPr>
              <w:adjustRightInd w:val="0"/>
              <w:snapToGrid w:val="0"/>
              <w:spacing w:line="360" w:lineRule="auto"/>
              <w:ind w:firstLine="480" w:firstLineChars="200"/>
              <w:rPr>
                <w:rFonts w:hAnsi="宋体"/>
                <w:color w:val="auto"/>
                <w:sz w:val="24"/>
              </w:rPr>
            </w:pPr>
            <w:r>
              <w:rPr>
                <w:rFonts w:hint="eastAsia"/>
                <w:color w:val="auto"/>
                <w:sz w:val="24"/>
                <w:szCs w:val="24"/>
                <w:lang w:val="en-US" w:eastAsia="zh-CN"/>
              </w:rPr>
              <w:t>本项目用餐人数10人</w:t>
            </w:r>
            <w:r>
              <w:rPr>
                <w:rFonts w:hint="eastAsia"/>
                <w:color w:val="auto"/>
                <w:sz w:val="24"/>
                <w:szCs w:val="24"/>
                <w:lang w:eastAsia="zh-CN"/>
              </w:rPr>
              <w:t>。采用</w:t>
            </w:r>
            <w:r>
              <w:rPr>
                <w:rFonts w:hint="eastAsia"/>
                <w:color w:val="auto"/>
                <w:sz w:val="24"/>
                <w:szCs w:val="24"/>
                <w:lang w:val="en-US" w:eastAsia="zh-CN"/>
              </w:rPr>
              <w:t>液化气、电清洁能源</w:t>
            </w:r>
            <w:r>
              <w:rPr>
                <w:color w:val="auto"/>
                <w:sz w:val="24"/>
                <w:szCs w:val="24"/>
              </w:rPr>
              <w:t>。</w:t>
            </w:r>
            <w:r>
              <w:rPr>
                <w:rFonts w:hint="eastAsia"/>
                <w:color w:val="auto"/>
                <w:sz w:val="24"/>
                <w:szCs w:val="24"/>
                <w:lang w:val="en-US" w:eastAsia="zh-CN"/>
              </w:rPr>
              <w:t>按平衡膳食推荐，以</w:t>
            </w:r>
            <w:r>
              <w:rPr>
                <w:color w:val="auto"/>
                <w:sz w:val="24"/>
                <w:szCs w:val="24"/>
              </w:rPr>
              <w:t>人均日使用</w:t>
            </w:r>
            <w:r>
              <w:rPr>
                <w:rFonts w:hint="eastAsia"/>
                <w:color w:val="auto"/>
                <w:sz w:val="24"/>
                <w:szCs w:val="24"/>
                <w:lang w:val="en-US" w:eastAsia="zh-CN"/>
              </w:rPr>
              <w:t>的</w:t>
            </w:r>
            <w:r>
              <w:rPr>
                <w:color w:val="auto"/>
                <w:sz w:val="24"/>
                <w:szCs w:val="24"/>
              </w:rPr>
              <w:t>油用量约10g/人·</w:t>
            </w:r>
            <w:r>
              <w:rPr>
                <w:rFonts w:hint="eastAsia"/>
                <w:color w:val="auto"/>
                <w:sz w:val="24"/>
                <w:szCs w:val="24"/>
              </w:rPr>
              <w:t>餐</w:t>
            </w:r>
            <w:r>
              <w:rPr>
                <w:color w:val="auto"/>
                <w:sz w:val="24"/>
                <w:szCs w:val="24"/>
              </w:rPr>
              <w:t>，一般油烟挥发量占耗油量的2-4%，平均为2.</w:t>
            </w:r>
            <w:r>
              <w:rPr>
                <w:rFonts w:hint="eastAsia"/>
                <w:color w:val="auto"/>
                <w:sz w:val="24"/>
                <w:szCs w:val="24"/>
              </w:rPr>
              <w:t>83</w:t>
            </w:r>
            <w:r>
              <w:rPr>
                <w:color w:val="auto"/>
                <w:sz w:val="24"/>
                <w:szCs w:val="24"/>
              </w:rPr>
              <w:t>%。</w:t>
            </w:r>
            <w:r>
              <w:rPr>
                <w:rFonts w:hint="eastAsia"/>
                <w:color w:val="auto"/>
                <w:sz w:val="24"/>
                <w:szCs w:val="24"/>
              </w:rPr>
              <w:t>项目每天供应三餐，</w:t>
            </w:r>
            <w:r>
              <w:rPr>
                <w:color w:val="auto"/>
                <w:sz w:val="24"/>
                <w:szCs w:val="24"/>
              </w:rPr>
              <w:t>每天耗油</w:t>
            </w:r>
            <w:r>
              <w:rPr>
                <w:rFonts w:hint="eastAsia"/>
                <w:color w:val="auto"/>
                <w:sz w:val="24"/>
                <w:szCs w:val="24"/>
                <w:lang w:val="en-US" w:eastAsia="zh-CN"/>
              </w:rPr>
              <w:t>0.3</w:t>
            </w:r>
            <w:r>
              <w:rPr>
                <w:color w:val="auto"/>
                <w:sz w:val="24"/>
                <w:szCs w:val="24"/>
              </w:rPr>
              <w:t>kg/d，则油烟产生量</w:t>
            </w:r>
            <w:r>
              <w:rPr>
                <w:rFonts w:hint="eastAsia"/>
                <w:color w:val="auto"/>
                <w:sz w:val="24"/>
                <w:szCs w:val="24"/>
              </w:rPr>
              <w:t>约</w:t>
            </w:r>
            <w:r>
              <w:rPr>
                <w:color w:val="auto"/>
                <w:sz w:val="24"/>
                <w:szCs w:val="24"/>
              </w:rPr>
              <w:t>为</w:t>
            </w:r>
            <w:r>
              <w:rPr>
                <w:rFonts w:hint="eastAsia"/>
                <w:color w:val="auto"/>
                <w:sz w:val="24"/>
                <w:szCs w:val="24"/>
                <w:lang w:val="en-US" w:eastAsia="zh-CN"/>
              </w:rPr>
              <w:t>0.0085</w:t>
            </w:r>
            <w:r>
              <w:rPr>
                <w:color w:val="auto"/>
                <w:sz w:val="24"/>
                <w:szCs w:val="24"/>
              </w:rPr>
              <w:t>kg/d</w:t>
            </w:r>
            <w:r>
              <w:rPr>
                <w:rFonts w:hint="eastAsia"/>
                <w:color w:val="auto"/>
                <w:sz w:val="24"/>
                <w:szCs w:val="24"/>
              </w:rPr>
              <w:t>，</w:t>
            </w:r>
            <w:r>
              <w:rPr>
                <w:rFonts w:hint="eastAsia"/>
                <w:color w:val="auto"/>
                <w:sz w:val="24"/>
                <w:szCs w:val="24"/>
                <w:lang w:val="en-US" w:eastAsia="zh-CN"/>
              </w:rPr>
              <w:t>1.7</w:t>
            </w:r>
            <w:r>
              <w:rPr>
                <w:rFonts w:hint="eastAsia"/>
                <w:color w:val="auto"/>
                <w:sz w:val="24"/>
                <w:szCs w:val="24"/>
              </w:rPr>
              <w:t>kg/a</w:t>
            </w:r>
            <w:r>
              <w:rPr>
                <w:color w:val="auto"/>
                <w:sz w:val="24"/>
                <w:szCs w:val="24"/>
              </w:rPr>
              <w:t>。</w:t>
            </w:r>
            <w:r>
              <w:rPr>
                <w:rFonts w:hAnsi="宋体"/>
                <w:color w:val="auto"/>
                <w:sz w:val="24"/>
                <w:szCs w:val="21"/>
              </w:rPr>
              <w:t>排风量按《饮食业油烟排放标准》</w:t>
            </w:r>
            <w:r>
              <w:rPr>
                <w:color w:val="auto"/>
                <w:sz w:val="24"/>
                <w:szCs w:val="21"/>
              </w:rPr>
              <w:t>GB18483-2001</w:t>
            </w:r>
            <w:r>
              <w:rPr>
                <w:rFonts w:hAnsi="宋体"/>
                <w:color w:val="auto"/>
                <w:sz w:val="24"/>
                <w:szCs w:val="21"/>
              </w:rPr>
              <w:t>规定的单个灶头基准排风量大、中、小型均为</w:t>
            </w:r>
            <w:r>
              <w:rPr>
                <w:color w:val="auto"/>
                <w:sz w:val="24"/>
                <w:szCs w:val="21"/>
              </w:rPr>
              <w:t>2000 m</w:t>
            </w:r>
            <w:r>
              <w:rPr>
                <w:color w:val="auto"/>
                <w:sz w:val="24"/>
                <w:szCs w:val="21"/>
                <w:vertAlign w:val="superscript"/>
              </w:rPr>
              <w:t>3</w:t>
            </w:r>
            <w:r>
              <w:rPr>
                <w:color w:val="auto"/>
                <w:sz w:val="24"/>
                <w:szCs w:val="21"/>
              </w:rPr>
              <w:t>/h</w:t>
            </w:r>
            <w:r>
              <w:rPr>
                <w:rFonts w:hAnsi="宋体"/>
                <w:color w:val="auto"/>
                <w:sz w:val="24"/>
                <w:szCs w:val="21"/>
              </w:rPr>
              <w:t>，食堂</w:t>
            </w:r>
            <w:r>
              <w:rPr>
                <w:rFonts w:hint="eastAsia" w:hAnsi="宋体"/>
                <w:color w:val="auto"/>
                <w:sz w:val="24"/>
                <w:szCs w:val="21"/>
              </w:rPr>
              <w:t>供应3餐，</w:t>
            </w:r>
            <w:r>
              <w:rPr>
                <w:rFonts w:hint="eastAsia" w:hAnsi="宋体"/>
                <w:color w:val="auto"/>
                <w:sz w:val="24"/>
                <w:szCs w:val="21"/>
                <w:lang w:val="en-US" w:eastAsia="zh-CN"/>
              </w:rPr>
              <w:t>2小时的</w:t>
            </w:r>
            <w:r>
              <w:rPr>
                <w:rFonts w:hint="eastAsia" w:hAnsi="宋体"/>
                <w:color w:val="auto"/>
                <w:sz w:val="24"/>
                <w:szCs w:val="21"/>
              </w:rPr>
              <w:t>排风量为</w:t>
            </w:r>
            <w:r>
              <w:rPr>
                <w:rFonts w:hint="eastAsia" w:hAnsi="宋体"/>
                <w:color w:val="auto"/>
                <w:sz w:val="24"/>
                <w:szCs w:val="21"/>
                <w:lang w:val="en-US" w:eastAsia="zh-CN"/>
              </w:rPr>
              <w:t>2</w:t>
            </w:r>
            <w:r>
              <w:rPr>
                <w:rFonts w:hAnsi="宋体"/>
                <w:color w:val="auto"/>
                <w:sz w:val="24"/>
                <w:szCs w:val="21"/>
              </w:rPr>
              <w:t>000m</w:t>
            </w:r>
            <w:r>
              <w:rPr>
                <w:rFonts w:hAnsi="宋体"/>
                <w:color w:val="auto"/>
                <w:sz w:val="24"/>
                <w:szCs w:val="21"/>
                <w:vertAlign w:val="superscript"/>
              </w:rPr>
              <w:t>3</w:t>
            </w:r>
            <w:r>
              <w:rPr>
                <w:rFonts w:hAnsi="宋体"/>
                <w:color w:val="auto"/>
                <w:sz w:val="24"/>
                <w:szCs w:val="21"/>
              </w:rPr>
              <w:t>/</w:t>
            </w:r>
            <w:r>
              <w:rPr>
                <w:rFonts w:hint="eastAsia" w:hAnsi="宋体"/>
                <w:color w:val="auto"/>
                <w:sz w:val="24"/>
                <w:szCs w:val="21"/>
              </w:rPr>
              <w:t>d</w:t>
            </w:r>
            <w:r>
              <w:rPr>
                <w:rFonts w:hAnsi="宋体"/>
                <w:color w:val="auto"/>
                <w:sz w:val="24"/>
                <w:szCs w:val="21"/>
              </w:rPr>
              <w:t>，则排放浓度为</w:t>
            </w:r>
            <w:r>
              <w:rPr>
                <w:rFonts w:hint="eastAsia" w:hAnsi="宋体"/>
                <w:color w:val="auto"/>
                <w:sz w:val="24"/>
                <w:szCs w:val="21"/>
                <w:lang w:val="en-US" w:eastAsia="zh-CN"/>
              </w:rPr>
              <w:t>4.25</w:t>
            </w:r>
            <w:r>
              <w:rPr>
                <w:rFonts w:hAnsi="宋体"/>
                <w:color w:val="auto"/>
                <w:sz w:val="24"/>
                <w:szCs w:val="21"/>
              </w:rPr>
              <w:t>mg/m</w:t>
            </w:r>
            <w:r>
              <w:rPr>
                <w:rFonts w:hAnsi="宋体"/>
                <w:color w:val="auto"/>
                <w:sz w:val="24"/>
                <w:szCs w:val="21"/>
                <w:vertAlign w:val="superscript"/>
              </w:rPr>
              <w:t>3</w:t>
            </w:r>
            <w:r>
              <w:rPr>
                <w:rFonts w:hAnsi="宋体"/>
                <w:color w:val="auto"/>
                <w:sz w:val="24"/>
                <w:szCs w:val="21"/>
              </w:rPr>
              <w:t>，大于排放允许浓度</w:t>
            </w:r>
            <w:r>
              <w:rPr>
                <w:rFonts w:hint="eastAsia" w:hAnsi="宋体"/>
                <w:color w:val="auto"/>
                <w:sz w:val="24"/>
                <w:szCs w:val="21"/>
                <w:lang w:val="en-US" w:eastAsia="zh-CN"/>
              </w:rPr>
              <w:t>2.0</w:t>
            </w:r>
            <w:r>
              <w:rPr>
                <w:rFonts w:hAnsi="宋体"/>
                <w:color w:val="auto"/>
                <w:sz w:val="24"/>
                <w:szCs w:val="21"/>
              </w:rPr>
              <w:t>mg/m</w:t>
            </w:r>
            <w:r>
              <w:rPr>
                <w:rFonts w:hAnsi="宋体"/>
                <w:color w:val="auto"/>
                <w:sz w:val="24"/>
                <w:szCs w:val="21"/>
                <w:vertAlign w:val="superscript"/>
              </w:rPr>
              <w:t>3</w:t>
            </w:r>
            <w:r>
              <w:rPr>
                <w:rFonts w:hAnsi="宋体"/>
                <w:color w:val="auto"/>
                <w:sz w:val="24"/>
                <w:szCs w:val="21"/>
              </w:rPr>
              <w:t>的要求，</w:t>
            </w:r>
            <w:r>
              <w:rPr>
                <w:rFonts w:hint="eastAsia" w:hAnsi="宋体"/>
                <w:color w:val="auto"/>
                <w:sz w:val="24"/>
                <w:szCs w:val="21"/>
              </w:rPr>
              <w:t>要求</w:t>
            </w:r>
            <w:r>
              <w:rPr>
                <w:rFonts w:hint="eastAsia" w:hAnsi="宋体"/>
                <w:color w:val="auto"/>
                <w:sz w:val="24"/>
                <w:szCs w:val="21"/>
                <w:lang w:val="en-US" w:eastAsia="zh-CN"/>
              </w:rPr>
              <w:t>建设方</w:t>
            </w:r>
            <w:r>
              <w:rPr>
                <w:rFonts w:hAnsi="宋体"/>
                <w:color w:val="auto"/>
                <w:sz w:val="24"/>
                <w:szCs w:val="21"/>
              </w:rPr>
              <w:t>必须安装</w:t>
            </w:r>
            <w:r>
              <w:rPr>
                <w:rFonts w:hint="eastAsia" w:hAnsi="宋体"/>
                <w:color w:val="auto"/>
                <w:sz w:val="24"/>
                <w:szCs w:val="21"/>
              </w:rPr>
              <w:t>1套合格的</w:t>
            </w:r>
            <w:r>
              <w:rPr>
                <w:rFonts w:hint="eastAsia" w:hAnsi="宋体"/>
                <w:color w:val="auto"/>
                <w:sz w:val="24"/>
                <w:szCs w:val="21"/>
                <w:lang w:eastAsia="zh-CN"/>
              </w:rPr>
              <w:t>抽油烟机</w:t>
            </w:r>
            <w:r>
              <w:rPr>
                <w:rFonts w:hint="eastAsia" w:hAnsi="宋体"/>
                <w:color w:val="auto"/>
                <w:sz w:val="24"/>
                <w:szCs w:val="21"/>
              </w:rPr>
              <w:t>（净化率达60%以上）</w:t>
            </w:r>
            <w:r>
              <w:rPr>
                <w:rFonts w:hAnsi="宋体"/>
                <w:color w:val="auto"/>
                <w:sz w:val="24"/>
                <w:szCs w:val="21"/>
              </w:rPr>
              <w:t>，油烟经过净化后由项目厨房的专用烟道排放，属间歇性排放</w:t>
            </w:r>
            <w:r>
              <w:rPr>
                <w:rFonts w:hint="eastAsia" w:hAnsi="宋体"/>
                <w:color w:val="auto"/>
                <w:sz w:val="24"/>
                <w:szCs w:val="21"/>
              </w:rPr>
              <w:t>，</w:t>
            </w:r>
            <w:r>
              <w:rPr>
                <w:rFonts w:hAnsi="宋体"/>
                <w:color w:val="auto"/>
                <w:sz w:val="24"/>
                <w:szCs w:val="21"/>
              </w:rPr>
              <w:t>排放浓度降至</w:t>
            </w:r>
            <w:r>
              <w:rPr>
                <w:rFonts w:hint="eastAsia" w:hAnsi="宋体"/>
                <w:color w:val="auto"/>
                <w:sz w:val="24"/>
                <w:szCs w:val="21"/>
                <w:lang w:val="en-US" w:eastAsia="zh-CN"/>
              </w:rPr>
              <w:t>1.7</w:t>
            </w:r>
            <w:r>
              <w:rPr>
                <w:rFonts w:hAnsi="宋体"/>
                <w:color w:val="auto"/>
                <w:sz w:val="24"/>
                <w:szCs w:val="21"/>
              </w:rPr>
              <w:t>mg/m</w:t>
            </w:r>
            <w:r>
              <w:rPr>
                <w:rFonts w:hAnsi="宋体"/>
                <w:color w:val="auto"/>
                <w:sz w:val="24"/>
                <w:szCs w:val="21"/>
                <w:vertAlign w:val="superscript"/>
              </w:rPr>
              <w:t>3</w:t>
            </w:r>
            <w:r>
              <w:rPr>
                <w:rFonts w:hAnsi="宋体"/>
                <w:color w:val="auto"/>
                <w:sz w:val="24"/>
                <w:szCs w:val="21"/>
              </w:rPr>
              <w:t>，</w:t>
            </w:r>
            <w:r>
              <w:rPr>
                <w:rFonts w:hint="eastAsia" w:hAnsi="宋体"/>
                <w:color w:val="auto"/>
                <w:sz w:val="24"/>
              </w:rPr>
              <w:t>油烟排放量为</w:t>
            </w:r>
            <w:r>
              <w:rPr>
                <w:rFonts w:hint="eastAsia"/>
                <w:color w:val="auto"/>
                <w:sz w:val="24"/>
              </w:rPr>
              <w:t>0.0</w:t>
            </w:r>
            <w:r>
              <w:rPr>
                <w:rFonts w:hint="eastAsia"/>
                <w:color w:val="auto"/>
                <w:sz w:val="24"/>
                <w:lang w:val="en-US" w:eastAsia="zh-CN"/>
              </w:rPr>
              <w:t>034</w:t>
            </w:r>
            <w:r>
              <w:rPr>
                <w:color w:val="auto"/>
                <w:sz w:val="24"/>
              </w:rPr>
              <w:t>kg/d</w:t>
            </w:r>
            <w:r>
              <w:rPr>
                <w:rFonts w:hint="eastAsia" w:hAnsi="宋体"/>
                <w:color w:val="auto"/>
                <w:sz w:val="24"/>
              </w:rPr>
              <w:t>，</w:t>
            </w:r>
            <w:r>
              <w:rPr>
                <w:rFonts w:hint="eastAsia" w:hAnsi="宋体"/>
                <w:color w:val="auto"/>
                <w:sz w:val="24"/>
                <w:lang w:val="en-US" w:eastAsia="zh-CN"/>
              </w:rPr>
              <w:t>0.68kg</w:t>
            </w:r>
            <w:r>
              <w:rPr>
                <w:rFonts w:hint="eastAsia" w:hAnsi="宋体"/>
                <w:color w:val="auto"/>
                <w:sz w:val="24"/>
              </w:rPr>
              <w:t>/a</w:t>
            </w:r>
            <w:r>
              <w:rPr>
                <w:rFonts w:hAnsi="宋体"/>
                <w:color w:val="auto"/>
                <w:sz w:val="24"/>
              </w:rPr>
              <w:t>。</w:t>
            </w:r>
          </w:p>
          <w:p w14:paraId="2F49C636">
            <w:pPr>
              <w:numPr>
                <w:ilvl w:val="0"/>
                <w:numId w:val="0"/>
              </w:numPr>
              <w:spacing w:line="360" w:lineRule="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2.1.3废气排放可达性分析</w:t>
            </w:r>
          </w:p>
          <w:p w14:paraId="5ABB1188">
            <w:pPr>
              <w:pStyle w:val="16"/>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项目主要废气排放达标情况分析见下表4-4。</w:t>
            </w:r>
          </w:p>
          <w:p w14:paraId="394D3BD7">
            <w:pPr>
              <w:pStyle w:val="16"/>
              <w:spacing w:line="360" w:lineRule="auto"/>
              <w:ind w:firstLine="482" w:firstLineChars="200"/>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表4-4项目废气排放达标情况分析</w:t>
            </w:r>
          </w:p>
          <w:tbl>
            <w:tblPr>
              <w:tblStyle w:val="3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953"/>
              <w:gridCol w:w="1059"/>
              <w:gridCol w:w="1215"/>
              <w:gridCol w:w="729"/>
              <w:gridCol w:w="729"/>
              <w:gridCol w:w="713"/>
              <w:gridCol w:w="783"/>
              <w:gridCol w:w="1480"/>
              <w:gridCol w:w="743"/>
            </w:tblGrid>
            <w:tr w14:paraId="43E96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dxa"/>
                  <w:shd w:val="clear" w:color="000000" w:fill="FFFFFF"/>
                  <w:noWrap w:val="0"/>
                  <w:vAlign w:val="center"/>
                </w:tcPr>
                <w:p w14:paraId="65F27205">
                  <w:pPr>
                    <w:widowControl/>
                    <w:adjustRightInd/>
                    <w:ind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序号</w:t>
                  </w:r>
                </w:p>
              </w:tc>
              <w:tc>
                <w:tcPr>
                  <w:tcW w:w="953" w:type="dxa"/>
                  <w:shd w:val="clear" w:color="000000" w:fill="FFFFFF"/>
                  <w:noWrap w:val="0"/>
                  <w:vAlign w:val="center"/>
                </w:tcPr>
                <w:p w14:paraId="290BD1A9">
                  <w:pPr>
                    <w:widowControl/>
                    <w:adjustRightInd/>
                    <w:ind w:firstLine="0" w:firstLineChars="0"/>
                    <w:jc w:val="center"/>
                    <w:rPr>
                      <w:rFonts w:hint="default" w:ascii="Times New Roman" w:hAnsi="Times New Roman" w:eastAsia="宋体" w:cs="Times New Roman"/>
                      <w:b/>
                      <w:bCs w:val="0"/>
                      <w:color w:val="auto"/>
                      <w:kern w:val="0"/>
                      <w:sz w:val="21"/>
                      <w:szCs w:val="21"/>
                      <w:highlight w:val="none"/>
                      <w:lang w:eastAsia="zh-CN"/>
                    </w:rPr>
                  </w:pPr>
                  <w:r>
                    <w:rPr>
                      <w:rFonts w:hint="default" w:ascii="Times New Roman" w:hAnsi="Times New Roman" w:eastAsia="宋体" w:cs="Times New Roman"/>
                      <w:b/>
                      <w:bCs w:val="0"/>
                      <w:color w:val="auto"/>
                      <w:kern w:val="0"/>
                      <w:sz w:val="21"/>
                      <w:szCs w:val="21"/>
                      <w:highlight w:val="none"/>
                      <w:lang w:eastAsia="zh-CN"/>
                    </w:rPr>
                    <w:t>污染源</w:t>
                  </w:r>
                </w:p>
              </w:tc>
              <w:tc>
                <w:tcPr>
                  <w:tcW w:w="1059" w:type="dxa"/>
                  <w:tcBorders>
                    <w:right w:val="single" w:color="auto" w:sz="4" w:space="0"/>
                  </w:tcBorders>
                  <w:shd w:val="clear" w:color="000000" w:fill="FFFFFF"/>
                  <w:noWrap w:val="0"/>
                  <w:vAlign w:val="center"/>
                </w:tcPr>
                <w:p w14:paraId="154072C2">
                  <w:pPr>
                    <w:widowControl/>
                    <w:adjustRightInd/>
                    <w:ind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污染物</w:t>
                  </w:r>
                </w:p>
              </w:tc>
              <w:tc>
                <w:tcPr>
                  <w:tcW w:w="1215" w:type="dxa"/>
                  <w:tcBorders>
                    <w:left w:val="single" w:color="auto" w:sz="4" w:space="0"/>
                  </w:tcBorders>
                  <w:shd w:val="clear" w:color="000000" w:fill="FFFFFF"/>
                  <w:noWrap w:val="0"/>
                  <w:vAlign w:val="center"/>
                </w:tcPr>
                <w:p w14:paraId="21D9DD15">
                  <w:pPr>
                    <w:widowControl/>
                    <w:adjustRightInd/>
                    <w:ind w:firstLine="0" w:firstLineChars="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治理措施</w:t>
                  </w:r>
                </w:p>
              </w:tc>
              <w:tc>
                <w:tcPr>
                  <w:tcW w:w="729" w:type="dxa"/>
                  <w:shd w:val="clear" w:color="000000" w:fill="FFFFFF"/>
                  <w:noWrap w:val="0"/>
                  <w:vAlign w:val="center"/>
                </w:tcPr>
                <w:p w14:paraId="14D2165B">
                  <w:pPr>
                    <w:adjustRightInd/>
                    <w:ind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sz w:val="21"/>
                      <w:szCs w:val="21"/>
                      <w:highlight w:val="none"/>
                    </w:rPr>
                    <w:t>排放速率kg/h</w:t>
                  </w:r>
                </w:p>
              </w:tc>
              <w:tc>
                <w:tcPr>
                  <w:tcW w:w="729" w:type="dxa"/>
                  <w:shd w:val="clear" w:color="000000" w:fill="FFFFFF"/>
                  <w:noWrap w:val="0"/>
                  <w:vAlign w:val="center"/>
                </w:tcPr>
                <w:p w14:paraId="0DB35433">
                  <w:pPr>
                    <w:adjustRightInd/>
                    <w:ind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sz w:val="21"/>
                      <w:szCs w:val="21"/>
                      <w:highlight w:val="none"/>
                    </w:rPr>
                    <w:t>标准限值kg/h</w:t>
                  </w:r>
                </w:p>
              </w:tc>
              <w:tc>
                <w:tcPr>
                  <w:tcW w:w="713" w:type="dxa"/>
                  <w:shd w:val="clear" w:color="000000" w:fill="FFFFFF"/>
                  <w:noWrap w:val="0"/>
                  <w:vAlign w:val="center"/>
                </w:tcPr>
                <w:p w14:paraId="1196E2AD">
                  <w:pPr>
                    <w:adjustRightInd/>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c>
                <w:tcPr>
                  <w:tcW w:w="783" w:type="dxa"/>
                  <w:shd w:val="clear" w:color="000000" w:fill="FFFFFF"/>
                  <w:noWrap w:val="0"/>
                  <w:vAlign w:val="center"/>
                </w:tcPr>
                <w:p w14:paraId="33849BE5">
                  <w:pPr>
                    <w:adjustRightInd/>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p>
              </w:tc>
              <w:tc>
                <w:tcPr>
                  <w:tcW w:w="1480" w:type="dxa"/>
                  <w:shd w:val="clear" w:color="000000" w:fill="FFFFFF"/>
                  <w:noWrap w:val="0"/>
                  <w:vAlign w:val="center"/>
                </w:tcPr>
                <w:p w14:paraId="27AD9EE2">
                  <w:pPr>
                    <w:adjustRightInd/>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标准限值mg/m</w:t>
                  </w:r>
                  <w:r>
                    <w:rPr>
                      <w:rFonts w:hint="default" w:ascii="Times New Roman" w:hAnsi="Times New Roman" w:eastAsia="宋体" w:cs="Times New Roman"/>
                      <w:b/>
                      <w:bCs w:val="0"/>
                      <w:color w:val="auto"/>
                      <w:sz w:val="21"/>
                      <w:szCs w:val="21"/>
                      <w:highlight w:val="none"/>
                      <w:vertAlign w:val="superscript"/>
                    </w:rPr>
                    <w:t>3</w:t>
                  </w:r>
                </w:p>
              </w:tc>
              <w:tc>
                <w:tcPr>
                  <w:tcW w:w="743" w:type="dxa"/>
                  <w:shd w:val="clear" w:color="000000" w:fill="FFFFFF"/>
                  <w:noWrap w:val="0"/>
                  <w:vAlign w:val="center"/>
                </w:tcPr>
                <w:p w14:paraId="19B9E6DE">
                  <w:pPr>
                    <w:adjustRightInd/>
                    <w:ind w:firstLine="0" w:firstLineChars="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sz w:val="21"/>
                      <w:szCs w:val="21"/>
                      <w:highlight w:val="none"/>
                    </w:rPr>
                    <w:t>达标情况</w:t>
                  </w:r>
                </w:p>
              </w:tc>
            </w:tr>
            <w:tr w14:paraId="21EB5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dxa"/>
                  <w:shd w:val="clear" w:color="000000" w:fill="FFFFFF"/>
                  <w:noWrap w:val="0"/>
                  <w:vAlign w:val="center"/>
                </w:tcPr>
                <w:p w14:paraId="51D18DA1">
                  <w:pPr>
                    <w:widowControl/>
                    <w:adjustRightInd/>
                    <w:ind w:firstLine="0" w:firstLineChars="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w:t>
                  </w:r>
                </w:p>
              </w:tc>
              <w:tc>
                <w:tcPr>
                  <w:tcW w:w="953" w:type="dxa"/>
                  <w:shd w:val="clear" w:color="000000" w:fill="FFFFFF"/>
                  <w:noWrap w:val="0"/>
                  <w:vAlign w:val="center"/>
                </w:tcPr>
                <w:p w14:paraId="762D448D">
                  <w:pPr>
                    <w:widowControl/>
                    <w:adjustRightInd/>
                    <w:ind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原料堆放、装卸</w:t>
                  </w:r>
                </w:p>
              </w:tc>
              <w:tc>
                <w:tcPr>
                  <w:tcW w:w="1059" w:type="dxa"/>
                  <w:tcBorders>
                    <w:right w:val="single" w:color="auto" w:sz="4" w:space="0"/>
                  </w:tcBorders>
                  <w:shd w:val="clear" w:color="000000" w:fill="FFFFFF"/>
                  <w:noWrap w:val="0"/>
                  <w:vAlign w:val="center"/>
                </w:tcPr>
                <w:p w14:paraId="5DCE5D1C">
                  <w:pPr>
                    <w:widowControl/>
                    <w:adjustRightInd/>
                    <w:ind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无组织粉尘</w:t>
                  </w:r>
                </w:p>
              </w:tc>
              <w:tc>
                <w:tcPr>
                  <w:tcW w:w="1215" w:type="dxa"/>
                  <w:tcBorders>
                    <w:left w:val="single" w:color="auto" w:sz="4" w:space="0"/>
                  </w:tcBorders>
                  <w:shd w:val="clear" w:color="000000" w:fill="FFFFFF"/>
                  <w:noWrap w:val="0"/>
                  <w:vAlign w:val="center"/>
                </w:tcPr>
                <w:p w14:paraId="4F4CA42A">
                  <w:pPr>
                    <w:widowControl/>
                    <w:adjustRightInd/>
                    <w:ind w:firstLine="0" w:firstLineChars="0"/>
                    <w:jc w:val="center"/>
                    <w:rPr>
                      <w:rFonts w:hint="default" w:ascii="Times New Roman" w:hAnsi="Times New Roman" w:eastAsia="宋体" w:cs="Times New Roman"/>
                      <w:b/>
                      <w:bCs w:val="0"/>
                      <w:color w:val="auto"/>
                      <w:kern w:val="0"/>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
                    </w:rPr>
                    <w:t>生产车间内</w:t>
                  </w: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原料堆放区，半封闭结构</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不露天堆放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严禁物料堆放高度超出堆场隔墙，</w:t>
                  </w:r>
                  <w:r>
                    <w:rPr>
                      <w:rFonts w:hint="default" w:ascii="Times New Roman" w:hAnsi="Times New Roman" w:eastAsia="宋体" w:cs="Times New Roman"/>
                      <w:color w:val="auto"/>
                      <w:sz w:val="21"/>
                      <w:szCs w:val="21"/>
                    </w:rPr>
                    <w:t>缩短堆放时间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厂区硬化，定期清扫、洒水降尘</w:t>
                  </w:r>
                  <w:r>
                    <w:rPr>
                      <w:rFonts w:hint="eastAsia" w:ascii="Times New Roman" w:hAnsi="Times New Roman" w:eastAsia="宋体" w:cs="Times New Roman"/>
                      <w:color w:val="auto"/>
                      <w:sz w:val="21"/>
                      <w:szCs w:val="21"/>
                      <w:lang w:val="en-US" w:eastAsia="zh-CN"/>
                    </w:rPr>
                    <w:t>；运输车斗采用</w:t>
                  </w:r>
                  <w:r>
                    <w:rPr>
                      <w:rFonts w:hint="default" w:ascii="Times New Roman" w:hAnsi="Times New Roman" w:eastAsia="宋体" w:cs="Times New Roman"/>
                      <w:color w:val="auto"/>
                      <w:sz w:val="21"/>
                      <w:szCs w:val="21"/>
                    </w:rPr>
                    <w:t>苫布覆盖</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设置废料堆放棚</w:t>
                  </w:r>
                </w:p>
              </w:tc>
              <w:tc>
                <w:tcPr>
                  <w:tcW w:w="729" w:type="dxa"/>
                  <w:shd w:val="clear" w:color="000000" w:fill="FFFFFF"/>
                  <w:noWrap w:val="0"/>
                  <w:vAlign w:val="center"/>
                </w:tcPr>
                <w:p w14:paraId="076CE727">
                  <w:pPr>
                    <w:adjustRightInd/>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0.00044</w:t>
                  </w:r>
                </w:p>
              </w:tc>
              <w:tc>
                <w:tcPr>
                  <w:tcW w:w="729" w:type="dxa"/>
                  <w:shd w:val="clear" w:color="000000" w:fill="FFFFFF"/>
                  <w:noWrap w:val="0"/>
                  <w:vAlign w:val="center"/>
                </w:tcPr>
                <w:p w14:paraId="0786611E">
                  <w:pPr>
                    <w:adjustRightInd/>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713" w:type="dxa"/>
                  <w:shd w:val="clear" w:color="000000" w:fill="FFFFFF"/>
                  <w:noWrap w:val="0"/>
                  <w:vAlign w:val="center"/>
                </w:tcPr>
                <w:p w14:paraId="320EAA29">
                  <w:pPr>
                    <w:adjustRightInd/>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lang w:val="en-US" w:eastAsia="zh-CN"/>
                    </w:rPr>
                    <w:t>/</w:t>
                  </w:r>
                </w:p>
              </w:tc>
              <w:tc>
                <w:tcPr>
                  <w:tcW w:w="783" w:type="dxa"/>
                  <w:shd w:val="clear" w:color="000000" w:fill="FFFFFF"/>
                  <w:noWrap w:val="0"/>
                  <w:vAlign w:val="center"/>
                </w:tcPr>
                <w:p w14:paraId="42F4BCC3">
                  <w:pPr>
                    <w:adjustRightInd/>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lang w:val="en-US" w:eastAsia="zh-CN"/>
                    </w:rPr>
                    <w:t>&lt;1.0</w:t>
                  </w:r>
                </w:p>
              </w:tc>
              <w:tc>
                <w:tcPr>
                  <w:tcW w:w="1480" w:type="dxa"/>
                  <w:shd w:val="clear" w:color="000000" w:fill="FFFFFF"/>
                  <w:noWrap w:val="0"/>
                  <w:vAlign w:val="center"/>
                </w:tcPr>
                <w:p w14:paraId="45A62E91">
                  <w:pPr>
                    <w:adjustRightInd/>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lang w:val="en-US" w:eastAsia="zh-CN"/>
                    </w:rPr>
                    <w:t>1.0</w:t>
                  </w:r>
                </w:p>
              </w:tc>
              <w:tc>
                <w:tcPr>
                  <w:tcW w:w="743" w:type="dxa"/>
                  <w:shd w:val="clear" w:color="000000" w:fill="FFFFFF"/>
                  <w:noWrap w:val="0"/>
                  <w:vAlign w:val="center"/>
                </w:tcPr>
                <w:p w14:paraId="2AD52C9A">
                  <w:pPr>
                    <w:adjustRightInd/>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rPr>
                    <w:t>达标</w:t>
                  </w:r>
                </w:p>
              </w:tc>
            </w:tr>
            <w:tr w14:paraId="507DC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dxa"/>
                  <w:vMerge w:val="restart"/>
                  <w:shd w:val="clear" w:color="000000" w:fill="FFFFFF"/>
                  <w:noWrap w:val="0"/>
                  <w:vAlign w:val="center"/>
                </w:tcPr>
                <w:p w14:paraId="4AA4CE69">
                  <w:pPr>
                    <w:widowControl/>
                    <w:adjustRightInd/>
                    <w:ind w:firstLine="0" w:firstLineChars="0"/>
                    <w:jc w:val="center"/>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2</w:t>
                  </w:r>
                </w:p>
              </w:tc>
              <w:tc>
                <w:tcPr>
                  <w:tcW w:w="953" w:type="dxa"/>
                  <w:vMerge w:val="restart"/>
                  <w:shd w:val="clear" w:color="000000" w:fill="FFFFFF"/>
                  <w:noWrap w:val="0"/>
                  <w:vAlign w:val="center"/>
                </w:tcPr>
                <w:p w14:paraId="34A81480">
                  <w:pPr>
                    <w:widowControl/>
                    <w:adjustRightInd/>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sz w:val="21"/>
                      <w:szCs w:val="21"/>
                      <w:vertAlign w:val="baseline"/>
                      <w:lang w:val="en-US" w:eastAsia="zh-CN"/>
                    </w:rPr>
                    <w:t>脱壳、振动筛分</w:t>
                  </w:r>
                  <w:r>
                    <w:rPr>
                      <w:rFonts w:hint="default" w:ascii="Times New Roman" w:hAnsi="Times New Roman" w:eastAsia="宋体" w:cs="Times New Roman"/>
                      <w:b w:val="0"/>
                      <w:bCs/>
                      <w:color w:val="auto"/>
                      <w:sz w:val="21"/>
                      <w:szCs w:val="21"/>
                      <w:vertAlign w:val="baseline"/>
                      <w:lang w:val="en-US" w:eastAsia="zh-CN"/>
                    </w:rPr>
                    <w:t>等工序</w:t>
                  </w:r>
                </w:p>
              </w:tc>
              <w:tc>
                <w:tcPr>
                  <w:tcW w:w="1059" w:type="dxa"/>
                  <w:vMerge w:val="restart"/>
                  <w:tcBorders>
                    <w:right w:val="single" w:color="auto" w:sz="4" w:space="0"/>
                  </w:tcBorders>
                  <w:shd w:val="clear" w:color="000000" w:fill="FFFFFF"/>
                  <w:noWrap w:val="0"/>
                  <w:vAlign w:val="center"/>
                </w:tcPr>
                <w:p w14:paraId="203166D5">
                  <w:pPr>
                    <w:widowControl/>
                    <w:adjustRightInd/>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无组织粉尘</w:t>
                  </w:r>
                </w:p>
              </w:tc>
              <w:tc>
                <w:tcPr>
                  <w:tcW w:w="1215" w:type="dxa"/>
                  <w:tcBorders>
                    <w:left w:val="single" w:color="auto" w:sz="4" w:space="0"/>
                  </w:tcBorders>
                  <w:shd w:val="clear" w:color="000000" w:fill="FFFFFF"/>
                  <w:noWrap w:val="0"/>
                  <w:vAlign w:val="center"/>
                </w:tcPr>
                <w:p w14:paraId="662A5F07">
                  <w:pPr>
                    <w:pStyle w:val="91"/>
                    <w:jc w:val="center"/>
                    <w:rPr>
                      <w:rFonts w:hint="default" w:ascii="Times New Roman" w:hAnsi="Times New Roman" w:eastAsia="宋体" w:cs="Times New Roman"/>
                      <w:b w:val="0"/>
                      <w:bCs/>
                      <w:color w:val="auto"/>
                      <w:kern w:val="0"/>
                      <w:sz w:val="21"/>
                      <w:szCs w:val="21"/>
                      <w:lang w:val="en-US" w:eastAsia="zh-CN"/>
                    </w:rPr>
                  </w:pPr>
                  <w:r>
                    <w:rPr>
                      <w:rFonts w:hint="eastAsia" w:eastAsia="宋体"/>
                      <w:color w:val="auto"/>
                      <w:szCs w:val="21"/>
                      <w:lang w:val="en-US" w:eastAsia="zh-CN"/>
                    </w:rPr>
                    <w:t>3台开口设备自带1套布袋除尘器，集气效率90%，除尘效率不低于98%，同时在排气口末端设置布袋二级除尘，总的除尘效率可达99.96%。</w:t>
                  </w:r>
                </w:p>
              </w:tc>
              <w:tc>
                <w:tcPr>
                  <w:tcW w:w="729" w:type="dxa"/>
                  <w:vMerge w:val="restart"/>
                  <w:shd w:val="clear" w:color="000000" w:fill="FFFFFF"/>
                  <w:noWrap w:val="0"/>
                  <w:vAlign w:val="center"/>
                </w:tcPr>
                <w:p w14:paraId="1380A87C">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ascii="Times New Roman" w:hAnsi="Times New Roman" w:eastAsia="宋体" w:cs="Times New Roman"/>
                      <w:b w:val="0"/>
                      <w:bCs/>
                      <w:color w:val="auto"/>
                      <w:sz w:val="21"/>
                      <w:szCs w:val="21"/>
                      <w:lang w:val="en-US" w:eastAsia="zh-CN"/>
                    </w:rPr>
                    <w:t>015</w:t>
                  </w:r>
                </w:p>
              </w:tc>
              <w:tc>
                <w:tcPr>
                  <w:tcW w:w="729" w:type="dxa"/>
                  <w:vMerge w:val="restart"/>
                  <w:shd w:val="clear" w:color="000000" w:fill="FFFFFF"/>
                  <w:noWrap w:val="0"/>
                  <w:vAlign w:val="center"/>
                </w:tcPr>
                <w:p w14:paraId="07B39357">
                  <w:pPr>
                    <w:adjustRightInd/>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w:t>
                  </w:r>
                </w:p>
              </w:tc>
              <w:tc>
                <w:tcPr>
                  <w:tcW w:w="713" w:type="dxa"/>
                  <w:vMerge w:val="restart"/>
                  <w:shd w:val="clear" w:color="000000" w:fill="FFFFFF"/>
                  <w:noWrap w:val="0"/>
                  <w:vAlign w:val="center"/>
                </w:tcPr>
                <w:p w14:paraId="3D198162">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783" w:type="dxa"/>
                  <w:vMerge w:val="restart"/>
                  <w:shd w:val="clear" w:color="000000" w:fill="FFFFFF"/>
                  <w:noWrap w:val="0"/>
                  <w:vAlign w:val="center"/>
                </w:tcPr>
                <w:p w14:paraId="70BD4E5C">
                  <w:pPr>
                    <w:adjustRightInd/>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&lt;1.0</w:t>
                  </w:r>
                </w:p>
              </w:tc>
              <w:tc>
                <w:tcPr>
                  <w:tcW w:w="1480" w:type="dxa"/>
                  <w:vMerge w:val="restart"/>
                  <w:shd w:val="clear" w:color="000000" w:fill="FFFFFF"/>
                  <w:noWrap w:val="0"/>
                  <w:vAlign w:val="center"/>
                </w:tcPr>
                <w:p w14:paraId="0C0625EC">
                  <w:pPr>
                    <w:adjustRightInd/>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1.0</w:t>
                  </w:r>
                </w:p>
              </w:tc>
              <w:tc>
                <w:tcPr>
                  <w:tcW w:w="743" w:type="dxa"/>
                  <w:vMerge w:val="restart"/>
                  <w:shd w:val="clear" w:color="000000" w:fill="FFFFFF"/>
                  <w:noWrap w:val="0"/>
                  <w:vAlign w:val="center"/>
                </w:tcPr>
                <w:p w14:paraId="2245D600">
                  <w:pPr>
                    <w:adjustRightInd/>
                    <w:ind w:firstLine="0" w:firstLineChars="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达标</w:t>
                  </w:r>
                </w:p>
              </w:tc>
            </w:tr>
            <w:tr w14:paraId="3D549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dxa"/>
                  <w:vMerge w:val="continue"/>
                  <w:shd w:val="clear" w:color="000000" w:fill="FFFFFF"/>
                  <w:noWrap w:val="0"/>
                  <w:vAlign w:val="center"/>
                </w:tcPr>
                <w:p w14:paraId="47636493">
                  <w:pPr>
                    <w:widowControl/>
                    <w:adjustRightInd/>
                    <w:ind w:firstLine="0" w:firstLineChars="0"/>
                    <w:jc w:val="center"/>
                    <w:rPr>
                      <w:rFonts w:hint="default" w:ascii="Times New Roman" w:hAnsi="Times New Roman" w:eastAsia="宋体" w:cs="Times New Roman"/>
                      <w:b w:val="0"/>
                      <w:bCs/>
                      <w:color w:val="auto"/>
                      <w:kern w:val="0"/>
                      <w:sz w:val="21"/>
                      <w:szCs w:val="21"/>
                    </w:rPr>
                  </w:pPr>
                </w:p>
              </w:tc>
              <w:tc>
                <w:tcPr>
                  <w:tcW w:w="953" w:type="dxa"/>
                  <w:vMerge w:val="continue"/>
                  <w:shd w:val="clear" w:color="000000" w:fill="FFFFFF"/>
                  <w:noWrap w:val="0"/>
                  <w:vAlign w:val="center"/>
                </w:tcPr>
                <w:p w14:paraId="1F955A3D">
                  <w:pPr>
                    <w:widowControl/>
                    <w:adjustRightInd/>
                    <w:ind w:firstLine="0" w:firstLineChars="0"/>
                    <w:jc w:val="center"/>
                    <w:rPr>
                      <w:rFonts w:hint="default" w:ascii="Times New Roman" w:hAnsi="Times New Roman" w:eastAsia="宋体" w:cs="Times New Roman"/>
                      <w:b w:val="0"/>
                      <w:bCs/>
                      <w:color w:val="auto"/>
                      <w:sz w:val="21"/>
                      <w:szCs w:val="21"/>
                      <w:vertAlign w:val="baseline"/>
                      <w:lang w:val="en-US" w:eastAsia="zh-CN"/>
                    </w:rPr>
                  </w:pPr>
                </w:p>
              </w:tc>
              <w:tc>
                <w:tcPr>
                  <w:tcW w:w="1059" w:type="dxa"/>
                  <w:vMerge w:val="continue"/>
                  <w:tcBorders>
                    <w:right w:val="single" w:color="auto" w:sz="4" w:space="0"/>
                  </w:tcBorders>
                  <w:shd w:val="clear" w:color="000000" w:fill="FFFFFF"/>
                  <w:noWrap w:val="0"/>
                  <w:vAlign w:val="center"/>
                </w:tcPr>
                <w:p w14:paraId="3692A89E">
                  <w:pPr>
                    <w:widowControl/>
                    <w:adjustRightInd/>
                    <w:ind w:firstLine="0" w:firstLineChars="0"/>
                    <w:jc w:val="center"/>
                    <w:rPr>
                      <w:rFonts w:hint="default" w:ascii="Times New Roman" w:hAnsi="Times New Roman" w:eastAsia="宋体" w:cs="Times New Roman"/>
                      <w:b w:val="0"/>
                      <w:bCs/>
                      <w:color w:val="auto"/>
                      <w:kern w:val="0"/>
                      <w:sz w:val="21"/>
                      <w:szCs w:val="21"/>
                      <w:lang w:val="en-US" w:eastAsia="zh-CN"/>
                    </w:rPr>
                  </w:pPr>
                </w:p>
              </w:tc>
              <w:tc>
                <w:tcPr>
                  <w:tcW w:w="1215" w:type="dxa"/>
                  <w:tcBorders>
                    <w:left w:val="single" w:color="auto" w:sz="4" w:space="0"/>
                    <w:bottom w:val="single" w:color="auto" w:sz="4" w:space="0"/>
                  </w:tcBorders>
                  <w:shd w:val="clear" w:color="000000" w:fill="FFFFFF"/>
                  <w:noWrap w:val="0"/>
                  <w:vAlign w:val="center"/>
                </w:tcPr>
                <w:p w14:paraId="0D1081C6">
                  <w:pPr>
                    <w:pStyle w:val="91"/>
                    <w:jc w:val="center"/>
                    <w:rPr>
                      <w:rFonts w:hint="default" w:ascii="Times New Roman" w:hAnsi="Times New Roman" w:eastAsia="宋体" w:cs="Times New Roman"/>
                      <w:b w:val="0"/>
                      <w:bCs/>
                      <w:color w:val="auto"/>
                      <w:sz w:val="21"/>
                      <w:szCs w:val="21"/>
                      <w:lang w:val="en-US" w:eastAsia="zh-CN"/>
                    </w:rPr>
                  </w:pPr>
                  <w:r>
                    <w:rPr>
                      <w:rFonts w:hint="eastAsia" w:eastAsia="宋体"/>
                      <w:color w:val="auto"/>
                      <w:szCs w:val="21"/>
                      <w:lang w:val="en-US" w:eastAsia="zh-CN"/>
                    </w:rPr>
                    <w:t>生产车间半封闭结构，同时将输送皮带进行封闭，无组织粉尘在生产车间内自然沉降。</w:t>
                  </w:r>
                </w:p>
              </w:tc>
              <w:tc>
                <w:tcPr>
                  <w:tcW w:w="729" w:type="dxa"/>
                  <w:vMerge w:val="continue"/>
                  <w:tcBorders>
                    <w:bottom w:val="single" w:color="auto" w:sz="4" w:space="0"/>
                  </w:tcBorders>
                  <w:shd w:val="clear" w:color="000000" w:fill="FFFFFF"/>
                  <w:noWrap w:val="0"/>
                  <w:vAlign w:val="center"/>
                </w:tcPr>
                <w:p w14:paraId="0C3942BF">
                  <w:pPr>
                    <w:adjustRightInd/>
                    <w:ind w:firstLine="0" w:firstLineChars="0"/>
                    <w:jc w:val="center"/>
                    <w:rPr>
                      <w:rFonts w:hint="default" w:ascii="Times New Roman" w:hAnsi="Times New Roman" w:eastAsia="宋体" w:cs="Times New Roman"/>
                      <w:b w:val="0"/>
                      <w:bCs/>
                      <w:color w:val="auto"/>
                      <w:sz w:val="21"/>
                      <w:szCs w:val="21"/>
                      <w:lang w:val="en-US" w:eastAsia="zh-CN"/>
                    </w:rPr>
                  </w:pPr>
                </w:p>
              </w:tc>
              <w:tc>
                <w:tcPr>
                  <w:tcW w:w="729" w:type="dxa"/>
                  <w:vMerge w:val="continue"/>
                  <w:tcBorders>
                    <w:bottom w:val="single" w:color="auto" w:sz="4" w:space="0"/>
                  </w:tcBorders>
                  <w:shd w:val="clear" w:color="000000" w:fill="FFFFFF"/>
                  <w:noWrap w:val="0"/>
                  <w:vAlign w:val="center"/>
                </w:tcPr>
                <w:p w14:paraId="445AE139">
                  <w:pPr>
                    <w:adjustRightInd/>
                    <w:ind w:firstLine="0" w:firstLineChars="0"/>
                    <w:jc w:val="center"/>
                    <w:rPr>
                      <w:rFonts w:hint="default" w:ascii="Times New Roman" w:hAnsi="Times New Roman" w:eastAsia="宋体" w:cs="Times New Roman"/>
                      <w:b w:val="0"/>
                      <w:bCs/>
                      <w:color w:val="auto"/>
                      <w:kern w:val="0"/>
                      <w:sz w:val="21"/>
                      <w:szCs w:val="21"/>
                      <w:lang w:val="en-US" w:eastAsia="zh-CN"/>
                    </w:rPr>
                  </w:pPr>
                </w:p>
              </w:tc>
              <w:tc>
                <w:tcPr>
                  <w:tcW w:w="713" w:type="dxa"/>
                  <w:vMerge w:val="continue"/>
                  <w:tcBorders>
                    <w:bottom w:val="single" w:color="auto" w:sz="4" w:space="0"/>
                  </w:tcBorders>
                  <w:shd w:val="clear" w:color="000000" w:fill="FFFFFF"/>
                  <w:noWrap w:val="0"/>
                  <w:vAlign w:val="center"/>
                </w:tcPr>
                <w:p w14:paraId="2E3087BC">
                  <w:pPr>
                    <w:adjustRightInd/>
                    <w:ind w:firstLine="0" w:firstLineChars="0"/>
                    <w:jc w:val="center"/>
                    <w:rPr>
                      <w:rFonts w:hint="default" w:ascii="Times New Roman" w:hAnsi="Times New Roman" w:eastAsia="宋体" w:cs="Times New Roman"/>
                      <w:b w:val="0"/>
                      <w:bCs/>
                      <w:color w:val="auto"/>
                      <w:sz w:val="21"/>
                      <w:szCs w:val="21"/>
                      <w:lang w:val="en-US" w:eastAsia="zh-CN"/>
                    </w:rPr>
                  </w:pPr>
                </w:p>
              </w:tc>
              <w:tc>
                <w:tcPr>
                  <w:tcW w:w="783" w:type="dxa"/>
                  <w:vMerge w:val="continue"/>
                  <w:tcBorders>
                    <w:bottom w:val="single" w:color="auto" w:sz="4" w:space="0"/>
                  </w:tcBorders>
                  <w:shd w:val="clear" w:color="000000" w:fill="FFFFFF"/>
                  <w:noWrap w:val="0"/>
                  <w:vAlign w:val="center"/>
                </w:tcPr>
                <w:p w14:paraId="46CAA9CF">
                  <w:pPr>
                    <w:adjustRightInd/>
                    <w:ind w:firstLine="0" w:firstLineChars="0"/>
                    <w:jc w:val="center"/>
                    <w:rPr>
                      <w:rFonts w:hint="default" w:ascii="Times New Roman" w:hAnsi="Times New Roman" w:eastAsia="宋体" w:cs="Times New Roman"/>
                      <w:b w:val="0"/>
                      <w:bCs/>
                      <w:color w:val="auto"/>
                      <w:kern w:val="2"/>
                      <w:sz w:val="21"/>
                      <w:szCs w:val="21"/>
                      <w:lang w:val="en-US" w:eastAsia="zh-CN" w:bidi="ar-SA"/>
                    </w:rPr>
                  </w:pPr>
                </w:p>
              </w:tc>
              <w:tc>
                <w:tcPr>
                  <w:tcW w:w="1480" w:type="dxa"/>
                  <w:vMerge w:val="continue"/>
                  <w:tcBorders>
                    <w:bottom w:val="single" w:color="auto" w:sz="4" w:space="0"/>
                  </w:tcBorders>
                  <w:shd w:val="clear" w:color="000000" w:fill="FFFFFF"/>
                  <w:noWrap w:val="0"/>
                  <w:vAlign w:val="center"/>
                </w:tcPr>
                <w:p w14:paraId="212553AB">
                  <w:pPr>
                    <w:adjustRightInd/>
                    <w:ind w:firstLine="0" w:firstLineChars="0"/>
                    <w:jc w:val="center"/>
                    <w:rPr>
                      <w:rFonts w:hint="default" w:ascii="Times New Roman" w:hAnsi="Times New Roman" w:eastAsia="宋体" w:cs="Times New Roman"/>
                      <w:b w:val="0"/>
                      <w:bCs/>
                      <w:color w:val="auto"/>
                      <w:kern w:val="2"/>
                      <w:sz w:val="21"/>
                      <w:szCs w:val="21"/>
                      <w:lang w:val="en-US" w:eastAsia="zh-CN" w:bidi="ar-SA"/>
                    </w:rPr>
                  </w:pPr>
                </w:p>
              </w:tc>
              <w:tc>
                <w:tcPr>
                  <w:tcW w:w="743" w:type="dxa"/>
                  <w:vMerge w:val="continue"/>
                  <w:tcBorders>
                    <w:bottom w:val="single" w:color="auto" w:sz="4" w:space="0"/>
                  </w:tcBorders>
                  <w:shd w:val="clear" w:color="000000" w:fill="FFFFFF"/>
                  <w:noWrap w:val="0"/>
                  <w:vAlign w:val="center"/>
                </w:tcPr>
                <w:p w14:paraId="225BD78C">
                  <w:pPr>
                    <w:adjustRightInd/>
                    <w:ind w:firstLine="0" w:firstLineChars="0"/>
                    <w:jc w:val="center"/>
                    <w:rPr>
                      <w:rFonts w:hint="default" w:ascii="Times New Roman" w:hAnsi="Times New Roman" w:eastAsia="宋体" w:cs="Times New Roman"/>
                      <w:b w:val="0"/>
                      <w:bCs/>
                      <w:color w:val="auto"/>
                      <w:kern w:val="0"/>
                      <w:sz w:val="21"/>
                      <w:szCs w:val="21"/>
                      <w:lang w:val="en-US" w:eastAsia="zh-CN" w:bidi="ar-SA"/>
                    </w:rPr>
                  </w:pPr>
                </w:p>
              </w:tc>
            </w:tr>
            <w:tr w14:paraId="10081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dxa"/>
                  <w:shd w:val="clear" w:color="000000" w:fill="FFFFFF"/>
                  <w:noWrap w:val="0"/>
                  <w:vAlign w:val="center"/>
                </w:tcPr>
                <w:p w14:paraId="62E007FC">
                  <w:pPr>
                    <w:widowControl/>
                    <w:adjustRightInd/>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3</w:t>
                  </w:r>
                </w:p>
              </w:tc>
              <w:tc>
                <w:tcPr>
                  <w:tcW w:w="953" w:type="dxa"/>
                  <w:shd w:val="clear" w:color="000000" w:fill="FFFFFF"/>
                  <w:noWrap w:val="0"/>
                  <w:vAlign w:val="center"/>
                </w:tcPr>
                <w:p w14:paraId="28FD571D">
                  <w:pPr>
                    <w:widowControl/>
                    <w:adjustRightInd/>
                    <w:ind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食堂</w:t>
                  </w:r>
                </w:p>
              </w:tc>
              <w:tc>
                <w:tcPr>
                  <w:tcW w:w="1059" w:type="dxa"/>
                  <w:tcBorders>
                    <w:right w:val="single" w:color="auto" w:sz="4" w:space="0"/>
                  </w:tcBorders>
                  <w:shd w:val="clear" w:color="000000" w:fill="FFFFFF"/>
                  <w:noWrap w:val="0"/>
                  <w:vAlign w:val="center"/>
                </w:tcPr>
                <w:p w14:paraId="2C69FC91">
                  <w:pPr>
                    <w:widowControl/>
                    <w:adjustRightInd/>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油烟</w:t>
                  </w:r>
                </w:p>
              </w:tc>
              <w:tc>
                <w:tcPr>
                  <w:tcW w:w="1215" w:type="dxa"/>
                  <w:tcBorders>
                    <w:left w:val="single" w:color="auto" w:sz="4" w:space="0"/>
                  </w:tcBorders>
                  <w:shd w:val="clear" w:color="000000" w:fill="FFFFFF"/>
                  <w:noWrap w:val="0"/>
                  <w:vAlign w:val="center"/>
                </w:tcPr>
                <w:p w14:paraId="1188CE39">
                  <w:pPr>
                    <w:widowControl/>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抽油烟机，净化效率不低于60%</w:t>
                  </w:r>
                </w:p>
              </w:tc>
              <w:tc>
                <w:tcPr>
                  <w:tcW w:w="729" w:type="dxa"/>
                  <w:tcBorders>
                    <w:top w:val="single" w:color="auto" w:sz="4" w:space="0"/>
                  </w:tcBorders>
                  <w:shd w:val="clear" w:color="000000" w:fill="FFFFFF"/>
                  <w:noWrap w:val="0"/>
                  <w:vAlign w:val="center"/>
                </w:tcPr>
                <w:p w14:paraId="6FDE63E2">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ascii="Times New Roman" w:hAnsi="Times New Roman" w:eastAsia="宋体" w:cs="Times New Roman"/>
                      <w:b w:val="0"/>
                      <w:bCs/>
                      <w:color w:val="auto"/>
                      <w:sz w:val="21"/>
                      <w:szCs w:val="21"/>
                      <w:lang w:val="en-US" w:eastAsia="zh-CN"/>
                    </w:rPr>
                    <w:t>017</w:t>
                  </w:r>
                </w:p>
              </w:tc>
              <w:tc>
                <w:tcPr>
                  <w:tcW w:w="729" w:type="dxa"/>
                  <w:tcBorders>
                    <w:top w:val="single" w:color="auto" w:sz="4" w:space="0"/>
                  </w:tcBorders>
                  <w:shd w:val="clear" w:color="000000" w:fill="FFFFFF"/>
                  <w:noWrap w:val="0"/>
                  <w:vAlign w:val="center"/>
                </w:tcPr>
                <w:p w14:paraId="62B8B3C4">
                  <w:pPr>
                    <w:adjustRightInd/>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w:t>
                  </w:r>
                </w:p>
              </w:tc>
              <w:tc>
                <w:tcPr>
                  <w:tcW w:w="713" w:type="dxa"/>
                  <w:tcBorders>
                    <w:top w:val="single" w:color="auto" w:sz="4" w:space="0"/>
                  </w:tcBorders>
                  <w:shd w:val="clear" w:color="000000" w:fill="FFFFFF"/>
                  <w:noWrap w:val="0"/>
                  <w:vAlign w:val="center"/>
                </w:tcPr>
                <w:p w14:paraId="3E11014A">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783" w:type="dxa"/>
                  <w:tcBorders>
                    <w:top w:val="single" w:color="auto" w:sz="4" w:space="0"/>
                  </w:tcBorders>
                  <w:shd w:val="clear" w:color="000000" w:fill="FFFFFF"/>
                  <w:noWrap w:val="0"/>
                  <w:vAlign w:val="center"/>
                </w:tcPr>
                <w:p w14:paraId="522C8A8F">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r>
                    <w:rPr>
                      <w:rFonts w:hint="eastAsia" w:ascii="Times New Roman" w:hAnsi="Times New Roman" w:eastAsia="宋体" w:cs="Times New Roman"/>
                      <w:b w:val="0"/>
                      <w:bCs/>
                      <w:color w:val="auto"/>
                      <w:sz w:val="21"/>
                      <w:szCs w:val="21"/>
                      <w:lang w:val="en-US" w:eastAsia="zh-CN"/>
                    </w:rPr>
                    <w:t>1.7</w:t>
                  </w:r>
                </w:p>
              </w:tc>
              <w:tc>
                <w:tcPr>
                  <w:tcW w:w="1480" w:type="dxa"/>
                  <w:tcBorders>
                    <w:top w:val="single" w:color="auto" w:sz="4" w:space="0"/>
                  </w:tcBorders>
                  <w:shd w:val="clear" w:color="000000" w:fill="FFFFFF"/>
                  <w:noWrap w:val="0"/>
                  <w:vAlign w:val="center"/>
                </w:tcPr>
                <w:p w14:paraId="45F065DA">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743" w:type="dxa"/>
                  <w:tcBorders>
                    <w:top w:val="single" w:color="auto" w:sz="4" w:space="0"/>
                  </w:tcBorders>
                  <w:shd w:val="clear" w:color="000000" w:fill="FFFFFF"/>
                  <w:noWrap w:val="0"/>
                  <w:vAlign w:val="center"/>
                </w:tcPr>
                <w:p w14:paraId="4956DDE1">
                  <w:pPr>
                    <w:adjustRightInd/>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bl>
          <w:p w14:paraId="45720E90">
            <w:pPr>
              <w:rPr>
                <w:rFonts w:hint="eastAsia" w:ascii="Times New Roman" w:hAnsi="Times New Roman" w:eastAsia="宋体" w:cs="Times New Roman"/>
                <w:b/>
                <w:bCs/>
                <w:color w:val="auto"/>
                <w:sz w:val="24"/>
                <w:szCs w:val="24"/>
                <w:lang w:val="en-US" w:eastAsia="zh-CN"/>
              </w:rPr>
            </w:pPr>
          </w:p>
          <w:p w14:paraId="2A08E8BA">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外排</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粉尘厂界浓度</w:t>
            </w:r>
            <w:r>
              <w:rPr>
                <w:rFonts w:hint="default" w:ascii="Times New Roman" w:hAnsi="Times New Roman" w:eastAsia="宋体" w:cs="Times New Roman"/>
                <w:color w:val="auto"/>
                <w:sz w:val="24"/>
                <w:szCs w:val="24"/>
                <w:lang w:val="en-US" w:eastAsia="zh-CN"/>
              </w:rPr>
              <w:t>能够</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bCs/>
                <w:color w:val="auto"/>
                <w:sz w:val="24"/>
              </w:rPr>
              <w:t>《大气污染物综合排放标准》（GB16297-1996）表2限值</w:t>
            </w:r>
            <w:r>
              <w:rPr>
                <w:rFonts w:hint="eastAsia" w:ascii="Times New Roman" w:hAnsi="Times New Roman" w:eastAsia="宋体" w:cs="Times New Roman"/>
                <w:color w:val="auto"/>
                <w:sz w:val="24"/>
                <w:szCs w:val="24"/>
                <w:lang w:val="en-US" w:eastAsia="zh-CN"/>
              </w:rPr>
              <w:t>1.0mg/m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；食堂油烟</w:t>
            </w:r>
            <w:r>
              <w:rPr>
                <w:color w:val="auto"/>
                <w:sz w:val="24"/>
                <w:szCs w:val="24"/>
              </w:rPr>
              <w:t>达到《饮食业油烟排放标准</w:t>
            </w:r>
            <w:r>
              <w:rPr>
                <w:rFonts w:hint="eastAsia"/>
                <w:color w:val="auto"/>
                <w:sz w:val="24"/>
                <w:szCs w:val="24"/>
              </w:rPr>
              <w:t>（试行）</w:t>
            </w:r>
            <w:r>
              <w:rPr>
                <w:color w:val="auto"/>
                <w:sz w:val="24"/>
                <w:szCs w:val="24"/>
              </w:rPr>
              <w:t>》</w:t>
            </w:r>
            <w:r>
              <w:rPr>
                <w:rFonts w:hint="eastAsia"/>
                <w:color w:val="auto"/>
                <w:sz w:val="24"/>
                <w:szCs w:val="24"/>
              </w:rPr>
              <w:t>（</w:t>
            </w:r>
            <w:r>
              <w:rPr>
                <w:color w:val="auto"/>
                <w:sz w:val="24"/>
                <w:szCs w:val="24"/>
              </w:rPr>
              <w:t>GB18483-2001</w:t>
            </w:r>
            <w:r>
              <w:rPr>
                <w:rFonts w:hint="eastAsia"/>
                <w:color w:val="auto"/>
                <w:sz w:val="24"/>
                <w:szCs w:val="24"/>
              </w:rPr>
              <w:t>）</w:t>
            </w:r>
            <w:r>
              <w:rPr>
                <w:color w:val="auto"/>
                <w:sz w:val="24"/>
                <w:szCs w:val="24"/>
              </w:rPr>
              <w:t>要求</w:t>
            </w:r>
            <w:r>
              <w:rPr>
                <w:rFonts w:hint="eastAsia"/>
                <w:color w:val="auto"/>
                <w:sz w:val="24"/>
                <w:szCs w:val="24"/>
                <w:lang w:eastAsia="zh-CN"/>
              </w:rPr>
              <w:t>，</w:t>
            </w:r>
            <w:r>
              <w:rPr>
                <w:rFonts w:hint="default" w:ascii="Times New Roman" w:hAnsi="Times New Roman" w:eastAsia="宋体"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周围大气</w:t>
            </w:r>
            <w:r>
              <w:rPr>
                <w:rFonts w:hint="default" w:ascii="Times New Roman" w:hAnsi="Times New Roman" w:eastAsia="宋体" w:cs="Times New Roman"/>
                <w:color w:val="auto"/>
                <w:sz w:val="24"/>
                <w:szCs w:val="24"/>
                <w:lang w:val="en-US" w:eastAsia="zh-CN"/>
              </w:rPr>
              <w:t>环境影响较小。</w:t>
            </w:r>
          </w:p>
          <w:p w14:paraId="552744F8">
            <w:pPr>
              <w:numPr>
                <w:ilvl w:val="0"/>
                <w:numId w:val="0"/>
              </w:numPr>
              <w:spacing w:line="360" w:lineRule="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2.1.4</w:t>
            </w:r>
            <w:r>
              <w:rPr>
                <w:rFonts w:hint="default" w:ascii="Times New Roman" w:hAnsi="Times New Roman" w:eastAsia="宋体" w:cs="Times New Roman"/>
                <w:b w:val="0"/>
                <w:bCs w:val="0"/>
                <w:color w:val="auto"/>
                <w:sz w:val="24"/>
                <w:szCs w:val="24"/>
                <w:lang w:val="en-US" w:eastAsia="zh-CN"/>
              </w:rPr>
              <w:t>非正常情况下</w:t>
            </w:r>
            <w:r>
              <w:rPr>
                <w:rFonts w:hint="eastAsia" w:ascii="Times New Roman" w:hAnsi="Times New Roman" w:eastAsia="宋体" w:cs="Times New Roman"/>
                <w:b w:val="0"/>
                <w:bCs w:val="0"/>
                <w:color w:val="auto"/>
                <w:sz w:val="24"/>
                <w:szCs w:val="24"/>
                <w:lang w:val="en-US" w:eastAsia="zh-CN"/>
              </w:rPr>
              <w:t>影响分析</w:t>
            </w:r>
          </w:p>
          <w:p w14:paraId="2851F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41" w:firstLineChars="184"/>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在实际运营过程中，由于</w:t>
            </w:r>
            <w:r>
              <w:rPr>
                <w:rFonts w:hint="default" w:ascii="Times New Roman" w:hAnsi="Times New Roman" w:eastAsia="宋体" w:cs="Times New Roman"/>
                <w:color w:val="auto"/>
                <w:sz w:val="24"/>
                <w:szCs w:val="24"/>
                <w:lang w:val="en-US" w:eastAsia="zh-CN"/>
              </w:rPr>
              <w:t>停电或设备故障</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开口机设置3套</w:t>
            </w:r>
            <w:r>
              <w:rPr>
                <w:rFonts w:hint="default" w:ascii="Times New Roman" w:hAnsi="Times New Roman" w:eastAsia="宋体" w:cs="Times New Roman"/>
                <w:color w:val="auto"/>
                <w:sz w:val="24"/>
                <w:szCs w:val="24"/>
                <w:lang w:val="en-US" w:eastAsia="zh-CN"/>
              </w:rPr>
              <w:t>布袋除尘器，当除尘器故障，处理效率下降至</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计算，设置故障时间取8h/a，非正常情况下</w:t>
            </w:r>
            <w:r>
              <w:rPr>
                <w:rFonts w:hint="eastAsia" w:ascii="Times New Roman" w:hAnsi="Times New Roman" w:eastAsia="宋体" w:cs="Times New Roman"/>
                <w:color w:val="auto"/>
                <w:sz w:val="24"/>
                <w:szCs w:val="24"/>
                <w:lang w:val="en-US" w:eastAsia="zh-CN"/>
              </w:rPr>
              <w:t>有组织粉尘的排放量</w:t>
            </w:r>
            <w:r>
              <w:rPr>
                <w:rFonts w:hint="default" w:ascii="Times New Roman" w:hAnsi="Times New Roman" w:eastAsia="宋体" w:cs="Times New Roman"/>
                <w:color w:val="auto"/>
                <w:sz w:val="24"/>
                <w:szCs w:val="24"/>
                <w:lang w:val="en-US" w:eastAsia="zh-CN"/>
              </w:rPr>
              <w:t>产生量为</w:t>
            </w:r>
            <w:r>
              <w:rPr>
                <w:rFonts w:hint="eastAsia" w:ascii="Times New Roman" w:hAnsi="Times New Roman" w:eastAsia="宋体" w:cs="Times New Roman"/>
                <w:color w:val="auto"/>
                <w:sz w:val="24"/>
                <w:szCs w:val="24"/>
                <w:lang w:val="en-US" w:eastAsia="zh-CN"/>
              </w:rPr>
              <w:t>0.54kg/a，0.0675kg/h</w:t>
            </w:r>
            <w:r>
              <w:rPr>
                <w:rFonts w:hint="default" w:ascii="Times New Roman" w:hAnsi="Times New Roman" w:eastAsia="宋体" w:cs="Times New Roman"/>
                <w:color w:val="auto"/>
                <w:sz w:val="24"/>
                <w:szCs w:val="24"/>
                <w:lang w:val="en-US" w:eastAsia="zh-CN"/>
              </w:rPr>
              <w:t>，则非正常情况下的大气污染物产排情况见表4</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p>
          <w:p w14:paraId="2AC7FE0B">
            <w:pPr>
              <w:pStyle w:val="32"/>
              <w:spacing w:line="240" w:lineRule="auto"/>
              <w:ind w:left="0" w:leftChars="0" w:firstLine="0" w:firstLineChars="0"/>
              <w:jc w:val="center"/>
              <w:rPr>
                <w:rFonts w:hint="eastAsia" w:ascii="Times New Roman" w:hAnsi="Times New Roman" w:eastAsia="宋体" w:cs="Times New Roman"/>
                <w:b/>
                <w:color w:val="auto"/>
                <w:spacing w:val="0"/>
                <w:kern w:val="0"/>
                <w:sz w:val="24"/>
                <w:szCs w:val="24"/>
                <w:lang w:val="en-US" w:eastAsia="zh-CN" w:bidi="ar-SA"/>
              </w:rPr>
            </w:pPr>
            <w:r>
              <w:rPr>
                <w:rFonts w:hint="eastAsia" w:ascii="Times New Roman" w:hAnsi="Times New Roman" w:eastAsia="宋体" w:cs="Times New Roman"/>
                <w:b/>
                <w:color w:val="auto"/>
                <w:spacing w:val="0"/>
                <w:kern w:val="0"/>
                <w:sz w:val="24"/>
                <w:szCs w:val="24"/>
                <w:lang w:val="en-US" w:eastAsia="zh-CN" w:bidi="ar-SA"/>
              </w:rPr>
              <w:t>表4-5 非正常情况下大气污染物产生及排放情况</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24"/>
              <w:gridCol w:w="1604"/>
              <w:gridCol w:w="2774"/>
              <w:gridCol w:w="2075"/>
            </w:tblGrid>
            <w:tr w14:paraId="6981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4" w:type="pct"/>
                  <w:noWrap w:val="0"/>
                  <w:vAlign w:val="center"/>
                </w:tcPr>
                <w:p w14:paraId="4CC0C07D">
                  <w:pPr>
                    <w:pStyle w:val="94"/>
                    <w:rPr>
                      <w:rFonts w:hint="default" w:ascii="宋体" w:hAnsi="宋体" w:eastAsia="宋体" w:cs="宋体"/>
                      <w:b/>
                      <w:bCs/>
                      <w:color w:val="auto"/>
                      <w:sz w:val="24"/>
                      <w:szCs w:val="24"/>
                      <w:vertAlign w:val="baseline"/>
                      <w:lang w:val="en-US" w:eastAsia="zh-CN"/>
                    </w:rPr>
                  </w:pPr>
                  <w:r>
                    <w:rPr>
                      <w:rFonts w:cs="Times New Roman"/>
                      <w:b/>
                      <w:bCs/>
                      <w:color w:val="auto"/>
                    </w:rPr>
                    <w:t>污染源</w:t>
                  </w:r>
                </w:p>
              </w:tc>
              <w:tc>
                <w:tcPr>
                  <w:tcW w:w="738" w:type="pct"/>
                  <w:noWrap w:val="0"/>
                  <w:vAlign w:val="center"/>
                </w:tcPr>
                <w:p w14:paraId="0B317759">
                  <w:pPr>
                    <w:pStyle w:val="94"/>
                    <w:rPr>
                      <w:rFonts w:hint="default" w:ascii="宋体" w:hAnsi="宋体" w:eastAsia="宋体" w:cs="宋体"/>
                      <w:b/>
                      <w:bCs/>
                      <w:color w:val="auto"/>
                      <w:sz w:val="24"/>
                      <w:szCs w:val="24"/>
                      <w:vertAlign w:val="baseline"/>
                      <w:lang w:val="en-US" w:eastAsia="zh-CN"/>
                    </w:rPr>
                  </w:pPr>
                  <w:r>
                    <w:rPr>
                      <w:rFonts w:hint="eastAsia" w:cs="Times New Roman"/>
                      <w:b/>
                      <w:bCs/>
                      <w:color w:val="auto"/>
                      <w:lang w:eastAsia="zh-CN"/>
                    </w:rPr>
                    <w:t>污染物名称</w:t>
                  </w:r>
                </w:p>
              </w:tc>
              <w:tc>
                <w:tcPr>
                  <w:tcW w:w="894" w:type="pct"/>
                  <w:noWrap w:val="0"/>
                  <w:vAlign w:val="center"/>
                </w:tcPr>
                <w:p w14:paraId="3505513E">
                  <w:pPr>
                    <w:pStyle w:val="94"/>
                    <w:rPr>
                      <w:rFonts w:hint="default" w:ascii="宋体" w:hAnsi="宋体" w:eastAsia="宋体" w:cs="宋体"/>
                      <w:b/>
                      <w:bCs/>
                      <w:color w:val="auto"/>
                      <w:sz w:val="24"/>
                      <w:szCs w:val="24"/>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无组织废气产生量</w:t>
                  </w:r>
                </w:p>
              </w:tc>
              <w:tc>
                <w:tcPr>
                  <w:tcW w:w="1546" w:type="pct"/>
                  <w:noWrap w:val="0"/>
                  <w:vAlign w:val="center"/>
                </w:tcPr>
                <w:p w14:paraId="3A7DEA12">
                  <w:pPr>
                    <w:pStyle w:val="94"/>
                    <w:rPr>
                      <w:rFonts w:hint="default" w:ascii="宋体" w:hAnsi="宋体" w:eastAsia="宋体" w:cs="宋体"/>
                      <w:b/>
                      <w:bCs/>
                      <w:color w:val="auto"/>
                      <w:sz w:val="24"/>
                      <w:szCs w:val="24"/>
                      <w:vertAlign w:val="baseline"/>
                      <w:lang w:val="en-US" w:eastAsia="zh-CN"/>
                    </w:rPr>
                  </w:pPr>
                  <w:r>
                    <w:rPr>
                      <w:rFonts w:cs="Times New Roman"/>
                      <w:b/>
                      <w:bCs/>
                      <w:color w:val="auto"/>
                    </w:rPr>
                    <w:t>治理措施</w:t>
                  </w:r>
                  <w:r>
                    <w:rPr>
                      <w:rFonts w:hint="eastAsia" w:cs="Times New Roman"/>
                      <w:b/>
                      <w:bCs/>
                      <w:color w:val="auto"/>
                      <w:lang w:eastAsia="zh-CN"/>
                    </w:rPr>
                    <w:t>及去除效率</w:t>
                  </w:r>
                </w:p>
              </w:tc>
              <w:tc>
                <w:tcPr>
                  <w:tcW w:w="1156" w:type="pct"/>
                  <w:noWrap w:val="0"/>
                  <w:vAlign w:val="center"/>
                </w:tcPr>
                <w:p w14:paraId="647F0E40">
                  <w:pPr>
                    <w:pStyle w:val="94"/>
                    <w:rPr>
                      <w:rFonts w:hint="default" w:ascii="宋体" w:hAnsi="宋体" w:eastAsia="宋体" w:cs="宋体"/>
                      <w:b/>
                      <w:bCs/>
                      <w:color w:val="auto"/>
                      <w:sz w:val="24"/>
                      <w:szCs w:val="24"/>
                      <w:vertAlign w:val="baseline"/>
                      <w:lang w:val="en-US" w:eastAsia="zh-CN"/>
                    </w:rPr>
                  </w:pPr>
                  <w:r>
                    <w:rPr>
                      <w:rFonts w:hint="eastAsia"/>
                      <w:b/>
                      <w:bCs/>
                      <w:color w:val="auto"/>
                      <w:lang w:val="en-US" w:eastAsia="zh-CN"/>
                    </w:rPr>
                    <w:t>非正常情况下</w:t>
                  </w:r>
                  <w:r>
                    <w:rPr>
                      <w:rFonts w:hint="eastAsia"/>
                      <w:b/>
                      <w:bCs/>
                      <w:color w:val="auto"/>
                    </w:rPr>
                    <w:t>排放量</w:t>
                  </w:r>
                </w:p>
              </w:tc>
            </w:tr>
            <w:tr w14:paraId="0263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64" w:type="pct"/>
                  <w:noWrap w:val="0"/>
                  <w:vAlign w:val="center"/>
                </w:tcPr>
                <w:p w14:paraId="4C9A3E1D">
                  <w:pPr>
                    <w:pStyle w:val="94"/>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脱壳</w:t>
                  </w:r>
                  <w:r>
                    <w:rPr>
                      <w:rFonts w:hint="default" w:ascii="Times New Roman" w:hAnsi="Times New Roman" w:eastAsia="宋体" w:cs="Times New Roman"/>
                      <w:b w:val="0"/>
                      <w:bCs/>
                      <w:color w:val="auto"/>
                      <w:sz w:val="21"/>
                      <w:szCs w:val="21"/>
                      <w:vertAlign w:val="baseline"/>
                      <w:lang w:val="en-US" w:eastAsia="zh-CN"/>
                    </w:rPr>
                    <w:t>等工序</w:t>
                  </w:r>
                </w:p>
              </w:tc>
              <w:tc>
                <w:tcPr>
                  <w:tcW w:w="738" w:type="pct"/>
                  <w:noWrap w:val="0"/>
                  <w:vAlign w:val="center"/>
                </w:tcPr>
                <w:p w14:paraId="41A3F2FE">
                  <w:pPr>
                    <w:pStyle w:val="94"/>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894" w:type="pct"/>
                  <w:noWrap w:val="0"/>
                  <w:vAlign w:val="center"/>
                </w:tcPr>
                <w:p w14:paraId="485D5FB5">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0.0241</w:t>
                  </w:r>
                  <w:r>
                    <w:rPr>
                      <w:rFonts w:hint="default" w:ascii="Times New Roman" w:hAnsi="Times New Roman" w:eastAsia="宋体" w:cs="Times New Roman"/>
                      <w:color w:val="auto"/>
                      <w:sz w:val="21"/>
                      <w:szCs w:val="21"/>
                      <w:lang w:val="en-US" w:eastAsia="zh-CN"/>
                    </w:rPr>
                    <w:t>t/a</w:t>
                  </w:r>
                </w:p>
              </w:tc>
              <w:tc>
                <w:tcPr>
                  <w:tcW w:w="1546" w:type="pct"/>
                  <w:noWrap w:val="0"/>
                  <w:vAlign w:val="center"/>
                </w:tcPr>
                <w:p w14:paraId="6FEAD16D">
                  <w:pPr>
                    <w:pStyle w:val="94"/>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布袋除尘器（</w:t>
                  </w:r>
                  <w:r>
                    <w:rPr>
                      <w:rFonts w:hint="eastAsia" w:eastAsia="宋体"/>
                      <w:color w:val="auto"/>
                      <w:szCs w:val="21"/>
                      <w:lang w:val="en-US" w:eastAsia="zh-CN"/>
                    </w:rPr>
                    <w:t>集气效率90%，除尘效率不低于98%）</w:t>
                  </w:r>
                </w:p>
              </w:tc>
              <w:tc>
                <w:tcPr>
                  <w:tcW w:w="1156" w:type="pct"/>
                  <w:noWrap w:val="0"/>
                  <w:vAlign w:val="center"/>
                </w:tcPr>
                <w:p w14:paraId="73EF53B0">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0.54kg/a，0.0675kg/h</w:t>
                  </w:r>
                </w:p>
              </w:tc>
            </w:tr>
          </w:tbl>
          <w:p w14:paraId="67A18868">
            <w:pPr>
              <w:pStyle w:val="10"/>
              <w:spacing w:line="360" w:lineRule="auto"/>
              <w:ind w:firstLine="440" w:firstLineChars="200"/>
              <w:rPr>
                <w:rFonts w:hint="default" w:ascii="宋体" w:hAnsi="宋体" w:eastAsia="宋体" w:cs="宋体"/>
                <w:b w:val="0"/>
                <w:bCs w:val="0"/>
                <w:color w:val="auto"/>
                <w:sz w:val="24"/>
                <w:lang w:val="en-US" w:eastAsia="zh-CN"/>
              </w:rPr>
            </w:pPr>
            <w:r>
              <w:rPr>
                <w:rFonts w:hint="eastAsia" w:ascii="Times New Roman" w:hAnsi="Times New Roman" w:eastAsia="宋体" w:cs="Times New Roman"/>
                <w:b w:val="0"/>
                <w:bCs w:val="0"/>
                <w:color w:val="auto"/>
                <w:spacing w:val="-10"/>
                <w:kern w:val="2"/>
                <w:sz w:val="24"/>
                <w:szCs w:val="24"/>
                <w:lang w:val="en-US" w:eastAsia="zh-CN" w:bidi="ar-SA"/>
              </w:rPr>
              <w:t>根据工程分析及非正常工况下排放情况可知，项目生产加工过程产生的粉尘将对周围大气环境将产生一定影响。</w:t>
            </w:r>
            <w:r>
              <w:rPr>
                <w:rFonts w:hint="eastAsia" w:ascii="宋体" w:hAnsi="宋体" w:eastAsia="宋体" w:cs="宋体"/>
                <w:b w:val="0"/>
                <w:bCs w:val="0"/>
                <w:color w:val="auto"/>
                <w:spacing w:val="-10"/>
                <w:kern w:val="2"/>
                <w:sz w:val="24"/>
                <w:szCs w:val="24"/>
                <w:lang w:val="en-US" w:eastAsia="zh-CN" w:bidi="ar-SA"/>
              </w:rPr>
              <w:t>环评建议一旦出现停电、设备故障情况，应</w:t>
            </w:r>
            <w:r>
              <w:rPr>
                <w:rFonts w:hint="eastAsia"/>
                <w:color w:val="auto"/>
                <w:lang w:val="en-US" w:eastAsia="zh-CN"/>
              </w:rPr>
              <w:t>立即停止坚果深加工作业，待环保设施进行检修恢复正常运行后方可开展生产。</w:t>
            </w:r>
          </w:p>
          <w:p w14:paraId="6A8D1012">
            <w:pPr>
              <w:bidi w:val="0"/>
              <w:spacing w:line="360" w:lineRule="auto"/>
              <w:ind w:firstLine="480" w:firstLineChars="200"/>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w:t>
            </w:r>
            <w:r>
              <w:rPr>
                <w:bCs/>
                <w:color w:val="auto"/>
                <w:sz w:val="24"/>
                <w:szCs w:val="24"/>
                <w:highlight w:val="none"/>
              </w:rPr>
              <w:t>建设单位应定期对环保设施进行检修，建立台账管理制度，</w:t>
            </w:r>
            <w:r>
              <w:rPr>
                <w:rFonts w:hint="eastAsia"/>
                <w:bCs/>
                <w:color w:val="auto"/>
                <w:sz w:val="24"/>
                <w:szCs w:val="24"/>
                <w:highlight w:val="none"/>
                <w:lang w:val="en-US" w:eastAsia="zh-CN"/>
              </w:rPr>
              <w:t>加强生产管理，</w:t>
            </w:r>
            <w:r>
              <w:rPr>
                <w:bCs/>
                <w:color w:val="auto"/>
                <w:sz w:val="24"/>
                <w:szCs w:val="24"/>
                <w:highlight w:val="none"/>
              </w:rPr>
              <w:t>保证</w:t>
            </w:r>
            <w:r>
              <w:rPr>
                <w:rFonts w:hint="eastAsia"/>
                <w:bCs/>
                <w:color w:val="auto"/>
                <w:sz w:val="24"/>
                <w:szCs w:val="24"/>
                <w:highlight w:val="none"/>
              </w:rPr>
              <w:t>去除</w:t>
            </w:r>
            <w:r>
              <w:rPr>
                <w:bCs/>
                <w:color w:val="auto"/>
                <w:sz w:val="24"/>
                <w:szCs w:val="24"/>
                <w:highlight w:val="none"/>
              </w:rPr>
              <w:t>效果，当出现设备故障时，应及时停止生产，并对设备进行检修。</w:t>
            </w:r>
          </w:p>
          <w:p w14:paraId="454B8DA7">
            <w:pPr>
              <w:pStyle w:val="3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2.1.5可行技术对比分析</w:t>
            </w:r>
          </w:p>
          <w:p w14:paraId="0929A628">
            <w:pPr>
              <w:pStyle w:val="122"/>
              <w:keepNext w:val="0"/>
              <w:keepLines w:val="0"/>
              <w:pageBreakBefore w:val="0"/>
              <w:widowControl w:val="0"/>
              <w:kinsoku/>
              <w:wordWrap/>
              <w:overflowPunct/>
              <w:topLinePunct w:val="0"/>
              <w:autoSpaceDE/>
              <w:autoSpaceDN/>
              <w:bidi w:val="0"/>
              <w:adjustRightInd/>
              <w:snapToGrid/>
              <w:spacing w:before="0" w:beforeLines="0" w:beforeAutospacing="0" w:afterAutospacing="0" w:line="360" w:lineRule="auto"/>
              <w:ind w:firstLine="720" w:firstLineChars="300"/>
              <w:jc w:val="both"/>
              <w:textAlignment w:val="auto"/>
              <w:outlineLvl w:val="9"/>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本项目属于坚果加工，无相对应的排污许可申请与核发技术规范，因此本次可行技术</w:t>
            </w:r>
            <w:r>
              <w:rPr>
                <w:rFonts w:hint="eastAsia" w:ascii="Times New Roman" w:hAnsi="Times New Roman" w:eastAsia="宋体" w:cs="Times New Roman"/>
                <w:b w:val="0"/>
                <w:bCs w:val="0"/>
                <w:color w:val="auto"/>
                <w:sz w:val="24"/>
                <w:szCs w:val="24"/>
                <w:highlight w:val="none"/>
                <w:lang w:val="en-US" w:eastAsia="zh-CN"/>
              </w:rPr>
              <w:t>主</w:t>
            </w:r>
            <w:r>
              <w:rPr>
                <w:rFonts w:hint="eastAsia" w:ascii="Times New Roman" w:hAnsi="Times New Roman" w:eastAsia="宋体" w:cs="Times New Roman"/>
                <w:b w:val="0"/>
                <w:bCs w:val="0"/>
                <w:color w:val="auto"/>
                <w:kern w:val="2"/>
                <w:sz w:val="24"/>
                <w:szCs w:val="24"/>
                <w:highlight w:val="none"/>
                <w:lang w:val="en-US" w:eastAsia="zh-CN" w:bidi="ar-SA"/>
              </w:rPr>
              <w:t>要参考</w:t>
            </w:r>
            <w:r>
              <w:rPr>
                <w:rFonts w:hint="default" w:ascii="Times New Roman" w:hAnsi="Times New Roman" w:eastAsia="宋体" w:cs="Times New Roman"/>
                <w:b w:val="0"/>
                <w:bCs w:val="0"/>
                <w:color w:val="auto"/>
                <w:kern w:val="2"/>
                <w:sz w:val="24"/>
                <w:szCs w:val="24"/>
                <w:highlight w:val="none"/>
                <w:lang w:val="en-US" w:eastAsia="zh-CN" w:bidi="ar-SA"/>
              </w:rPr>
              <w:t>《固体物料堆存颗粒物产排核算系数手册》</w:t>
            </w:r>
            <w:r>
              <w:rPr>
                <w:rFonts w:hint="eastAsia" w:ascii="Times New Roman" w:hAnsi="Times New Roman" w:eastAsia="宋体" w:cs="Times New Roman"/>
                <w:b w:val="0"/>
                <w:bCs w:val="0"/>
                <w:color w:val="auto"/>
                <w:kern w:val="2"/>
                <w:sz w:val="24"/>
                <w:szCs w:val="24"/>
                <w:highlight w:val="none"/>
                <w:lang w:val="en-US" w:eastAsia="zh-CN" w:bidi="ar-SA"/>
              </w:rPr>
              <w:t>及《排污许可证申请与核发技术规范 调味品、发酵制品制造工业》（HJ1030.2-2019），本项目各工段废气污染治理设施与可行技术对比分析详见下表。</w:t>
            </w:r>
          </w:p>
          <w:p w14:paraId="28AAE24E">
            <w:pPr>
              <w:pStyle w:val="122"/>
              <w:keepNext w:val="0"/>
              <w:keepLines w:val="0"/>
              <w:pageBreakBefore w:val="0"/>
              <w:widowControl w:val="0"/>
              <w:kinsoku/>
              <w:wordWrap/>
              <w:overflowPunct/>
              <w:topLinePunct w:val="0"/>
              <w:autoSpaceDE/>
              <w:autoSpaceDN/>
              <w:bidi w:val="0"/>
              <w:adjustRightInd w:val="0"/>
              <w:snapToGrid w:val="0"/>
              <w:spacing w:before="0" w:beforeLines="0" w:beforeAutospacing="0" w:afterAutospacing="0" w:line="360" w:lineRule="auto"/>
              <w:ind w:firstLine="0"/>
              <w:textAlignment w:val="auto"/>
              <w:outlineLvl w:val="9"/>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表4-6废气污染治理设施对比分析表</w:t>
            </w:r>
          </w:p>
          <w:tbl>
            <w:tblPr>
              <w:tblStyle w:val="34"/>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60"/>
              <w:gridCol w:w="1710"/>
              <w:gridCol w:w="2610"/>
              <w:gridCol w:w="2754"/>
            </w:tblGrid>
            <w:tr w14:paraId="3B50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813" w:type="dxa"/>
                  <w:noWrap w:val="0"/>
                  <w:vAlign w:val="center"/>
                </w:tcPr>
                <w:p w14:paraId="4CDF3E91">
                  <w:pPr>
                    <w:jc w:val="center"/>
                    <w:rPr>
                      <w:rFonts w:hint="default"/>
                      <w:b/>
                      <w:bCs/>
                      <w:color w:val="auto"/>
                      <w:vertAlign w:val="baseline"/>
                      <w:lang w:val="en-US" w:eastAsia="zh-CN"/>
                    </w:rPr>
                  </w:pPr>
                  <w:r>
                    <w:rPr>
                      <w:rFonts w:hint="eastAsia"/>
                      <w:b/>
                      <w:bCs/>
                      <w:color w:val="auto"/>
                      <w:vertAlign w:val="baseline"/>
                      <w:lang w:val="en-US" w:eastAsia="zh-CN"/>
                    </w:rPr>
                    <w:t>类型</w:t>
                  </w:r>
                </w:p>
              </w:tc>
              <w:tc>
                <w:tcPr>
                  <w:tcW w:w="960" w:type="dxa"/>
                  <w:noWrap w:val="0"/>
                  <w:vAlign w:val="center"/>
                </w:tcPr>
                <w:p w14:paraId="560B0C1D">
                  <w:pPr>
                    <w:jc w:val="center"/>
                    <w:rPr>
                      <w:rFonts w:hint="default"/>
                      <w:b/>
                      <w:bCs/>
                      <w:color w:val="auto"/>
                      <w:vertAlign w:val="baseline"/>
                      <w:lang w:val="en-US" w:eastAsia="zh-CN"/>
                    </w:rPr>
                  </w:pPr>
                  <w:r>
                    <w:rPr>
                      <w:rFonts w:hint="eastAsia"/>
                      <w:b/>
                      <w:bCs/>
                      <w:color w:val="auto"/>
                      <w:vertAlign w:val="baseline"/>
                      <w:lang w:val="en-US" w:eastAsia="zh-CN"/>
                    </w:rPr>
                    <w:t>大气污染物</w:t>
                  </w:r>
                </w:p>
              </w:tc>
              <w:tc>
                <w:tcPr>
                  <w:tcW w:w="1710" w:type="dxa"/>
                  <w:noWrap w:val="0"/>
                  <w:vAlign w:val="center"/>
                </w:tcPr>
                <w:p w14:paraId="05732419">
                  <w:pPr>
                    <w:jc w:val="center"/>
                    <w:rPr>
                      <w:rFonts w:hint="default"/>
                      <w:b/>
                      <w:bCs/>
                      <w:color w:val="auto"/>
                      <w:vertAlign w:val="baseline"/>
                      <w:lang w:val="en-US" w:eastAsia="zh-CN"/>
                    </w:rPr>
                  </w:pPr>
                  <w:r>
                    <w:rPr>
                      <w:rFonts w:hint="eastAsia"/>
                      <w:b/>
                      <w:bCs/>
                      <w:color w:val="auto"/>
                      <w:vertAlign w:val="baseline"/>
                      <w:lang w:val="en-US" w:eastAsia="zh-CN"/>
                    </w:rPr>
                    <w:t>推荐可行技术</w:t>
                  </w:r>
                </w:p>
              </w:tc>
              <w:tc>
                <w:tcPr>
                  <w:tcW w:w="2610" w:type="dxa"/>
                  <w:noWrap w:val="0"/>
                  <w:vAlign w:val="center"/>
                </w:tcPr>
                <w:p w14:paraId="620FF196">
                  <w:pPr>
                    <w:jc w:val="center"/>
                    <w:rPr>
                      <w:rFonts w:hint="default"/>
                      <w:b/>
                      <w:bCs/>
                      <w:color w:val="auto"/>
                      <w:vertAlign w:val="baseline"/>
                      <w:lang w:val="en-US" w:eastAsia="zh-CN"/>
                    </w:rPr>
                  </w:pPr>
                  <w:r>
                    <w:rPr>
                      <w:rFonts w:hint="eastAsia"/>
                      <w:b/>
                      <w:bCs/>
                      <w:color w:val="auto"/>
                      <w:vertAlign w:val="baseline"/>
                      <w:lang w:val="en-US" w:eastAsia="zh-CN"/>
                    </w:rPr>
                    <w:t>本项目处理工艺</w:t>
                  </w:r>
                </w:p>
              </w:tc>
              <w:tc>
                <w:tcPr>
                  <w:tcW w:w="2754" w:type="dxa"/>
                  <w:noWrap w:val="0"/>
                  <w:vAlign w:val="center"/>
                </w:tcPr>
                <w:p w14:paraId="2C1871E8">
                  <w:pPr>
                    <w:jc w:val="center"/>
                    <w:rPr>
                      <w:rFonts w:hint="default"/>
                      <w:b/>
                      <w:bCs/>
                      <w:color w:val="auto"/>
                      <w:vertAlign w:val="baseline"/>
                      <w:lang w:val="en-US" w:eastAsia="zh-CN"/>
                    </w:rPr>
                  </w:pPr>
                  <w:r>
                    <w:rPr>
                      <w:rFonts w:hint="eastAsia"/>
                      <w:b/>
                      <w:bCs/>
                      <w:color w:val="auto"/>
                      <w:vertAlign w:val="baseline"/>
                      <w:lang w:val="en-US" w:eastAsia="zh-CN"/>
                    </w:rPr>
                    <w:t>对比说明</w:t>
                  </w:r>
                </w:p>
              </w:tc>
            </w:tr>
            <w:tr w14:paraId="30FD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813" w:type="dxa"/>
                  <w:noWrap w:val="0"/>
                  <w:vAlign w:val="center"/>
                </w:tcPr>
                <w:p w14:paraId="5212A471">
                  <w:pPr>
                    <w:jc w:val="center"/>
                    <w:rPr>
                      <w:rFonts w:hint="default"/>
                      <w:color w:val="auto"/>
                      <w:vertAlign w:val="baseline"/>
                      <w:lang w:val="en-US" w:eastAsia="zh-CN"/>
                    </w:rPr>
                  </w:pPr>
                  <w:r>
                    <w:rPr>
                      <w:rFonts w:hint="eastAsia"/>
                      <w:color w:val="auto"/>
                      <w:vertAlign w:val="baseline"/>
                      <w:lang w:val="en-US" w:eastAsia="zh-CN"/>
                    </w:rPr>
                    <w:t>原料堆放、装卸</w:t>
                  </w:r>
                </w:p>
              </w:tc>
              <w:tc>
                <w:tcPr>
                  <w:tcW w:w="960" w:type="dxa"/>
                  <w:noWrap w:val="0"/>
                  <w:vAlign w:val="center"/>
                </w:tcPr>
                <w:p w14:paraId="7D4A4CE4">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710" w:type="dxa"/>
                  <w:noWrap w:val="0"/>
                  <w:vAlign w:val="center"/>
                </w:tcPr>
                <w:p w14:paraId="6C581C3C">
                  <w:pPr>
                    <w:jc w:val="center"/>
                    <w:rPr>
                      <w:rFonts w:hint="eastAsia"/>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洒水降尘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采用围挡控制</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编织</w:t>
                  </w:r>
                  <w:r>
                    <w:rPr>
                      <w:rFonts w:hint="eastAsia" w:ascii="Times New Roman" w:hAnsi="Times New Roman" w:eastAsia="宋体" w:cs="Times New Roman"/>
                      <w:color w:val="auto"/>
                      <w:sz w:val="21"/>
                      <w:szCs w:val="21"/>
                      <w:lang w:val="en-US" w:eastAsia="zh-CN"/>
                    </w:rPr>
                    <w:t>物</w:t>
                  </w:r>
                  <w:r>
                    <w:rPr>
                      <w:rFonts w:hint="default" w:ascii="Times New Roman" w:hAnsi="Times New Roman" w:eastAsia="宋体" w:cs="Times New Roman"/>
                      <w:color w:val="auto"/>
                      <w:sz w:val="21"/>
                      <w:szCs w:val="21"/>
                      <w:lang w:val="en-US" w:eastAsia="zh-CN"/>
                    </w:rPr>
                    <w:t>覆盖</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出入车辆冲洗降尘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半封闭式堆场</w:t>
                  </w:r>
                </w:p>
              </w:tc>
              <w:tc>
                <w:tcPr>
                  <w:tcW w:w="2610" w:type="dxa"/>
                  <w:noWrap w:val="0"/>
                  <w:vAlign w:val="center"/>
                </w:tcPr>
                <w:p w14:paraId="20B42972">
                  <w:pPr>
                    <w:jc w:val="center"/>
                    <w:rPr>
                      <w:rFonts w:hint="eastAsia"/>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原料堆放区及废料堆放棚，半封闭结构</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不露天堆放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严禁物料堆放高度超出堆场隔墙，</w:t>
                  </w:r>
                  <w:r>
                    <w:rPr>
                      <w:rFonts w:hint="default" w:ascii="Times New Roman" w:hAnsi="Times New Roman" w:eastAsia="宋体" w:cs="Times New Roman"/>
                      <w:color w:val="auto"/>
                      <w:sz w:val="21"/>
                      <w:szCs w:val="21"/>
                    </w:rPr>
                    <w:t>缩短堆放时间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厂区硬化，定期清扫、洒水降尘</w:t>
                  </w:r>
                  <w:r>
                    <w:rPr>
                      <w:rFonts w:hint="eastAsia" w:ascii="Times New Roman" w:hAnsi="Times New Roman" w:eastAsia="宋体" w:cs="Times New Roman"/>
                      <w:color w:val="auto"/>
                      <w:sz w:val="21"/>
                      <w:szCs w:val="21"/>
                      <w:lang w:val="en-US" w:eastAsia="zh-CN"/>
                    </w:rPr>
                    <w:t>；运输车斗采用</w:t>
                  </w:r>
                  <w:r>
                    <w:rPr>
                      <w:rFonts w:hint="default" w:ascii="Times New Roman" w:hAnsi="Times New Roman" w:eastAsia="宋体" w:cs="Times New Roman"/>
                      <w:color w:val="auto"/>
                      <w:sz w:val="21"/>
                      <w:szCs w:val="21"/>
                    </w:rPr>
                    <w:t>苫布覆盖</w:t>
                  </w:r>
                </w:p>
              </w:tc>
              <w:tc>
                <w:tcPr>
                  <w:tcW w:w="2754" w:type="dxa"/>
                  <w:noWrap w:val="0"/>
                  <w:vAlign w:val="center"/>
                </w:tcPr>
                <w:p w14:paraId="165DB3F3">
                  <w:pPr>
                    <w:jc w:val="center"/>
                    <w:rPr>
                      <w:rFonts w:hint="default"/>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与</w:t>
                  </w:r>
                  <w:r>
                    <w:rPr>
                      <w:rFonts w:hint="eastAsia" w:hAnsi="宋体"/>
                      <w:color w:val="auto"/>
                      <w:sz w:val="21"/>
                      <w:szCs w:val="21"/>
                      <w:lang w:eastAsia="zh-CN"/>
                    </w:rPr>
                    <w:t>推荐可行技术一致</w:t>
                  </w:r>
                </w:p>
              </w:tc>
            </w:tr>
            <w:tr w14:paraId="2942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3" w:type="dxa"/>
                  <w:noWrap w:val="0"/>
                  <w:vAlign w:val="center"/>
                </w:tcPr>
                <w:p w14:paraId="4B3E93AF">
                  <w:pPr>
                    <w:jc w:val="center"/>
                    <w:rPr>
                      <w:rFonts w:hint="default"/>
                      <w:color w:val="auto"/>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脱壳</w:t>
                  </w:r>
                  <w:r>
                    <w:rPr>
                      <w:rFonts w:hint="default" w:ascii="Times New Roman" w:hAnsi="Times New Roman" w:eastAsia="宋体" w:cs="Times New Roman"/>
                      <w:b w:val="0"/>
                      <w:bCs/>
                      <w:color w:val="auto"/>
                      <w:sz w:val="21"/>
                      <w:szCs w:val="21"/>
                      <w:vertAlign w:val="baseline"/>
                      <w:lang w:val="en-US" w:eastAsia="zh-CN"/>
                    </w:rPr>
                    <w:t>等工序</w:t>
                  </w:r>
                </w:p>
              </w:tc>
              <w:tc>
                <w:tcPr>
                  <w:tcW w:w="960" w:type="dxa"/>
                  <w:noWrap w:val="0"/>
                  <w:vAlign w:val="center"/>
                </w:tcPr>
                <w:p w14:paraId="25CABFB2">
                  <w:pPr>
                    <w:jc w:val="center"/>
                    <w:rPr>
                      <w:rFonts w:hint="default"/>
                      <w:color w:val="auto"/>
                      <w:vertAlign w:val="baseline"/>
                      <w:lang w:val="en-US" w:eastAsia="zh-CN"/>
                    </w:rPr>
                  </w:pPr>
                  <w:r>
                    <w:rPr>
                      <w:rFonts w:hint="eastAsia"/>
                      <w:color w:val="auto"/>
                      <w:vertAlign w:val="baseline"/>
                      <w:lang w:val="en-US" w:eastAsia="zh-CN"/>
                    </w:rPr>
                    <w:t>颗粒物</w:t>
                  </w:r>
                </w:p>
              </w:tc>
              <w:tc>
                <w:tcPr>
                  <w:tcW w:w="1710" w:type="dxa"/>
                  <w:noWrap w:val="0"/>
                  <w:vAlign w:val="center"/>
                </w:tcPr>
                <w:p w14:paraId="0FF41923">
                  <w:pPr>
                    <w:jc w:val="center"/>
                    <w:rPr>
                      <w:rFonts w:hint="default"/>
                      <w:color w:val="auto"/>
                      <w:vertAlign w:val="baseline"/>
                      <w:lang w:val="en-US" w:eastAsia="zh-CN"/>
                    </w:rPr>
                  </w:pPr>
                  <w:r>
                    <w:rPr>
                      <w:rFonts w:hint="eastAsia"/>
                      <w:color w:val="auto"/>
                      <w:vertAlign w:val="baseline"/>
                      <w:lang w:val="en-US" w:eastAsia="zh-CN"/>
                    </w:rPr>
                    <w:t>袋式除尘</w:t>
                  </w:r>
                </w:p>
              </w:tc>
              <w:tc>
                <w:tcPr>
                  <w:tcW w:w="2610" w:type="dxa"/>
                  <w:noWrap w:val="0"/>
                  <w:vAlign w:val="center"/>
                </w:tcPr>
                <w:p w14:paraId="76C81E30">
                  <w:pPr>
                    <w:jc w:val="center"/>
                    <w:rPr>
                      <w:rFonts w:hint="default"/>
                      <w:color w:val="auto"/>
                      <w:vertAlign w:val="baseline"/>
                      <w:lang w:val="en-US" w:eastAsia="zh-CN"/>
                    </w:rPr>
                  </w:pPr>
                  <w:r>
                    <w:rPr>
                      <w:rFonts w:hint="eastAsia"/>
                      <w:color w:val="auto"/>
                      <w:vertAlign w:val="baseline"/>
                      <w:lang w:val="en-US" w:eastAsia="zh-CN"/>
                    </w:rPr>
                    <w:t>设置3套布袋除尘器，并在排气口末端加装1个布袋二级除尘；同时</w:t>
                  </w:r>
                  <w:r>
                    <w:rPr>
                      <w:rFonts w:hint="eastAsia" w:eastAsia="宋体"/>
                      <w:color w:val="auto"/>
                      <w:szCs w:val="21"/>
                      <w:lang w:val="en-US" w:eastAsia="zh-CN"/>
                    </w:rPr>
                    <w:t>生产车间半封闭，将输送皮带进行封闭，无组织粉尘在生产车间内自然沉降。</w:t>
                  </w:r>
                </w:p>
              </w:tc>
              <w:tc>
                <w:tcPr>
                  <w:tcW w:w="2754" w:type="dxa"/>
                  <w:noWrap w:val="0"/>
                  <w:vAlign w:val="center"/>
                </w:tcPr>
                <w:p w14:paraId="2D8ACABF">
                  <w:pPr>
                    <w:jc w:val="center"/>
                    <w:rPr>
                      <w:rFonts w:hint="default"/>
                      <w:color w:val="auto"/>
                      <w:vertAlign w:val="baseline"/>
                      <w:lang w:val="en-US" w:eastAsia="zh-CN"/>
                    </w:rPr>
                  </w:pPr>
                  <w:r>
                    <w:rPr>
                      <w:rFonts w:hint="eastAsia" w:hAnsi="宋体"/>
                      <w:color w:val="auto"/>
                      <w:sz w:val="21"/>
                      <w:szCs w:val="21"/>
                      <w:lang w:eastAsia="zh-CN"/>
                    </w:rPr>
                    <w:t>与推荐可行技术一致</w:t>
                  </w:r>
                </w:p>
              </w:tc>
            </w:tr>
          </w:tbl>
          <w:p w14:paraId="26132FEF">
            <w:pPr>
              <w:rPr>
                <w:rFonts w:hint="eastAsia"/>
                <w:color w:val="auto"/>
                <w:lang w:val="en-US" w:eastAsia="zh-CN"/>
              </w:rPr>
            </w:pPr>
          </w:p>
          <w:p w14:paraId="5E8FB019">
            <w:pPr>
              <w:tabs>
                <w:tab w:val="left" w:pos="2978"/>
              </w:tabs>
              <w:spacing w:line="360" w:lineRule="auto"/>
              <w:ind w:firstLine="480"/>
              <w:rPr>
                <w:b w:val="0"/>
                <w:bCs w:val="0"/>
                <w:color w:val="auto"/>
                <w:sz w:val="24"/>
                <w:szCs w:val="24"/>
              </w:rPr>
            </w:pPr>
            <w:r>
              <w:rPr>
                <w:rFonts w:hAnsi="宋体"/>
                <w:b w:val="0"/>
                <w:bCs w:val="0"/>
                <w:color w:val="auto"/>
                <w:sz w:val="24"/>
                <w:szCs w:val="24"/>
              </w:rPr>
              <w:t>根据上表对比分析可知，本项目</w:t>
            </w:r>
            <w:r>
              <w:rPr>
                <w:rFonts w:hint="eastAsia" w:hAnsi="宋体"/>
                <w:b w:val="0"/>
                <w:bCs w:val="0"/>
                <w:color w:val="auto"/>
                <w:sz w:val="24"/>
                <w:szCs w:val="24"/>
                <w:lang w:val="en-US" w:eastAsia="zh-CN"/>
              </w:rPr>
              <w:t>生产加工过程中粉尘治理设施</w:t>
            </w:r>
            <w:r>
              <w:rPr>
                <w:rFonts w:hint="eastAsia" w:hAnsi="宋体"/>
                <w:b w:val="0"/>
                <w:bCs w:val="0"/>
                <w:color w:val="auto"/>
                <w:sz w:val="24"/>
                <w:szCs w:val="24"/>
                <w:lang w:eastAsia="zh-CN"/>
              </w:rPr>
              <w:t>均采用</w:t>
            </w:r>
            <w:r>
              <w:rPr>
                <w:rFonts w:hint="default" w:ascii="Times New Roman" w:hAnsi="Times New Roman" w:eastAsia="宋体" w:cs="Times New Roman"/>
                <w:color w:val="auto"/>
                <w:sz w:val="24"/>
                <w:szCs w:val="24"/>
                <w:lang w:val="en-US" w:eastAsia="zh-CN"/>
              </w:rPr>
              <w:t>《固体物料堆存颗粒物产排核算系数手册》</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b w:val="0"/>
                <w:bCs w:val="0"/>
                <w:color w:val="auto"/>
                <w:kern w:val="2"/>
                <w:sz w:val="24"/>
                <w:szCs w:val="24"/>
                <w:highlight w:val="none"/>
                <w:lang w:val="en-US" w:eastAsia="zh-CN" w:bidi="ar-SA"/>
              </w:rPr>
              <w:t>《固体物料堆存颗粒物产排核算系数手册》</w:t>
            </w:r>
            <w:r>
              <w:rPr>
                <w:rFonts w:hint="eastAsia" w:ascii="Times New Roman" w:hAnsi="Times New Roman" w:eastAsia="宋体" w:cs="Times New Roman"/>
                <w:b w:val="0"/>
                <w:bCs w:val="0"/>
                <w:color w:val="auto"/>
                <w:kern w:val="2"/>
                <w:sz w:val="24"/>
                <w:szCs w:val="24"/>
                <w:highlight w:val="none"/>
                <w:lang w:val="en-US" w:eastAsia="zh-CN" w:bidi="ar-SA"/>
              </w:rPr>
              <w:t>及《排污许可证申请与核发技术规范 调味品、发酵制品制造工业》（HJ1030.2-2019）</w:t>
            </w:r>
            <w:r>
              <w:rPr>
                <w:rFonts w:hint="eastAsia" w:ascii="Times New Roman" w:hAnsi="Times New Roman" w:cs="Times New Roman"/>
                <w:b w:val="0"/>
                <w:bCs w:val="0"/>
                <w:color w:val="auto"/>
                <w:spacing w:val="-10"/>
                <w:sz w:val="24"/>
                <w:szCs w:val="24"/>
                <w:lang w:val="en-US" w:eastAsia="zh-CN"/>
              </w:rPr>
              <w:t>中推荐</w:t>
            </w:r>
            <w:r>
              <w:rPr>
                <w:rFonts w:hAnsi="宋体"/>
                <w:b w:val="0"/>
                <w:bCs w:val="0"/>
                <w:color w:val="auto"/>
                <w:sz w:val="24"/>
                <w:szCs w:val="24"/>
              </w:rPr>
              <w:t>的</w:t>
            </w:r>
            <w:r>
              <w:rPr>
                <w:b w:val="0"/>
                <w:bCs w:val="0"/>
                <w:color w:val="auto"/>
                <w:sz w:val="24"/>
                <w:szCs w:val="24"/>
              </w:rPr>
              <w:t>“</w:t>
            </w:r>
            <w:r>
              <w:rPr>
                <w:rFonts w:hAnsi="宋体"/>
                <w:b w:val="0"/>
                <w:bCs w:val="0"/>
                <w:color w:val="auto"/>
                <w:sz w:val="24"/>
                <w:szCs w:val="24"/>
              </w:rPr>
              <w:t>可行技术</w:t>
            </w:r>
            <w:r>
              <w:rPr>
                <w:b w:val="0"/>
                <w:bCs w:val="0"/>
                <w:color w:val="auto"/>
                <w:sz w:val="24"/>
                <w:szCs w:val="24"/>
              </w:rPr>
              <w:t>”</w:t>
            </w:r>
            <w:r>
              <w:rPr>
                <w:rFonts w:hAnsi="宋体"/>
                <w:b w:val="0"/>
                <w:bCs w:val="0"/>
                <w:color w:val="auto"/>
                <w:sz w:val="24"/>
                <w:szCs w:val="24"/>
              </w:rPr>
              <w:t>，</w:t>
            </w:r>
            <w:r>
              <w:rPr>
                <w:rFonts w:hint="eastAsia" w:hAnsi="宋体"/>
                <w:b w:val="0"/>
                <w:bCs w:val="0"/>
                <w:color w:val="auto"/>
                <w:sz w:val="24"/>
                <w:szCs w:val="24"/>
                <w:lang w:eastAsia="zh-CN"/>
              </w:rPr>
              <w:t>根据表</w:t>
            </w:r>
            <w:r>
              <w:rPr>
                <w:rFonts w:hint="eastAsia" w:hAnsi="宋体"/>
                <w:b w:val="0"/>
                <w:bCs w:val="0"/>
                <w:color w:val="auto"/>
                <w:sz w:val="24"/>
                <w:szCs w:val="24"/>
                <w:lang w:val="en-US" w:eastAsia="zh-CN"/>
              </w:rPr>
              <w:t>4-6，采取的废气降尘措施，可以</w:t>
            </w:r>
            <w:r>
              <w:rPr>
                <w:rFonts w:hint="eastAsia" w:hAnsi="宋体"/>
                <w:b w:val="0"/>
                <w:bCs w:val="0"/>
                <w:color w:val="auto"/>
                <w:sz w:val="24"/>
                <w:szCs w:val="24"/>
                <w:lang w:eastAsia="zh-CN"/>
              </w:rPr>
              <w:t>有效减小了粉尘的排放，废气治理设施有效可行。</w:t>
            </w:r>
          </w:p>
          <w:p w14:paraId="5ECEFB43">
            <w:pPr>
              <w:pStyle w:val="3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2.1.6项目废气对敏感点影响分析</w:t>
            </w:r>
          </w:p>
          <w:p w14:paraId="66DF306F">
            <w:pPr>
              <w:widowControl/>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落实本环评提出的降尘措施，根据分析，外排的无组织粉尘可满足</w:t>
            </w:r>
            <w:r>
              <w:rPr>
                <w:rFonts w:hint="default" w:ascii="Times New Roman" w:hAnsi="Times New Roman" w:eastAsia="宋体" w:cs="Times New Roman"/>
                <w:bCs/>
                <w:color w:val="auto"/>
                <w:sz w:val="24"/>
              </w:rPr>
              <w:t>《大气污染物综合排放标准》（GB16297-1996）表2限值</w:t>
            </w:r>
            <w:r>
              <w:rPr>
                <w:rFonts w:hint="eastAsia" w:ascii="Times New Roman" w:hAnsi="Times New Roman" w:eastAsia="宋体" w:cs="Times New Roman"/>
                <w:color w:val="auto"/>
                <w:sz w:val="24"/>
                <w:szCs w:val="24"/>
                <w:lang w:val="en-US" w:eastAsia="zh-CN"/>
              </w:rPr>
              <w:t>1.0mg/m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lang w:val="en-US" w:eastAsia="zh-CN"/>
              </w:rPr>
              <w:t>并且采取的措施均属于可行技术，因此只要保证环保设施正常运行情况下不会对周围敏感点造成较大影响。</w:t>
            </w:r>
          </w:p>
          <w:p w14:paraId="210D76FE">
            <w:pPr>
              <w:widowControl/>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b w:val="0"/>
                <w:bCs w:val="0"/>
                <w:color w:val="auto"/>
                <w:kern w:val="28"/>
                <w:sz w:val="24"/>
                <w:szCs w:val="24"/>
                <w:highlight w:val="none"/>
                <w:lang w:val="en-US" w:eastAsia="zh-CN" w:bidi="ar-SA"/>
              </w:rPr>
              <w:t>本次环评考虑无组织废气对周围敏感点的影响，</w:t>
            </w:r>
            <w:r>
              <w:rPr>
                <w:rFonts w:hint="eastAsia" w:ascii="Times New Roman" w:hAnsi="Times New Roman" w:eastAsia="宋体" w:cs="Times New Roman"/>
                <w:b w:val="0"/>
                <w:bCs w:val="0"/>
                <w:color w:val="auto"/>
                <w:kern w:val="28"/>
                <w:sz w:val="24"/>
                <w:szCs w:val="24"/>
                <w:highlight w:val="none"/>
                <w:lang w:val="zh-CN" w:eastAsia="zh-CN" w:bidi="ar-SA"/>
              </w:rPr>
              <w:t>本</w:t>
            </w:r>
            <w:r>
              <w:rPr>
                <w:rFonts w:hint="default" w:ascii="Times New Roman" w:hAnsi="Times New Roman" w:eastAsia="宋体" w:cs="Times New Roman"/>
                <w:b w:val="0"/>
                <w:bCs w:val="0"/>
                <w:color w:val="auto"/>
                <w:kern w:val="28"/>
                <w:sz w:val="24"/>
                <w:szCs w:val="24"/>
                <w:highlight w:val="none"/>
                <w:lang w:val="zh-CN" w:eastAsia="zh-CN" w:bidi="ar-SA"/>
              </w:rPr>
              <w:t>次大气环境评价范围</w:t>
            </w:r>
            <w:r>
              <w:rPr>
                <w:rFonts w:hint="default" w:ascii="Times New Roman" w:hAnsi="Times New Roman" w:eastAsia="宋体" w:cs="Times New Roman"/>
                <w:b w:val="0"/>
                <w:bCs w:val="0"/>
                <w:color w:val="auto"/>
                <w:kern w:val="28"/>
                <w:sz w:val="24"/>
                <w:szCs w:val="24"/>
                <w:highlight w:val="none"/>
                <w:lang w:val="en-US" w:eastAsia="zh-CN" w:bidi="ar-SA"/>
              </w:rPr>
              <w:t>500m</w:t>
            </w:r>
            <w:r>
              <w:rPr>
                <w:rFonts w:hint="default" w:ascii="Times New Roman" w:hAnsi="Times New Roman" w:eastAsia="宋体" w:cs="Times New Roman"/>
                <w:b w:val="0"/>
                <w:bCs w:val="0"/>
                <w:color w:val="auto"/>
                <w:kern w:val="28"/>
                <w:sz w:val="24"/>
                <w:szCs w:val="24"/>
                <w:highlight w:val="none"/>
                <w:lang w:val="zh-CN" w:eastAsia="zh-CN" w:bidi="ar-SA"/>
              </w:rPr>
              <w:t>内的敏感点</w:t>
            </w:r>
            <w:r>
              <w:rPr>
                <w:rFonts w:hint="eastAsia" w:ascii="Times New Roman" w:hAnsi="Times New Roman" w:eastAsia="宋体" w:cs="Times New Roman"/>
                <w:b w:val="0"/>
                <w:bCs w:val="0"/>
                <w:color w:val="auto"/>
                <w:kern w:val="28"/>
                <w:sz w:val="24"/>
                <w:szCs w:val="24"/>
                <w:highlight w:val="none"/>
                <w:lang w:val="en-US" w:eastAsia="zh-CN" w:bidi="ar-SA"/>
              </w:rPr>
              <w:t>主要</w:t>
            </w:r>
            <w:r>
              <w:rPr>
                <w:rFonts w:hint="eastAsia" w:ascii="Times New Roman" w:hAnsi="Times New Roman" w:eastAsia="宋体" w:cs="Times New Roman"/>
                <w:b w:val="0"/>
                <w:bCs w:val="0"/>
                <w:color w:val="auto"/>
                <w:kern w:val="28"/>
                <w:sz w:val="24"/>
                <w:szCs w:val="24"/>
                <w:highlight w:val="none"/>
                <w:lang w:val="zh-CN" w:eastAsia="zh-CN" w:bidi="ar-SA"/>
              </w:rPr>
              <w:t>包括</w:t>
            </w:r>
            <w:r>
              <w:rPr>
                <w:rFonts w:hint="eastAsia" w:ascii="Times New Roman" w:hAnsi="Times New Roman" w:eastAsia="宋体" w:cs="Times New Roman"/>
                <w:b w:val="0"/>
                <w:bCs w:val="0"/>
                <w:color w:val="auto"/>
                <w:kern w:val="28"/>
                <w:sz w:val="24"/>
                <w:szCs w:val="24"/>
                <w:highlight w:val="none"/>
                <w:lang w:val="en-US" w:eastAsia="zh-CN" w:bidi="ar-SA"/>
              </w:rPr>
              <w:t>东北侧470m处的半坡寨，西侧28m处的芒市康丰糖业有限公司生活区，东侧40m的罗胡山村。根据</w:t>
            </w:r>
            <w:r>
              <w:rPr>
                <w:rFonts w:hint="eastAsia" w:ascii="Times New Roman" w:hAnsi="Times New Roman" w:cs="Times New Roman"/>
                <w:b w:val="0"/>
                <w:bCs w:val="0"/>
                <w:color w:val="auto"/>
                <w:kern w:val="28"/>
                <w:sz w:val="24"/>
                <w:szCs w:val="24"/>
                <w:highlight w:val="none"/>
                <w:lang w:val="en-US" w:eastAsia="zh-CN" w:bidi="ar-SA"/>
              </w:rPr>
              <w:t>芒市的气象资料，所在地区常年主导风向为西南风，较近的大气保护目标均位于主导风向的侧风向。</w:t>
            </w:r>
            <w:r>
              <w:rPr>
                <w:rFonts w:hint="eastAsia" w:ascii="Times New Roman" w:hAnsi="Times New Roman" w:eastAsia="宋体" w:cs="Times New Roman"/>
                <w:color w:val="auto"/>
                <w:sz w:val="24"/>
                <w:szCs w:val="24"/>
                <w:lang w:val="en-US" w:eastAsia="zh-CN"/>
              </w:rPr>
              <w:t>环评采用</w:t>
            </w:r>
            <w:r>
              <w:rPr>
                <w:rFonts w:ascii="Times New Roman" w:hAnsi="Times New Roman" w:eastAsia="宋体" w:cs="Times New Roman"/>
                <w:color w:val="auto"/>
                <w:sz w:val="24"/>
                <w:szCs w:val="24"/>
              </w:rPr>
              <w:t>《环境影响评价技术导则大气环境》（HJ 2.2-2018）中推荐的AerScreen估算模式进行</w:t>
            </w:r>
            <w:r>
              <w:rPr>
                <w:rFonts w:hint="eastAsia" w:ascii="Times New Roman" w:hAnsi="Times New Roman" w:eastAsia="宋体" w:cs="Times New Roman"/>
                <w:color w:val="auto"/>
                <w:sz w:val="24"/>
                <w:szCs w:val="24"/>
                <w:lang w:val="en-US" w:eastAsia="zh-CN"/>
              </w:rPr>
              <w:t>无组织废气</w:t>
            </w:r>
            <w:r>
              <w:rPr>
                <w:rFonts w:ascii="Times New Roman" w:hAnsi="Times New Roman" w:eastAsia="宋体" w:cs="Times New Roman"/>
                <w:color w:val="auto"/>
                <w:sz w:val="24"/>
                <w:szCs w:val="24"/>
              </w:rPr>
              <w:t>估算，预测情景为正常排放。</w:t>
            </w:r>
            <w:r>
              <w:rPr>
                <w:rFonts w:ascii="Times New Roman" w:hAnsi="Times New Roman" w:eastAsia="宋体" w:cs="Times New Roman"/>
                <w:b w:val="0"/>
                <w:bCs w:val="0"/>
                <w:color w:val="auto"/>
                <w:sz w:val="24"/>
                <w:szCs w:val="24"/>
              </w:rPr>
              <w:t>根据预测结果</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color w:val="auto"/>
                <w:sz w:val="24"/>
                <w:szCs w:val="24"/>
                <w:highlight w:val="none"/>
                <w:lang w:val="en-US" w:eastAsia="zh-CN"/>
              </w:rPr>
              <w:t>正常情况下（西南风）</w:t>
            </w:r>
            <w:r>
              <w:rPr>
                <w:rFonts w:hint="eastAsia" w:ascii="Times New Roman" w:hAnsi="Times New Roman" w:eastAsia="宋体" w:cs="Times New Roman"/>
                <w:color w:val="auto"/>
                <w:sz w:val="24"/>
                <w:szCs w:val="24"/>
                <w:highlight w:val="none"/>
              </w:rPr>
              <w:t>最大占标率Pmax</w:t>
            </w:r>
            <w:r>
              <w:rPr>
                <w:rFonts w:hint="eastAsia" w:ascii="Times New Roman" w:hAnsi="Times New Roman" w:eastAsia="宋体" w:cs="Times New Roman"/>
                <w:color w:val="auto"/>
                <w:sz w:val="24"/>
                <w:szCs w:val="24"/>
                <w:highlight w:val="none"/>
                <w:lang w:val="en-US" w:eastAsia="zh-CN"/>
              </w:rPr>
              <w:t>0.45</w:t>
            </w:r>
            <w:r>
              <w:rPr>
                <w:rFonts w:hint="eastAsia" w:ascii="Times New Roman" w:hAnsi="Times New Roman" w:eastAsia="宋体" w:cs="Times New Roman"/>
                <w:color w:val="auto"/>
                <w:sz w:val="24"/>
                <w:szCs w:val="24"/>
                <w:highlight w:val="none"/>
              </w:rPr>
              <w:t>% (</w:t>
            </w:r>
            <w:r>
              <w:rPr>
                <w:rFonts w:hint="eastAsia" w:ascii="Times New Roman" w:hAnsi="Times New Roman" w:eastAsia="宋体" w:cs="Times New Roman"/>
                <w:b w:val="0"/>
                <w:bCs w:val="0"/>
                <w:color w:val="auto"/>
                <w:sz w:val="24"/>
                <w:szCs w:val="24"/>
                <w:lang w:val="en-US" w:eastAsia="zh-CN"/>
              </w:rPr>
              <w:t>TSP</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zh-CN"/>
              </w:rPr>
              <w:t>评价等级：</w:t>
            </w:r>
            <w:r>
              <w:rPr>
                <w:rFonts w:hint="eastAsia" w:ascii="Times New Roman" w:hAnsi="Times New Roman" w:eastAsia="宋体" w:cs="Times New Roman"/>
                <w:b w:val="0"/>
                <w:bCs w:val="0"/>
                <w:color w:val="auto"/>
                <w:sz w:val="24"/>
                <w:szCs w:val="24"/>
                <w:lang w:val="en-US" w:eastAsia="zh-CN"/>
              </w:rPr>
              <w:t>三</w:t>
            </w:r>
            <w:r>
              <w:rPr>
                <w:rFonts w:hint="eastAsia" w:ascii="Times New Roman" w:hAnsi="Times New Roman" w:eastAsia="宋体" w:cs="Times New Roman"/>
                <w:b w:val="0"/>
                <w:bCs w:val="0"/>
                <w:color w:val="auto"/>
                <w:sz w:val="24"/>
                <w:szCs w:val="24"/>
                <w:lang w:val="zh-CN"/>
              </w:rPr>
              <w:t>级，三级评价项目不进行进一步评价。</w:t>
            </w:r>
            <w:r>
              <w:rPr>
                <w:rFonts w:hint="eastAsia" w:ascii="Times New Roman" w:hAnsi="Times New Roman" w:eastAsia="宋体" w:cs="Times New Roman"/>
                <w:b w:val="0"/>
                <w:bCs w:val="0"/>
                <w:color w:val="auto"/>
                <w:sz w:val="24"/>
                <w:szCs w:val="24"/>
                <w:highlight w:val="none"/>
                <w:lang w:val="en-US" w:eastAsia="zh-CN"/>
              </w:rPr>
              <w:t>本项目距离污染物80m处达到最大落地浓度，</w:t>
            </w:r>
            <w:r>
              <w:rPr>
                <w:rFonts w:hint="eastAsia" w:ascii="Times New Roman" w:hAnsi="Times New Roman" w:eastAsia="宋体" w:cs="Times New Roman"/>
                <w:b w:val="0"/>
                <w:bCs w:val="0"/>
                <w:color w:val="auto"/>
                <w:sz w:val="24"/>
                <w:szCs w:val="24"/>
                <w:lang w:val="en-US" w:eastAsia="zh-CN"/>
              </w:rPr>
              <w:t>TSP</w:t>
            </w:r>
            <w:r>
              <w:rPr>
                <w:rFonts w:hint="eastAsia" w:ascii="Times New Roman" w:hAnsi="Times New Roman" w:eastAsia="宋体" w:cs="Times New Roman"/>
                <w:b w:val="0"/>
                <w:bCs w:val="0"/>
                <w:color w:val="auto"/>
                <w:sz w:val="24"/>
                <w:szCs w:val="24"/>
                <w:highlight w:val="none"/>
              </w:rPr>
              <w:t>最大地面浓度</w:t>
            </w:r>
            <w:r>
              <w:rPr>
                <w:rFonts w:hint="eastAsia"/>
                <w:color w:val="auto"/>
                <w:sz w:val="24"/>
                <w:szCs w:val="24"/>
              </w:rPr>
              <w:t>4.02E-03</w:t>
            </w:r>
            <w:r>
              <w:rPr>
                <w:rFonts w:ascii="Times New Roman" w:hAnsi="Times New Roman" w:eastAsia="宋体" w:cs="Times New Roman"/>
                <w:b w:val="0"/>
                <w:bCs w:val="0"/>
                <w:color w:val="auto"/>
                <w:sz w:val="24"/>
                <w:szCs w:val="24"/>
                <w:highlight w:val="none"/>
              </w:rPr>
              <w:t>mg/m</w:t>
            </w:r>
            <w:r>
              <w:rPr>
                <w:rFonts w:ascii="Times New Roman" w:hAnsi="Times New Roman" w:eastAsia="宋体" w:cs="Times New Roman"/>
                <w:b w:val="0"/>
                <w:bCs w:val="0"/>
                <w:color w:val="auto"/>
                <w:sz w:val="24"/>
                <w:szCs w:val="24"/>
                <w:highlight w:val="none"/>
                <w:vertAlign w:val="superscript"/>
              </w:rPr>
              <w:t>3</w:t>
            </w:r>
            <w:r>
              <w:rPr>
                <w:rFonts w:hint="eastAsia"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color w:val="auto"/>
                <w:sz w:val="24"/>
                <w:lang w:val="zh-CN"/>
              </w:rPr>
              <w:t>本</w:t>
            </w:r>
            <w:r>
              <w:rPr>
                <w:rFonts w:hint="eastAsia" w:ascii="Times New Roman" w:hAnsi="Times New Roman" w:eastAsia="宋体" w:cs="Times New Roman"/>
                <w:color w:val="auto"/>
                <w:sz w:val="24"/>
                <w:lang w:val="zh-CN"/>
              </w:rPr>
              <w:t>项目大气污染物排放经扩散后</w:t>
            </w:r>
            <w:r>
              <w:rPr>
                <w:rFonts w:hint="eastAsia" w:ascii="Times New Roman" w:hAnsi="Times New Roman" w:eastAsia="宋体" w:cs="Times New Roman"/>
                <w:color w:val="auto"/>
                <w:sz w:val="24"/>
                <w:lang w:val="en-US" w:eastAsia="zh-CN"/>
              </w:rPr>
              <w:t>最大落地</w:t>
            </w:r>
            <w:r>
              <w:rPr>
                <w:rFonts w:hint="eastAsia" w:ascii="Times New Roman" w:hAnsi="Times New Roman" w:eastAsia="宋体" w:cs="Times New Roman"/>
                <w:color w:val="auto"/>
                <w:sz w:val="24"/>
                <w:lang w:val="zh-CN"/>
              </w:rPr>
              <w:t>浓度远低</w:t>
            </w:r>
            <w:r>
              <w:rPr>
                <w:rFonts w:hint="eastAsia" w:ascii="Times New Roman" w:hAnsi="Times New Roman" w:eastAsia="宋体" w:cs="Times New Roman"/>
                <w:color w:val="auto"/>
                <w:sz w:val="24"/>
                <w:lang w:val="en-US" w:eastAsia="zh-CN"/>
              </w:rPr>
              <w:t>于</w:t>
            </w:r>
            <w:r>
              <w:rPr>
                <w:rFonts w:hint="eastAsia" w:ascii="Times New Roman" w:hAnsi="Times New Roman" w:eastAsia="宋体" w:cs="Times New Roman"/>
                <w:b w:val="0"/>
                <w:bCs w:val="0"/>
                <w:color w:val="auto"/>
                <w:sz w:val="24"/>
                <w:szCs w:val="24"/>
              </w:rPr>
              <w:t>(GB3095-2012)《环境空气质量标准》二级标准浓度限值要求</w:t>
            </w:r>
            <w:r>
              <w:rPr>
                <w:rFonts w:hint="eastAsia" w:ascii="Times New Roman" w:hAnsi="Times New Roman" w:eastAsia="宋体" w:cs="Times New Roman"/>
                <w:color w:val="auto"/>
                <w:sz w:val="24"/>
                <w:highlight w:val="none"/>
                <w:lang w:val="en-US" w:eastAsia="zh-CN"/>
              </w:rPr>
              <w:t>，同时经过调查最大落地浓度处无居民区，为农田，因此本项目建成后，按照本环评提出的降尘措施后，无组织废气不会对周围敏感目标造成影响</w:t>
            </w:r>
            <w:r>
              <w:rPr>
                <w:rFonts w:hint="eastAsia" w:ascii="Times New Roman" w:hAnsi="Times New Roman" w:eastAsia="宋体" w:cs="Times New Roman"/>
                <w:color w:val="auto"/>
                <w:sz w:val="24"/>
                <w:highlight w:val="none"/>
              </w:rPr>
              <w:t>。</w:t>
            </w:r>
          </w:p>
          <w:p w14:paraId="17AFFFC7">
            <w:pPr>
              <w:pStyle w:val="3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both"/>
              <w:textAlignment w:val="auto"/>
              <w:rPr>
                <w:rFonts w:hint="eastAsia"/>
                <w:b w:val="0"/>
                <w:bCs w:val="0"/>
                <w:color w:val="auto"/>
                <w:lang w:val="en-US" w:eastAsia="zh-CN"/>
              </w:rPr>
            </w:pPr>
            <w:r>
              <w:rPr>
                <w:rFonts w:hint="eastAsia" w:ascii="Times New Roman" w:hAnsi="Times New Roman" w:cs="Times New Roman"/>
                <w:b w:val="0"/>
                <w:bCs w:val="0"/>
                <w:color w:val="auto"/>
                <w:spacing w:val="-10"/>
                <w:sz w:val="24"/>
                <w:szCs w:val="24"/>
                <w:lang w:val="en-US" w:eastAsia="zh-CN"/>
              </w:rPr>
              <w:t>2.1.7废气环境影响评价结论</w:t>
            </w:r>
          </w:p>
          <w:p w14:paraId="53206FDA">
            <w:pPr>
              <w:pStyle w:val="32"/>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color w:val="auto"/>
                <w:lang w:val="en-US" w:eastAsia="zh-CN"/>
              </w:rPr>
            </w:pPr>
            <w:r>
              <w:rPr>
                <w:rFonts w:hint="default" w:ascii="Times New Roman" w:hAnsi="Times New Roman" w:eastAsia="宋体" w:cs="Times New Roman"/>
                <w:color w:val="auto"/>
                <w:sz w:val="24"/>
                <w:szCs w:val="24"/>
                <w:lang w:val="en-GB"/>
              </w:rPr>
              <w:t>根据</w:t>
            </w:r>
            <w:r>
              <w:rPr>
                <w:rFonts w:hint="eastAsia" w:ascii="Times New Roman" w:hAnsi="Times New Roman" w:eastAsia="宋体" w:cs="Times New Roman"/>
                <w:color w:val="auto"/>
                <w:sz w:val="24"/>
                <w:szCs w:val="24"/>
                <w:lang w:val="en-GB" w:eastAsia="zh-CN"/>
              </w:rPr>
              <w:t>《2021年德宏州环境状况公报》</w:t>
            </w:r>
            <w:r>
              <w:rPr>
                <w:rFonts w:hint="eastAsia" w:ascii="Times New Roman" w:hAnsi="Times New Roman" w:eastAsia="宋体" w:cs="Times New Roman"/>
                <w:color w:val="auto"/>
                <w:sz w:val="24"/>
                <w:szCs w:val="24"/>
                <w:lang w:val="en-US" w:eastAsia="zh-CN"/>
              </w:rPr>
              <w:t>及现状补充监测</w:t>
            </w:r>
            <w:r>
              <w:rPr>
                <w:rFonts w:hint="default" w:ascii="Times New Roman" w:hAnsi="Times New Roman" w:eastAsia="宋体" w:cs="Times New Roman"/>
                <w:color w:val="auto"/>
                <w:sz w:val="24"/>
                <w:szCs w:val="24"/>
                <w:lang w:val="en-GB" w:eastAsia="zh-CN"/>
              </w:rPr>
              <w:t>，项目所在区域为大气环境质量达标区域，</w:t>
            </w:r>
            <w:r>
              <w:rPr>
                <w:rFonts w:hint="default" w:ascii="Times New Roman" w:hAnsi="Times New Roman" w:cs="Times New Roman"/>
                <w:color w:val="auto"/>
                <w:sz w:val="24"/>
              </w:rPr>
              <w:t>本次评价对项目废气产排量及达标排放进行了分析，根据对比分析，</w:t>
            </w:r>
            <w:r>
              <w:rPr>
                <w:rFonts w:hint="eastAsia" w:ascii="Times New Roman" w:hAnsi="Times New Roman" w:cs="Times New Roman"/>
                <w:color w:val="auto"/>
                <w:sz w:val="24"/>
                <w:lang w:eastAsia="zh-CN"/>
              </w:rPr>
              <w:t>本项目采用的污染治理措施（</w:t>
            </w:r>
            <w:r>
              <w:rPr>
                <w:rFonts w:hint="eastAsia" w:ascii="Times New Roman" w:hAnsi="Times New Roman" w:cs="Times New Roman"/>
                <w:color w:val="auto"/>
                <w:sz w:val="24"/>
                <w:lang w:val="en-US" w:eastAsia="zh-CN"/>
              </w:rPr>
              <w:t>布袋除尘器</w:t>
            </w:r>
            <w:r>
              <w:rPr>
                <w:rFonts w:hint="eastAsia" w:ascii="Times New Roman" w:hAnsi="Times New Roman" w:cs="Times New Roman"/>
                <w:color w:val="auto"/>
                <w:sz w:val="24"/>
                <w:lang w:eastAsia="zh-CN"/>
              </w:rPr>
              <w:t>）均为排污许可技术规范中的可行技术，</w:t>
            </w:r>
            <w:r>
              <w:rPr>
                <w:rFonts w:hint="default" w:ascii="Times New Roman" w:hAnsi="Times New Roman" w:cs="Times New Roman"/>
                <w:color w:val="auto"/>
                <w:sz w:val="24"/>
              </w:rPr>
              <w:t>项目运营期主要大气污染物均能达标排放</w:t>
            </w:r>
            <w:r>
              <w:rPr>
                <w:rFonts w:hint="eastAsia" w:ascii="Times New Roman" w:hAnsi="Times New Roman" w:cs="Times New Roman"/>
                <w:color w:val="auto"/>
                <w:sz w:val="24"/>
                <w:lang w:eastAsia="zh-CN"/>
              </w:rPr>
              <w:t>。因此</w:t>
            </w:r>
            <w:r>
              <w:rPr>
                <w:rFonts w:hint="default" w:ascii="Times New Roman" w:hAnsi="Times New Roman" w:cs="Times New Roman"/>
                <w:color w:val="auto"/>
                <w:sz w:val="24"/>
              </w:rPr>
              <w:t>环境空气影响可接受</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highlight w:val="none"/>
                <w:lang w:eastAsia="zh-CN"/>
              </w:rPr>
              <w:t>不会改变项目区周边环境空气质量现状，</w:t>
            </w:r>
            <w:r>
              <w:rPr>
                <w:rFonts w:hint="default" w:ascii="Times New Roman" w:hAnsi="Times New Roman" w:eastAsia="宋体" w:cs="Times New Roman"/>
                <w:color w:val="auto"/>
                <w:sz w:val="24"/>
                <w:szCs w:val="24"/>
                <w:highlight w:val="none"/>
              </w:rPr>
              <w:t>对周围环境影响</w:t>
            </w:r>
            <w:r>
              <w:rPr>
                <w:rFonts w:hint="default" w:ascii="Times New Roman" w:hAnsi="Times New Roman" w:eastAsia="宋体" w:cs="Times New Roman"/>
                <w:color w:val="auto"/>
                <w:sz w:val="24"/>
                <w:szCs w:val="24"/>
                <w:highlight w:val="none"/>
                <w:lang w:eastAsia="zh-CN"/>
              </w:rPr>
              <w:t>较小</w:t>
            </w:r>
            <w:r>
              <w:rPr>
                <w:rFonts w:hint="default" w:ascii="Times New Roman" w:hAnsi="Times New Roman" w:eastAsia="宋体" w:cs="Times New Roman"/>
                <w:color w:val="auto"/>
                <w:sz w:val="24"/>
                <w:szCs w:val="24"/>
                <w:highlight w:val="none"/>
              </w:rPr>
              <w:t>。</w:t>
            </w:r>
          </w:p>
          <w:p w14:paraId="59525B3B">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b/>
                <w:bCs/>
                <w:color w:val="auto"/>
                <w:sz w:val="24"/>
                <w:szCs w:val="24"/>
                <w:lang w:eastAsia="zh-CN"/>
              </w:rPr>
            </w:pPr>
            <w:r>
              <w:rPr>
                <w:rFonts w:hint="eastAsia" w:ascii="宋体" w:hAnsi="宋体" w:eastAsia="宋体" w:cs="宋体"/>
                <w:b/>
                <w:bCs w:val="0"/>
                <w:color w:val="auto"/>
                <w:spacing w:val="-10"/>
                <w:kern w:val="0"/>
                <w:sz w:val="24"/>
                <w:szCs w:val="24"/>
                <w:lang w:val="en-US" w:eastAsia="zh-CN" w:bidi="ar-SA"/>
              </w:rPr>
              <w:t>2.2地表水</w:t>
            </w:r>
            <w:r>
              <w:rPr>
                <w:rFonts w:hint="default" w:ascii="宋体" w:hAnsi="宋体" w:eastAsia="宋体" w:cs="宋体"/>
                <w:b/>
                <w:bCs w:val="0"/>
                <w:color w:val="auto"/>
                <w:spacing w:val="-10"/>
                <w:kern w:val="0"/>
                <w:sz w:val="24"/>
                <w:szCs w:val="24"/>
                <w:lang w:val="en-US" w:eastAsia="zh-CN" w:bidi="ar-SA"/>
              </w:rPr>
              <w:t>环境影响和保护措施</w:t>
            </w:r>
          </w:p>
          <w:p w14:paraId="7007F4C5">
            <w:pPr>
              <w:adjustRightInd w:val="0"/>
              <w:snapToGrid w:val="0"/>
              <w:spacing w:line="360" w:lineRule="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kern w:val="2"/>
                <w:sz w:val="24"/>
                <w:szCs w:val="24"/>
                <w:highlight w:val="none"/>
                <w:lang w:val="en-US" w:eastAsia="zh-CN" w:bidi="ar-SA"/>
              </w:rPr>
              <w:t>2.2.1</w:t>
            </w:r>
            <w:r>
              <w:rPr>
                <w:rFonts w:hint="default" w:ascii="Times New Roman" w:hAnsi="Times New Roman" w:eastAsia="宋体" w:cs="Times New Roman"/>
                <w:b w:val="0"/>
                <w:bCs w:val="0"/>
                <w:color w:val="auto"/>
                <w:kern w:val="2"/>
                <w:sz w:val="24"/>
                <w:szCs w:val="24"/>
                <w:highlight w:val="none"/>
                <w:lang w:val="en-US" w:eastAsia="zh-CN" w:bidi="ar-SA"/>
              </w:rPr>
              <w:t>废水产生情况</w:t>
            </w:r>
          </w:p>
          <w:p w14:paraId="36E43017">
            <w:pPr>
              <w:spacing w:line="360" w:lineRule="auto"/>
              <w:ind w:firstLine="480" w:firstLineChars="200"/>
              <w:rPr>
                <w:rFonts w:hint="default" w:eastAsia="宋体"/>
                <w:color w:val="auto"/>
                <w:highlight w:val="none"/>
                <w:lang w:val="en-US" w:eastAsia="zh-CN"/>
              </w:rPr>
            </w:pPr>
            <w:r>
              <w:rPr>
                <w:rFonts w:hint="eastAsia" w:ascii="宋体" w:hAnsi="宋体" w:eastAsia="宋体" w:cs="宋体"/>
                <w:color w:val="auto"/>
                <w:sz w:val="24"/>
                <w:szCs w:val="24"/>
                <w:lang w:val="en-US" w:eastAsia="zh-CN"/>
              </w:rPr>
              <w:t>项目区原料及产品、废料均不露天堆放，不考虑初期雨水的影响。雨水经过厂区雨水收集沟渠引至厂区外的沟渠排放。</w:t>
            </w:r>
            <w:r>
              <w:rPr>
                <w:rFonts w:hint="default" w:ascii="Times New Roman" w:hAnsi="Times New Roman" w:eastAsia="宋体" w:cs="Times New Roman"/>
                <w:color w:val="auto"/>
                <w:sz w:val="24"/>
                <w:szCs w:val="24"/>
                <w:highlight w:val="none"/>
              </w:rPr>
              <w:t>项目产生的废水主要为</w:t>
            </w:r>
            <w:r>
              <w:rPr>
                <w:rFonts w:hint="eastAsia" w:ascii="Times New Roman" w:hAnsi="Times New Roman" w:eastAsia="宋体" w:cs="Times New Roman"/>
                <w:color w:val="auto"/>
                <w:sz w:val="24"/>
                <w:szCs w:val="24"/>
                <w:highlight w:val="none"/>
                <w:lang w:val="en-US" w:eastAsia="zh-CN"/>
              </w:rPr>
              <w:t>生产清洗废水及</w:t>
            </w:r>
            <w:r>
              <w:rPr>
                <w:rFonts w:hint="eastAsia" w:ascii="Times New Roman" w:hAnsi="Times New Roman" w:eastAsia="宋体" w:cs="Times New Roman"/>
                <w:color w:val="auto"/>
                <w:sz w:val="24"/>
                <w:szCs w:val="24"/>
                <w:highlight w:val="none"/>
                <w:lang w:eastAsia="zh-CN"/>
              </w:rPr>
              <w:t>员工生活污水</w:t>
            </w:r>
            <w:r>
              <w:rPr>
                <w:rFonts w:hint="eastAsia" w:ascii="Times New Roman" w:hAnsi="Times New Roman" w:eastAsia="宋体" w:cs="Times New Roman"/>
                <w:color w:val="auto"/>
                <w:sz w:val="24"/>
                <w:szCs w:val="24"/>
                <w:highlight w:val="none"/>
                <w:lang w:val="en-US" w:eastAsia="zh-CN"/>
              </w:rPr>
              <w:t>等，本项目</w:t>
            </w:r>
            <w:r>
              <w:rPr>
                <w:rFonts w:hint="default" w:ascii="Times New Roman" w:hAnsi="Times New Roman" w:eastAsia="宋体" w:cs="Times New Roman"/>
                <w:color w:val="auto"/>
                <w:sz w:val="24"/>
                <w:szCs w:val="24"/>
                <w:highlight w:val="none"/>
                <w:lang w:eastAsia="zh-CN"/>
              </w:rPr>
              <w:t>废水产生情况见表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-7。</w:t>
            </w:r>
          </w:p>
          <w:p w14:paraId="116E76C2">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 xml:space="preserve">-7 </w:t>
            </w:r>
            <w:r>
              <w:rPr>
                <w:rFonts w:hint="default" w:ascii="Times New Roman" w:hAnsi="Times New Roman" w:eastAsia="宋体" w:cs="Times New Roman"/>
                <w:b/>
                <w:color w:val="auto"/>
                <w:sz w:val="24"/>
                <w:szCs w:val="24"/>
              </w:rPr>
              <w:t>项目</w:t>
            </w:r>
            <w:r>
              <w:rPr>
                <w:rFonts w:hint="default" w:ascii="Times New Roman" w:hAnsi="Times New Roman" w:eastAsia="宋体" w:cs="Times New Roman"/>
                <w:b/>
                <w:color w:val="auto"/>
                <w:sz w:val="24"/>
                <w:szCs w:val="24"/>
                <w:lang w:eastAsia="zh-CN"/>
              </w:rPr>
              <w:t>用水</w:t>
            </w:r>
            <w:r>
              <w:rPr>
                <w:rFonts w:hint="default" w:ascii="Times New Roman" w:hAnsi="Times New Roman" w:eastAsia="宋体" w:cs="Times New Roman"/>
                <w:b/>
                <w:color w:val="auto"/>
                <w:sz w:val="24"/>
                <w:szCs w:val="24"/>
              </w:rPr>
              <w:t>情况一览表</w:t>
            </w:r>
          </w:p>
          <w:tbl>
            <w:tblPr>
              <w:tblStyle w:val="33"/>
              <w:tblW w:w="90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1"/>
              <w:gridCol w:w="914"/>
              <w:gridCol w:w="735"/>
              <w:gridCol w:w="834"/>
              <w:gridCol w:w="1068"/>
              <w:gridCol w:w="671"/>
              <w:gridCol w:w="7"/>
              <w:gridCol w:w="656"/>
              <w:gridCol w:w="678"/>
              <w:gridCol w:w="674"/>
              <w:gridCol w:w="857"/>
              <w:gridCol w:w="1531"/>
            </w:tblGrid>
            <w:tr w14:paraId="2B725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1305" w:type="dxa"/>
                  <w:gridSpan w:val="2"/>
                  <w:vMerge w:val="restart"/>
                  <w:tcBorders>
                    <w:top w:val="single" w:color="auto" w:sz="4" w:space="0"/>
                  </w:tcBorders>
                  <w:noWrap w:val="0"/>
                  <w:vAlign w:val="center"/>
                </w:tcPr>
                <w:p w14:paraId="2557E3EF">
                  <w:pPr>
                    <w:adjustRightInd/>
                    <w:ind w:firstLine="0" w:firstLineChars="0"/>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bCs/>
                      <w:color w:val="auto"/>
                      <w:sz w:val="21"/>
                      <w:szCs w:val="21"/>
                    </w:rPr>
                    <w:t>用水</w:t>
                  </w:r>
                  <w:r>
                    <w:rPr>
                      <w:rFonts w:hint="eastAsia" w:ascii="Times New Roman" w:hAnsi="Times New Roman" w:eastAsia="宋体" w:cs="Times New Roman"/>
                      <w:b/>
                      <w:bCs/>
                      <w:color w:val="auto"/>
                      <w:sz w:val="21"/>
                      <w:szCs w:val="21"/>
                      <w:lang w:eastAsia="zh-CN"/>
                    </w:rPr>
                    <w:t>项目</w:t>
                  </w:r>
                </w:p>
              </w:tc>
              <w:tc>
                <w:tcPr>
                  <w:tcW w:w="735" w:type="dxa"/>
                  <w:vMerge w:val="restart"/>
                  <w:noWrap w:val="0"/>
                  <w:vAlign w:val="center"/>
                </w:tcPr>
                <w:p w14:paraId="1CA7A8F1">
                  <w:pPr>
                    <w:adjustRightInd/>
                    <w:ind w:firstLine="0" w:firstLineChars="0"/>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规模</w:t>
                  </w:r>
                </w:p>
              </w:tc>
              <w:tc>
                <w:tcPr>
                  <w:tcW w:w="834" w:type="dxa"/>
                  <w:vMerge w:val="restart"/>
                  <w:noWrap w:val="0"/>
                  <w:vAlign w:val="center"/>
                </w:tcPr>
                <w:p w14:paraId="4DD73E43">
                  <w:pPr>
                    <w:adjustRightInd/>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用水标准</w:t>
                  </w:r>
                </w:p>
              </w:tc>
              <w:tc>
                <w:tcPr>
                  <w:tcW w:w="1068" w:type="dxa"/>
                  <w:vMerge w:val="restart"/>
                  <w:noWrap w:val="0"/>
                  <w:vAlign w:val="center"/>
                </w:tcPr>
                <w:p w14:paraId="614B62F9">
                  <w:pPr>
                    <w:adjustRightInd/>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用水天数（d）</w:t>
                  </w:r>
                </w:p>
              </w:tc>
              <w:tc>
                <w:tcPr>
                  <w:tcW w:w="1334" w:type="dxa"/>
                  <w:gridSpan w:val="3"/>
                  <w:tcBorders>
                    <w:bottom w:val="single" w:color="auto" w:sz="4" w:space="0"/>
                  </w:tcBorders>
                  <w:noWrap w:val="0"/>
                  <w:vAlign w:val="center"/>
                </w:tcPr>
                <w:p w14:paraId="10829154">
                  <w:pPr>
                    <w:adjustRightInd/>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用水量</w:t>
                  </w:r>
                </w:p>
              </w:tc>
              <w:tc>
                <w:tcPr>
                  <w:tcW w:w="678" w:type="dxa"/>
                  <w:vMerge w:val="restart"/>
                  <w:noWrap w:val="0"/>
                  <w:vAlign w:val="center"/>
                </w:tcPr>
                <w:p w14:paraId="31578B75">
                  <w:pPr>
                    <w:adjustRightInd/>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产污系数</w:t>
                  </w:r>
                </w:p>
              </w:tc>
              <w:tc>
                <w:tcPr>
                  <w:tcW w:w="1531" w:type="dxa"/>
                  <w:gridSpan w:val="2"/>
                  <w:noWrap w:val="0"/>
                  <w:vAlign w:val="center"/>
                </w:tcPr>
                <w:p w14:paraId="6AEB25E3">
                  <w:pPr>
                    <w:adjustRightInd/>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污水量</w:t>
                  </w:r>
                </w:p>
              </w:tc>
              <w:tc>
                <w:tcPr>
                  <w:tcW w:w="1531" w:type="dxa"/>
                  <w:vMerge w:val="restart"/>
                  <w:noWrap w:val="0"/>
                  <w:vAlign w:val="center"/>
                </w:tcPr>
                <w:p w14:paraId="2AEE2AAE">
                  <w:pPr>
                    <w:adjustRightInd/>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排放去向</w:t>
                  </w:r>
                </w:p>
              </w:tc>
            </w:tr>
            <w:tr w14:paraId="75839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305" w:type="dxa"/>
                  <w:gridSpan w:val="2"/>
                  <w:vMerge w:val="continue"/>
                  <w:noWrap w:val="0"/>
                  <w:vAlign w:val="center"/>
                </w:tcPr>
                <w:p w14:paraId="3BEB45BD">
                  <w:pPr>
                    <w:adjustRightInd/>
                    <w:ind w:firstLine="0" w:firstLineChars="0"/>
                    <w:jc w:val="center"/>
                    <w:rPr>
                      <w:rFonts w:hint="default" w:ascii="Times New Roman" w:hAnsi="Times New Roman" w:eastAsia="宋体" w:cs="Times New Roman"/>
                      <w:color w:val="auto"/>
                      <w:sz w:val="21"/>
                      <w:szCs w:val="21"/>
                    </w:rPr>
                  </w:pPr>
                </w:p>
              </w:tc>
              <w:tc>
                <w:tcPr>
                  <w:tcW w:w="735" w:type="dxa"/>
                  <w:vMerge w:val="continue"/>
                  <w:noWrap w:val="0"/>
                  <w:vAlign w:val="center"/>
                </w:tcPr>
                <w:p w14:paraId="4EF29770">
                  <w:pPr>
                    <w:adjustRightInd/>
                    <w:ind w:firstLine="0" w:firstLineChars="0"/>
                    <w:jc w:val="center"/>
                    <w:rPr>
                      <w:rFonts w:hint="default" w:ascii="Times New Roman" w:hAnsi="Times New Roman" w:eastAsia="宋体" w:cs="Times New Roman"/>
                      <w:color w:val="auto"/>
                      <w:sz w:val="21"/>
                      <w:szCs w:val="21"/>
                    </w:rPr>
                  </w:pPr>
                </w:p>
              </w:tc>
              <w:tc>
                <w:tcPr>
                  <w:tcW w:w="834" w:type="dxa"/>
                  <w:vMerge w:val="continue"/>
                  <w:noWrap w:val="0"/>
                  <w:vAlign w:val="center"/>
                </w:tcPr>
                <w:p w14:paraId="1EF12A44">
                  <w:pPr>
                    <w:adjustRightInd/>
                    <w:ind w:firstLine="0" w:firstLineChars="0"/>
                    <w:jc w:val="center"/>
                    <w:rPr>
                      <w:rFonts w:hint="default" w:ascii="Times New Roman" w:hAnsi="Times New Roman" w:eastAsia="宋体" w:cs="Times New Roman"/>
                      <w:color w:val="auto"/>
                      <w:sz w:val="21"/>
                      <w:szCs w:val="21"/>
                    </w:rPr>
                  </w:pPr>
                </w:p>
              </w:tc>
              <w:tc>
                <w:tcPr>
                  <w:tcW w:w="1068" w:type="dxa"/>
                  <w:vMerge w:val="continue"/>
                  <w:noWrap w:val="0"/>
                  <w:vAlign w:val="center"/>
                </w:tcPr>
                <w:p w14:paraId="61919BDD">
                  <w:pPr>
                    <w:adjustRightInd/>
                    <w:ind w:firstLine="0" w:firstLineChars="0"/>
                    <w:jc w:val="center"/>
                    <w:rPr>
                      <w:rFonts w:hint="default" w:ascii="Times New Roman" w:hAnsi="Times New Roman" w:eastAsia="宋体" w:cs="Times New Roman"/>
                      <w:color w:val="auto"/>
                      <w:sz w:val="21"/>
                      <w:szCs w:val="21"/>
                    </w:rPr>
                  </w:pPr>
                </w:p>
              </w:tc>
              <w:tc>
                <w:tcPr>
                  <w:tcW w:w="671" w:type="dxa"/>
                  <w:tcBorders>
                    <w:top w:val="single" w:color="auto" w:sz="4" w:space="0"/>
                    <w:right w:val="single" w:color="auto" w:sz="4" w:space="0"/>
                  </w:tcBorders>
                  <w:noWrap w:val="0"/>
                  <w:vAlign w:val="center"/>
                </w:tcPr>
                <w:p w14:paraId="2027B3E7">
                  <w:pPr>
                    <w:adjustRightInd/>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663" w:type="dxa"/>
                  <w:gridSpan w:val="2"/>
                  <w:tcBorders>
                    <w:top w:val="single" w:color="auto" w:sz="4" w:space="0"/>
                    <w:left w:val="single" w:color="auto" w:sz="4" w:space="0"/>
                  </w:tcBorders>
                  <w:noWrap w:val="0"/>
                  <w:vAlign w:val="center"/>
                </w:tcPr>
                <w:p w14:paraId="7ADA696A">
                  <w:pPr>
                    <w:adjustRightInd/>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678" w:type="dxa"/>
                  <w:vMerge w:val="continue"/>
                  <w:noWrap w:val="0"/>
                  <w:vAlign w:val="center"/>
                </w:tcPr>
                <w:p w14:paraId="50436048">
                  <w:pPr>
                    <w:adjustRightInd/>
                    <w:ind w:firstLine="0" w:firstLineChars="0"/>
                    <w:jc w:val="center"/>
                    <w:rPr>
                      <w:rFonts w:hint="default" w:ascii="Times New Roman" w:hAnsi="Times New Roman" w:eastAsia="宋体" w:cs="Times New Roman"/>
                      <w:color w:val="auto"/>
                      <w:sz w:val="21"/>
                      <w:szCs w:val="21"/>
                    </w:rPr>
                  </w:pPr>
                </w:p>
              </w:tc>
              <w:tc>
                <w:tcPr>
                  <w:tcW w:w="674" w:type="dxa"/>
                  <w:noWrap w:val="0"/>
                  <w:vAlign w:val="center"/>
                </w:tcPr>
                <w:p w14:paraId="0BF10809">
                  <w:pPr>
                    <w:adjustRightIn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857" w:type="dxa"/>
                  <w:noWrap w:val="0"/>
                  <w:vAlign w:val="center"/>
                </w:tcPr>
                <w:p w14:paraId="79968E51">
                  <w:pPr>
                    <w:adjustRightIn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1531" w:type="dxa"/>
                  <w:vMerge w:val="continue"/>
                  <w:noWrap w:val="0"/>
                  <w:vAlign w:val="center"/>
                </w:tcPr>
                <w:p w14:paraId="4DF0135B">
                  <w:pPr>
                    <w:adjustRightInd/>
                    <w:ind w:firstLine="0" w:firstLineChars="0"/>
                    <w:jc w:val="center"/>
                    <w:rPr>
                      <w:rFonts w:hint="default" w:ascii="Times New Roman" w:hAnsi="Times New Roman" w:eastAsia="宋体" w:cs="Times New Roman"/>
                      <w:b/>
                      <w:bCs/>
                      <w:color w:val="auto"/>
                      <w:sz w:val="21"/>
                      <w:szCs w:val="21"/>
                    </w:rPr>
                  </w:pPr>
                </w:p>
              </w:tc>
            </w:tr>
            <w:tr w14:paraId="136E9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1" w:type="dxa"/>
                  <w:vMerge w:val="restart"/>
                  <w:tcBorders>
                    <w:right w:val="single" w:color="auto" w:sz="4" w:space="0"/>
                  </w:tcBorders>
                  <w:noWrap w:val="0"/>
                  <w:vAlign w:val="center"/>
                </w:tcPr>
                <w:p w14:paraId="739378D3">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生活用水</w:t>
                  </w:r>
                </w:p>
              </w:tc>
              <w:tc>
                <w:tcPr>
                  <w:tcW w:w="914" w:type="dxa"/>
                  <w:tcBorders>
                    <w:left w:val="single" w:color="auto" w:sz="4" w:space="0"/>
                  </w:tcBorders>
                  <w:noWrap w:val="0"/>
                  <w:vAlign w:val="center"/>
                </w:tcPr>
                <w:p w14:paraId="56991F57">
                  <w:pPr>
                    <w:adjustRightInd/>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职工日常用水</w:t>
                  </w:r>
                </w:p>
              </w:tc>
              <w:tc>
                <w:tcPr>
                  <w:tcW w:w="735" w:type="dxa"/>
                  <w:noWrap w:val="0"/>
                  <w:vAlign w:val="center"/>
                </w:tcPr>
                <w:p w14:paraId="78B4E90F">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10人</w:t>
                  </w:r>
                </w:p>
              </w:tc>
              <w:tc>
                <w:tcPr>
                  <w:tcW w:w="834" w:type="dxa"/>
                  <w:tcBorders>
                    <w:top w:val="single" w:color="auto" w:sz="4" w:space="0"/>
                    <w:bottom w:val="single" w:color="auto" w:sz="4" w:space="0"/>
                  </w:tcBorders>
                  <w:noWrap w:val="0"/>
                  <w:vAlign w:val="center"/>
                </w:tcPr>
                <w:p w14:paraId="7A5AE1A9">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L/人·d</w:t>
                  </w:r>
                </w:p>
              </w:tc>
              <w:tc>
                <w:tcPr>
                  <w:tcW w:w="1068" w:type="dxa"/>
                  <w:tcBorders>
                    <w:top w:val="single" w:color="auto" w:sz="4" w:space="0"/>
                  </w:tcBorders>
                  <w:noWrap w:val="0"/>
                  <w:vAlign w:val="center"/>
                </w:tcPr>
                <w:p w14:paraId="40F1048D">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671" w:type="dxa"/>
                  <w:tcBorders>
                    <w:top w:val="single" w:color="auto" w:sz="4" w:space="0"/>
                    <w:bottom w:val="single" w:color="auto" w:sz="4" w:space="0"/>
                    <w:right w:val="single" w:color="auto" w:sz="4" w:space="0"/>
                  </w:tcBorders>
                  <w:noWrap w:val="0"/>
                  <w:vAlign w:val="center"/>
                </w:tcPr>
                <w:p w14:paraId="31582C23">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p>
              </w:tc>
              <w:tc>
                <w:tcPr>
                  <w:tcW w:w="663" w:type="dxa"/>
                  <w:gridSpan w:val="2"/>
                  <w:tcBorders>
                    <w:top w:val="single" w:color="auto" w:sz="4" w:space="0"/>
                    <w:left w:val="single" w:color="auto" w:sz="4" w:space="0"/>
                    <w:bottom w:val="single" w:color="auto" w:sz="4" w:space="0"/>
                  </w:tcBorders>
                  <w:noWrap w:val="0"/>
                  <w:vAlign w:val="center"/>
                </w:tcPr>
                <w:p w14:paraId="489590CC">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w:t>
                  </w:r>
                </w:p>
              </w:tc>
              <w:tc>
                <w:tcPr>
                  <w:tcW w:w="678" w:type="dxa"/>
                  <w:tcBorders>
                    <w:top w:val="single" w:color="auto" w:sz="4" w:space="0"/>
                  </w:tcBorders>
                  <w:noWrap w:val="0"/>
                  <w:vAlign w:val="center"/>
                </w:tcPr>
                <w:p w14:paraId="38D172F5">
                  <w:pPr>
                    <w:adjustRightIn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0.8</w:t>
                  </w:r>
                </w:p>
              </w:tc>
              <w:tc>
                <w:tcPr>
                  <w:tcW w:w="674" w:type="dxa"/>
                  <w:tcBorders>
                    <w:top w:val="single" w:color="auto" w:sz="4" w:space="0"/>
                    <w:bottom w:val="single" w:color="auto" w:sz="4" w:space="0"/>
                  </w:tcBorders>
                  <w:noWrap w:val="0"/>
                  <w:vAlign w:val="center"/>
                </w:tcPr>
                <w:p w14:paraId="12E6ECC7">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w:t>
                  </w:r>
                </w:p>
              </w:tc>
              <w:tc>
                <w:tcPr>
                  <w:tcW w:w="857" w:type="dxa"/>
                  <w:tcBorders>
                    <w:top w:val="single" w:color="auto" w:sz="4" w:space="0"/>
                    <w:bottom w:val="single" w:color="auto" w:sz="4" w:space="0"/>
                  </w:tcBorders>
                  <w:noWrap w:val="0"/>
                  <w:vAlign w:val="center"/>
                </w:tcPr>
                <w:p w14:paraId="2A2DDF9C">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128.0</w:t>
                  </w:r>
                </w:p>
              </w:tc>
              <w:tc>
                <w:tcPr>
                  <w:tcW w:w="1531" w:type="dxa"/>
                  <w:vMerge w:val="restart"/>
                  <w:tcBorders>
                    <w:top w:val="single" w:color="auto" w:sz="4" w:space="0"/>
                  </w:tcBorders>
                  <w:noWrap w:val="0"/>
                  <w:vAlign w:val="center"/>
                </w:tcPr>
                <w:p w14:paraId="016102DB">
                  <w:pPr>
                    <w:adjustRightInd/>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hAnsi="宋体"/>
                      <w:color w:val="auto"/>
                      <w:sz w:val="21"/>
                      <w:szCs w:val="21"/>
                    </w:rPr>
                    <w:t>食堂废水</w:t>
                  </w:r>
                  <w:r>
                    <w:rPr>
                      <w:rFonts w:hint="eastAsia" w:hAnsi="宋体"/>
                      <w:color w:val="auto"/>
                      <w:sz w:val="21"/>
                      <w:szCs w:val="21"/>
                      <w:lang w:val="en-US" w:eastAsia="zh-CN"/>
                    </w:rPr>
                    <w:t>隔油池</w:t>
                  </w:r>
                  <w:r>
                    <w:rPr>
                      <w:rFonts w:hint="eastAsia" w:hAnsi="宋体"/>
                      <w:color w:val="auto"/>
                      <w:sz w:val="21"/>
                      <w:szCs w:val="21"/>
                    </w:rPr>
                    <w:t>预处理后同其它生活污水一起排入</w:t>
                  </w:r>
                  <w:r>
                    <w:rPr>
                      <w:rFonts w:hint="eastAsia" w:hAnsi="宋体"/>
                      <w:color w:val="auto"/>
                      <w:sz w:val="21"/>
                      <w:szCs w:val="21"/>
                      <w:lang w:val="en-US" w:eastAsia="zh-CN"/>
                    </w:rPr>
                    <w:t>化粪池，定期由附近农民清掏</w:t>
                  </w:r>
                  <w:r>
                    <w:rPr>
                      <w:rFonts w:hint="eastAsia" w:ascii="宋体" w:hAnsi="宋体" w:eastAsia="宋体" w:cs="宋体"/>
                      <w:color w:val="auto"/>
                      <w:sz w:val="21"/>
                      <w:szCs w:val="21"/>
                      <w:lang w:val="en-US" w:eastAsia="zh-CN"/>
                    </w:rPr>
                    <w:t>做农家肥，不外排</w:t>
                  </w:r>
                </w:p>
              </w:tc>
            </w:tr>
            <w:tr w14:paraId="658DC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391" w:type="dxa"/>
                  <w:vMerge w:val="continue"/>
                  <w:tcBorders>
                    <w:right w:val="single" w:color="auto" w:sz="4" w:space="0"/>
                  </w:tcBorders>
                  <w:noWrap w:val="0"/>
                  <w:vAlign w:val="center"/>
                </w:tcPr>
                <w:p w14:paraId="4CBA9251">
                  <w:pPr>
                    <w:adjustRightInd/>
                    <w:ind w:firstLine="0" w:firstLineChars="0"/>
                    <w:jc w:val="center"/>
                    <w:rPr>
                      <w:rFonts w:hint="default" w:ascii="Times New Roman" w:hAnsi="Times New Roman" w:eastAsia="宋体" w:cs="Times New Roman"/>
                      <w:color w:val="auto"/>
                      <w:sz w:val="21"/>
                      <w:szCs w:val="21"/>
                      <w:highlight w:val="none"/>
                      <w:lang w:val="en-US" w:eastAsia="zh-CN"/>
                    </w:rPr>
                  </w:pPr>
                </w:p>
              </w:tc>
              <w:tc>
                <w:tcPr>
                  <w:tcW w:w="914" w:type="dxa"/>
                  <w:tcBorders>
                    <w:left w:val="single" w:color="auto" w:sz="4" w:space="0"/>
                  </w:tcBorders>
                  <w:noWrap w:val="0"/>
                  <w:vAlign w:val="center"/>
                </w:tcPr>
                <w:p w14:paraId="57436474">
                  <w:pPr>
                    <w:adjustRightInd/>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食堂用水</w:t>
                  </w:r>
                </w:p>
              </w:tc>
              <w:tc>
                <w:tcPr>
                  <w:tcW w:w="735" w:type="dxa"/>
                  <w:noWrap w:val="0"/>
                  <w:vAlign w:val="center"/>
                </w:tcPr>
                <w:p w14:paraId="2551F2C7">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10人</w:t>
                  </w:r>
                </w:p>
              </w:tc>
              <w:tc>
                <w:tcPr>
                  <w:tcW w:w="834" w:type="dxa"/>
                  <w:tcBorders>
                    <w:top w:val="single" w:color="auto" w:sz="4" w:space="0"/>
                    <w:bottom w:val="single" w:color="auto" w:sz="4" w:space="0"/>
                  </w:tcBorders>
                  <w:noWrap w:val="0"/>
                  <w:vAlign w:val="center"/>
                </w:tcPr>
                <w:p w14:paraId="384B951B">
                  <w:pPr>
                    <w:adjustRightInd/>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L/人·d</w:t>
                  </w:r>
                </w:p>
              </w:tc>
              <w:tc>
                <w:tcPr>
                  <w:tcW w:w="1068" w:type="dxa"/>
                  <w:tcBorders>
                    <w:top w:val="single" w:color="auto" w:sz="4" w:space="0"/>
                  </w:tcBorders>
                  <w:noWrap w:val="0"/>
                  <w:vAlign w:val="center"/>
                </w:tcPr>
                <w:p w14:paraId="68E314A6">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671" w:type="dxa"/>
                  <w:tcBorders>
                    <w:top w:val="single" w:color="auto" w:sz="4" w:space="0"/>
                    <w:bottom w:val="single" w:color="auto" w:sz="4" w:space="0"/>
                    <w:right w:val="single" w:color="auto" w:sz="4" w:space="0"/>
                  </w:tcBorders>
                  <w:noWrap w:val="0"/>
                  <w:vAlign w:val="center"/>
                </w:tcPr>
                <w:p w14:paraId="226C1DDA">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c>
                <w:tcPr>
                  <w:tcW w:w="663" w:type="dxa"/>
                  <w:gridSpan w:val="2"/>
                  <w:tcBorders>
                    <w:top w:val="single" w:color="auto" w:sz="4" w:space="0"/>
                    <w:left w:val="single" w:color="auto" w:sz="4" w:space="0"/>
                    <w:bottom w:val="single" w:color="auto" w:sz="4" w:space="0"/>
                  </w:tcBorders>
                  <w:noWrap w:val="0"/>
                  <w:vAlign w:val="center"/>
                </w:tcPr>
                <w:p w14:paraId="26E3DCE4">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678" w:type="dxa"/>
                  <w:tcBorders>
                    <w:top w:val="single" w:color="auto" w:sz="4" w:space="0"/>
                    <w:right w:val="single" w:color="auto" w:sz="4" w:space="0"/>
                  </w:tcBorders>
                  <w:noWrap w:val="0"/>
                  <w:vAlign w:val="center"/>
                </w:tcPr>
                <w:p w14:paraId="3D05937C">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p>
              </w:tc>
              <w:tc>
                <w:tcPr>
                  <w:tcW w:w="674" w:type="dxa"/>
                  <w:tcBorders>
                    <w:top w:val="single" w:color="auto" w:sz="4" w:space="0"/>
                    <w:left w:val="single" w:color="auto" w:sz="4" w:space="0"/>
                    <w:bottom w:val="single" w:color="auto" w:sz="4" w:space="0"/>
                    <w:right w:val="single" w:color="auto" w:sz="4" w:space="0"/>
                  </w:tcBorders>
                  <w:noWrap w:val="0"/>
                  <w:vAlign w:val="center"/>
                </w:tcPr>
                <w:p w14:paraId="04C5C3D5">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0.32</w:t>
                  </w:r>
                </w:p>
              </w:tc>
              <w:tc>
                <w:tcPr>
                  <w:tcW w:w="857" w:type="dxa"/>
                  <w:tcBorders>
                    <w:top w:val="single" w:color="auto" w:sz="4" w:space="0"/>
                    <w:left w:val="single" w:color="auto" w:sz="4" w:space="0"/>
                    <w:bottom w:val="single" w:color="auto" w:sz="4" w:space="0"/>
                  </w:tcBorders>
                  <w:noWrap w:val="0"/>
                  <w:vAlign w:val="center"/>
                </w:tcPr>
                <w:p w14:paraId="49182C02">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64.0</w:t>
                  </w:r>
                </w:p>
              </w:tc>
              <w:tc>
                <w:tcPr>
                  <w:tcW w:w="1531" w:type="dxa"/>
                  <w:vMerge w:val="continue"/>
                  <w:tcBorders>
                    <w:bottom w:val="single" w:color="auto" w:sz="4" w:space="0"/>
                  </w:tcBorders>
                  <w:noWrap w:val="0"/>
                  <w:vAlign w:val="center"/>
                </w:tcPr>
                <w:p w14:paraId="6829CE7A">
                  <w:pPr>
                    <w:adjustRightInd/>
                    <w:ind w:firstLine="0" w:firstLineChars="0"/>
                    <w:jc w:val="center"/>
                    <w:rPr>
                      <w:rFonts w:hint="eastAsia" w:ascii="Times New Roman" w:hAnsi="Times New Roman" w:eastAsia="宋体" w:cs="Times New Roman"/>
                      <w:color w:val="auto"/>
                      <w:sz w:val="21"/>
                      <w:szCs w:val="21"/>
                      <w:highlight w:val="none"/>
                      <w:lang w:val="en-US" w:eastAsia="zh-CN"/>
                    </w:rPr>
                  </w:pPr>
                </w:p>
              </w:tc>
            </w:tr>
            <w:tr w14:paraId="3BEBE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391" w:type="dxa"/>
                  <w:vMerge w:val="restart"/>
                  <w:tcBorders>
                    <w:right w:val="single" w:color="auto" w:sz="4" w:space="0"/>
                  </w:tcBorders>
                  <w:noWrap w:val="0"/>
                  <w:vAlign w:val="center"/>
                </w:tcPr>
                <w:p w14:paraId="049A2BC4">
                  <w:pPr>
                    <w:adjustRightInd/>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生产用水</w:t>
                  </w:r>
                </w:p>
              </w:tc>
              <w:tc>
                <w:tcPr>
                  <w:tcW w:w="914" w:type="dxa"/>
                  <w:tcBorders>
                    <w:left w:val="single" w:color="auto" w:sz="4" w:space="0"/>
                  </w:tcBorders>
                  <w:noWrap w:val="0"/>
                  <w:vAlign w:val="center"/>
                </w:tcPr>
                <w:p w14:paraId="4D892353">
                  <w:pPr>
                    <w:pStyle w:val="1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清洗用水</w:t>
                  </w:r>
                </w:p>
              </w:tc>
              <w:tc>
                <w:tcPr>
                  <w:tcW w:w="735" w:type="dxa"/>
                  <w:tcBorders>
                    <w:bottom w:val="single" w:color="auto" w:sz="4" w:space="0"/>
                  </w:tcBorders>
                  <w:noWrap w:val="0"/>
                  <w:vAlign w:val="center"/>
                </w:tcPr>
                <w:p w14:paraId="0DFA374B">
                  <w:pPr>
                    <w:pStyle w:val="1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1700t/a</w:t>
                  </w:r>
                </w:p>
              </w:tc>
              <w:tc>
                <w:tcPr>
                  <w:tcW w:w="834" w:type="dxa"/>
                  <w:tcBorders>
                    <w:top w:val="single" w:color="auto" w:sz="4" w:space="0"/>
                    <w:bottom w:val="single" w:color="auto" w:sz="4" w:space="0"/>
                  </w:tcBorders>
                  <w:noWrap w:val="0"/>
                  <w:vAlign w:val="center"/>
                </w:tcPr>
                <w:p w14:paraId="132DF443">
                  <w:pPr>
                    <w:pStyle w:val="1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t/t-产品</w:t>
                  </w:r>
                </w:p>
              </w:tc>
              <w:tc>
                <w:tcPr>
                  <w:tcW w:w="1068" w:type="dxa"/>
                  <w:tcBorders>
                    <w:top w:val="single" w:color="auto" w:sz="4" w:space="0"/>
                    <w:bottom w:val="single" w:color="auto" w:sz="4" w:space="0"/>
                  </w:tcBorders>
                  <w:noWrap w:val="0"/>
                  <w:vAlign w:val="center"/>
                </w:tcPr>
                <w:p w14:paraId="313B23EA">
                  <w:pPr>
                    <w:pStyle w:val="1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200</w:t>
                  </w:r>
                </w:p>
              </w:tc>
              <w:tc>
                <w:tcPr>
                  <w:tcW w:w="671" w:type="dxa"/>
                  <w:tcBorders>
                    <w:top w:val="single" w:color="auto" w:sz="4" w:space="0"/>
                    <w:bottom w:val="single" w:color="auto" w:sz="4" w:space="0"/>
                    <w:right w:val="single" w:color="auto" w:sz="4" w:space="0"/>
                  </w:tcBorders>
                  <w:noWrap w:val="0"/>
                  <w:vAlign w:val="center"/>
                </w:tcPr>
                <w:p w14:paraId="5945DCBA">
                  <w:pPr>
                    <w:adjustRightIn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8.5</w:t>
                  </w:r>
                </w:p>
              </w:tc>
              <w:tc>
                <w:tcPr>
                  <w:tcW w:w="663" w:type="dxa"/>
                  <w:gridSpan w:val="2"/>
                  <w:tcBorders>
                    <w:top w:val="single" w:color="auto" w:sz="4" w:space="0"/>
                    <w:left w:val="single" w:color="auto" w:sz="4" w:space="0"/>
                    <w:bottom w:val="single" w:color="auto" w:sz="4" w:space="0"/>
                  </w:tcBorders>
                  <w:noWrap w:val="0"/>
                  <w:vAlign w:val="center"/>
                </w:tcPr>
                <w:p w14:paraId="740EEA91">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SA"/>
                    </w:rPr>
                    <w:t>1700</w:t>
                  </w:r>
                </w:p>
              </w:tc>
              <w:tc>
                <w:tcPr>
                  <w:tcW w:w="678" w:type="dxa"/>
                  <w:tcBorders>
                    <w:top w:val="single" w:color="auto" w:sz="4" w:space="0"/>
                    <w:bottom w:val="single" w:color="auto" w:sz="4" w:space="0"/>
                    <w:right w:val="single" w:color="auto" w:sz="4" w:space="0"/>
                  </w:tcBorders>
                  <w:noWrap w:val="0"/>
                  <w:vAlign w:val="center"/>
                </w:tcPr>
                <w:p w14:paraId="6A7A2EE5">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0.9</w:t>
                  </w:r>
                </w:p>
              </w:tc>
              <w:tc>
                <w:tcPr>
                  <w:tcW w:w="674" w:type="dxa"/>
                  <w:tcBorders>
                    <w:top w:val="single" w:color="auto" w:sz="4" w:space="0"/>
                    <w:left w:val="single" w:color="auto" w:sz="4" w:space="0"/>
                    <w:bottom w:val="single" w:color="auto" w:sz="4" w:space="0"/>
                    <w:right w:val="single" w:color="auto" w:sz="4" w:space="0"/>
                  </w:tcBorders>
                  <w:noWrap w:val="0"/>
                  <w:vAlign w:val="center"/>
                </w:tcPr>
                <w:p w14:paraId="472B0C94">
                  <w:pPr>
                    <w:adjustRightInd/>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7.65</w:t>
                  </w:r>
                </w:p>
              </w:tc>
              <w:tc>
                <w:tcPr>
                  <w:tcW w:w="857" w:type="dxa"/>
                  <w:tcBorders>
                    <w:top w:val="single" w:color="auto" w:sz="4" w:space="0"/>
                    <w:left w:val="single" w:color="auto" w:sz="4" w:space="0"/>
                    <w:bottom w:val="single" w:color="auto" w:sz="4" w:space="0"/>
                  </w:tcBorders>
                  <w:noWrap w:val="0"/>
                  <w:vAlign w:val="center"/>
                </w:tcPr>
                <w:p w14:paraId="357EA226">
                  <w:pPr>
                    <w:adjustRightInd/>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1530</w:t>
                  </w:r>
                </w:p>
              </w:tc>
              <w:tc>
                <w:tcPr>
                  <w:tcW w:w="1531" w:type="dxa"/>
                  <w:tcBorders>
                    <w:top w:val="single" w:color="auto" w:sz="4" w:space="0"/>
                    <w:left w:val="single" w:color="auto" w:sz="4" w:space="0"/>
                  </w:tcBorders>
                  <w:noWrap w:val="0"/>
                  <w:vAlign w:val="center"/>
                </w:tcPr>
                <w:p w14:paraId="1B1C5A42">
                  <w:pPr>
                    <w:adjustRightInd/>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经自建污水处理站处理后</w:t>
                  </w:r>
                  <w:r>
                    <w:rPr>
                      <w:rFonts w:hint="eastAsia" w:ascii="Times New Roman" w:hAnsi="Times New Roman" w:eastAsia="宋体" w:cs="Times New Roman"/>
                      <w:color w:val="auto"/>
                      <w:sz w:val="21"/>
                      <w:szCs w:val="21"/>
                      <w:lang w:val="en-US" w:eastAsia="zh-CN"/>
                    </w:rPr>
                    <w:t>建设单位拉运至坚果地及旱地浇灌，</w:t>
                  </w:r>
                  <w:r>
                    <w:rPr>
                      <w:rFonts w:hint="eastAsia" w:ascii="Times New Roman" w:hAnsi="Times New Roman" w:eastAsia="宋体" w:cs="Times New Roman"/>
                      <w:color w:val="auto"/>
                      <w:sz w:val="21"/>
                      <w:szCs w:val="21"/>
                      <w:highlight w:val="none"/>
                      <w:lang w:val="en-US" w:eastAsia="zh-CN"/>
                    </w:rPr>
                    <w:t>不外排</w:t>
                  </w:r>
                </w:p>
              </w:tc>
            </w:tr>
            <w:tr w14:paraId="4A59D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391" w:type="dxa"/>
                  <w:vMerge w:val="continue"/>
                  <w:tcBorders>
                    <w:right w:val="single" w:color="auto" w:sz="4" w:space="0"/>
                  </w:tcBorders>
                  <w:noWrap w:val="0"/>
                  <w:vAlign w:val="center"/>
                </w:tcPr>
                <w:p w14:paraId="6BEC0AEC">
                  <w:pPr>
                    <w:adjustRightInd/>
                    <w:ind w:firstLine="0" w:firstLineChars="0"/>
                    <w:jc w:val="center"/>
                    <w:rPr>
                      <w:rFonts w:hint="eastAsia" w:ascii="Times New Roman" w:hAnsi="Times New Roman" w:eastAsia="宋体" w:cs="Times New Roman"/>
                      <w:color w:val="auto"/>
                      <w:sz w:val="21"/>
                      <w:szCs w:val="21"/>
                      <w:highlight w:val="none"/>
                      <w:lang w:val="en-US" w:eastAsia="zh-CN"/>
                    </w:rPr>
                  </w:pPr>
                </w:p>
              </w:tc>
              <w:tc>
                <w:tcPr>
                  <w:tcW w:w="914" w:type="dxa"/>
                  <w:tcBorders>
                    <w:left w:val="single" w:color="auto" w:sz="4" w:space="0"/>
                  </w:tcBorders>
                  <w:noWrap w:val="0"/>
                  <w:vAlign w:val="center"/>
                </w:tcPr>
                <w:p w14:paraId="50EB3906">
                  <w:pPr>
                    <w:pStyle w:val="16"/>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冷却系统补水</w:t>
                  </w:r>
                </w:p>
              </w:tc>
              <w:tc>
                <w:tcPr>
                  <w:tcW w:w="735" w:type="dxa"/>
                  <w:tcBorders>
                    <w:top w:val="single" w:color="auto" w:sz="4" w:space="0"/>
                  </w:tcBorders>
                  <w:noWrap w:val="0"/>
                  <w:vAlign w:val="center"/>
                </w:tcPr>
                <w:p w14:paraId="64E41766">
                  <w:pPr>
                    <w:pStyle w:val="1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w:t>
                  </w:r>
                </w:p>
              </w:tc>
              <w:tc>
                <w:tcPr>
                  <w:tcW w:w="834" w:type="dxa"/>
                  <w:tcBorders>
                    <w:top w:val="single" w:color="auto" w:sz="4" w:space="0"/>
                    <w:bottom w:val="single" w:color="auto" w:sz="4" w:space="0"/>
                  </w:tcBorders>
                  <w:noWrap w:val="0"/>
                  <w:vAlign w:val="center"/>
                </w:tcPr>
                <w:p w14:paraId="364AD6AA">
                  <w:pPr>
                    <w:adjustRightInd/>
                    <w:ind w:firstLine="0" w:firstLineChars="0"/>
                    <w:jc w:val="center"/>
                    <w:rPr>
                      <w:rFonts w:hint="eastAsia"/>
                      <w:color w:val="auto"/>
                      <w:lang w:val="en-US" w:eastAsia="zh-CN"/>
                    </w:rPr>
                  </w:pPr>
                  <w:r>
                    <w:rPr>
                      <w:rFonts w:hint="eastAsia"/>
                      <w:color w:val="auto"/>
                      <w:lang w:val="en-US" w:eastAsia="zh-CN"/>
                    </w:rPr>
                    <w:t>0.2m</w:t>
                  </w:r>
                </w:p>
                <w:p w14:paraId="288ECA44">
                  <w:pPr>
                    <w:pStyle w:val="16"/>
                    <w:jc w:val="center"/>
                    <w:rPr>
                      <w:rFonts w:hint="default"/>
                      <w:color w:val="auto"/>
                      <w:lang w:val="en-US" w:eastAsia="zh-CN"/>
                    </w:rPr>
                  </w:pP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w:t>
                  </w:r>
                </w:p>
              </w:tc>
              <w:tc>
                <w:tcPr>
                  <w:tcW w:w="1068" w:type="dxa"/>
                  <w:tcBorders>
                    <w:top w:val="single" w:color="auto" w:sz="4" w:space="0"/>
                    <w:bottom w:val="single" w:color="auto" w:sz="4" w:space="0"/>
                  </w:tcBorders>
                  <w:noWrap w:val="0"/>
                  <w:vAlign w:val="center"/>
                </w:tcPr>
                <w:p w14:paraId="7E415F60">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678" w:type="dxa"/>
                  <w:gridSpan w:val="2"/>
                  <w:tcBorders>
                    <w:top w:val="single" w:color="auto" w:sz="4" w:space="0"/>
                    <w:bottom w:val="single" w:color="auto" w:sz="4" w:space="0"/>
                    <w:right w:val="single" w:color="auto" w:sz="4" w:space="0"/>
                  </w:tcBorders>
                  <w:noWrap w:val="0"/>
                  <w:vAlign w:val="center"/>
                </w:tcPr>
                <w:p w14:paraId="612C7C1D">
                  <w:pPr>
                    <w:adjustRightInd/>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0.2</w:t>
                  </w:r>
                </w:p>
              </w:tc>
              <w:tc>
                <w:tcPr>
                  <w:tcW w:w="656" w:type="dxa"/>
                  <w:tcBorders>
                    <w:top w:val="single" w:color="auto" w:sz="4" w:space="0"/>
                    <w:left w:val="single" w:color="auto" w:sz="4" w:space="0"/>
                    <w:bottom w:val="single" w:color="auto" w:sz="4" w:space="0"/>
                  </w:tcBorders>
                  <w:noWrap w:val="0"/>
                  <w:vAlign w:val="center"/>
                </w:tcPr>
                <w:p w14:paraId="31D7C3D1">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678" w:type="dxa"/>
                  <w:tcBorders>
                    <w:top w:val="single" w:color="auto" w:sz="4" w:space="0"/>
                    <w:bottom w:val="single" w:color="auto" w:sz="4" w:space="0"/>
                    <w:right w:val="single" w:color="auto" w:sz="4" w:space="0"/>
                  </w:tcBorders>
                  <w:noWrap w:val="0"/>
                  <w:vAlign w:val="center"/>
                </w:tcPr>
                <w:p w14:paraId="178996E3">
                  <w:pPr>
                    <w:adjustRightInd/>
                    <w:ind w:firstLine="0" w:firstLineChars="0"/>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674" w:type="dxa"/>
                  <w:tcBorders>
                    <w:top w:val="single" w:color="auto" w:sz="4" w:space="0"/>
                    <w:left w:val="single" w:color="auto" w:sz="4" w:space="0"/>
                    <w:bottom w:val="single" w:color="auto" w:sz="4" w:space="0"/>
                    <w:right w:val="single" w:color="auto" w:sz="4" w:space="0"/>
                  </w:tcBorders>
                  <w:noWrap w:val="0"/>
                  <w:vAlign w:val="center"/>
                </w:tcPr>
                <w:p w14:paraId="5C28AA1D">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57" w:type="dxa"/>
                  <w:tcBorders>
                    <w:top w:val="single" w:color="auto" w:sz="4" w:space="0"/>
                    <w:left w:val="single" w:color="auto" w:sz="4" w:space="0"/>
                    <w:bottom w:val="single" w:color="auto" w:sz="4" w:space="0"/>
                  </w:tcBorders>
                  <w:noWrap w:val="0"/>
                  <w:vAlign w:val="center"/>
                </w:tcPr>
                <w:p w14:paraId="3F9D800B">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531" w:type="dxa"/>
                  <w:tcBorders>
                    <w:top w:val="single" w:color="auto" w:sz="4" w:space="0"/>
                    <w:left w:val="single" w:color="auto" w:sz="4" w:space="0"/>
                    <w:bottom w:val="single" w:color="auto" w:sz="4" w:space="0"/>
                  </w:tcBorders>
                  <w:noWrap w:val="0"/>
                  <w:vAlign w:val="center"/>
                </w:tcPr>
                <w:p w14:paraId="536304CC">
                  <w:pPr>
                    <w:adjustRightInd/>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循环使用不外排</w:t>
                  </w:r>
                </w:p>
              </w:tc>
            </w:tr>
          </w:tbl>
          <w:p w14:paraId="179B75F5">
            <w:pPr>
              <w:spacing w:line="360" w:lineRule="auto"/>
              <w:ind w:firstLine="480" w:firstLineChars="200"/>
              <w:jc w:val="left"/>
              <w:rPr>
                <w:rFonts w:hint="default" w:ascii="宋体" w:hAnsi="宋体" w:eastAsia="宋体" w:cs="宋体"/>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具体</w:t>
            </w:r>
            <w:r>
              <w:rPr>
                <w:rFonts w:hint="default" w:ascii="Times New Roman" w:hAnsi="Times New Roman" w:eastAsia="宋体" w:cs="Times New Roman"/>
                <w:b w:val="0"/>
                <w:bCs w:val="0"/>
                <w:color w:val="auto"/>
                <w:kern w:val="2"/>
                <w:sz w:val="24"/>
                <w:szCs w:val="24"/>
                <w:highlight w:val="none"/>
                <w:lang w:val="en-US" w:eastAsia="zh-CN" w:bidi="ar-SA"/>
              </w:rPr>
              <w:t>废水产生情况</w:t>
            </w:r>
            <w:r>
              <w:rPr>
                <w:rFonts w:hint="eastAsia" w:ascii="Times New Roman" w:hAnsi="Times New Roman" w:eastAsia="宋体" w:cs="Times New Roman"/>
                <w:b w:val="0"/>
                <w:bCs w:val="0"/>
                <w:color w:val="auto"/>
                <w:kern w:val="2"/>
                <w:sz w:val="24"/>
                <w:szCs w:val="24"/>
                <w:highlight w:val="none"/>
                <w:lang w:val="en-US" w:eastAsia="zh-CN" w:bidi="ar-SA"/>
              </w:rPr>
              <w:t>如下：</w:t>
            </w:r>
          </w:p>
          <w:p w14:paraId="1DCEF954">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rPr>
            </w:pPr>
            <w:r>
              <w:rPr>
                <w:rFonts w:hint="eastAsia" w:ascii="宋体" w:hAnsi="宋体" w:eastAsia="宋体" w:cs="宋体"/>
                <w:color w:val="auto"/>
                <w:sz w:val="24"/>
                <w:szCs w:val="24"/>
                <w:lang w:val="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rPr>
              <w:t>）</w:t>
            </w:r>
            <w:r>
              <w:rPr>
                <w:rFonts w:hint="default" w:ascii="Times New Roman" w:hAnsi="Times New Roman" w:eastAsia="宋体" w:cs="Times New Roman"/>
                <w:color w:val="auto"/>
                <w:sz w:val="24"/>
                <w:szCs w:val="24"/>
              </w:rPr>
              <w:t>生活污水</w:t>
            </w:r>
          </w:p>
          <w:p w14:paraId="50F02DE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①食堂废水</w:t>
            </w:r>
          </w:p>
          <w:p w14:paraId="1A88ED73">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项目劳动定员10人，全部在厂区内食宿，</w:t>
            </w:r>
            <w:r>
              <w:rPr>
                <w:rFonts w:hint="default" w:ascii="Times New Roman" w:hAnsi="Times New Roman" w:eastAsia="宋体" w:cs="Times New Roman"/>
                <w:color w:val="auto"/>
                <w:sz w:val="24"/>
                <w:szCs w:val="24"/>
              </w:rPr>
              <w:t>根据《云南省地方用水定额标准》（</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B53/T168-201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），水量以40L/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d·人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计，</w:t>
            </w:r>
            <w:r>
              <w:rPr>
                <w:rFonts w:hint="default" w:ascii="Times New Roman" w:hAnsi="Times New Roman" w:eastAsia="宋体" w:cs="Times New Roman"/>
                <w:color w:val="auto"/>
                <w:sz w:val="24"/>
                <w:szCs w:val="24"/>
                <w:lang w:val="en-US" w:eastAsia="zh-CN"/>
              </w:rPr>
              <w:t>排污系数0.8计算。水量</w:t>
            </w:r>
            <w:r>
              <w:rPr>
                <w:rFonts w:hint="default" w:ascii="Times New Roman" w:hAnsi="Times New Roman" w:eastAsia="宋体" w:cs="Times New Roman"/>
                <w:color w:val="auto"/>
                <w:sz w:val="24"/>
                <w:szCs w:val="24"/>
              </w:rPr>
              <w:t>约为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食堂废水产生量约为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/a。该部分废水中主要污染物为COD</w:t>
            </w:r>
            <w:r>
              <w:rPr>
                <w:rFonts w:hint="default" w:ascii="Times New Roman" w:hAnsi="Times New Roman" w:eastAsia="宋体" w:cs="Times New Roman"/>
                <w:color w:val="auto"/>
                <w:position w:val="2"/>
                <w:sz w:val="24"/>
                <w:szCs w:val="24"/>
                <w:highlight w:val="none"/>
                <w:vertAlign w:val="subscript"/>
              </w:rPr>
              <w:t>Cr</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position w:val="2"/>
                <w:sz w:val="24"/>
                <w:szCs w:val="24"/>
                <w:highlight w:val="none"/>
                <w:vertAlign w:val="baseline"/>
              </w:rPr>
              <w:t>BOD</w:t>
            </w:r>
            <w:r>
              <w:rPr>
                <w:rFonts w:hint="default" w:ascii="Times New Roman" w:hAnsi="Times New Roman" w:eastAsia="宋体" w:cs="Times New Roman"/>
                <w:color w:val="auto"/>
                <w:position w:val="2"/>
                <w:sz w:val="24"/>
                <w:szCs w:val="24"/>
                <w:highlight w:val="none"/>
                <w:vertAlign w:val="subscript"/>
              </w:rPr>
              <w:t>5</w:t>
            </w:r>
            <w:r>
              <w:rPr>
                <w:rFonts w:hint="default" w:ascii="Times New Roman" w:hAnsi="Times New Roman" w:eastAsia="宋体" w:cs="Times New Roman"/>
                <w:color w:val="auto"/>
                <w:position w:val="2"/>
                <w:sz w:val="24"/>
                <w:szCs w:val="24"/>
                <w:highlight w:val="none"/>
                <w:vertAlign w:val="baseline"/>
              </w:rPr>
              <w:t>、</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position w:val="2"/>
                <w:sz w:val="24"/>
                <w:szCs w:val="24"/>
                <w:highlight w:val="none"/>
                <w:vertAlign w:val="baseline"/>
              </w:rPr>
              <w:t>NH</w:t>
            </w:r>
            <w:r>
              <w:rPr>
                <w:rFonts w:hint="default" w:ascii="Times New Roman" w:hAnsi="Times New Roman" w:eastAsia="宋体" w:cs="Times New Roman"/>
                <w:color w:val="auto"/>
                <w:position w:val="2"/>
                <w:sz w:val="24"/>
                <w:szCs w:val="24"/>
                <w:highlight w:val="none"/>
                <w:vertAlign w:val="subscript"/>
              </w:rPr>
              <w:t>3</w:t>
            </w:r>
            <w:r>
              <w:rPr>
                <w:rFonts w:hint="default" w:ascii="Times New Roman" w:hAnsi="Times New Roman" w:eastAsia="宋体" w:cs="Times New Roman"/>
                <w:color w:val="auto"/>
                <w:position w:val="2"/>
                <w:sz w:val="24"/>
                <w:szCs w:val="24"/>
                <w:highlight w:val="none"/>
                <w:vertAlign w:val="baseline"/>
              </w:rPr>
              <w:t>-N、</w:t>
            </w:r>
            <w:r>
              <w:rPr>
                <w:rFonts w:hint="default" w:ascii="Times New Roman" w:hAnsi="Times New Roman" w:eastAsia="宋体" w:cs="Times New Roman"/>
                <w:color w:val="auto"/>
                <w:sz w:val="24"/>
                <w:szCs w:val="24"/>
              </w:rPr>
              <w:t>磷酸盐、动植物油。</w:t>
            </w:r>
          </w:p>
          <w:p w14:paraId="2209015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②生活污水</w:t>
            </w:r>
          </w:p>
          <w:p w14:paraId="28C9D2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position w:val="2"/>
                <w:sz w:val="24"/>
                <w:szCs w:val="24"/>
                <w:highlight w:val="none"/>
                <w:vertAlign w:val="baseline"/>
                <w:lang w:val="en-US" w:eastAsia="zh-CN"/>
              </w:rPr>
            </w:pPr>
            <w:r>
              <w:rPr>
                <w:rFonts w:hint="default" w:ascii="Times New Roman" w:hAnsi="Times New Roman" w:eastAsia="宋体" w:cs="Times New Roman"/>
                <w:color w:val="auto"/>
                <w:sz w:val="24"/>
                <w:szCs w:val="24"/>
              </w:rPr>
              <w:t>根据《云南省地方用水定额标准》（</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B53/T168-201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用</w:t>
            </w:r>
            <w:r>
              <w:rPr>
                <w:rFonts w:hint="default" w:ascii="Times New Roman" w:hAnsi="Times New Roman" w:eastAsia="宋体" w:cs="Times New Roman"/>
                <w:color w:val="auto"/>
                <w:sz w:val="24"/>
                <w:szCs w:val="24"/>
              </w:rPr>
              <w:t>水量以</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0L/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d·人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计，排放系数按0.8计算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则员工办公生活用水量约为</w:t>
            </w:r>
            <w:r>
              <w:rPr>
                <w:rFonts w:hint="eastAsia"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/a，生活污水产生量约为</w:t>
            </w:r>
            <w:r>
              <w:rPr>
                <w:rFonts w:hint="eastAsia" w:ascii="Times New Roman" w:hAnsi="Times New Roman" w:eastAsia="宋体" w:cs="Times New Roman"/>
                <w:color w:val="auto"/>
                <w:sz w:val="24"/>
                <w:szCs w:val="24"/>
                <w:lang w:val="en-US" w:eastAsia="zh-CN"/>
              </w:rPr>
              <w:t>0.64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128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/a。该部分废水中主要污染物为</w:t>
            </w:r>
            <w:r>
              <w:rPr>
                <w:rFonts w:hint="default" w:ascii="Times New Roman" w:hAnsi="Times New Roman" w:eastAsia="宋体" w:cs="Times New Roman"/>
                <w:color w:val="auto"/>
                <w:position w:val="2"/>
                <w:sz w:val="24"/>
                <w:szCs w:val="24"/>
                <w:highlight w:val="none"/>
              </w:rPr>
              <w:t>COD</w:t>
            </w:r>
            <w:r>
              <w:rPr>
                <w:rFonts w:hint="default" w:ascii="Times New Roman" w:hAnsi="Times New Roman" w:eastAsia="宋体" w:cs="Times New Roman"/>
                <w:color w:val="auto"/>
                <w:position w:val="2"/>
                <w:sz w:val="24"/>
                <w:szCs w:val="24"/>
                <w:highlight w:val="none"/>
                <w:vertAlign w:val="subscript"/>
              </w:rPr>
              <w:t>Cr</w:t>
            </w:r>
            <w:r>
              <w:rPr>
                <w:rFonts w:hint="default" w:ascii="Times New Roman" w:hAnsi="Times New Roman" w:eastAsia="宋体" w:cs="Times New Roman"/>
                <w:color w:val="auto"/>
                <w:position w:val="2"/>
                <w:sz w:val="24"/>
                <w:szCs w:val="24"/>
                <w:highlight w:val="none"/>
                <w:vertAlign w:val="baseline"/>
              </w:rPr>
              <w:t>、BOD</w:t>
            </w:r>
            <w:r>
              <w:rPr>
                <w:rFonts w:hint="default" w:ascii="Times New Roman" w:hAnsi="Times New Roman" w:eastAsia="宋体" w:cs="Times New Roman"/>
                <w:color w:val="auto"/>
                <w:position w:val="2"/>
                <w:sz w:val="24"/>
                <w:szCs w:val="24"/>
                <w:highlight w:val="none"/>
                <w:vertAlign w:val="subscript"/>
              </w:rPr>
              <w:t>5</w:t>
            </w:r>
            <w:r>
              <w:rPr>
                <w:rFonts w:hint="default" w:ascii="Times New Roman" w:hAnsi="Times New Roman" w:eastAsia="宋体" w:cs="Times New Roman"/>
                <w:color w:val="auto"/>
                <w:position w:val="2"/>
                <w:sz w:val="24"/>
                <w:szCs w:val="24"/>
                <w:highlight w:val="none"/>
                <w:vertAlign w:val="baseline"/>
              </w:rPr>
              <w:t>、SS</w:t>
            </w:r>
            <w:r>
              <w:rPr>
                <w:rFonts w:hint="eastAsia" w:ascii="Times New Roman" w:hAnsi="Times New Roman" w:eastAsia="宋体" w:cs="Times New Roman"/>
                <w:color w:val="auto"/>
                <w:position w:val="2"/>
                <w:sz w:val="24"/>
                <w:szCs w:val="24"/>
                <w:highlight w:val="none"/>
                <w:vertAlign w:val="baseline"/>
                <w:lang w:eastAsia="zh-CN"/>
              </w:rPr>
              <w:t>、</w:t>
            </w:r>
            <w:r>
              <w:rPr>
                <w:rFonts w:hint="default" w:ascii="Times New Roman" w:hAnsi="Times New Roman" w:eastAsia="宋体" w:cs="Times New Roman"/>
                <w:color w:val="auto"/>
                <w:position w:val="2"/>
                <w:sz w:val="24"/>
                <w:szCs w:val="24"/>
                <w:highlight w:val="none"/>
                <w:vertAlign w:val="baseline"/>
              </w:rPr>
              <w:t xml:space="preserve"> NH</w:t>
            </w:r>
            <w:r>
              <w:rPr>
                <w:rFonts w:hint="default" w:ascii="Times New Roman" w:hAnsi="Times New Roman" w:eastAsia="宋体" w:cs="Times New Roman"/>
                <w:color w:val="auto"/>
                <w:position w:val="2"/>
                <w:sz w:val="24"/>
                <w:szCs w:val="24"/>
                <w:highlight w:val="none"/>
                <w:vertAlign w:val="subscript"/>
              </w:rPr>
              <w:t>3</w:t>
            </w:r>
            <w:r>
              <w:rPr>
                <w:rFonts w:hint="default" w:ascii="Times New Roman" w:hAnsi="Times New Roman" w:eastAsia="宋体" w:cs="Times New Roman"/>
                <w:color w:val="auto"/>
                <w:position w:val="2"/>
                <w:sz w:val="24"/>
                <w:szCs w:val="24"/>
                <w:highlight w:val="none"/>
                <w:vertAlign w:val="baseline"/>
              </w:rPr>
              <w:t>-N、</w:t>
            </w:r>
            <w:r>
              <w:rPr>
                <w:rFonts w:hint="eastAsia" w:ascii="Times New Roman" w:hAnsi="Times New Roman" w:eastAsia="宋体" w:cs="Times New Roman"/>
                <w:color w:val="auto"/>
                <w:position w:val="2"/>
                <w:sz w:val="24"/>
                <w:szCs w:val="24"/>
                <w:highlight w:val="none"/>
                <w:vertAlign w:val="baseline"/>
                <w:lang w:val="en-US" w:eastAsia="zh-CN"/>
              </w:rPr>
              <w:t>磷酸盐</w:t>
            </w:r>
            <w:r>
              <w:rPr>
                <w:rFonts w:hint="default" w:ascii="Times New Roman" w:hAnsi="Times New Roman" w:eastAsia="宋体" w:cs="Times New Roman"/>
                <w:color w:val="auto"/>
                <w:position w:val="2"/>
                <w:sz w:val="24"/>
                <w:szCs w:val="24"/>
                <w:highlight w:val="none"/>
                <w:vertAlign w:val="baseline"/>
                <w:lang w:val="en-US" w:eastAsia="zh-CN"/>
              </w:rPr>
              <w:t>等</w:t>
            </w:r>
            <w:r>
              <w:rPr>
                <w:rFonts w:hint="eastAsia" w:ascii="Times New Roman" w:hAnsi="Times New Roman" w:eastAsia="宋体" w:cs="Times New Roman"/>
                <w:color w:val="auto"/>
                <w:position w:val="2"/>
                <w:sz w:val="24"/>
                <w:szCs w:val="24"/>
                <w:highlight w:val="none"/>
                <w:vertAlign w:val="baseline"/>
                <w:lang w:val="en-US" w:eastAsia="zh-CN"/>
              </w:rPr>
              <w:t>。</w:t>
            </w:r>
          </w:p>
          <w:p w14:paraId="33B7E239">
            <w:pPr>
              <w:pStyle w:val="16"/>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position w:val="2"/>
                <w:sz w:val="24"/>
                <w:szCs w:val="24"/>
                <w:highlight w:val="none"/>
                <w:vertAlign w:val="baseline"/>
                <w:lang w:val="en-US" w:eastAsia="zh-CN"/>
              </w:rPr>
              <w:t xml:space="preserve">     综上分析，生活用水量为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240.0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/a，生活污水产生量约为</w:t>
            </w:r>
            <w:r>
              <w:rPr>
                <w:rFonts w:hint="eastAsia" w:ascii="Times New Roman" w:hAnsi="Times New Roman" w:eastAsia="宋体" w:cs="Times New Roman"/>
                <w:color w:val="auto"/>
                <w:sz w:val="24"/>
                <w:szCs w:val="24"/>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192.0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val="en-US" w:eastAsia="zh-CN"/>
              </w:rPr>
              <w:t>本项目将在食堂餐饮废水出水口设置隔油池进行预处理后，同其他生活污水排入化粪池经过简单沉淀发酵处理后，由附近村民定期清掏作为农家肥使用，不外排。类比芒市及盈江县各城市生活污水处理厂的进水浓度可知，本项目生活污水污染物产生情况。类比芒市及盈江县房地产项目的竣工环保验收的数据来核算化粪池处理后的各污染物情况。</w:t>
            </w:r>
          </w:p>
          <w:p w14:paraId="115D7C0B">
            <w:pPr>
              <w:widowControl w:val="0"/>
              <w:spacing w:line="240" w:lineRule="auto"/>
              <w:ind w:firstLine="482" w:firstLineChars="0"/>
              <w:jc w:val="center"/>
              <w:rPr>
                <w:rFonts w:ascii="Times New Roman" w:hAnsi="Times New Roman" w:eastAsia="宋体" w:cs="Times New Roman"/>
                <w:b/>
                <w:color w:val="auto"/>
                <w:sz w:val="24"/>
                <w:szCs w:val="24"/>
              </w:rPr>
            </w:pPr>
            <w:r>
              <w:rPr>
                <w:rFonts w:hint="eastAsia" w:ascii="Times New Roman" w:hAnsi="Times New Roman" w:eastAsia="宋体" w:cs="宋体"/>
                <w:b/>
                <w:color w:val="auto"/>
                <w:sz w:val="24"/>
                <w:szCs w:val="24"/>
                <w:lang w:bidi="ar"/>
              </w:rPr>
              <w:t>表</w:t>
            </w:r>
            <w:r>
              <w:rPr>
                <w:rFonts w:hint="eastAsia" w:ascii="Times New Roman" w:hAnsi="Times New Roman" w:eastAsia="宋体" w:cs="Times New Roman"/>
                <w:b/>
                <w:color w:val="auto"/>
                <w:sz w:val="24"/>
                <w:szCs w:val="24"/>
                <w:lang w:val="en-US" w:eastAsia="zh-CN" w:bidi="ar"/>
              </w:rPr>
              <w:t>4-8 生活污水</w:t>
            </w:r>
            <w:r>
              <w:rPr>
                <w:rFonts w:hint="eastAsia" w:ascii="Times New Roman" w:hAnsi="Times New Roman" w:eastAsia="宋体" w:cs="宋体"/>
                <w:b/>
                <w:color w:val="auto"/>
                <w:sz w:val="24"/>
                <w:szCs w:val="24"/>
                <w:lang w:bidi="ar"/>
              </w:rPr>
              <w:t>污染物产生</w:t>
            </w:r>
            <w:r>
              <w:rPr>
                <w:rFonts w:hint="eastAsia" w:ascii="Times New Roman" w:hAnsi="Times New Roman" w:eastAsia="宋体" w:cs="宋体"/>
                <w:b/>
                <w:color w:val="auto"/>
                <w:sz w:val="24"/>
                <w:szCs w:val="24"/>
                <w:lang w:val="en-US" w:eastAsia="zh-CN" w:bidi="ar"/>
              </w:rPr>
              <w:t>情况</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Layout w:type="fixed"/>
              <w:tblCellMar>
                <w:top w:w="0" w:type="dxa"/>
                <w:left w:w="108" w:type="dxa"/>
                <w:bottom w:w="0" w:type="dxa"/>
                <w:right w:w="108" w:type="dxa"/>
              </w:tblCellMar>
            </w:tblPr>
            <w:tblGrid>
              <w:gridCol w:w="1554"/>
              <w:gridCol w:w="1361"/>
              <w:gridCol w:w="1035"/>
              <w:gridCol w:w="996"/>
              <w:gridCol w:w="813"/>
              <w:gridCol w:w="930"/>
              <w:gridCol w:w="914"/>
              <w:gridCol w:w="813"/>
            </w:tblGrid>
            <w:tr w14:paraId="5504199D">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492" w:hRule="atLeast"/>
                <w:jc w:val="center"/>
              </w:trPr>
              <w:tc>
                <w:tcPr>
                  <w:tcW w:w="2915" w:type="dxa"/>
                  <w:gridSpan w:val="2"/>
                  <w:tcBorders>
                    <w:tl2br w:val="nil"/>
                    <w:tr2bl w:val="nil"/>
                  </w:tcBorders>
                  <w:noWrap w:val="0"/>
                  <w:vAlign w:val="center"/>
                </w:tcPr>
                <w:p w14:paraId="345CC2AE">
                  <w:pPr>
                    <w:pStyle w:val="29"/>
                    <w:spacing w:before="0" w:beforeLines="0" w:beforeAutospacing="0" w:after="0" w:afterLines="0" w:afterAutospacing="0" w:line="360" w:lineRule="auto"/>
                    <w:ind w:firstLine="0" w:firstLineChars="0"/>
                    <w:jc w:val="center"/>
                    <w:rPr>
                      <w:rFonts w:eastAsia="宋体"/>
                      <w:b/>
                      <w:color w:val="auto"/>
                      <w:szCs w:val="21"/>
                    </w:rPr>
                  </w:pPr>
                  <w:r>
                    <w:rPr>
                      <w:rFonts w:hint="eastAsia" w:ascii="Calibri" w:eastAsia="宋体"/>
                      <w:b/>
                      <w:color w:val="auto"/>
                      <w:kern w:val="2"/>
                      <w:sz w:val="21"/>
                      <w:szCs w:val="21"/>
                      <w:lang w:bidi="ar"/>
                    </w:rPr>
                    <w:t>项目</w:t>
                  </w:r>
                </w:p>
              </w:tc>
              <w:tc>
                <w:tcPr>
                  <w:tcW w:w="1035" w:type="dxa"/>
                  <w:tcBorders>
                    <w:tl2br w:val="nil"/>
                    <w:tr2bl w:val="nil"/>
                  </w:tcBorders>
                  <w:noWrap w:val="0"/>
                  <w:vAlign w:val="center"/>
                </w:tcPr>
                <w:p w14:paraId="41680383">
                  <w:pPr>
                    <w:pStyle w:val="29"/>
                    <w:spacing w:before="0" w:beforeLines="0" w:beforeAutospacing="0" w:after="0" w:afterLines="0" w:afterAutospacing="0" w:line="360" w:lineRule="auto"/>
                    <w:ind w:firstLine="0" w:firstLineChars="0"/>
                    <w:jc w:val="center"/>
                    <w:rPr>
                      <w:rFonts w:eastAsia="宋体"/>
                      <w:b/>
                      <w:color w:val="auto"/>
                      <w:szCs w:val="21"/>
                    </w:rPr>
                  </w:pPr>
                  <w:r>
                    <w:rPr>
                      <w:rFonts w:ascii="Calibri" w:eastAsia="宋体" w:cs="Times New Roman"/>
                      <w:b/>
                      <w:color w:val="auto"/>
                      <w:kern w:val="2"/>
                      <w:sz w:val="21"/>
                      <w:szCs w:val="21"/>
                      <w:lang w:bidi="ar"/>
                    </w:rPr>
                    <w:t>COD</w:t>
                  </w:r>
                  <w:r>
                    <w:rPr>
                      <w:rFonts w:ascii="Calibri" w:eastAsia="宋体" w:cs="Times New Roman"/>
                      <w:b/>
                      <w:color w:val="auto"/>
                      <w:kern w:val="2"/>
                      <w:sz w:val="21"/>
                      <w:szCs w:val="21"/>
                      <w:vertAlign w:val="subscript"/>
                      <w:lang w:bidi="ar"/>
                    </w:rPr>
                    <w:t>Cr</w:t>
                  </w:r>
                </w:p>
              </w:tc>
              <w:tc>
                <w:tcPr>
                  <w:tcW w:w="996" w:type="dxa"/>
                  <w:tcBorders>
                    <w:tl2br w:val="nil"/>
                    <w:tr2bl w:val="nil"/>
                  </w:tcBorders>
                  <w:noWrap w:val="0"/>
                  <w:vAlign w:val="center"/>
                </w:tcPr>
                <w:p w14:paraId="679F74D6">
                  <w:pPr>
                    <w:pStyle w:val="29"/>
                    <w:spacing w:before="0" w:beforeLines="0" w:beforeAutospacing="0" w:after="0" w:afterLines="0" w:afterAutospacing="0" w:line="360" w:lineRule="auto"/>
                    <w:ind w:firstLine="0" w:firstLineChars="0"/>
                    <w:jc w:val="center"/>
                    <w:rPr>
                      <w:rFonts w:eastAsia="宋体"/>
                      <w:b/>
                      <w:color w:val="auto"/>
                      <w:szCs w:val="21"/>
                    </w:rPr>
                  </w:pPr>
                  <w:r>
                    <w:rPr>
                      <w:rFonts w:ascii="Calibri" w:eastAsia="宋体" w:cs="Times New Roman"/>
                      <w:b/>
                      <w:color w:val="auto"/>
                      <w:kern w:val="2"/>
                      <w:sz w:val="21"/>
                      <w:szCs w:val="21"/>
                      <w:lang w:bidi="ar"/>
                    </w:rPr>
                    <w:t>BOD</w:t>
                  </w:r>
                  <w:r>
                    <w:rPr>
                      <w:rFonts w:ascii="Calibri" w:eastAsia="宋体" w:cs="Times New Roman"/>
                      <w:b/>
                      <w:color w:val="auto"/>
                      <w:kern w:val="2"/>
                      <w:sz w:val="21"/>
                      <w:szCs w:val="21"/>
                      <w:vertAlign w:val="subscript"/>
                      <w:lang w:bidi="ar"/>
                    </w:rPr>
                    <w:t>5</w:t>
                  </w:r>
                </w:p>
              </w:tc>
              <w:tc>
                <w:tcPr>
                  <w:tcW w:w="813" w:type="dxa"/>
                  <w:tcBorders>
                    <w:tl2br w:val="nil"/>
                    <w:tr2bl w:val="nil"/>
                  </w:tcBorders>
                  <w:noWrap w:val="0"/>
                  <w:vAlign w:val="center"/>
                </w:tcPr>
                <w:p w14:paraId="5A5B1639">
                  <w:pPr>
                    <w:pStyle w:val="29"/>
                    <w:spacing w:before="0" w:beforeLines="0" w:beforeAutospacing="0" w:after="0" w:afterLines="0" w:afterAutospacing="0" w:line="360" w:lineRule="auto"/>
                    <w:ind w:firstLine="0" w:firstLineChars="0"/>
                    <w:jc w:val="center"/>
                    <w:rPr>
                      <w:rFonts w:eastAsia="宋体"/>
                      <w:b/>
                      <w:color w:val="auto"/>
                      <w:szCs w:val="21"/>
                    </w:rPr>
                  </w:pPr>
                  <w:r>
                    <w:rPr>
                      <w:rFonts w:ascii="Calibri" w:eastAsia="宋体" w:cs="Times New Roman"/>
                      <w:b/>
                      <w:color w:val="auto"/>
                      <w:kern w:val="2"/>
                      <w:sz w:val="21"/>
                      <w:szCs w:val="21"/>
                      <w:lang w:bidi="ar"/>
                    </w:rPr>
                    <w:t>SS</w:t>
                  </w:r>
                </w:p>
              </w:tc>
              <w:tc>
                <w:tcPr>
                  <w:tcW w:w="930" w:type="dxa"/>
                  <w:tcBorders>
                    <w:tl2br w:val="nil"/>
                    <w:tr2bl w:val="nil"/>
                  </w:tcBorders>
                  <w:noWrap w:val="0"/>
                  <w:vAlign w:val="center"/>
                </w:tcPr>
                <w:p w14:paraId="73C55E8F">
                  <w:pPr>
                    <w:pStyle w:val="29"/>
                    <w:spacing w:before="0" w:beforeLines="0" w:beforeAutospacing="0" w:after="0" w:afterLines="0" w:afterAutospacing="0" w:line="360" w:lineRule="auto"/>
                    <w:ind w:firstLine="0" w:firstLineChars="0"/>
                    <w:jc w:val="center"/>
                    <w:rPr>
                      <w:rFonts w:eastAsia="宋体"/>
                      <w:b/>
                      <w:color w:val="auto"/>
                      <w:szCs w:val="21"/>
                    </w:rPr>
                  </w:pPr>
                  <w:r>
                    <w:rPr>
                      <w:rFonts w:ascii="Calibri" w:eastAsia="宋体" w:cs="Times New Roman"/>
                      <w:b/>
                      <w:color w:val="auto"/>
                      <w:kern w:val="2"/>
                      <w:sz w:val="21"/>
                      <w:szCs w:val="21"/>
                      <w:lang w:bidi="ar"/>
                    </w:rPr>
                    <w:t>TP</w:t>
                  </w:r>
                </w:p>
              </w:tc>
              <w:tc>
                <w:tcPr>
                  <w:tcW w:w="914" w:type="dxa"/>
                  <w:tcBorders>
                    <w:tl2br w:val="nil"/>
                    <w:tr2bl w:val="nil"/>
                  </w:tcBorders>
                  <w:noWrap w:val="0"/>
                  <w:vAlign w:val="center"/>
                </w:tcPr>
                <w:p w14:paraId="7FEB3AD4">
                  <w:pPr>
                    <w:pStyle w:val="29"/>
                    <w:spacing w:before="0" w:beforeLines="0" w:beforeAutospacing="0" w:after="0" w:afterLines="0" w:afterAutospacing="0" w:line="360" w:lineRule="auto"/>
                    <w:ind w:firstLine="0" w:firstLineChars="0"/>
                    <w:jc w:val="center"/>
                    <w:rPr>
                      <w:rFonts w:eastAsia="宋体"/>
                      <w:b/>
                      <w:color w:val="auto"/>
                      <w:szCs w:val="21"/>
                    </w:rPr>
                  </w:pPr>
                  <w:r>
                    <w:rPr>
                      <w:rFonts w:ascii="Calibri" w:eastAsia="宋体" w:cs="Times New Roman"/>
                      <w:b/>
                      <w:color w:val="auto"/>
                      <w:kern w:val="2"/>
                      <w:sz w:val="21"/>
                      <w:szCs w:val="21"/>
                      <w:lang w:bidi="ar"/>
                    </w:rPr>
                    <w:t>NH</w:t>
                  </w:r>
                  <w:r>
                    <w:rPr>
                      <w:rFonts w:ascii="Calibri" w:eastAsia="宋体" w:cs="Times New Roman"/>
                      <w:b/>
                      <w:color w:val="auto"/>
                      <w:kern w:val="2"/>
                      <w:sz w:val="21"/>
                      <w:szCs w:val="21"/>
                      <w:vertAlign w:val="subscript"/>
                      <w:lang w:bidi="ar"/>
                    </w:rPr>
                    <w:t>3</w:t>
                  </w:r>
                  <w:r>
                    <w:rPr>
                      <w:rFonts w:ascii="Calibri" w:eastAsia="宋体" w:cs="Times New Roman"/>
                      <w:b/>
                      <w:color w:val="auto"/>
                      <w:kern w:val="2"/>
                      <w:sz w:val="21"/>
                      <w:szCs w:val="21"/>
                      <w:lang w:bidi="ar"/>
                    </w:rPr>
                    <w:t>-N</w:t>
                  </w:r>
                </w:p>
              </w:tc>
              <w:tc>
                <w:tcPr>
                  <w:tcW w:w="813" w:type="dxa"/>
                  <w:tcBorders>
                    <w:tl2br w:val="nil"/>
                    <w:tr2bl w:val="nil"/>
                  </w:tcBorders>
                  <w:noWrap w:val="0"/>
                  <w:vAlign w:val="center"/>
                </w:tcPr>
                <w:p w14:paraId="1AF395B4">
                  <w:pPr>
                    <w:pStyle w:val="29"/>
                    <w:spacing w:before="0" w:beforeLines="0" w:beforeAutospacing="0" w:after="0" w:afterLines="0" w:afterAutospacing="0" w:line="360" w:lineRule="auto"/>
                    <w:ind w:firstLine="0" w:firstLineChars="0"/>
                    <w:jc w:val="center"/>
                    <w:rPr>
                      <w:rFonts w:eastAsia="宋体"/>
                      <w:b/>
                      <w:color w:val="auto"/>
                      <w:szCs w:val="21"/>
                    </w:rPr>
                  </w:pPr>
                  <w:r>
                    <w:rPr>
                      <w:rFonts w:ascii="Calibri" w:eastAsia="宋体" w:cs="Times New Roman"/>
                      <w:b/>
                      <w:color w:val="auto"/>
                      <w:kern w:val="2"/>
                      <w:sz w:val="21"/>
                      <w:szCs w:val="21"/>
                      <w:lang w:bidi="ar"/>
                    </w:rPr>
                    <w:t>TN</w:t>
                  </w:r>
                </w:p>
              </w:tc>
            </w:tr>
            <w:tr w14:paraId="2786C631">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816" w:hRule="atLeast"/>
                <w:jc w:val="center"/>
              </w:trPr>
              <w:tc>
                <w:tcPr>
                  <w:tcW w:w="1554" w:type="dxa"/>
                  <w:vMerge w:val="restart"/>
                  <w:tcBorders>
                    <w:tl2br w:val="nil"/>
                    <w:tr2bl w:val="nil"/>
                  </w:tcBorders>
                  <w:noWrap w:val="0"/>
                  <w:vAlign w:val="center"/>
                </w:tcPr>
                <w:p w14:paraId="17AA4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4"/>
                    </w:rPr>
                  </w:pPr>
                  <w:r>
                    <w:rPr>
                      <w:rFonts w:hint="eastAsia" w:ascii="Calibri" w:hAnsi="Calibri" w:eastAsia="宋体"/>
                      <w:color w:val="auto"/>
                      <w:kern w:val="2"/>
                      <w:sz w:val="21"/>
                      <w:szCs w:val="21"/>
                      <w:lang w:val="en-US" w:eastAsia="zh-CN" w:bidi="ar"/>
                    </w:rPr>
                    <w:t>生活污水</w:t>
                  </w:r>
                  <w:r>
                    <w:rPr>
                      <w:rFonts w:hint="eastAsia" w:ascii="Calibri" w:eastAsia="宋体"/>
                      <w:color w:val="auto"/>
                      <w:kern w:val="2"/>
                      <w:sz w:val="21"/>
                      <w:szCs w:val="21"/>
                      <w:lang w:bidi="ar"/>
                    </w:rPr>
                    <w:t>（</w:t>
                  </w:r>
                  <w:r>
                    <w:rPr>
                      <w:rFonts w:hint="eastAsia" w:ascii="Calibri" w:hAnsi="Calibri" w:eastAsia="宋体" w:cs="Times New Roman"/>
                      <w:color w:val="auto"/>
                      <w:kern w:val="2"/>
                      <w:sz w:val="21"/>
                      <w:szCs w:val="21"/>
                      <w:lang w:val="en-US" w:eastAsia="zh-CN" w:bidi="ar"/>
                    </w:rPr>
                    <w:t>0.96</w:t>
                  </w:r>
                  <w:r>
                    <w:rPr>
                      <w:rFonts w:ascii="Calibri" w:hAnsi="Calibri" w:eastAsia="宋体" w:cs="Times New Roman"/>
                      <w:color w:val="auto"/>
                      <w:kern w:val="2"/>
                      <w:sz w:val="21"/>
                      <w:szCs w:val="21"/>
                      <w:lang w:bidi="ar"/>
                    </w:rPr>
                    <w:t>m</w:t>
                  </w:r>
                  <w:r>
                    <w:rPr>
                      <w:rFonts w:ascii="Calibri" w:hAnsi="Calibri" w:eastAsia="宋体" w:cs="Times New Roman"/>
                      <w:color w:val="auto"/>
                      <w:kern w:val="2"/>
                      <w:sz w:val="21"/>
                      <w:szCs w:val="21"/>
                      <w:vertAlign w:val="superscript"/>
                      <w:lang w:bidi="ar"/>
                    </w:rPr>
                    <w:t>3</w:t>
                  </w:r>
                  <w:r>
                    <w:rPr>
                      <w:rFonts w:ascii="Calibri" w:hAnsi="Calibri" w:eastAsia="宋体" w:cs="Times New Roman"/>
                      <w:color w:val="auto"/>
                      <w:kern w:val="2"/>
                      <w:sz w:val="21"/>
                      <w:szCs w:val="21"/>
                      <w:lang w:bidi="ar"/>
                    </w:rPr>
                    <w:t>/d</w:t>
                  </w:r>
                  <w:r>
                    <w:rPr>
                      <w:rFonts w:hint="eastAsia" w:ascii="Calibri" w:hAnsi="Calibri" w:eastAsia="宋体"/>
                      <w:color w:val="auto"/>
                      <w:kern w:val="2"/>
                      <w:sz w:val="21"/>
                      <w:szCs w:val="21"/>
                      <w:lang w:bidi="ar"/>
                    </w:rPr>
                    <w:t>，</w:t>
                  </w:r>
                  <w:r>
                    <w:rPr>
                      <w:rFonts w:hint="eastAsia" w:ascii="Calibri" w:hAnsi="Calibri" w:eastAsia="宋体" w:cs="Times New Roman"/>
                      <w:color w:val="auto"/>
                      <w:sz w:val="21"/>
                      <w:szCs w:val="21"/>
                      <w:lang w:val="en-US" w:eastAsia="zh-CN" w:bidi="ar"/>
                    </w:rPr>
                    <w:t>192.0</w:t>
                  </w:r>
                  <w:r>
                    <w:rPr>
                      <w:rFonts w:ascii="Calibri" w:hAnsi="Calibri" w:eastAsia="宋体" w:cs="Times New Roman"/>
                      <w:color w:val="auto"/>
                      <w:kern w:val="2"/>
                      <w:sz w:val="21"/>
                      <w:szCs w:val="21"/>
                      <w:lang w:bidi="ar"/>
                    </w:rPr>
                    <w:t>m</w:t>
                  </w:r>
                  <w:r>
                    <w:rPr>
                      <w:rFonts w:ascii="Calibri" w:hAnsi="Calibri" w:eastAsia="宋体" w:cs="Times New Roman"/>
                      <w:color w:val="auto"/>
                      <w:kern w:val="2"/>
                      <w:sz w:val="21"/>
                      <w:szCs w:val="21"/>
                      <w:vertAlign w:val="superscript"/>
                      <w:lang w:bidi="ar"/>
                    </w:rPr>
                    <w:t>3</w:t>
                  </w:r>
                  <w:r>
                    <w:rPr>
                      <w:rFonts w:ascii="Calibri" w:hAnsi="Calibri" w:eastAsia="宋体" w:cs="Times New Roman"/>
                      <w:color w:val="auto"/>
                      <w:kern w:val="2"/>
                      <w:sz w:val="21"/>
                      <w:szCs w:val="21"/>
                      <w:lang w:bidi="ar"/>
                    </w:rPr>
                    <w:t>/a</w:t>
                  </w:r>
                  <w:r>
                    <w:rPr>
                      <w:rFonts w:hint="eastAsia" w:ascii="Calibri" w:eastAsia="宋体"/>
                      <w:color w:val="auto"/>
                      <w:kern w:val="2"/>
                      <w:sz w:val="21"/>
                      <w:szCs w:val="21"/>
                      <w:lang w:bidi="ar"/>
                    </w:rPr>
                    <w:t>）</w:t>
                  </w:r>
                </w:p>
              </w:tc>
              <w:tc>
                <w:tcPr>
                  <w:tcW w:w="1361" w:type="dxa"/>
                  <w:tcBorders>
                    <w:bottom w:val="single" w:color="auto" w:sz="4" w:space="0"/>
                    <w:tl2br w:val="nil"/>
                    <w:tr2bl w:val="nil"/>
                  </w:tcBorders>
                  <w:noWrap w:val="0"/>
                  <w:vAlign w:val="center"/>
                </w:tcPr>
                <w:p w14:paraId="2019796A">
                  <w:pPr>
                    <w:pStyle w:val="29"/>
                    <w:spacing w:before="0" w:beforeLines="0" w:beforeAutospacing="0" w:after="0" w:afterLines="0" w:afterAutospacing="0" w:line="360" w:lineRule="auto"/>
                    <w:ind w:firstLine="0" w:firstLineChars="0"/>
                    <w:jc w:val="center"/>
                    <w:rPr>
                      <w:rFonts w:hint="eastAsia" w:ascii="Calibri" w:hAnsi="宋体" w:eastAsia="宋体" w:cs="Times New Roman"/>
                      <w:color w:val="auto"/>
                      <w:kern w:val="2"/>
                      <w:sz w:val="21"/>
                      <w:szCs w:val="21"/>
                      <w:lang w:bidi="ar"/>
                    </w:rPr>
                  </w:pPr>
                  <w:r>
                    <w:rPr>
                      <w:rFonts w:hint="eastAsia" w:ascii="Calibri" w:hAnsi="宋体" w:eastAsia="宋体" w:cs="Times New Roman"/>
                      <w:color w:val="auto"/>
                      <w:kern w:val="2"/>
                      <w:sz w:val="21"/>
                      <w:szCs w:val="21"/>
                      <w:lang w:val="en-US" w:eastAsia="zh-CN" w:bidi="ar"/>
                    </w:rPr>
                    <w:t>废水</w:t>
                  </w:r>
                  <w:r>
                    <w:rPr>
                      <w:rFonts w:hint="eastAsia" w:ascii="Calibri" w:hAnsi="宋体" w:eastAsia="宋体" w:cs="Times New Roman"/>
                      <w:color w:val="auto"/>
                      <w:kern w:val="2"/>
                      <w:sz w:val="21"/>
                      <w:szCs w:val="21"/>
                      <w:lang w:bidi="ar"/>
                    </w:rPr>
                    <w:t>浓度（mg/L）</w:t>
                  </w:r>
                </w:p>
              </w:tc>
              <w:tc>
                <w:tcPr>
                  <w:tcW w:w="1035" w:type="dxa"/>
                  <w:tcBorders>
                    <w:tl2br w:val="nil"/>
                    <w:tr2bl w:val="nil"/>
                  </w:tcBorders>
                  <w:noWrap w:val="0"/>
                  <w:vAlign w:val="center"/>
                </w:tcPr>
                <w:p w14:paraId="223987AF">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250</w:t>
                  </w:r>
                </w:p>
              </w:tc>
              <w:tc>
                <w:tcPr>
                  <w:tcW w:w="996" w:type="dxa"/>
                  <w:tcBorders>
                    <w:tl2br w:val="nil"/>
                    <w:tr2bl w:val="nil"/>
                  </w:tcBorders>
                  <w:noWrap w:val="0"/>
                  <w:vAlign w:val="center"/>
                </w:tcPr>
                <w:p w14:paraId="21901453">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140</w:t>
                  </w:r>
                </w:p>
              </w:tc>
              <w:tc>
                <w:tcPr>
                  <w:tcW w:w="813" w:type="dxa"/>
                  <w:tcBorders>
                    <w:tl2br w:val="nil"/>
                    <w:tr2bl w:val="nil"/>
                  </w:tcBorders>
                  <w:noWrap w:val="0"/>
                  <w:vAlign w:val="center"/>
                </w:tcPr>
                <w:p w14:paraId="4F206D95">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230</w:t>
                  </w:r>
                </w:p>
              </w:tc>
              <w:tc>
                <w:tcPr>
                  <w:tcW w:w="930" w:type="dxa"/>
                  <w:tcBorders>
                    <w:tl2br w:val="nil"/>
                    <w:tr2bl w:val="nil"/>
                  </w:tcBorders>
                  <w:noWrap w:val="0"/>
                  <w:vAlign w:val="center"/>
                </w:tcPr>
                <w:p w14:paraId="7D6D90CC">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4.5</w:t>
                  </w:r>
                </w:p>
              </w:tc>
              <w:tc>
                <w:tcPr>
                  <w:tcW w:w="914" w:type="dxa"/>
                  <w:tcBorders>
                    <w:tl2br w:val="nil"/>
                    <w:tr2bl w:val="nil"/>
                  </w:tcBorders>
                  <w:noWrap w:val="0"/>
                  <w:vAlign w:val="center"/>
                </w:tcPr>
                <w:p w14:paraId="77219C6D">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25</w:t>
                  </w:r>
                </w:p>
              </w:tc>
              <w:tc>
                <w:tcPr>
                  <w:tcW w:w="813" w:type="dxa"/>
                  <w:tcBorders>
                    <w:tl2br w:val="nil"/>
                    <w:tr2bl w:val="nil"/>
                  </w:tcBorders>
                  <w:noWrap w:val="0"/>
                  <w:vAlign w:val="center"/>
                </w:tcPr>
                <w:p w14:paraId="297B3262">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35</w:t>
                  </w:r>
                </w:p>
              </w:tc>
            </w:tr>
            <w:tr w14:paraId="6CE9F6A0">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816" w:hRule="atLeast"/>
                <w:jc w:val="center"/>
              </w:trPr>
              <w:tc>
                <w:tcPr>
                  <w:tcW w:w="1554" w:type="dxa"/>
                  <w:vMerge w:val="continue"/>
                  <w:tcBorders>
                    <w:tl2br w:val="nil"/>
                    <w:tr2bl w:val="nil"/>
                  </w:tcBorders>
                  <w:noWrap w:val="0"/>
                  <w:vAlign w:val="center"/>
                </w:tcPr>
                <w:p w14:paraId="2CE24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4"/>
                    </w:rPr>
                  </w:pPr>
                </w:p>
              </w:tc>
              <w:tc>
                <w:tcPr>
                  <w:tcW w:w="1361" w:type="dxa"/>
                  <w:tcBorders>
                    <w:top w:val="single" w:color="auto" w:sz="4" w:space="0"/>
                    <w:tl2br w:val="nil"/>
                    <w:tr2bl w:val="nil"/>
                  </w:tcBorders>
                  <w:noWrap w:val="0"/>
                  <w:vAlign w:val="center"/>
                </w:tcPr>
                <w:p w14:paraId="008B0B91">
                  <w:pPr>
                    <w:pStyle w:val="29"/>
                    <w:spacing w:before="0" w:beforeLines="0" w:beforeAutospacing="0" w:after="0" w:afterLines="0" w:afterAutospacing="0" w:line="360" w:lineRule="auto"/>
                    <w:ind w:firstLine="0" w:firstLineChars="0"/>
                    <w:jc w:val="center"/>
                    <w:rPr>
                      <w:rFonts w:hint="eastAsia" w:ascii="Calibri" w:hAnsi="宋体" w:eastAsia="宋体" w:cs="Times New Roman"/>
                      <w:color w:val="auto"/>
                      <w:kern w:val="2"/>
                      <w:sz w:val="21"/>
                      <w:szCs w:val="21"/>
                      <w:lang w:bidi="ar"/>
                    </w:rPr>
                  </w:pPr>
                  <w:r>
                    <w:rPr>
                      <w:rFonts w:hint="eastAsia" w:ascii="Calibri" w:hAnsi="宋体" w:eastAsia="宋体" w:cs="Times New Roman"/>
                      <w:color w:val="auto"/>
                      <w:kern w:val="2"/>
                      <w:sz w:val="21"/>
                      <w:szCs w:val="21"/>
                      <w:lang w:bidi="ar"/>
                    </w:rPr>
                    <w:t>产生量（t/a）</w:t>
                  </w:r>
                </w:p>
              </w:tc>
              <w:tc>
                <w:tcPr>
                  <w:tcW w:w="1035" w:type="dxa"/>
                  <w:tcBorders>
                    <w:tl2br w:val="nil"/>
                    <w:tr2bl w:val="nil"/>
                  </w:tcBorders>
                  <w:noWrap w:val="0"/>
                  <w:vAlign w:val="center"/>
                </w:tcPr>
                <w:p w14:paraId="56379DBD">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0.048</w:t>
                  </w:r>
                </w:p>
              </w:tc>
              <w:tc>
                <w:tcPr>
                  <w:tcW w:w="996" w:type="dxa"/>
                  <w:tcBorders>
                    <w:tl2br w:val="nil"/>
                    <w:tr2bl w:val="nil"/>
                  </w:tcBorders>
                  <w:noWrap w:val="0"/>
                  <w:vAlign w:val="center"/>
                </w:tcPr>
                <w:p w14:paraId="4EB16CEC">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0.027</w:t>
                  </w:r>
                </w:p>
              </w:tc>
              <w:tc>
                <w:tcPr>
                  <w:tcW w:w="813" w:type="dxa"/>
                  <w:tcBorders>
                    <w:tl2br w:val="nil"/>
                    <w:tr2bl w:val="nil"/>
                  </w:tcBorders>
                  <w:noWrap w:val="0"/>
                  <w:vAlign w:val="center"/>
                </w:tcPr>
                <w:p w14:paraId="60924476">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0.044</w:t>
                  </w:r>
                </w:p>
              </w:tc>
              <w:tc>
                <w:tcPr>
                  <w:tcW w:w="930" w:type="dxa"/>
                  <w:tcBorders>
                    <w:tl2br w:val="nil"/>
                    <w:tr2bl w:val="nil"/>
                  </w:tcBorders>
                  <w:noWrap w:val="0"/>
                  <w:vAlign w:val="center"/>
                </w:tcPr>
                <w:p w14:paraId="40894475">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0.00084</w:t>
                  </w:r>
                </w:p>
              </w:tc>
              <w:tc>
                <w:tcPr>
                  <w:tcW w:w="914" w:type="dxa"/>
                  <w:tcBorders>
                    <w:tl2br w:val="nil"/>
                    <w:tr2bl w:val="nil"/>
                  </w:tcBorders>
                  <w:noWrap w:val="0"/>
                  <w:vAlign w:val="center"/>
                </w:tcPr>
                <w:p w14:paraId="66530CEA">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0.0048</w:t>
                  </w:r>
                </w:p>
              </w:tc>
              <w:tc>
                <w:tcPr>
                  <w:tcW w:w="813" w:type="dxa"/>
                  <w:tcBorders>
                    <w:tl2br w:val="nil"/>
                    <w:tr2bl w:val="nil"/>
                  </w:tcBorders>
                  <w:noWrap w:val="0"/>
                  <w:vAlign w:val="center"/>
                </w:tcPr>
                <w:p w14:paraId="652D84F6">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0.00672</w:t>
                  </w:r>
                </w:p>
              </w:tc>
            </w:tr>
            <w:tr w14:paraId="4D701EB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816" w:hRule="atLeast"/>
                <w:jc w:val="center"/>
              </w:trPr>
              <w:tc>
                <w:tcPr>
                  <w:tcW w:w="1554" w:type="dxa"/>
                  <w:vMerge w:val="continue"/>
                  <w:tcBorders>
                    <w:tl2br w:val="nil"/>
                    <w:tr2bl w:val="nil"/>
                  </w:tcBorders>
                  <w:noWrap w:val="0"/>
                  <w:vAlign w:val="center"/>
                </w:tcPr>
                <w:p w14:paraId="57C5B18C">
                  <w:pPr>
                    <w:keepNext w:val="0"/>
                    <w:keepLines w:val="0"/>
                    <w:pageBreakBefore w:val="0"/>
                    <w:widowControl w:val="0"/>
                    <w:kinsoku/>
                    <w:wordWrap/>
                    <w:overflowPunct/>
                    <w:topLinePunct w:val="0"/>
                    <w:autoSpaceDE/>
                    <w:autoSpaceDN/>
                    <w:bidi w:val="0"/>
                    <w:adjustRightInd/>
                    <w:snapToGrid/>
                    <w:spacing w:line="240" w:lineRule="auto"/>
                    <w:ind w:firstLine="420" w:firstLineChars="0"/>
                    <w:jc w:val="center"/>
                    <w:textAlignment w:val="auto"/>
                    <w:rPr>
                      <w:rFonts w:ascii="Times New Roman" w:hAnsi="Times New Roman" w:eastAsia="宋体" w:cs="Times New Roman"/>
                      <w:color w:val="auto"/>
                      <w:sz w:val="21"/>
                      <w:szCs w:val="24"/>
                    </w:rPr>
                  </w:pPr>
                </w:p>
              </w:tc>
              <w:tc>
                <w:tcPr>
                  <w:tcW w:w="1361" w:type="dxa"/>
                  <w:tcBorders>
                    <w:tl2br w:val="nil"/>
                    <w:tr2bl w:val="nil"/>
                  </w:tcBorders>
                  <w:noWrap w:val="0"/>
                  <w:vAlign w:val="center"/>
                </w:tcPr>
                <w:p w14:paraId="07A10AD7">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化粪池处理后废水浓度</w:t>
                  </w:r>
                  <w:r>
                    <w:rPr>
                      <w:rFonts w:hint="eastAsia" w:ascii="Calibri" w:hAnsi="宋体" w:eastAsia="宋体" w:cs="Times New Roman"/>
                      <w:color w:val="auto"/>
                      <w:kern w:val="2"/>
                      <w:sz w:val="21"/>
                      <w:szCs w:val="21"/>
                      <w:lang w:bidi="ar"/>
                    </w:rPr>
                    <w:t>（mg/L）</w:t>
                  </w:r>
                </w:p>
              </w:tc>
              <w:tc>
                <w:tcPr>
                  <w:tcW w:w="1035" w:type="dxa"/>
                  <w:tcBorders>
                    <w:tl2br w:val="nil"/>
                    <w:tr2bl w:val="nil"/>
                  </w:tcBorders>
                  <w:noWrap w:val="0"/>
                  <w:vAlign w:val="center"/>
                </w:tcPr>
                <w:p w14:paraId="06FC4A22">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200</w:t>
                  </w:r>
                </w:p>
              </w:tc>
              <w:tc>
                <w:tcPr>
                  <w:tcW w:w="996" w:type="dxa"/>
                  <w:tcBorders>
                    <w:tl2br w:val="nil"/>
                    <w:tr2bl w:val="nil"/>
                  </w:tcBorders>
                  <w:noWrap w:val="0"/>
                  <w:vAlign w:val="center"/>
                </w:tcPr>
                <w:p w14:paraId="2C99BD40">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100</w:t>
                  </w:r>
                </w:p>
              </w:tc>
              <w:tc>
                <w:tcPr>
                  <w:tcW w:w="813" w:type="dxa"/>
                  <w:tcBorders>
                    <w:tl2br w:val="nil"/>
                    <w:tr2bl w:val="nil"/>
                  </w:tcBorders>
                  <w:noWrap w:val="0"/>
                  <w:vAlign w:val="center"/>
                </w:tcPr>
                <w:p w14:paraId="6AED360A">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150</w:t>
                  </w:r>
                </w:p>
              </w:tc>
              <w:tc>
                <w:tcPr>
                  <w:tcW w:w="930" w:type="dxa"/>
                  <w:tcBorders>
                    <w:tl2br w:val="nil"/>
                    <w:tr2bl w:val="nil"/>
                  </w:tcBorders>
                  <w:noWrap w:val="0"/>
                  <w:vAlign w:val="center"/>
                </w:tcPr>
                <w:p w14:paraId="10CEB6B6">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2.0</w:t>
                  </w:r>
                </w:p>
              </w:tc>
              <w:tc>
                <w:tcPr>
                  <w:tcW w:w="914" w:type="dxa"/>
                  <w:tcBorders>
                    <w:tl2br w:val="nil"/>
                    <w:tr2bl w:val="nil"/>
                  </w:tcBorders>
                  <w:noWrap w:val="0"/>
                  <w:vAlign w:val="center"/>
                </w:tcPr>
                <w:p w14:paraId="06AD276C">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20</w:t>
                  </w:r>
                </w:p>
              </w:tc>
              <w:tc>
                <w:tcPr>
                  <w:tcW w:w="813" w:type="dxa"/>
                  <w:tcBorders>
                    <w:tl2br w:val="nil"/>
                    <w:tr2bl w:val="nil"/>
                  </w:tcBorders>
                  <w:noWrap w:val="0"/>
                  <w:vAlign w:val="center"/>
                </w:tcPr>
                <w:p w14:paraId="449D0547">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28</w:t>
                  </w:r>
                </w:p>
              </w:tc>
            </w:tr>
            <w:tr w14:paraId="62A76D4D">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987" w:hRule="atLeast"/>
                <w:jc w:val="center"/>
              </w:trPr>
              <w:tc>
                <w:tcPr>
                  <w:tcW w:w="1554" w:type="dxa"/>
                  <w:vMerge w:val="continue"/>
                  <w:tcBorders>
                    <w:tl2br w:val="nil"/>
                    <w:tr2bl w:val="nil"/>
                  </w:tcBorders>
                  <w:noWrap w:val="0"/>
                  <w:vAlign w:val="center"/>
                </w:tcPr>
                <w:p w14:paraId="78823388">
                  <w:pPr>
                    <w:keepNext w:val="0"/>
                    <w:keepLines w:val="0"/>
                    <w:pageBreakBefore w:val="0"/>
                    <w:widowControl w:val="0"/>
                    <w:kinsoku/>
                    <w:wordWrap/>
                    <w:overflowPunct/>
                    <w:topLinePunct w:val="0"/>
                    <w:autoSpaceDE/>
                    <w:autoSpaceDN/>
                    <w:bidi w:val="0"/>
                    <w:adjustRightInd/>
                    <w:snapToGrid/>
                    <w:spacing w:line="240" w:lineRule="auto"/>
                    <w:ind w:firstLine="420" w:firstLineChars="0"/>
                    <w:jc w:val="center"/>
                    <w:textAlignment w:val="auto"/>
                    <w:rPr>
                      <w:rFonts w:ascii="Times New Roman" w:hAnsi="Times New Roman" w:eastAsia="宋体" w:cs="Times New Roman"/>
                      <w:color w:val="auto"/>
                      <w:sz w:val="21"/>
                      <w:szCs w:val="24"/>
                    </w:rPr>
                  </w:pPr>
                </w:p>
              </w:tc>
              <w:tc>
                <w:tcPr>
                  <w:tcW w:w="1361" w:type="dxa"/>
                  <w:tcBorders>
                    <w:tl2br w:val="nil"/>
                    <w:tr2bl w:val="nil"/>
                  </w:tcBorders>
                  <w:noWrap w:val="0"/>
                  <w:vAlign w:val="center"/>
                </w:tcPr>
                <w:p w14:paraId="6C272550">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化粪池处理后废水中污染物的量</w:t>
                  </w:r>
                  <w:r>
                    <w:rPr>
                      <w:rFonts w:hint="eastAsia" w:ascii="Calibri" w:hAnsi="宋体" w:eastAsia="宋体" w:cs="Times New Roman"/>
                      <w:color w:val="auto"/>
                      <w:kern w:val="2"/>
                      <w:sz w:val="21"/>
                      <w:szCs w:val="21"/>
                      <w:lang w:bidi="ar"/>
                    </w:rPr>
                    <w:t>（t/a）</w:t>
                  </w:r>
                </w:p>
              </w:tc>
              <w:tc>
                <w:tcPr>
                  <w:tcW w:w="1035" w:type="dxa"/>
                  <w:tcBorders>
                    <w:tl2br w:val="nil"/>
                    <w:tr2bl w:val="nil"/>
                  </w:tcBorders>
                  <w:noWrap w:val="0"/>
                  <w:vAlign w:val="center"/>
                </w:tcPr>
                <w:p w14:paraId="70002F6E">
                  <w:pPr>
                    <w:widowControl w:val="0"/>
                    <w:spacing w:line="240" w:lineRule="auto"/>
                    <w:jc w:val="center"/>
                    <w:rPr>
                      <w:rFonts w:hint="default" w:ascii="Times New Roman" w:hAnsi="宋体" w:eastAsia="宋体" w:cs="Times New Roman"/>
                      <w:color w:val="auto"/>
                      <w:sz w:val="21"/>
                      <w:szCs w:val="21"/>
                      <w:lang w:val="en-US" w:eastAsia="zh-CN" w:bidi="ar"/>
                    </w:rPr>
                  </w:pPr>
                  <w:r>
                    <w:rPr>
                      <w:rFonts w:hint="eastAsia" w:ascii="Times New Roman" w:hAnsi="宋体" w:eastAsia="宋体" w:cs="Times New Roman"/>
                      <w:color w:val="auto"/>
                      <w:sz w:val="21"/>
                      <w:szCs w:val="21"/>
                      <w:lang w:val="en-US" w:eastAsia="zh-CN" w:bidi="ar"/>
                    </w:rPr>
                    <w:t>0.0384</w:t>
                  </w:r>
                </w:p>
              </w:tc>
              <w:tc>
                <w:tcPr>
                  <w:tcW w:w="996" w:type="dxa"/>
                  <w:tcBorders>
                    <w:tl2br w:val="nil"/>
                    <w:tr2bl w:val="nil"/>
                  </w:tcBorders>
                  <w:noWrap w:val="0"/>
                  <w:vAlign w:val="center"/>
                </w:tcPr>
                <w:p w14:paraId="34655B77">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0.0192</w:t>
                  </w:r>
                </w:p>
              </w:tc>
              <w:tc>
                <w:tcPr>
                  <w:tcW w:w="813" w:type="dxa"/>
                  <w:tcBorders>
                    <w:tl2br w:val="nil"/>
                    <w:tr2bl w:val="nil"/>
                  </w:tcBorders>
                  <w:noWrap w:val="0"/>
                  <w:vAlign w:val="center"/>
                </w:tcPr>
                <w:p w14:paraId="394AF337">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0.0288</w:t>
                  </w:r>
                </w:p>
              </w:tc>
              <w:tc>
                <w:tcPr>
                  <w:tcW w:w="930" w:type="dxa"/>
                  <w:tcBorders>
                    <w:tl2br w:val="nil"/>
                    <w:tr2bl w:val="nil"/>
                  </w:tcBorders>
                  <w:noWrap w:val="0"/>
                  <w:vAlign w:val="center"/>
                </w:tcPr>
                <w:p w14:paraId="12397CE6">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0.000384</w:t>
                  </w:r>
                </w:p>
              </w:tc>
              <w:tc>
                <w:tcPr>
                  <w:tcW w:w="914" w:type="dxa"/>
                  <w:tcBorders>
                    <w:tl2br w:val="nil"/>
                    <w:tr2bl w:val="nil"/>
                  </w:tcBorders>
                  <w:noWrap w:val="0"/>
                  <w:vAlign w:val="center"/>
                </w:tcPr>
                <w:p w14:paraId="628E3DD3">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0.0038</w:t>
                  </w:r>
                </w:p>
              </w:tc>
              <w:tc>
                <w:tcPr>
                  <w:tcW w:w="813" w:type="dxa"/>
                  <w:tcBorders>
                    <w:tl2br w:val="nil"/>
                    <w:tr2bl w:val="nil"/>
                  </w:tcBorders>
                  <w:noWrap w:val="0"/>
                  <w:vAlign w:val="center"/>
                </w:tcPr>
                <w:p w14:paraId="681867CA">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Calibri" w:hAnsi="宋体" w:eastAsia="宋体" w:cs="Times New Roman"/>
                      <w:color w:val="auto"/>
                      <w:kern w:val="2"/>
                      <w:sz w:val="21"/>
                      <w:szCs w:val="21"/>
                      <w:lang w:val="en-US" w:eastAsia="zh-CN" w:bidi="ar"/>
                    </w:rPr>
                    <w:t>0.0054</w:t>
                  </w:r>
                </w:p>
              </w:tc>
            </w:tr>
            <w:tr w14:paraId="746C08AF">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108" w:type="dxa"/>
                  <w:bottom w:w="0" w:type="dxa"/>
                  <w:right w:w="108" w:type="dxa"/>
                </w:tblCellMar>
              </w:tblPrEx>
              <w:trPr>
                <w:trHeight w:val="816" w:hRule="atLeast"/>
                <w:jc w:val="center"/>
              </w:trPr>
              <w:tc>
                <w:tcPr>
                  <w:tcW w:w="1554" w:type="dxa"/>
                  <w:tcBorders>
                    <w:tl2br w:val="nil"/>
                    <w:tr2bl w:val="nil"/>
                  </w:tcBorders>
                  <w:noWrap w:val="0"/>
                  <w:vAlign w:val="center"/>
                </w:tcPr>
                <w:p w14:paraId="4538D02F">
                  <w:pPr>
                    <w:keepNext w:val="0"/>
                    <w:keepLines w:val="0"/>
                    <w:pageBreakBefore w:val="0"/>
                    <w:widowControl w:val="0"/>
                    <w:kinsoku/>
                    <w:wordWrap/>
                    <w:overflowPunct/>
                    <w:topLinePunct w:val="0"/>
                    <w:autoSpaceDE/>
                    <w:autoSpaceDN/>
                    <w:bidi w:val="0"/>
                    <w:adjustRightInd/>
                    <w:snapToGrid/>
                    <w:spacing w:line="240" w:lineRule="auto"/>
                    <w:ind w:firstLine="420" w:firstLineChars="0"/>
                    <w:jc w:val="center"/>
                    <w:textAlignment w:val="auto"/>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排放方式</w:t>
                  </w:r>
                </w:p>
              </w:tc>
              <w:tc>
                <w:tcPr>
                  <w:tcW w:w="6862" w:type="dxa"/>
                  <w:gridSpan w:val="7"/>
                  <w:tcBorders>
                    <w:tl2br w:val="nil"/>
                    <w:tr2bl w:val="nil"/>
                  </w:tcBorders>
                  <w:noWrap w:val="0"/>
                  <w:vAlign w:val="center"/>
                </w:tcPr>
                <w:p w14:paraId="0D4D9017">
                  <w:pPr>
                    <w:pStyle w:val="29"/>
                    <w:spacing w:before="0" w:beforeLines="0" w:beforeAutospacing="0" w:after="0" w:afterLines="0" w:afterAutospacing="0" w:line="360" w:lineRule="auto"/>
                    <w:ind w:firstLine="0" w:firstLineChars="0"/>
                    <w:jc w:val="center"/>
                    <w:rPr>
                      <w:rFonts w:hint="default" w:ascii="Calibri" w:hAnsi="宋体" w:eastAsia="宋体" w:cs="Times New Roman"/>
                      <w:color w:val="auto"/>
                      <w:kern w:val="2"/>
                      <w:sz w:val="21"/>
                      <w:szCs w:val="21"/>
                      <w:lang w:val="en-US" w:eastAsia="zh-CN" w:bidi="ar"/>
                    </w:rPr>
                  </w:pPr>
                  <w:r>
                    <w:rPr>
                      <w:rFonts w:hint="eastAsia" w:ascii="Times New Roman" w:hAnsi="Times New Roman" w:eastAsia="宋体" w:cs="Times New Roman"/>
                      <w:color w:val="auto"/>
                      <w:sz w:val="21"/>
                      <w:szCs w:val="21"/>
                      <w:lang w:val="en-US" w:eastAsia="zh-CN"/>
                    </w:rPr>
                    <w:t>化粪池经过简单沉淀发酵处理后，由附近村民定期清掏作为农家肥使用，不外排。</w:t>
                  </w:r>
                </w:p>
              </w:tc>
            </w:tr>
          </w:tbl>
          <w:p w14:paraId="0E72E397">
            <w:pPr>
              <w:pStyle w:val="16"/>
              <w:keepNext w:val="0"/>
              <w:keepLines w:val="0"/>
              <w:pageBreakBefore w:val="0"/>
              <w:widowControl w:val="0"/>
              <w:kinsoku/>
              <w:wordWrap/>
              <w:overflowPunct/>
              <w:topLinePunct w:val="0"/>
              <w:bidi w:val="0"/>
              <w:snapToGrid/>
              <w:spacing w:line="360" w:lineRule="auto"/>
              <w:textAlignment w:val="auto"/>
              <w:rPr>
                <w:rFonts w:hint="default" w:ascii="宋体" w:hAnsi="宋体" w:eastAsia="宋体" w:cs="宋体"/>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r>
              <w:rPr>
                <w:rFonts w:hint="eastAsia" w:ascii="宋体" w:hAnsi="宋体" w:eastAsia="宋体" w:cs="宋体"/>
                <w:color w:val="auto"/>
                <w:sz w:val="24"/>
                <w:szCs w:val="24"/>
                <w:lang w:val="en-US" w:eastAsia="zh-CN"/>
              </w:rPr>
              <w:t>（2）生产废水</w:t>
            </w:r>
          </w:p>
          <w:p w14:paraId="3041D518">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清洗废水</w:t>
            </w:r>
          </w:p>
          <w:p w14:paraId="1D769F92">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本项目的生产废水主要为清洗废水，包括物料清洗、设备清洗及地面清洗等废水，</w:t>
            </w:r>
            <w:r>
              <w:rPr>
                <w:rFonts w:hint="default" w:ascii="Times New Roman" w:hAnsi="Times New Roman" w:cs="Times New Roman"/>
                <w:color w:val="auto"/>
                <w:sz w:val="24"/>
                <w:szCs w:val="24"/>
                <w:highlight w:val="none"/>
                <w:lang w:val="en-US" w:eastAsia="zh-CN"/>
              </w:rPr>
              <w:t>根据《排放源统计调查产排污核算方法和系数手册》中“137 蔬菜、菌类、水果和坚果加工行业系数手册”1373水果和坚果加工行业，</w:t>
            </w:r>
            <w:r>
              <w:rPr>
                <w:rFonts w:hint="eastAsia" w:ascii="Times New Roman" w:hAnsi="Times New Roman" w:cs="Times New Roman"/>
                <w:color w:val="auto"/>
                <w:sz w:val="24"/>
                <w:szCs w:val="24"/>
                <w:highlight w:val="none"/>
                <w:lang w:val="en-US" w:eastAsia="zh-CN"/>
              </w:rPr>
              <w:t>由于本项目清洗废水循环使用，每天生产结束更换，因此</w:t>
            </w:r>
            <w:r>
              <w:rPr>
                <w:rFonts w:hint="default" w:ascii="Times New Roman" w:hAnsi="Times New Roman" w:cs="Times New Roman"/>
                <w:color w:val="auto"/>
                <w:sz w:val="24"/>
                <w:szCs w:val="24"/>
                <w:highlight w:val="none"/>
                <w:lang w:val="en-US" w:eastAsia="zh-CN"/>
              </w:rPr>
              <w:t>清洗+烘干工序废水产物系数为</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t/t-产品，本项目有1300t/a的壳果是直接收购来料烘干加工的，是不需要清洗的，因此需要清洗的产品产量为1700t/a，则坚果加工过程产生的清洗废水产生量为</w:t>
            </w:r>
            <w:r>
              <w:rPr>
                <w:rFonts w:hint="eastAsia" w:ascii="Times New Roman" w:hAnsi="Times New Roman" w:cs="Times New Roman"/>
                <w:color w:val="auto"/>
                <w:sz w:val="24"/>
                <w:szCs w:val="24"/>
                <w:highlight w:val="none"/>
                <w:lang w:val="en-US" w:eastAsia="zh-CN"/>
              </w:rPr>
              <w:t>1700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/d。排污系数按照0.</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计算，清洗废水废水量为</w:t>
            </w:r>
            <w:r>
              <w:rPr>
                <w:rFonts w:hint="eastAsia" w:ascii="Times New Roman" w:hAnsi="Times New Roman" w:cs="Times New Roman"/>
                <w:color w:val="auto"/>
                <w:sz w:val="24"/>
                <w:szCs w:val="24"/>
                <w:highlight w:val="none"/>
                <w:lang w:val="en-US" w:eastAsia="zh-CN"/>
              </w:rPr>
              <w:t>7.65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1530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14:paraId="6B7A9C5E">
            <w:pPr>
              <w:tabs>
                <w:tab w:val="left" w:pos="4680"/>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lang w:val="en-US" w:eastAsia="zh-CN"/>
              </w:rPr>
              <w:t>冷却机系统补水</w:t>
            </w:r>
          </w:p>
          <w:p w14:paraId="28D5B13A">
            <w:pPr>
              <w:pStyle w:val="16"/>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配套冷藏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冷冻库的冷却机，系统用水为冷却水，自然冷却后循环使用，不外排。根据设备厂家提供的技术资料，因蒸发损失，每天需补充新鲜水0.2m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/d，40m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14:paraId="0344BDA2">
            <w:pPr>
              <w:pStyle w:val="16"/>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项目生产总用水量约为8.7m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/d，1740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，生产废水产生量为7.65m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/d，1530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。本项目生产废水经过自建污水处理站（沉淀分离+厌氧生物+好氧生物处理工艺）处理后，废水水质可达到《农田灌溉水质标准》（GB5084-2021），建设单位拉运至坚果地及旱地浇灌，不外排。</w:t>
            </w:r>
          </w:p>
          <w:p w14:paraId="7F7CD4F6">
            <w:pPr>
              <w:pStyle w:val="16"/>
              <w:adjustRightInd w:val="0"/>
              <w:snapToGrid w:val="0"/>
              <w:spacing w:line="360" w:lineRule="auto"/>
              <w:ind w:firstLine="480" w:firstLineChars="200"/>
              <w:rPr>
                <w:rFonts w:hint="eastAsia" w:cs="Times New Roman"/>
                <w:b/>
                <w:bCs/>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生产废水</w:t>
            </w:r>
            <w:r>
              <w:rPr>
                <w:rFonts w:hint="default" w:ascii="Times New Roman" w:hAnsi="Times New Roman" w:eastAsia="宋体" w:cs="Times New Roman"/>
                <w:b w:val="0"/>
                <w:bCs w:val="0"/>
                <w:color w:val="auto"/>
                <w:sz w:val="24"/>
                <w:szCs w:val="24"/>
                <w:highlight w:val="none"/>
                <w:lang w:val="en-US" w:eastAsia="zh-CN"/>
              </w:rPr>
              <w:t>水污染物产生情况根据《排放源统计调查产排污核算方法和系数手册》中</w:t>
            </w:r>
            <w:r>
              <w:rPr>
                <w:rFonts w:hint="eastAsia" w:ascii="Times New Roman" w:hAnsi="Times New Roman" w:eastAsia="宋体" w:cs="Times New Roman"/>
                <w:b w:val="0"/>
                <w:bCs w:val="0"/>
                <w:color w:val="auto"/>
                <w:sz w:val="24"/>
                <w:szCs w:val="24"/>
                <w:highlight w:val="none"/>
                <w:lang w:val="en-US" w:eastAsia="zh-CN"/>
              </w:rPr>
              <w:t>“137 蔬菜、菌类、水果和坚果加工行业系数手册”中1373水果和坚果加工行业</w:t>
            </w:r>
            <w:r>
              <w:rPr>
                <w:rFonts w:hint="default" w:ascii="Times New Roman" w:hAnsi="Times New Roman" w:eastAsia="宋体" w:cs="Times New Roman"/>
                <w:b w:val="0"/>
                <w:bCs w:val="0"/>
                <w:color w:val="auto"/>
                <w:sz w:val="24"/>
                <w:szCs w:val="24"/>
                <w:highlight w:val="none"/>
                <w:lang w:val="en-US" w:eastAsia="zh-CN"/>
              </w:rPr>
              <w:t>产排污系数</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本项目生产废水中水污染物产生情况见下表。</w:t>
            </w:r>
          </w:p>
          <w:p w14:paraId="07F57C9D">
            <w:pPr>
              <w:adjustRightInd w:val="0"/>
              <w:snapToGrid w:val="0"/>
              <w:spacing w:line="360" w:lineRule="auto"/>
              <w:jc w:val="center"/>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表4-9  生产废水污染物产生情况及达标情况一览表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1840"/>
              <w:gridCol w:w="1794"/>
              <w:gridCol w:w="1794"/>
              <w:gridCol w:w="1795"/>
            </w:tblGrid>
            <w:tr w14:paraId="2764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74" w:type="pc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3318210">
                  <w:pPr>
                    <w:pStyle w:val="16"/>
                    <w:snapToGrid w:val="0"/>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p>
                <w:p w14:paraId="0062DCB8">
                  <w:pPr>
                    <w:pStyle w:val="16"/>
                    <w:snapToGrid w:val="0"/>
                    <w:spacing w:line="360" w:lineRule="auto"/>
                    <w:jc w:val="center"/>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p w14:paraId="23968288">
                  <w:pPr>
                    <w:pStyle w:val="16"/>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1025" w:type="pct"/>
                  <w:noWrap w:val="0"/>
                  <w:vAlign w:val="center"/>
                </w:tcPr>
                <w:p w14:paraId="0819CE46">
                  <w:pPr>
                    <w:pStyle w:val="16"/>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化学需氧量</w:t>
                  </w:r>
                </w:p>
              </w:tc>
              <w:tc>
                <w:tcPr>
                  <w:tcW w:w="999" w:type="pct"/>
                  <w:noWrap w:val="0"/>
                  <w:vAlign w:val="center"/>
                </w:tcPr>
                <w:p w14:paraId="2E87CA5C">
                  <w:pPr>
                    <w:pStyle w:val="16"/>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氨氮</w:t>
                  </w:r>
                </w:p>
              </w:tc>
              <w:tc>
                <w:tcPr>
                  <w:tcW w:w="999" w:type="pct"/>
                  <w:noWrap w:val="0"/>
                  <w:vAlign w:val="center"/>
                </w:tcPr>
                <w:p w14:paraId="0477920E">
                  <w:pPr>
                    <w:pStyle w:val="16"/>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总氮</w:t>
                  </w:r>
                </w:p>
              </w:tc>
              <w:tc>
                <w:tcPr>
                  <w:tcW w:w="1000" w:type="pct"/>
                  <w:noWrap w:val="0"/>
                  <w:vAlign w:val="center"/>
                </w:tcPr>
                <w:p w14:paraId="1921915F">
                  <w:pPr>
                    <w:pStyle w:val="16"/>
                    <w:spacing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总磷</w:t>
                  </w:r>
                </w:p>
              </w:tc>
            </w:tr>
            <w:tr w14:paraId="26A5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63059BB0">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单位</w:t>
                  </w:r>
                </w:p>
              </w:tc>
              <w:tc>
                <w:tcPr>
                  <w:tcW w:w="1025" w:type="pct"/>
                  <w:noWrap w:val="0"/>
                  <w:vAlign w:val="center"/>
                </w:tcPr>
                <w:p w14:paraId="7898A836">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克/吨-产品</w:t>
                  </w:r>
                </w:p>
              </w:tc>
              <w:tc>
                <w:tcPr>
                  <w:tcW w:w="999" w:type="pct"/>
                  <w:noWrap w:val="0"/>
                  <w:vAlign w:val="center"/>
                </w:tcPr>
                <w:p w14:paraId="6B4F9224">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克/吨-产品</w:t>
                  </w:r>
                </w:p>
              </w:tc>
              <w:tc>
                <w:tcPr>
                  <w:tcW w:w="999" w:type="pct"/>
                  <w:noWrap w:val="0"/>
                  <w:vAlign w:val="center"/>
                </w:tcPr>
                <w:p w14:paraId="4FB5C1F8">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克/吨-产品</w:t>
                  </w:r>
                </w:p>
              </w:tc>
              <w:tc>
                <w:tcPr>
                  <w:tcW w:w="1000" w:type="pct"/>
                  <w:noWrap w:val="0"/>
                  <w:vAlign w:val="center"/>
                </w:tcPr>
                <w:p w14:paraId="3BD85FCD">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克/吨-产品</w:t>
                  </w:r>
                </w:p>
              </w:tc>
            </w:tr>
            <w:tr w14:paraId="3AEB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50B3501C">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产污系数</w:t>
                  </w:r>
                </w:p>
              </w:tc>
              <w:tc>
                <w:tcPr>
                  <w:tcW w:w="1025" w:type="pct"/>
                  <w:noWrap w:val="0"/>
                  <w:vAlign w:val="center"/>
                </w:tcPr>
                <w:p w14:paraId="2D37A557">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2.08</w:t>
                  </w:r>
                  <w:r>
                    <w:rPr>
                      <w:rFonts w:hint="default" w:ascii="Arial" w:hAnsi="Arial" w:eastAsia="宋体" w:cs="Arial"/>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999" w:type="pct"/>
                  <w:noWrap w:val="0"/>
                  <w:vAlign w:val="center"/>
                </w:tcPr>
                <w:p w14:paraId="15AF38DB">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104</w:t>
                  </w:r>
                </w:p>
              </w:tc>
              <w:tc>
                <w:tcPr>
                  <w:tcW w:w="999" w:type="pct"/>
                  <w:noWrap w:val="0"/>
                  <w:vAlign w:val="center"/>
                </w:tcPr>
                <w:p w14:paraId="5D26FDDA">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260</w:t>
                  </w:r>
                </w:p>
              </w:tc>
              <w:tc>
                <w:tcPr>
                  <w:tcW w:w="1000" w:type="pct"/>
                  <w:noWrap w:val="0"/>
                  <w:vAlign w:val="center"/>
                </w:tcPr>
                <w:p w14:paraId="400DF89B">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38.0</w:t>
                  </w:r>
                </w:p>
              </w:tc>
            </w:tr>
            <w:tr w14:paraId="394C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10B1C7FF">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产生量（t）</w:t>
                  </w:r>
                </w:p>
              </w:tc>
              <w:tc>
                <w:tcPr>
                  <w:tcW w:w="1025" w:type="pct"/>
                  <w:noWrap w:val="0"/>
                  <w:vAlign w:val="center"/>
                </w:tcPr>
                <w:p w14:paraId="4A3E728D">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3.54</w:t>
                  </w:r>
                </w:p>
              </w:tc>
              <w:tc>
                <w:tcPr>
                  <w:tcW w:w="999" w:type="pct"/>
                  <w:noWrap w:val="0"/>
                  <w:vAlign w:val="center"/>
                </w:tcPr>
                <w:p w14:paraId="08B60879">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0.177</w:t>
                  </w:r>
                </w:p>
              </w:tc>
              <w:tc>
                <w:tcPr>
                  <w:tcW w:w="999" w:type="pct"/>
                  <w:noWrap w:val="0"/>
                  <w:vAlign w:val="center"/>
                </w:tcPr>
                <w:p w14:paraId="7DEC47BB">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0.442</w:t>
                  </w:r>
                </w:p>
              </w:tc>
              <w:tc>
                <w:tcPr>
                  <w:tcW w:w="1000" w:type="pct"/>
                  <w:noWrap w:val="0"/>
                  <w:vAlign w:val="center"/>
                </w:tcPr>
                <w:p w14:paraId="0186F233">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0.065</w:t>
                  </w:r>
                </w:p>
              </w:tc>
            </w:tr>
            <w:tr w14:paraId="47F8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74" w:type="pct"/>
                  <w:noWrap w:val="0"/>
                  <w:vAlign w:val="center"/>
                </w:tcPr>
                <w:p w14:paraId="6B3064CC">
                  <w:pPr>
                    <w:pStyle w:val="16"/>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产生浓度（mg/L）</w:t>
                  </w:r>
                </w:p>
              </w:tc>
              <w:tc>
                <w:tcPr>
                  <w:tcW w:w="1025" w:type="pct"/>
                  <w:noWrap w:val="0"/>
                  <w:vAlign w:val="center"/>
                </w:tcPr>
                <w:p w14:paraId="565728C1">
                  <w:pPr>
                    <w:pStyle w:val="16"/>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2313.7</w:t>
                  </w:r>
                </w:p>
              </w:tc>
              <w:tc>
                <w:tcPr>
                  <w:tcW w:w="999" w:type="pct"/>
                  <w:noWrap w:val="0"/>
                  <w:vAlign w:val="center"/>
                </w:tcPr>
                <w:p w14:paraId="67ABE0CE">
                  <w:pPr>
                    <w:pStyle w:val="16"/>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115.7</w:t>
                  </w:r>
                </w:p>
              </w:tc>
              <w:tc>
                <w:tcPr>
                  <w:tcW w:w="999" w:type="pct"/>
                  <w:noWrap w:val="0"/>
                  <w:vAlign w:val="center"/>
                </w:tcPr>
                <w:p w14:paraId="71A38184">
                  <w:pPr>
                    <w:pStyle w:val="16"/>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288.9</w:t>
                  </w:r>
                </w:p>
              </w:tc>
              <w:tc>
                <w:tcPr>
                  <w:tcW w:w="1000" w:type="pct"/>
                  <w:noWrap w:val="0"/>
                  <w:vAlign w:val="center"/>
                </w:tcPr>
                <w:p w14:paraId="21578831">
                  <w:pPr>
                    <w:pStyle w:val="16"/>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42.5</w:t>
                  </w:r>
                </w:p>
              </w:tc>
            </w:tr>
            <w:tr w14:paraId="32AD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34B7F19B">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末端治理技术</w:t>
                  </w:r>
                </w:p>
              </w:tc>
              <w:tc>
                <w:tcPr>
                  <w:tcW w:w="1025" w:type="pct"/>
                  <w:noWrap w:val="0"/>
                  <w:vAlign w:val="center"/>
                </w:tcPr>
                <w:p w14:paraId="545ACE96">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沉淀分离</w:t>
                  </w:r>
                </w:p>
              </w:tc>
              <w:tc>
                <w:tcPr>
                  <w:tcW w:w="999" w:type="pct"/>
                  <w:noWrap w:val="0"/>
                  <w:vAlign w:val="center"/>
                </w:tcPr>
                <w:p w14:paraId="537F9FC7">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沉淀分离</w:t>
                  </w:r>
                </w:p>
              </w:tc>
              <w:tc>
                <w:tcPr>
                  <w:tcW w:w="999" w:type="pct"/>
                  <w:noWrap w:val="0"/>
                  <w:vAlign w:val="center"/>
                </w:tcPr>
                <w:p w14:paraId="5EEAE52F">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沉淀分离</w:t>
                  </w:r>
                </w:p>
              </w:tc>
              <w:tc>
                <w:tcPr>
                  <w:tcW w:w="1000" w:type="pct"/>
                  <w:noWrap w:val="0"/>
                  <w:vAlign w:val="center"/>
                </w:tcPr>
                <w:p w14:paraId="6CCDEA5C">
                  <w:pPr>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沉淀分离</w:t>
                  </w:r>
                </w:p>
              </w:tc>
            </w:tr>
            <w:tr w14:paraId="556D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294C423C">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治理</w:t>
                  </w:r>
                  <w:r>
                    <w:rPr>
                      <w:rFonts w:hint="eastAsia" w:ascii="Times New Roman" w:hAnsi="Times New Roman" w:eastAsia="宋体" w:cs="Times New Roman"/>
                      <w:b w:val="0"/>
                      <w:bCs w:val="0"/>
                      <w:color w:val="auto"/>
                      <w:sz w:val="21"/>
                      <w:szCs w:val="21"/>
                      <w:highlight w:val="none"/>
                      <w:vertAlign w:val="baseline"/>
                      <w:lang w:val="en-US" w:eastAsia="zh-CN"/>
                    </w:rPr>
                    <w:t>去除</w:t>
                  </w:r>
                  <w:r>
                    <w:rPr>
                      <w:rFonts w:hint="default" w:ascii="Times New Roman" w:hAnsi="Times New Roman" w:eastAsia="宋体" w:cs="Times New Roman"/>
                      <w:b w:val="0"/>
                      <w:bCs w:val="0"/>
                      <w:color w:val="auto"/>
                      <w:sz w:val="21"/>
                      <w:szCs w:val="21"/>
                      <w:highlight w:val="none"/>
                      <w:vertAlign w:val="baseline"/>
                      <w:lang w:val="en-US" w:eastAsia="zh-CN"/>
                    </w:rPr>
                    <w:t>效率%</w:t>
                  </w:r>
                </w:p>
              </w:tc>
              <w:tc>
                <w:tcPr>
                  <w:tcW w:w="1025" w:type="pct"/>
                  <w:noWrap w:val="0"/>
                  <w:vAlign w:val="center"/>
                </w:tcPr>
                <w:p w14:paraId="00B3FBF0">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999" w:type="pct"/>
                  <w:noWrap w:val="0"/>
                  <w:vAlign w:val="center"/>
                </w:tcPr>
                <w:p w14:paraId="33DEE468">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999" w:type="pct"/>
                  <w:noWrap w:val="0"/>
                  <w:vAlign w:val="center"/>
                </w:tcPr>
                <w:p w14:paraId="6C12BFD0">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1000" w:type="pct"/>
                  <w:noWrap w:val="0"/>
                  <w:vAlign w:val="center"/>
                </w:tcPr>
                <w:p w14:paraId="444FFCF3">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r>
            <w:tr w14:paraId="3D04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566D8F12">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末端治理技术</w:t>
                  </w:r>
                </w:p>
              </w:tc>
              <w:tc>
                <w:tcPr>
                  <w:tcW w:w="1025" w:type="pct"/>
                  <w:noWrap w:val="0"/>
                  <w:vAlign w:val="center"/>
                </w:tcPr>
                <w:p w14:paraId="0C24DD31">
                  <w:pPr>
                    <w:pStyle w:val="16"/>
                    <w:spacing w:line="36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厌氧生物+好氧生物处理法</w:t>
                  </w:r>
                </w:p>
              </w:tc>
              <w:tc>
                <w:tcPr>
                  <w:tcW w:w="999" w:type="pct"/>
                  <w:noWrap w:val="0"/>
                  <w:vAlign w:val="center"/>
                </w:tcPr>
                <w:p w14:paraId="447FD994">
                  <w:pPr>
                    <w:pStyle w:val="16"/>
                    <w:spacing w:line="36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厌氧生物+好氧生物处理法</w:t>
                  </w:r>
                </w:p>
              </w:tc>
              <w:tc>
                <w:tcPr>
                  <w:tcW w:w="999" w:type="pct"/>
                  <w:noWrap w:val="0"/>
                  <w:vAlign w:val="center"/>
                </w:tcPr>
                <w:p w14:paraId="388B6881">
                  <w:pPr>
                    <w:pStyle w:val="16"/>
                    <w:spacing w:line="36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厌氧生物+好氧生物处理法</w:t>
                  </w:r>
                </w:p>
              </w:tc>
              <w:tc>
                <w:tcPr>
                  <w:tcW w:w="1000" w:type="pct"/>
                  <w:noWrap w:val="0"/>
                  <w:vAlign w:val="center"/>
                </w:tcPr>
                <w:p w14:paraId="1B428A6B">
                  <w:pPr>
                    <w:pStyle w:val="16"/>
                    <w:spacing w:line="36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厌氧生物+好氧生物处理法</w:t>
                  </w:r>
                </w:p>
              </w:tc>
            </w:tr>
            <w:tr w14:paraId="09DB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620291E4">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治理</w:t>
                  </w:r>
                  <w:r>
                    <w:rPr>
                      <w:rFonts w:hint="eastAsia" w:ascii="Times New Roman" w:hAnsi="Times New Roman" w:eastAsia="宋体" w:cs="Times New Roman"/>
                      <w:b w:val="0"/>
                      <w:bCs w:val="0"/>
                      <w:color w:val="auto"/>
                      <w:sz w:val="21"/>
                      <w:szCs w:val="21"/>
                      <w:highlight w:val="none"/>
                      <w:vertAlign w:val="baseline"/>
                      <w:lang w:val="en-US" w:eastAsia="zh-CN"/>
                    </w:rPr>
                    <w:t>去除</w:t>
                  </w:r>
                  <w:r>
                    <w:rPr>
                      <w:rFonts w:hint="default" w:ascii="Times New Roman" w:hAnsi="Times New Roman" w:eastAsia="宋体" w:cs="Times New Roman"/>
                      <w:b w:val="0"/>
                      <w:bCs w:val="0"/>
                      <w:color w:val="auto"/>
                      <w:sz w:val="21"/>
                      <w:szCs w:val="21"/>
                      <w:highlight w:val="none"/>
                      <w:vertAlign w:val="baseline"/>
                      <w:lang w:val="en-US" w:eastAsia="zh-CN"/>
                    </w:rPr>
                    <w:t>效率%</w:t>
                  </w:r>
                </w:p>
              </w:tc>
              <w:tc>
                <w:tcPr>
                  <w:tcW w:w="1025" w:type="pct"/>
                  <w:noWrap w:val="0"/>
                  <w:vAlign w:val="center"/>
                </w:tcPr>
                <w:p w14:paraId="614DDAB4">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90</w:t>
                  </w:r>
                </w:p>
              </w:tc>
              <w:tc>
                <w:tcPr>
                  <w:tcW w:w="999" w:type="pct"/>
                  <w:noWrap w:val="0"/>
                  <w:vAlign w:val="center"/>
                </w:tcPr>
                <w:p w14:paraId="464CDC80">
                  <w:pPr>
                    <w:pStyle w:val="16"/>
                    <w:spacing w:line="36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85</w:t>
                  </w:r>
                </w:p>
              </w:tc>
              <w:tc>
                <w:tcPr>
                  <w:tcW w:w="999" w:type="pct"/>
                  <w:noWrap w:val="0"/>
                  <w:vAlign w:val="center"/>
                </w:tcPr>
                <w:p w14:paraId="1E65131B">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70</w:t>
                  </w:r>
                </w:p>
              </w:tc>
              <w:tc>
                <w:tcPr>
                  <w:tcW w:w="1000" w:type="pct"/>
                  <w:noWrap w:val="0"/>
                  <w:vAlign w:val="center"/>
                </w:tcPr>
                <w:p w14:paraId="5D323410">
                  <w:pPr>
                    <w:pStyle w:val="16"/>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60</w:t>
                  </w:r>
                </w:p>
              </w:tc>
            </w:tr>
            <w:tr w14:paraId="54C1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0FBAFF9D">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排放量（t）</w:t>
                  </w:r>
                </w:p>
              </w:tc>
              <w:tc>
                <w:tcPr>
                  <w:tcW w:w="1025" w:type="pct"/>
                  <w:noWrap w:val="0"/>
                  <w:vAlign w:val="center"/>
                </w:tcPr>
                <w:p w14:paraId="28856FB7">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0.28</w:t>
                  </w:r>
                </w:p>
              </w:tc>
              <w:tc>
                <w:tcPr>
                  <w:tcW w:w="999" w:type="pct"/>
                  <w:noWrap w:val="0"/>
                  <w:vAlign w:val="center"/>
                </w:tcPr>
                <w:p w14:paraId="2551F93D">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0.02</w:t>
                  </w:r>
                </w:p>
              </w:tc>
              <w:tc>
                <w:tcPr>
                  <w:tcW w:w="999" w:type="pct"/>
                  <w:noWrap w:val="0"/>
                  <w:vAlign w:val="center"/>
                </w:tcPr>
                <w:p w14:paraId="7BADEDE6">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0.12</w:t>
                  </w:r>
                </w:p>
              </w:tc>
              <w:tc>
                <w:tcPr>
                  <w:tcW w:w="1000" w:type="pct"/>
                  <w:noWrap w:val="0"/>
                  <w:vAlign w:val="center"/>
                </w:tcPr>
                <w:p w14:paraId="54D42315">
                  <w:pPr>
                    <w:pStyle w:val="16"/>
                    <w:spacing w:line="36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0.023</w:t>
                  </w:r>
                </w:p>
              </w:tc>
            </w:tr>
            <w:tr w14:paraId="0079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2BD5F5A8">
                  <w:pPr>
                    <w:pStyle w:val="16"/>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排放浓度（mg/L）</w:t>
                  </w:r>
                </w:p>
              </w:tc>
              <w:tc>
                <w:tcPr>
                  <w:tcW w:w="1025" w:type="pct"/>
                  <w:noWrap w:val="0"/>
                  <w:vAlign w:val="center"/>
                </w:tcPr>
                <w:p w14:paraId="5D51D3DB">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180.1</w:t>
                  </w:r>
                </w:p>
              </w:tc>
              <w:tc>
                <w:tcPr>
                  <w:tcW w:w="999" w:type="pct"/>
                  <w:noWrap w:val="0"/>
                  <w:vAlign w:val="center"/>
                </w:tcPr>
                <w:p w14:paraId="0B187826">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15.6</w:t>
                  </w:r>
                </w:p>
              </w:tc>
              <w:tc>
                <w:tcPr>
                  <w:tcW w:w="999" w:type="pct"/>
                  <w:noWrap w:val="0"/>
                  <w:vAlign w:val="center"/>
                </w:tcPr>
                <w:p w14:paraId="4691AB9B">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78.0</w:t>
                  </w:r>
                </w:p>
              </w:tc>
              <w:tc>
                <w:tcPr>
                  <w:tcW w:w="1000" w:type="pct"/>
                  <w:noWrap w:val="0"/>
                  <w:vAlign w:val="center"/>
                </w:tcPr>
                <w:p w14:paraId="51123D2A">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15.3</w:t>
                  </w:r>
                </w:p>
              </w:tc>
            </w:tr>
            <w:tr w14:paraId="6331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74" w:type="pct"/>
                  <w:noWrap w:val="0"/>
                  <w:vAlign w:val="center"/>
                </w:tcPr>
                <w:p w14:paraId="410EE1A8">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标准值（mg/L）</w:t>
                  </w:r>
                </w:p>
              </w:tc>
              <w:tc>
                <w:tcPr>
                  <w:tcW w:w="1025" w:type="pct"/>
                  <w:noWrap w:val="0"/>
                  <w:vAlign w:val="center"/>
                </w:tcPr>
                <w:p w14:paraId="420569BC">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00</w:t>
                  </w:r>
                </w:p>
              </w:tc>
              <w:tc>
                <w:tcPr>
                  <w:tcW w:w="999" w:type="pct"/>
                  <w:noWrap w:val="0"/>
                  <w:vAlign w:val="center"/>
                </w:tcPr>
                <w:p w14:paraId="49CBF1A7">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999" w:type="pct"/>
                  <w:noWrap w:val="0"/>
                  <w:vAlign w:val="center"/>
                </w:tcPr>
                <w:p w14:paraId="079ED17D">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000" w:type="pct"/>
                  <w:noWrap w:val="0"/>
                  <w:vAlign w:val="center"/>
                </w:tcPr>
                <w:p w14:paraId="59C2EDF7">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14:paraId="786D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73218731">
                  <w:pPr>
                    <w:pStyle w:val="16"/>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达标情况</w:t>
                  </w:r>
                </w:p>
              </w:tc>
              <w:tc>
                <w:tcPr>
                  <w:tcW w:w="1025" w:type="pct"/>
                  <w:noWrap w:val="0"/>
                  <w:vAlign w:val="center"/>
                </w:tcPr>
                <w:p w14:paraId="6BE269B8">
                  <w:pPr>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达标</w:t>
                  </w:r>
                </w:p>
              </w:tc>
              <w:tc>
                <w:tcPr>
                  <w:tcW w:w="999" w:type="pct"/>
                  <w:noWrap w:val="0"/>
                  <w:vAlign w:val="center"/>
                </w:tcPr>
                <w:p w14:paraId="1251DC60">
                  <w:pPr>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999" w:type="pct"/>
                  <w:noWrap w:val="0"/>
                  <w:vAlign w:val="center"/>
                </w:tcPr>
                <w:p w14:paraId="03C46A24">
                  <w:pPr>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00" w:type="pct"/>
                  <w:noWrap w:val="0"/>
                  <w:vAlign w:val="center"/>
                </w:tcPr>
                <w:p w14:paraId="511C63D9">
                  <w:pPr>
                    <w:spacing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bl>
          <w:p w14:paraId="7BCECBAC">
            <w:pPr>
              <w:numPr>
                <w:ilvl w:val="0"/>
                <w:numId w:val="0"/>
              </w:numPr>
              <w:adjustRightInd w:val="0"/>
              <w:snapToGrid w:val="0"/>
              <w:spacing w:line="360" w:lineRule="auto"/>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2.2.2</w:t>
            </w:r>
            <w:r>
              <w:rPr>
                <w:rFonts w:hint="default" w:ascii="Times New Roman" w:hAnsi="Times New Roman" w:eastAsia="宋体" w:cs="Times New Roman"/>
                <w:b w:val="0"/>
                <w:bCs w:val="0"/>
                <w:color w:val="auto"/>
                <w:kern w:val="2"/>
                <w:sz w:val="24"/>
                <w:szCs w:val="24"/>
                <w:highlight w:val="none"/>
                <w:lang w:val="en-US" w:eastAsia="zh-CN" w:bidi="ar-SA"/>
              </w:rPr>
              <w:t>地表水环境影响及措施可行性分析</w:t>
            </w:r>
          </w:p>
          <w:p w14:paraId="3CDED1A7">
            <w:pPr>
              <w:numPr>
                <w:ilvl w:val="0"/>
                <w:numId w:val="0"/>
              </w:numPr>
              <w:adjustRightInd w:val="0"/>
              <w:snapToGrid w:val="0"/>
              <w:spacing w:line="360" w:lineRule="auto"/>
              <w:ind w:leftChars="0"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r>
              <w:rPr>
                <w:rFonts w:hint="default" w:ascii="Times New Roman" w:hAnsi="Times New Roman" w:eastAsia="宋体" w:cs="Times New Roman"/>
                <w:b w:val="0"/>
                <w:bCs w:val="0"/>
                <w:color w:val="auto"/>
                <w:kern w:val="2"/>
                <w:sz w:val="24"/>
                <w:szCs w:val="24"/>
                <w:highlight w:val="none"/>
                <w:lang w:val="en-US" w:eastAsia="zh-CN" w:bidi="ar-SA"/>
              </w:rPr>
              <w:t>化粪池</w:t>
            </w:r>
            <w:r>
              <w:rPr>
                <w:rFonts w:hint="eastAsia" w:ascii="Times New Roman" w:hAnsi="Times New Roman" w:eastAsia="宋体" w:cs="Times New Roman"/>
                <w:b w:val="0"/>
                <w:bCs w:val="0"/>
                <w:color w:val="auto"/>
                <w:kern w:val="2"/>
                <w:sz w:val="24"/>
                <w:szCs w:val="24"/>
                <w:highlight w:val="none"/>
                <w:lang w:val="en-US" w:eastAsia="zh-CN" w:bidi="ar-SA"/>
              </w:rPr>
              <w:t>容积合理性</w:t>
            </w:r>
            <w:r>
              <w:rPr>
                <w:rFonts w:hint="default" w:ascii="Times New Roman" w:hAnsi="Times New Roman" w:eastAsia="宋体" w:cs="Times New Roman"/>
                <w:b w:val="0"/>
                <w:bCs w:val="0"/>
                <w:color w:val="auto"/>
                <w:kern w:val="2"/>
                <w:sz w:val="24"/>
                <w:szCs w:val="24"/>
                <w:highlight w:val="none"/>
                <w:lang w:val="en-US" w:eastAsia="zh-CN" w:bidi="ar-SA"/>
              </w:rPr>
              <w:t>分析</w:t>
            </w:r>
          </w:p>
          <w:p w14:paraId="2B2BA0B3">
            <w:pPr>
              <w:spacing w:line="360" w:lineRule="auto"/>
              <w:ind w:firstLine="480" w:firstLineChars="200"/>
              <w:rPr>
                <w:rFonts w:hint="eastAsia"/>
                <w:color w:val="auto"/>
                <w:sz w:val="24"/>
                <w:u w:val="single"/>
              </w:rPr>
            </w:pPr>
            <w:r>
              <w:rPr>
                <w:rFonts w:hint="eastAsia" w:hAnsi="宋体"/>
                <w:color w:val="auto"/>
                <w:sz w:val="24"/>
                <w:szCs w:val="28"/>
                <w:lang w:val="en-US" w:eastAsia="zh-CN"/>
              </w:rPr>
              <w:t>目前项目所在区域不属于污水处理厂纳污范围，因此</w:t>
            </w:r>
            <w:r>
              <w:rPr>
                <w:rFonts w:hint="eastAsia"/>
                <w:color w:val="auto"/>
                <w:sz w:val="24"/>
                <w:u w:val="none"/>
              </w:rPr>
              <w:t>项目产生的</w:t>
            </w:r>
            <w:r>
              <w:rPr>
                <w:rFonts w:hint="eastAsia" w:ascii="Times New Roman" w:hAnsi="Times New Roman" w:eastAsia="宋体" w:cs="Times New Roman"/>
                <w:color w:val="auto"/>
                <w:sz w:val="24"/>
                <w:szCs w:val="24"/>
                <w:highlight w:val="none"/>
                <w:lang w:val="en-US" w:eastAsia="zh-CN"/>
              </w:rPr>
              <w:t>食堂废水经隔油池处理后随其他生活废水排入生活区设置的</w:t>
            </w:r>
            <w:r>
              <w:rPr>
                <w:rFonts w:hint="default" w:ascii="Times New Roman" w:hAnsi="Times New Roman" w:eastAsia="宋体" w:cs="Times New Roman"/>
                <w:color w:val="auto"/>
                <w:sz w:val="24"/>
                <w:szCs w:val="24"/>
                <w:highlight w:val="none"/>
                <w:lang w:val="en-US" w:eastAsia="zh-CN"/>
              </w:rPr>
              <w:t>1座化粪池（容积</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定期由附近的村民清掏作为农家肥使用，不外排</w:t>
            </w:r>
            <w:r>
              <w:rPr>
                <w:rFonts w:hint="eastAsia" w:ascii="Times New Roman" w:hAnsi="Times New Roman" w:eastAsia="宋体" w:cs="Times New Roman"/>
                <w:color w:val="auto"/>
                <w:sz w:val="24"/>
                <w:szCs w:val="24"/>
                <w:highlight w:val="none"/>
                <w:lang w:val="en-US" w:eastAsia="zh-CN"/>
              </w:rPr>
              <w:t>，不设置排污口，</w:t>
            </w:r>
            <w:r>
              <w:rPr>
                <w:rFonts w:hint="eastAsia"/>
                <w:color w:val="auto"/>
                <w:sz w:val="24"/>
                <w:u w:val="none"/>
              </w:rPr>
              <w:t>措施可行，对环境的影响在可接受的范围内</w:t>
            </w:r>
            <w:r>
              <w:rPr>
                <w:color w:val="auto"/>
                <w:sz w:val="24"/>
                <w:u w:val="none"/>
              </w:rPr>
              <w:t>。</w:t>
            </w:r>
          </w:p>
          <w:p w14:paraId="38845235">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生活污水产生量约为</w:t>
            </w:r>
            <w:r>
              <w:rPr>
                <w:rFonts w:hint="eastAsia" w:ascii="Times New Roman" w:hAnsi="Times New Roman" w:eastAsia="宋体" w:cs="Times New Roman"/>
                <w:color w:val="auto"/>
                <w:sz w:val="24"/>
                <w:szCs w:val="24"/>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192.0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val="en-US" w:eastAsia="zh-CN"/>
              </w:rPr>
              <w:t>设计设置化粪池容积为4m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hAnsi="宋体"/>
                <w:color w:val="auto"/>
                <w:sz w:val="24"/>
                <w:szCs w:val="21"/>
                <w:lang w:val="en-US" w:eastAsia="zh-CN"/>
              </w:rPr>
              <w:t>可满足废水在化粪池的停留时间不小于24小时，又</w:t>
            </w:r>
            <w:r>
              <w:rPr>
                <w:rFonts w:hint="default" w:ascii="Times New Roman" w:hAnsi="Times New Roman" w:eastAsia="宋体" w:cs="Times New Roman"/>
                <w:color w:val="auto"/>
                <w:sz w:val="24"/>
                <w:szCs w:val="24"/>
                <w:lang w:val="en-US" w:eastAsia="zh-CN"/>
              </w:rPr>
              <w:t>可以连续储存</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天以上，避免生活污水短时间出现外溢，</w:t>
            </w:r>
            <w:r>
              <w:rPr>
                <w:rFonts w:hint="eastAsia" w:ascii="Times New Roman" w:hAnsi="Times New Roman" w:eastAsia="宋体" w:cs="Times New Roman"/>
                <w:color w:val="auto"/>
                <w:sz w:val="24"/>
                <w:szCs w:val="24"/>
                <w:lang w:val="en-US" w:eastAsia="zh-CN"/>
              </w:rPr>
              <w:t>只要</w:t>
            </w:r>
            <w:r>
              <w:rPr>
                <w:rFonts w:hint="eastAsia" w:ascii="Times New Roman" w:hAnsi="宋体" w:eastAsia="宋体" w:cs="Times New Roman"/>
                <w:color w:val="auto"/>
                <w:sz w:val="24"/>
                <w:lang w:val="en-US" w:eastAsia="zh-CN"/>
              </w:rPr>
              <w:t>合理安排清掏周期，</w:t>
            </w:r>
            <w:r>
              <w:rPr>
                <w:rFonts w:hint="default" w:ascii="Times New Roman" w:hAnsi="Times New Roman" w:eastAsia="宋体" w:cs="Times New Roman"/>
                <w:color w:val="auto"/>
                <w:sz w:val="24"/>
                <w:szCs w:val="24"/>
                <w:highlight w:val="none"/>
                <w:lang w:val="en-US" w:eastAsia="zh-CN"/>
              </w:rPr>
              <w:t>本项目化粪池</w:t>
            </w:r>
            <w:r>
              <w:rPr>
                <w:rFonts w:hint="eastAsia" w:ascii="Times New Roman" w:hAnsi="Times New Roman" w:eastAsia="宋体" w:cs="Times New Roman"/>
                <w:color w:val="auto"/>
                <w:sz w:val="24"/>
                <w:szCs w:val="24"/>
                <w:highlight w:val="none"/>
                <w:lang w:val="en-US" w:eastAsia="zh-CN"/>
              </w:rPr>
              <w:t>容积设置</w:t>
            </w:r>
            <w:r>
              <w:rPr>
                <w:rFonts w:hint="default" w:ascii="Times New Roman" w:hAnsi="Times New Roman" w:eastAsia="宋体" w:cs="Times New Roman"/>
                <w:color w:val="auto"/>
                <w:sz w:val="24"/>
                <w:szCs w:val="24"/>
                <w:lang w:val="en-US" w:eastAsia="zh-CN"/>
              </w:rPr>
              <w:t>合理可行</w:t>
            </w:r>
            <w:r>
              <w:rPr>
                <w:rFonts w:hint="eastAsia" w:ascii="Times New Roman" w:hAnsi="Times New Roman" w:eastAsia="宋体" w:cs="Times New Roman"/>
                <w:color w:val="auto"/>
                <w:sz w:val="24"/>
                <w:szCs w:val="24"/>
                <w:lang w:val="en-US" w:eastAsia="zh-CN"/>
              </w:rPr>
              <w:t>。</w:t>
            </w:r>
          </w:p>
          <w:p w14:paraId="5B526D8B">
            <w:pPr>
              <w:pStyle w:val="13"/>
              <w:keepLines w:val="0"/>
              <w:pageBreakBefore w:val="0"/>
              <w:kinsoku/>
              <w:wordWrap/>
              <w:overflowPunct/>
              <w:topLinePunct w:val="0"/>
              <w:autoSpaceDE/>
              <w:autoSpaceDN/>
              <w:bidi w:val="0"/>
              <w:adjustRightInd w:val="0"/>
              <w:snapToGrid w:val="0"/>
              <w:spacing w:before="0" w:after="0"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考虑到</w:t>
            </w:r>
            <w:r>
              <w:rPr>
                <w:rFonts w:hint="default" w:ascii="Times New Roman" w:hAnsi="Times New Roman" w:eastAsia="宋体" w:cs="Times New Roman"/>
                <w:color w:val="auto"/>
                <w:sz w:val="24"/>
                <w:szCs w:val="24"/>
              </w:rPr>
              <w:t>食堂废水产生量约为</w:t>
            </w:r>
            <w:r>
              <w:rPr>
                <w:rFonts w:hint="eastAsia" w:ascii="Times New Roman" w:hAnsi="Times New Roman" w:eastAsia="宋体" w:cs="Times New Roman"/>
                <w:color w:val="auto"/>
                <w:sz w:val="24"/>
                <w:szCs w:val="24"/>
                <w:lang w:val="en-US" w:eastAsia="zh-CN"/>
              </w:rPr>
              <w:t>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Fonts w:hint="eastAsia"/>
                <w:color w:val="auto"/>
                <w:sz w:val="24"/>
                <w:szCs w:val="24"/>
                <w:lang w:val="en-US" w:eastAsia="zh-CN"/>
              </w:rPr>
              <w:t>食堂出水口设置1个隔油池（容积1.0m</w:t>
            </w:r>
            <w:r>
              <w:rPr>
                <w:rFonts w:hint="eastAsia"/>
                <w:color w:val="auto"/>
                <w:sz w:val="24"/>
                <w:szCs w:val="24"/>
                <w:vertAlign w:val="superscript"/>
                <w:lang w:val="en-US" w:eastAsia="zh-CN"/>
              </w:rPr>
              <w:t>3</w:t>
            </w:r>
            <w:r>
              <w:rPr>
                <w:rFonts w:hint="eastAsia"/>
                <w:color w:val="auto"/>
                <w:sz w:val="24"/>
                <w:szCs w:val="24"/>
                <w:lang w:val="en-US" w:eastAsia="zh-CN"/>
              </w:rPr>
              <w:t>），将食堂废水预处理后引至化粪池进行沉淀发酵。</w:t>
            </w:r>
          </w:p>
          <w:p w14:paraId="374EC95A">
            <w:pPr>
              <w:tabs>
                <w:tab w:val="left" w:pos="4680"/>
              </w:tabs>
              <w:spacing w:line="360" w:lineRule="auto"/>
              <w:ind w:firstLine="480" w:firstLineChars="200"/>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（2）生产废水处理措施可行性分析</w:t>
            </w:r>
          </w:p>
          <w:p w14:paraId="410A7906">
            <w:pPr>
              <w:spacing w:line="360" w:lineRule="auto"/>
              <w:ind w:firstLine="480" w:firstLineChars="200"/>
              <w:rPr>
                <w:rFonts w:hint="default" w:ascii="Times New Roman" w:hAnsi="宋体"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由于项目所在地无集中污水处理厂可以接纳本项目废水，因此环评要求自建污水处理站，采用沉淀分离+厌氧生物+好氧生物处理法工艺，该工艺属于</w:t>
            </w:r>
            <w:r>
              <w:rPr>
                <w:rFonts w:hint="eastAsia" w:ascii="Times New Roman" w:hAnsi="Times New Roman" w:eastAsia="宋体" w:cs="Times New Roman"/>
                <w:b w:val="0"/>
                <w:bCs w:val="0"/>
                <w:color w:val="auto"/>
                <w:kern w:val="2"/>
                <w:sz w:val="24"/>
                <w:szCs w:val="24"/>
                <w:highlight w:val="none"/>
                <w:lang w:val="en-US" w:eastAsia="zh-CN" w:bidi="ar-SA"/>
              </w:rPr>
              <w:t>《排污许可证申请与核发技术规范 调味品、发酵制品制造工业》（HJ1030.2-2019）</w:t>
            </w:r>
            <w:r>
              <w:rPr>
                <w:rFonts w:hint="eastAsia" w:ascii="Times New Roman" w:hAnsi="Times New Roman" w:cs="Times New Roman"/>
                <w:b w:val="0"/>
                <w:bCs w:val="0"/>
                <w:color w:val="auto"/>
                <w:spacing w:val="-10"/>
                <w:sz w:val="24"/>
                <w:szCs w:val="24"/>
                <w:lang w:val="en-US" w:eastAsia="zh-CN"/>
              </w:rPr>
              <w:t>中推荐</w:t>
            </w:r>
            <w:r>
              <w:rPr>
                <w:rFonts w:hAnsi="宋体"/>
                <w:b w:val="0"/>
                <w:bCs w:val="0"/>
                <w:color w:val="auto"/>
                <w:sz w:val="24"/>
                <w:szCs w:val="24"/>
              </w:rPr>
              <w:t>的</w:t>
            </w:r>
            <w:r>
              <w:rPr>
                <w:b w:val="0"/>
                <w:bCs w:val="0"/>
                <w:color w:val="auto"/>
                <w:sz w:val="24"/>
                <w:szCs w:val="24"/>
              </w:rPr>
              <w:t>“</w:t>
            </w:r>
            <w:r>
              <w:rPr>
                <w:rFonts w:hAnsi="宋体"/>
                <w:b w:val="0"/>
                <w:bCs w:val="0"/>
                <w:color w:val="auto"/>
                <w:sz w:val="24"/>
                <w:szCs w:val="24"/>
              </w:rPr>
              <w:t>可行技术</w:t>
            </w:r>
            <w:r>
              <w:rPr>
                <w:b w:val="0"/>
                <w:bCs w:val="0"/>
                <w:color w:val="auto"/>
                <w:sz w:val="24"/>
                <w:szCs w:val="24"/>
              </w:rPr>
              <w:t>”</w:t>
            </w:r>
            <w:r>
              <w:rPr>
                <w:rFonts w:hint="eastAsia" w:hAnsi="宋体"/>
                <w:b w:val="0"/>
                <w:bCs w:val="0"/>
                <w:color w:val="auto"/>
                <w:sz w:val="24"/>
                <w:szCs w:val="24"/>
                <w:lang w:eastAsia="zh-CN"/>
              </w:rPr>
              <w:t>。</w:t>
            </w:r>
            <w:r>
              <w:rPr>
                <w:rFonts w:hint="eastAsia" w:ascii="Times New Roman" w:hAnsi="Times New Roman" w:eastAsia="宋体" w:cs="Times New Roman"/>
                <w:color w:val="auto"/>
                <w:sz w:val="24"/>
                <w:szCs w:val="24"/>
                <w:lang w:val="en-US" w:eastAsia="zh-CN"/>
              </w:rPr>
              <w:t>按照1.25的设计系数，则自建污水处理站的处理规模为10m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/d</w:t>
            </w:r>
            <w:r>
              <w:rPr>
                <w:rFonts w:hint="eastAsia" w:ascii="Times New Roman" w:hAnsi="Times New Roman" w:eastAsia="宋体" w:cs="Times New Roman"/>
                <w:color w:val="auto"/>
                <w:sz w:val="24"/>
                <w:szCs w:val="24"/>
                <w:lang w:val="en-US" w:eastAsia="zh-CN"/>
              </w:rPr>
              <w:t>，可满足生产废水收集处理。环评要求在污水处理站的末端设置1座容积为10m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的贮水池用于处理后的废水暂存，同时为了防止废水在拉运途中发生泼洒，建设单位加强管理，购置1辆密闭罐车每天进行废水的转运</w:t>
            </w:r>
            <w:r>
              <w:rPr>
                <w:rFonts w:hint="eastAsia" w:ascii="Times New Roman" w:hAnsi="Times New Roman" w:eastAsia="宋体" w:cs="Times New Roman"/>
                <w:color w:val="auto"/>
                <w:sz w:val="24"/>
                <w:lang w:val="en-US" w:eastAsia="zh-CN"/>
              </w:rPr>
              <w:t>，</w:t>
            </w:r>
            <w:r>
              <w:rPr>
                <w:rFonts w:hint="eastAsia" w:ascii="Times New Roman" w:hAnsi="宋体" w:eastAsia="宋体" w:cs="Times New Roman"/>
                <w:color w:val="auto"/>
                <w:sz w:val="24"/>
                <w:lang w:val="en-US" w:eastAsia="zh-CN"/>
              </w:rPr>
              <w:t>严格控制污水输送沿途的弃、撒和跑、冒、滴、漏。</w:t>
            </w:r>
          </w:p>
          <w:p w14:paraId="2A889DE5">
            <w:pPr>
              <w:pStyle w:val="16"/>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分析，本项目产生的生产废水经过自建污水处理站处理后，废水水质可达到《农田灌溉水质标准》（GB5084-2021），建设单位拉运至坚果地及旱地浇灌，不外排。目前芒市福多乐商贸有限公司已经与芒市中山乡光明坚果种植基地签订了废水灌溉协议，该种植基地可提供坚果地及旱地共300亩，作为消纳废水的土地使用，因此措施可行。（见附件8）根据与当地的农户沟通了解，目前消纳土地田间均配套有储存池及浇灌管道（镀锌管材质），通过了解田间储存池的容积（约500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，单个容积为100m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），以解决农田在非浇灌及雨季期间的污水出路问题，不低于当地农作物用水的最大间隔时间（30d）内的项目排放的废水总量，不会出现污水不利用排入地表水体的问题。</w:t>
            </w:r>
          </w:p>
          <w:p w14:paraId="4440FCFD">
            <w:pPr>
              <w:adjustRightInd w:val="0"/>
              <w:snapToGrid w:val="0"/>
              <w:spacing w:line="360" w:lineRule="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2.2.3</w:t>
            </w:r>
            <w:r>
              <w:rPr>
                <w:rFonts w:hint="default" w:ascii="Times New Roman" w:hAnsi="Times New Roman" w:eastAsia="宋体" w:cs="Times New Roman"/>
                <w:b w:val="0"/>
                <w:bCs w:val="0"/>
                <w:color w:val="auto"/>
                <w:sz w:val="24"/>
                <w:szCs w:val="24"/>
                <w:highlight w:val="none"/>
                <w:lang w:val="en-US" w:eastAsia="zh-CN"/>
              </w:rPr>
              <w:t>废水环境影响分析结论</w:t>
            </w:r>
          </w:p>
          <w:p w14:paraId="0A7B8626">
            <w:pPr>
              <w:pStyle w:val="16"/>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项目区雨污分流，</w:t>
            </w:r>
            <w:r>
              <w:rPr>
                <w:rFonts w:hint="default" w:ascii="Times New Roman" w:hAnsi="Times New Roman" w:eastAsia="宋体" w:cs="Times New Roman"/>
                <w:color w:val="auto"/>
                <w:sz w:val="24"/>
                <w:szCs w:val="24"/>
                <w:lang w:val="en-US" w:eastAsia="zh-CN"/>
              </w:rPr>
              <w:t>环评要求将在食堂餐饮废水出水口设置</w:t>
            </w:r>
            <w:r>
              <w:rPr>
                <w:rFonts w:hint="eastAsia" w:ascii="Times New Roman" w:hAnsi="Times New Roman" w:eastAsia="宋体" w:cs="Times New Roman"/>
                <w:color w:val="auto"/>
                <w:sz w:val="24"/>
                <w:szCs w:val="24"/>
                <w:lang w:val="en-US" w:eastAsia="zh-CN"/>
              </w:rPr>
              <w:t>隔油池</w:t>
            </w:r>
            <w:r>
              <w:rPr>
                <w:rFonts w:hint="default" w:ascii="Times New Roman" w:hAnsi="Times New Roman" w:eastAsia="宋体" w:cs="Times New Roman"/>
                <w:color w:val="auto"/>
                <w:sz w:val="24"/>
                <w:szCs w:val="24"/>
                <w:lang w:val="en-US" w:eastAsia="zh-CN"/>
              </w:rPr>
              <w:t>进行预处理后，同其他生活污水排入化粪池经过简单沉淀发酵处理后，</w:t>
            </w:r>
            <w:r>
              <w:rPr>
                <w:rFonts w:hint="default" w:ascii="Times New Roman" w:hAnsi="Times New Roman" w:eastAsia="宋体" w:cs="Times New Roman"/>
                <w:color w:val="auto"/>
                <w:sz w:val="24"/>
                <w:szCs w:val="24"/>
                <w:highlight w:val="none"/>
                <w:lang w:val="en-US" w:eastAsia="zh-CN"/>
              </w:rPr>
              <w:t>由附近的村民清掏作为农家肥使用，不外排</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生产废水经过自建污水处理站处理后，</w:t>
            </w:r>
            <w:r>
              <w:rPr>
                <w:rFonts w:hint="eastAsia" w:ascii="Times New Roman" w:hAnsi="Times New Roman" w:eastAsia="宋体" w:cs="Times New Roman"/>
                <w:color w:val="auto"/>
                <w:sz w:val="24"/>
                <w:lang w:val="en-US" w:eastAsia="zh-CN"/>
              </w:rPr>
              <w:t>废水水质可达到《</w:t>
            </w:r>
            <w:r>
              <w:rPr>
                <w:rFonts w:hint="eastAsia" w:ascii="Times New Roman" w:hAnsi="Times New Roman" w:eastAsia="宋体" w:cs="Times New Roman"/>
                <w:color w:val="auto"/>
                <w:sz w:val="24"/>
              </w:rPr>
              <w:t>农田灌溉水质标准</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（GB5084-2</w:t>
            </w:r>
            <w:r>
              <w:rPr>
                <w:rFonts w:hint="eastAsia" w:ascii="Times New Roman" w:hAnsi="Times New Roman" w:eastAsia="宋体" w:cs="Times New Roman"/>
                <w:color w:val="auto"/>
                <w:sz w:val="24"/>
                <w:lang w:val="en-US" w:eastAsia="zh-CN"/>
              </w:rPr>
              <w:t>021</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由建设单位拉运至坚果地及旱地浇灌，</w:t>
            </w:r>
            <w:r>
              <w:rPr>
                <w:rFonts w:hint="eastAsia" w:ascii="Times New Roman" w:hAnsi="Times New Roman" w:eastAsia="宋体" w:cs="Times New Roman"/>
                <w:color w:val="auto"/>
                <w:sz w:val="24"/>
                <w:highlight w:val="none"/>
                <w:lang w:val="en-US" w:eastAsia="zh-CN"/>
              </w:rPr>
              <w:t>不外排。</w:t>
            </w:r>
          </w:p>
          <w:p w14:paraId="69E7ADD5">
            <w:pPr>
              <w:tabs>
                <w:tab w:val="left" w:pos="6482"/>
              </w:tabs>
              <w:adjustRightInd w:val="0"/>
              <w:snapToGrid w:val="0"/>
              <w:spacing w:line="360" w:lineRule="auto"/>
              <w:ind w:firstLine="480" w:firstLineChars="200"/>
              <w:rPr>
                <w:rFonts w:hint="eastAsia" w:ascii="宋体" w:hAnsi="宋体" w:eastAsia="宋体" w:cs="宋体"/>
                <w:color w:val="auto"/>
                <w:sz w:val="24"/>
                <w:szCs w:val="24"/>
              </w:rPr>
            </w:pPr>
            <w:r>
              <w:rPr>
                <w:rFonts w:hint="eastAsia" w:ascii="Times New Roman" w:hAnsi="宋体" w:eastAsia="宋体"/>
                <w:color w:val="auto"/>
                <w:sz w:val="24"/>
                <w:szCs w:val="24"/>
                <w:lang w:val="en-US" w:eastAsia="zh-CN"/>
              </w:rPr>
              <w:t>综上分析，</w:t>
            </w:r>
            <w:r>
              <w:rPr>
                <w:rFonts w:ascii="Times New Roman" w:hAnsi="Times New Roman"/>
                <w:color w:val="auto"/>
                <w:sz w:val="24"/>
                <w:szCs w:val="24"/>
                <w:u w:val="none"/>
              </w:rPr>
              <w:t>在落实相关治理措施后，企业合理的安排化粪池清掏</w:t>
            </w:r>
            <w:r>
              <w:rPr>
                <w:rFonts w:hint="eastAsia" w:ascii="Times New Roman" w:hAnsi="Times New Roman"/>
                <w:color w:val="auto"/>
                <w:sz w:val="24"/>
                <w:szCs w:val="24"/>
                <w:u w:val="none"/>
                <w:lang w:val="en-US" w:eastAsia="zh-CN"/>
              </w:rPr>
              <w:t>及生产废水拉运时间，</w:t>
            </w:r>
            <w:r>
              <w:rPr>
                <w:rFonts w:ascii="Times New Roman" w:hAnsi="Times New Roman"/>
                <w:color w:val="auto"/>
                <w:sz w:val="24"/>
                <w:szCs w:val="24"/>
                <w:u w:val="none"/>
              </w:rPr>
              <w:t>防止废水外溢，项目区不设排污口，不会对周围环境及附近水体造成不利影响。</w:t>
            </w:r>
            <w:r>
              <w:rPr>
                <w:rFonts w:hint="eastAsia" w:ascii="宋体" w:hAnsi="宋体" w:eastAsia="宋体" w:cs="宋体"/>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2128520</wp:posOffset>
                      </wp:positionH>
                      <wp:positionV relativeFrom="paragraph">
                        <wp:posOffset>67945</wp:posOffset>
                      </wp:positionV>
                      <wp:extent cx="447675" cy="295275"/>
                      <wp:effectExtent l="0" t="0" r="0" b="0"/>
                      <wp:wrapNone/>
                      <wp:docPr id="4" name="Text Box 285"/>
                      <wp:cNvGraphicFramePr/>
                      <a:graphic xmlns:a="http://schemas.openxmlformats.org/drawingml/2006/main">
                        <a:graphicData uri="http://schemas.microsoft.com/office/word/2010/wordprocessingShape">
                          <wps:wsp>
                            <wps:cNvSpPr txBox="1"/>
                            <wps:spPr>
                              <a:xfrm>
                                <a:off x="0" y="0"/>
                                <a:ext cx="447675" cy="295275"/>
                              </a:xfrm>
                              <a:prstGeom prst="rect">
                                <a:avLst/>
                              </a:prstGeom>
                              <a:noFill/>
                              <a:ln>
                                <a:noFill/>
                              </a:ln>
                            </wps:spPr>
                            <wps:txbx>
                              <w:txbxContent>
                                <w:p w14:paraId="2CA753DE"/>
                              </w:txbxContent>
                            </wps:txbx>
                            <wps:bodyPr wrap="square" upright="1"/>
                          </wps:wsp>
                        </a:graphicData>
                      </a:graphic>
                    </wp:anchor>
                  </w:drawing>
                </mc:Choice>
                <mc:Fallback>
                  <w:pict>
                    <v:shape id="Text Box 285" o:spid="_x0000_s1026" o:spt="202" type="#_x0000_t202" style="position:absolute;left:0pt;margin-left:167.6pt;margin-top:5.35pt;height:23.25pt;width:35.25pt;z-index:251662336;mso-width-relative:page;mso-height-relative:page;" filled="f" stroked="f" coordsize="21600,21600" o:gfxdata="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a5Rxi1gAAAAkBAAAP&#10;AAAAAAAAAAEAIAAAACIAAABkcnMvZG93bnJldi54bWxQSwECFAAUAAAACACHTuJAMbKSHKgBAABc&#10;AwAADgAAAAAAAAABACAAAAAlAQAAZHJzL2Uyb0RvYy54bWxQSwUGAAAAAAYABgBZAQAAPwUAAAAA&#10;">
                      <v:fill on="f" focussize="0,0"/>
                      <v:stroke on="f"/>
                      <v:imagedata o:title=""/>
                      <o:lock v:ext="edit" aspectratio="f"/>
                      <v:textbox>
                        <w:txbxContent>
                          <w:p w14:paraId="2CA753DE"/>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3536950</wp:posOffset>
                      </wp:positionH>
                      <wp:positionV relativeFrom="paragraph">
                        <wp:posOffset>-279613995</wp:posOffset>
                      </wp:positionV>
                      <wp:extent cx="342265" cy="632460"/>
                      <wp:effectExtent l="4445" t="2540" r="15240" b="12700"/>
                      <wp:wrapNone/>
                      <wp:docPr id="2" name="AutoShape 274"/>
                      <wp:cNvGraphicFramePr/>
                      <a:graphic xmlns:a="http://schemas.openxmlformats.org/drawingml/2006/main">
                        <a:graphicData uri="http://schemas.microsoft.com/office/word/2010/wordprocessingShape">
                          <wps:wsp>
                            <wps:cNvCnPr/>
                            <wps:spPr>
                              <a:xfrm>
                                <a:off x="0" y="0"/>
                                <a:ext cx="342265" cy="63246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AutoShape 274" o:spid="_x0000_s1026" o:spt="32" type="#_x0000_t32" style="position:absolute;left:0pt;margin-left:278.5pt;margin-top:-22016.85pt;height:49.8pt;width:26.95pt;z-index:251660288;mso-width-relative:page;mso-height-relative:page;" filled="f" stroked="t" coordsize="21600,21600" o:gfxdata="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4TwyPcAAAAEQEAAA8AAAAAAAAAAQAgAAAAIgAAAGRycy9kb3ducmV2LnhtbFBLAQIUABQA&#10;AAAIAIdO4kAr9J7+7AEAAOkDAAAOAAAAAAAAAAEAIAAAACsBAABkcnMvZTJvRG9jLnhtbFBLBQYA&#10;AAAABgAGAFkBAACJBQAAAAA=&#10;">
                      <v:fill on="f" focussize="0,0"/>
                      <v:stroke color="#000000" joinstyle="round" dashstyle="dash" endarrow="block"/>
                      <v:imagedata o:title=""/>
                      <o:lock v:ext="edit" aspectratio="f"/>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3536950</wp:posOffset>
                      </wp:positionH>
                      <wp:positionV relativeFrom="paragraph">
                        <wp:posOffset>-279876885</wp:posOffset>
                      </wp:positionV>
                      <wp:extent cx="342265" cy="632460"/>
                      <wp:effectExtent l="4445" t="2540" r="15240" b="12700"/>
                      <wp:wrapNone/>
                      <wp:docPr id="1" name="AutoShape 268"/>
                      <wp:cNvGraphicFramePr/>
                      <a:graphic xmlns:a="http://schemas.openxmlformats.org/drawingml/2006/main">
                        <a:graphicData uri="http://schemas.microsoft.com/office/word/2010/wordprocessingShape">
                          <wps:wsp>
                            <wps:cNvCnPr/>
                            <wps:spPr>
                              <a:xfrm>
                                <a:off x="0" y="0"/>
                                <a:ext cx="342265" cy="6324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68" o:spid="_x0000_s1026" o:spt="32" type="#_x0000_t32" style="position:absolute;left:0pt;margin-left:278.5pt;margin-top:-22037.55pt;height:49.8pt;width:26.95pt;z-index:251659264;mso-width-relative:page;mso-height-relative:page;" filled="f" stroked="t" coordsize="21600,21600" o:gfxdata="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FuBT4AAAABEBAAAPAAAAAAAAAAEAIAAAACIAAABkcnMvZG93bnJldi54bWxQSwEC&#10;FAAUAAAACACHTuJAyOLgw+wBAADqAwAADgAAAAAAAAABACAAAAAvAQAAZHJzL2Uyb0RvYy54bWxQ&#10;SwUGAAAAAAYABgBZAQAAjQUAAAAA&#10;">
                      <v:fill on="f" focussize="0,0"/>
                      <v:stroke color="#000000" joinstyle="round" endarrow="block"/>
                      <v:imagedata o:title=""/>
                      <o:lock v:ext="edit" aspectratio="f"/>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1976120</wp:posOffset>
                      </wp:positionH>
                      <wp:positionV relativeFrom="paragraph">
                        <wp:posOffset>258445</wp:posOffset>
                      </wp:positionV>
                      <wp:extent cx="542925" cy="285750"/>
                      <wp:effectExtent l="0" t="0" r="0" b="0"/>
                      <wp:wrapNone/>
                      <wp:docPr id="5" name="Text Box 290"/>
                      <wp:cNvGraphicFramePr/>
                      <a:graphic xmlns:a="http://schemas.openxmlformats.org/drawingml/2006/main">
                        <a:graphicData uri="http://schemas.microsoft.com/office/word/2010/wordprocessingShape">
                          <wps:wsp>
                            <wps:cNvSpPr txBox="1"/>
                            <wps:spPr>
                              <a:xfrm>
                                <a:off x="0" y="0"/>
                                <a:ext cx="542925" cy="285750"/>
                              </a:xfrm>
                              <a:prstGeom prst="rect">
                                <a:avLst/>
                              </a:prstGeom>
                              <a:noFill/>
                              <a:ln>
                                <a:noFill/>
                              </a:ln>
                            </wps:spPr>
                            <wps:txbx>
                              <w:txbxContent>
                                <w:p w14:paraId="73276FED">
                                  <w:pPr>
                                    <w:rPr>
                                      <w:rFonts w:hint="eastAsia" w:eastAsia="宋体"/>
                                      <w:lang w:eastAsia="zh-CN"/>
                                    </w:rPr>
                                  </w:pPr>
                                </w:p>
                              </w:txbxContent>
                            </wps:txbx>
                            <wps:bodyPr wrap="square" upright="1"/>
                          </wps:wsp>
                        </a:graphicData>
                      </a:graphic>
                    </wp:anchor>
                  </w:drawing>
                </mc:Choice>
                <mc:Fallback>
                  <w:pict>
                    <v:shape id="Text Box 290" o:spid="_x0000_s1026" o:spt="202" type="#_x0000_t202" style="position:absolute;left:0pt;margin-left:155.6pt;margin-top:20.35pt;height:22.5pt;width:42.75pt;z-index:251663360;mso-width-relative:page;mso-height-relative:page;" filled="f" stroked="f" coordsize="21600,21600" o:gfxdata="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avs6O1wAAAAkBAAAP&#10;AAAAAAAAAAEAIAAAACIAAABkcnMvZG93bnJldi54bWxQSwECFAAUAAAACACHTuJA97hrnacBAABc&#10;AwAADgAAAAAAAAABACAAAAAmAQAAZHJzL2Uyb0RvYy54bWxQSwUGAAAAAAYABgBZAQAAPwUAAAAA&#10;">
                      <v:fill on="f" focussize="0,0"/>
                      <v:stroke on="f"/>
                      <v:imagedata o:title=""/>
                      <o:lock v:ext="edit" aspectratio="f"/>
                      <v:textbox>
                        <w:txbxContent>
                          <w:p w14:paraId="73276FED">
                            <w:pPr>
                              <w:rPr>
                                <w:rFonts w:hint="eastAsia" w:eastAsia="宋体"/>
                                <w:lang w:eastAsia="zh-CN"/>
                              </w:rPr>
                            </w:pP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3536950</wp:posOffset>
                      </wp:positionH>
                      <wp:positionV relativeFrom="paragraph">
                        <wp:posOffset>-280402665</wp:posOffset>
                      </wp:positionV>
                      <wp:extent cx="342265" cy="632460"/>
                      <wp:effectExtent l="4445" t="2540" r="15240" b="12700"/>
                      <wp:wrapNone/>
                      <wp:docPr id="3" name="AutoShape 275"/>
                      <wp:cNvGraphicFramePr/>
                      <a:graphic xmlns:a="http://schemas.openxmlformats.org/drawingml/2006/main">
                        <a:graphicData uri="http://schemas.microsoft.com/office/word/2010/wordprocessingShape">
                          <wps:wsp>
                            <wps:cNvCnPr/>
                            <wps:spPr>
                              <a:xfrm>
                                <a:off x="0" y="0"/>
                                <a:ext cx="342265" cy="63246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AutoShape 275" o:spid="_x0000_s1026" o:spt="32" type="#_x0000_t32" style="position:absolute;left:0pt;margin-left:278.5pt;margin-top:-22078.95pt;height:49.8pt;width:26.95pt;z-index:251661312;mso-width-relative:page;mso-height-relative:page;" filled="f" stroked="t" coordsize="21600,21600" o:gfxdata="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i5fKTcAAAAEQEAAA8AAAAAAAAAAQAgAAAAIgAAAGRycy9kb3ducmV2LnhtbFBLAQIUABQA&#10;AAAIAIdO4kAItM0+7AEAAOkDAAAOAAAAAAAAAAEAIAAAACsBAABkcnMvZTJvRG9jLnhtbFBLBQYA&#10;AAAABgAGAFkBAACJBQAAAAA=&#10;">
                      <v:fill on="f" focussize="0,0"/>
                      <v:stroke color="#000000" joinstyle="round" dashstyle="dash" endarrow="block"/>
                      <v:imagedata o:title=""/>
                      <o:lock v:ext="edit" aspectratio="f"/>
                    </v:shape>
                  </w:pict>
                </mc:Fallback>
              </mc:AlternateContent>
            </w:r>
          </w:p>
          <w:p w14:paraId="65E14135">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val="0"/>
                <w:color w:val="auto"/>
                <w:spacing w:val="-10"/>
                <w:kern w:val="0"/>
                <w:sz w:val="24"/>
                <w:szCs w:val="24"/>
                <w:lang w:val="en-US" w:eastAsia="zh-CN" w:bidi="ar-SA"/>
              </w:rPr>
              <w:t>2.3声</w:t>
            </w:r>
            <w:r>
              <w:rPr>
                <w:rFonts w:hint="default" w:ascii="宋体" w:hAnsi="宋体" w:eastAsia="宋体" w:cs="宋体"/>
                <w:b/>
                <w:bCs w:val="0"/>
                <w:color w:val="auto"/>
                <w:spacing w:val="-10"/>
                <w:kern w:val="0"/>
                <w:sz w:val="24"/>
                <w:szCs w:val="24"/>
                <w:lang w:val="en-US" w:eastAsia="zh-CN" w:bidi="ar-SA"/>
              </w:rPr>
              <w:t>环境影响和保护措施</w:t>
            </w:r>
          </w:p>
          <w:p w14:paraId="34E478E4">
            <w:pPr>
              <w:spacing w:line="372" w:lineRule="auto"/>
              <w:ind w:firstLine="480" w:firstLineChars="200"/>
              <w:rPr>
                <w:rFonts w:hint="eastAsia"/>
                <w:color w:val="auto"/>
                <w:sz w:val="24"/>
              </w:rPr>
            </w:pPr>
            <w:r>
              <w:rPr>
                <w:rFonts w:hint="eastAsia"/>
                <w:color w:val="auto"/>
                <w:sz w:val="24"/>
              </w:rPr>
              <w:t xml:space="preserve">本项目营运期噪声主要来源于汽车、生产机械设备的噪声。 </w:t>
            </w:r>
          </w:p>
          <w:p w14:paraId="4074FFFA">
            <w:pPr>
              <w:spacing w:line="372" w:lineRule="auto"/>
              <w:rPr>
                <w:rFonts w:hint="eastAsia"/>
                <w:b w:val="0"/>
                <w:bCs w:val="0"/>
                <w:color w:val="auto"/>
                <w:sz w:val="24"/>
              </w:rPr>
            </w:pPr>
            <w:r>
              <w:rPr>
                <w:rFonts w:hint="eastAsia"/>
                <w:b w:val="0"/>
                <w:bCs w:val="0"/>
                <w:color w:val="auto"/>
                <w:sz w:val="24"/>
                <w:lang w:val="en-US" w:eastAsia="zh-CN"/>
              </w:rPr>
              <w:t>2.3.1</w:t>
            </w:r>
            <w:r>
              <w:rPr>
                <w:rFonts w:hint="eastAsia"/>
                <w:b w:val="0"/>
                <w:bCs w:val="0"/>
                <w:color w:val="auto"/>
                <w:sz w:val="24"/>
              </w:rPr>
              <w:t>交通噪声影响分析</w:t>
            </w:r>
          </w:p>
          <w:p w14:paraId="1BC0E2A6">
            <w:pPr>
              <w:spacing w:line="372" w:lineRule="auto"/>
              <w:ind w:firstLine="480" w:firstLineChars="200"/>
              <w:rPr>
                <w:rFonts w:hint="eastAsia"/>
                <w:color w:val="auto"/>
                <w:sz w:val="24"/>
              </w:rPr>
            </w:pPr>
            <w:r>
              <w:rPr>
                <w:rFonts w:hint="eastAsia"/>
                <w:color w:val="auto"/>
                <w:sz w:val="24"/>
              </w:rPr>
              <w:t>本项目运输车辆交通噪声级约为 60~75dB(A)，为了避免对沿线居民点造成交通噪声影响，鉴于此，运输车辆出入厂区的时间，应充分考虑到村民的出工劳作和收工作息的时间规律及特点，错开午间和夜间运输，另外进出厂的车辆可以设置禁鸣标志进行控制，车辆在沿线行驶遇敏感保护目标时应采取禁止鸣笛、限制车速等措施，降低噪声对沿线保护目标的影响。以避免由于扰民引起沿线村民不满而和村民产生纠纷。</w:t>
            </w:r>
          </w:p>
          <w:p w14:paraId="0F441AED">
            <w:pPr>
              <w:spacing w:line="360" w:lineRule="auto"/>
              <w:rPr>
                <w:rFonts w:hint="default"/>
                <w:color w:val="auto"/>
                <w:sz w:val="24"/>
                <w:szCs w:val="24"/>
                <w:lang w:val="en-US" w:eastAsia="zh-CN"/>
              </w:rPr>
            </w:pPr>
            <w:r>
              <w:rPr>
                <w:rFonts w:hint="eastAsia"/>
                <w:color w:val="auto"/>
                <w:sz w:val="24"/>
                <w:szCs w:val="24"/>
                <w:lang w:val="en-US" w:eastAsia="zh-CN"/>
              </w:rPr>
              <w:t>2.3.2机械设备噪声影响分析</w:t>
            </w:r>
          </w:p>
          <w:p w14:paraId="03E253F6">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运行时</w:t>
            </w:r>
            <w:r>
              <w:rPr>
                <w:rFonts w:hint="eastAsia" w:ascii="Times New Roman" w:hAnsi="Times New Roman" w:eastAsia="宋体" w:cs="Times New Roman"/>
                <w:color w:val="auto"/>
                <w:sz w:val="24"/>
                <w:szCs w:val="24"/>
                <w:highlight w:val="none"/>
                <w:lang w:val="en-US" w:eastAsia="zh-CN"/>
              </w:rPr>
              <w:t>生产设备的</w:t>
            </w:r>
            <w:r>
              <w:rPr>
                <w:rFonts w:hint="default" w:ascii="Times New Roman" w:hAnsi="Times New Roman" w:eastAsia="宋体" w:cs="Times New Roman"/>
                <w:color w:val="auto"/>
                <w:sz w:val="24"/>
                <w:szCs w:val="24"/>
                <w:highlight w:val="none"/>
              </w:rPr>
              <w:t>噪声源主要来自</w:t>
            </w:r>
            <w:r>
              <w:rPr>
                <w:rFonts w:hint="eastAsia" w:ascii="Times New Roman" w:hAnsi="Times New Roman" w:eastAsia="宋体" w:cs="Times New Roman"/>
                <w:color w:val="auto"/>
                <w:sz w:val="24"/>
                <w:szCs w:val="24"/>
                <w:highlight w:val="none"/>
                <w:lang w:val="en-US" w:eastAsia="zh-CN"/>
              </w:rPr>
              <w:t>提升机、分级筛、脱皮机、输送机、清洗机、浮选机、风干机、制冷机、水泵</w:t>
            </w:r>
            <w:r>
              <w:rPr>
                <w:rFonts w:hint="default" w:ascii="Times New Roman" w:hAnsi="Times New Roman" w:eastAsia="宋体" w:cs="Times New Roman"/>
                <w:color w:val="auto"/>
                <w:sz w:val="24"/>
                <w:szCs w:val="24"/>
                <w:highlight w:val="none"/>
                <w:lang w:eastAsia="zh-CN"/>
              </w:rPr>
              <w:t>等设备噪声</w:t>
            </w:r>
            <w:r>
              <w:rPr>
                <w:rFonts w:hint="eastAsia" w:ascii="Times New Roman" w:hAnsi="Times New Roman" w:eastAsia="宋体" w:cs="Times New Roman"/>
                <w:color w:val="auto"/>
                <w:sz w:val="24"/>
                <w:szCs w:val="24"/>
                <w:highlight w:val="none"/>
                <w:lang w:val="en-US" w:eastAsia="zh-CN"/>
              </w:rPr>
              <w:t>，由于坚果加工行业污染源源强核算技术指南尚未发布，因此本次环评通过类比同类型企业及参照《污染源源强核算技术指南农副食品加工工业—淀粉工业》（HJ996.2-2018）、《污染源源强核算技术指南农副食品加工工业— 制糖工业》（HJ966.1-2018）附录中给出的相关</w:t>
            </w:r>
            <w:r>
              <w:rPr>
                <w:rFonts w:hint="default" w:ascii="Times New Roman" w:hAnsi="Times New Roman" w:eastAsia="宋体" w:cs="Times New Roman"/>
                <w:color w:val="auto"/>
                <w:sz w:val="24"/>
                <w:szCs w:val="24"/>
                <w:highlight w:val="none"/>
                <w:lang w:eastAsia="zh-CN"/>
              </w:rPr>
              <w:t>设备噪声</w:t>
            </w:r>
            <w:r>
              <w:rPr>
                <w:rFonts w:hint="eastAsia" w:ascii="Times New Roman" w:hAnsi="Times New Roman" w:eastAsia="宋体" w:cs="Times New Roman"/>
                <w:color w:val="auto"/>
                <w:sz w:val="24"/>
                <w:szCs w:val="24"/>
                <w:highlight w:val="none"/>
                <w:lang w:val="en-US" w:eastAsia="zh-CN"/>
              </w:rPr>
              <w:t>源强及常见的降噪隔声措施，本项目设备噪声</w:t>
            </w:r>
            <w:r>
              <w:rPr>
                <w:rFonts w:hint="default" w:ascii="Times New Roman" w:hAnsi="Times New Roman" w:eastAsia="宋体" w:cs="Times New Roman"/>
                <w:color w:val="auto"/>
                <w:sz w:val="24"/>
                <w:szCs w:val="24"/>
                <w:highlight w:val="none"/>
              </w:rPr>
              <w:t>等效声级</w:t>
            </w:r>
            <w:r>
              <w:rPr>
                <w:rFonts w:hint="default"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dB（A），</w:t>
            </w:r>
            <w:r>
              <w:rPr>
                <w:rFonts w:hint="eastAsia" w:ascii="Times New Roman" w:hAnsi="Times New Roman" w:eastAsia="宋体" w:cs="Times New Roman"/>
                <w:color w:val="auto"/>
                <w:sz w:val="24"/>
                <w:szCs w:val="24"/>
                <w:highlight w:val="none"/>
                <w:lang w:val="en-US" w:eastAsia="zh-CN"/>
              </w:rPr>
              <w:t>除烘干设备及制冷机外的生产设备噪声均</w:t>
            </w:r>
            <w:r>
              <w:rPr>
                <w:rFonts w:hint="default" w:ascii="Times New Roman" w:hAnsi="Times New Roman" w:eastAsia="宋体" w:cs="Times New Roman"/>
                <w:color w:val="auto"/>
                <w:sz w:val="24"/>
                <w:szCs w:val="24"/>
                <w:highlight w:val="none"/>
              </w:rPr>
              <w:t>为连续</w:t>
            </w:r>
            <w:r>
              <w:rPr>
                <w:rFonts w:hint="eastAsia" w:ascii="Times New Roman" w:hAnsi="Times New Roman" w:eastAsia="宋体" w:cs="Times New Roman"/>
                <w:color w:val="auto"/>
                <w:sz w:val="24"/>
                <w:szCs w:val="24"/>
                <w:highlight w:val="none"/>
                <w:lang w:val="en-US" w:eastAsia="zh-CN"/>
              </w:rPr>
              <w:t>8小时运行</w:t>
            </w:r>
            <w:r>
              <w:rPr>
                <w:rFonts w:hint="default" w:ascii="Times New Roman" w:hAnsi="Times New Roman" w:eastAsia="宋体" w:cs="Times New Roman"/>
                <w:color w:val="auto"/>
                <w:sz w:val="24"/>
                <w:szCs w:val="24"/>
                <w:highlight w:val="none"/>
                <w:lang w:eastAsia="zh-CN"/>
              </w:rPr>
              <w:t>。①</w:t>
            </w:r>
            <w:r>
              <w:rPr>
                <w:rFonts w:hint="default" w:ascii="Times New Roman" w:hAnsi="Times New Roman" w:eastAsia="宋体" w:cs="Times New Roman"/>
                <w:color w:val="auto"/>
                <w:sz w:val="24"/>
                <w:szCs w:val="22"/>
                <w:lang w:val="en-US" w:eastAsia="zh-CN"/>
              </w:rPr>
              <w:t>通过设备选型尽可能选用低噪声电机、振动小的设备；②合理布局，对</w:t>
            </w:r>
            <w:r>
              <w:rPr>
                <w:rFonts w:hint="eastAsia" w:ascii="Times New Roman" w:hAnsi="Times New Roman" w:eastAsia="宋体" w:cs="Times New Roman"/>
                <w:color w:val="auto"/>
                <w:sz w:val="24"/>
                <w:szCs w:val="22"/>
                <w:lang w:val="en-US" w:eastAsia="zh-CN"/>
              </w:rPr>
              <w:t>高噪声</w:t>
            </w:r>
            <w:r>
              <w:rPr>
                <w:rFonts w:hint="default" w:ascii="Times New Roman" w:hAnsi="Times New Roman" w:eastAsia="宋体" w:cs="Times New Roman"/>
                <w:color w:val="auto"/>
                <w:sz w:val="24"/>
                <w:szCs w:val="22"/>
                <w:lang w:val="en-US" w:eastAsia="zh-CN"/>
              </w:rPr>
              <w:t>噪设备</w:t>
            </w:r>
            <w:r>
              <w:rPr>
                <w:rFonts w:hint="eastAsia" w:ascii="Times New Roman" w:hAnsi="Times New Roman" w:eastAsia="宋体" w:cs="Times New Roman"/>
                <w:color w:val="auto"/>
                <w:sz w:val="24"/>
                <w:szCs w:val="22"/>
                <w:lang w:val="en-US" w:eastAsia="zh-CN"/>
              </w:rPr>
              <w:t>（烘干及制冷设备）</w:t>
            </w:r>
            <w:r>
              <w:rPr>
                <w:rFonts w:hint="default" w:ascii="Times New Roman" w:hAnsi="Times New Roman" w:eastAsia="宋体" w:cs="Times New Roman"/>
                <w:color w:val="auto"/>
                <w:sz w:val="24"/>
                <w:szCs w:val="22"/>
                <w:lang w:val="en-US" w:eastAsia="zh-CN"/>
              </w:rPr>
              <w:t>集中安装在车间内远离</w:t>
            </w:r>
            <w:r>
              <w:rPr>
                <w:rFonts w:hint="eastAsia" w:ascii="Times New Roman" w:hAnsi="Times New Roman" w:eastAsia="宋体" w:cs="Times New Roman"/>
                <w:color w:val="auto"/>
                <w:sz w:val="24"/>
                <w:szCs w:val="22"/>
                <w:lang w:val="en-US" w:eastAsia="zh-CN"/>
              </w:rPr>
              <w:t>厂界及敏感目标</w:t>
            </w:r>
            <w:r>
              <w:rPr>
                <w:rFonts w:hint="default" w:ascii="Times New Roman" w:hAnsi="Times New Roman" w:eastAsia="宋体" w:cs="Times New Roman"/>
                <w:color w:val="auto"/>
                <w:sz w:val="24"/>
                <w:szCs w:val="22"/>
                <w:lang w:val="en-US" w:eastAsia="zh-CN"/>
              </w:rPr>
              <w:t>一侧；③减少高噪声设备同时运行，从源头降低噪声；④</w:t>
            </w:r>
            <w:r>
              <w:rPr>
                <w:rFonts w:hint="eastAsia" w:ascii="Times New Roman" w:hAnsi="Times New Roman" w:eastAsia="宋体" w:cs="Times New Roman"/>
                <w:color w:val="auto"/>
                <w:sz w:val="24"/>
                <w:szCs w:val="22"/>
                <w:lang w:val="en-US" w:eastAsia="zh-CN"/>
              </w:rPr>
              <w:t>风机进风口设置消声器、管道外壳阻尼</w:t>
            </w:r>
            <w:r>
              <w:rPr>
                <w:rFonts w:hint="default" w:ascii="Times New Roman" w:hAnsi="Times New Roman" w:eastAsia="宋体" w:cs="Times New Roman"/>
                <w:color w:val="auto"/>
                <w:sz w:val="24"/>
                <w:szCs w:val="22"/>
                <w:lang w:val="en-US" w:eastAsia="zh-CN"/>
              </w:rPr>
              <w:t>；⑤将</w:t>
            </w:r>
            <w:r>
              <w:rPr>
                <w:rFonts w:hint="eastAsia" w:ascii="Times New Roman" w:hAnsi="Times New Roman" w:eastAsia="宋体" w:cs="Times New Roman"/>
                <w:color w:val="auto"/>
                <w:sz w:val="24"/>
                <w:szCs w:val="22"/>
                <w:lang w:val="en-US" w:eastAsia="zh-CN"/>
              </w:rPr>
              <w:t>高噪声设备</w:t>
            </w:r>
            <w:r>
              <w:rPr>
                <w:rFonts w:hint="default" w:ascii="Times New Roman" w:hAnsi="Times New Roman" w:eastAsia="宋体" w:cs="Times New Roman"/>
                <w:color w:val="auto"/>
                <w:sz w:val="24"/>
                <w:szCs w:val="22"/>
                <w:lang w:val="en-US" w:eastAsia="zh-CN"/>
              </w:rPr>
              <w:t>置于封闭隔声车间，</w:t>
            </w:r>
            <w:r>
              <w:rPr>
                <w:rFonts w:hint="eastAsia" w:ascii="Times New Roman" w:hAnsi="Times New Roman" w:eastAsia="宋体" w:cs="Times New Roman"/>
                <w:color w:val="auto"/>
                <w:sz w:val="24"/>
                <w:szCs w:val="22"/>
                <w:lang w:val="en-US" w:eastAsia="zh-CN"/>
              </w:rPr>
              <w:t>在设备基础加装减震装置，降低设备振动引起的噪声</w:t>
            </w:r>
            <w:r>
              <w:rPr>
                <w:rFonts w:hint="default" w:ascii="Times New Roman" w:hAnsi="Times New Roman" w:eastAsia="宋体" w:cs="Times New Roman"/>
                <w:color w:val="auto"/>
                <w:sz w:val="24"/>
                <w:szCs w:val="22"/>
                <w:lang w:val="en-US" w:eastAsia="zh-CN"/>
              </w:rPr>
              <w:t>；⑥厂界</w:t>
            </w:r>
            <w:r>
              <w:rPr>
                <w:rFonts w:hint="eastAsia" w:ascii="Times New Roman" w:hAnsi="Times New Roman" w:eastAsia="宋体" w:cs="Times New Roman"/>
                <w:color w:val="auto"/>
                <w:sz w:val="24"/>
                <w:szCs w:val="22"/>
                <w:lang w:val="en-US" w:eastAsia="zh-CN"/>
              </w:rPr>
              <w:t>东西有边坡隔声，</w:t>
            </w:r>
            <w:r>
              <w:rPr>
                <w:rFonts w:hint="default" w:ascii="Times New Roman" w:hAnsi="Times New Roman" w:eastAsia="宋体" w:cs="Times New Roman"/>
                <w:color w:val="auto"/>
                <w:sz w:val="24"/>
                <w:szCs w:val="22"/>
                <w:lang w:val="en-US" w:eastAsia="zh-CN"/>
              </w:rPr>
              <w:t>充分利用建筑物隔声、距离衰减减低噪声。⑦</w:t>
            </w:r>
            <w:r>
              <w:rPr>
                <w:rFonts w:hint="default" w:ascii="Times New Roman" w:hAnsi="Times New Roman" w:eastAsia="宋体" w:cs="Times New Roman"/>
                <w:color w:val="auto"/>
                <w:sz w:val="24"/>
                <w:szCs w:val="24"/>
                <w:highlight w:val="none"/>
                <w:lang w:val="en-US" w:eastAsia="zh-CN"/>
              </w:rPr>
              <w:t>加强对设备的维修保养，避免设备故障产生高</w:t>
            </w:r>
            <w:r>
              <w:rPr>
                <w:rFonts w:hint="eastAsia" w:ascii="Times New Roman" w:hAnsi="Times New Roman" w:eastAsia="宋体" w:cs="Times New Roman"/>
                <w:color w:val="auto"/>
                <w:sz w:val="24"/>
                <w:szCs w:val="24"/>
                <w:highlight w:val="none"/>
                <w:lang w:val="en-US" w:eastAsia="zh-CN"/>
              </w:rPr>
              <w:t>噪声扰民。</w:t>
            </w:r>
          </w:p>
          <w:p w14:paraId="608EA090">
            <w:pPr>
              <w:autoSpaceDE w:val="0"/>
              <w:autoSpaceDN w:val="0"/>
              <w:adjustRightInd w:val="0"/>
              <w:spacing w:line="360" w:lineRule="auto"/>
              <w:ind w:firstLine="480" w:firstLineChars="200"/>
              <w:jc w:val="left"/>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color w:val="auto"/>
                <w:sz w:val="24"/>
                <w:szCs w:val="22"/>
                <w:lang w:val="en-US" w:eastAsia="zh-CN"/>
              </w:rPr>
              <w:t>落实以上降噪、隔声治理措施后，可降噪15-20B(A)。</w:t>
            </w:r>
            <w:r>
              <w:rPr>
                <w:rFonts w:hint="eastAsia" w:ascii="Times New Roman" w:hAnsi="Times New Roman" w:eastAsia="宋体" w:cs="Times New Roman"/>
                <w:color w:val="auto"/>
                <w:sz w:val="24"/>
                <w:szCs w:val="24"/>
                <w:highlight w:val="none"/>
                <w:lang w:val="en-US" w:eastAsia="zh-CN"/>
              </w:rPr>
              <w:t>本次环评按照同时运行最大数量来进行预测，降噪后的噪声源强及距厂界的距离下表4-</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所示。</w:t>
            </w:r>
          </w:p>
          <w:p w14:paraId="75A22D9C">
            <w:pPr>
              <w:pageBreakBefore/>
              <w:adjustRightInd w:val="0"/>
              <w:snapToGrid w:val="0"/>
              <w:spacing w:line="360" w:lineRule="auto"/>
              <w:jc w:val="center"/>
              <w:rPr>
                <w:b/>
                <w:color w:val="auto"/>
                <w:sz w:val="24"/>
                <w:szCs w:val="24"/>
                <w:lang w:val="zh-CN"/>
              </w:rPr>
            </w:pPr>
            <w:r>
              <w:rPr>
                <w:b/>
                <w:color w:val="auto"/>
                <w:sz w:val="24"/>
                <w:szCs w:val="24"/>
                <w:lang w:val="zh-CN"/>
              </w:rPr>
              <w:t>表4-</w:t>
            </w:r>
            <w:r>
              <w:rPr>
                <w:rFonts w:hint="eastAsia"/>
                <w:b/>
                <w:color w:val="auto"/>
                <w:sz w:val="24"/>
                <w:szCs w:val="24"/>
                <w:lang w:val="en-US" w:eastAsia="zh-CN"/>
              </w:rPr>
              <w:t>10</w:t>
            </w:r>
            <w:r>
              <w:rPr>
                <w:b/>
                <w:color w:val="auto"/>
                <w:sz w:val="24"/>
                <w:szCs w:val="24"/>
              </w:rPr>
              <w:t xml:space="preserve"> </w:t>
            </w:r>
            <w:r>
              <w:rPr>
                <w:b/>
                <w:color w:val="auto"/>
                <w:sz w:val="24"/>
                <w:szCs w:val="24"/>
                <w:lang w:val="zh-CN"/>
              </w:rPr>
              <w:t>项目各噪声设备预测参数</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2"/>
              <w:gridCol w:w="1250"/>
              <w:gridCol w:w="1346"/>
              <w:gridCol w:w="596"/>
              <w:gridCol w:w="666"/>
              <w:gridCol w:w="535"/>
              <w:gridCol w:w="1284"/>
              <w:gridCol w:w="1340"/>
              <w:gridCol w:w="879"/>
            </w:tblGrid>
            <w:tr w14:paraId="31CB0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502" w:type="dxa"/>
                  <w:vMerge w:val="restart"/>
                  <w:tcBorders>
                    <w:tl2br w:val="nil"/>
                    <w:tr2bl w:val="nil"/>
                  </w:tcBorders>
                  <w:noWrap w:val="0"/>
                  <w:vAlign w:val="center"/>
                </w:tcPr>
                <w:p w14:paraId="3C01A01D">
                  <w:pPr>
                    <w:adjustRightInd w:val="0"/>
                    <w:snapToGrid w:val="0"/>
                    <w:jc w:val="center"/>
                    <w:rPr>
                      <w:b/>
                      <w:bCs/>
                      <w:color w:val="auto"/>
                      <w:szCs w:val="21"/>
                    </w:rPr>
                  </w:pPr>
                  <w:r>
                    <w:rPr>
                      <w:b/>
                      <w:bCs/>
                      <w:color w:val="auto"/>
                      <w:szCs w:val="21"/>
                    </w:rPr>
                    <w:t>序号</w:t>
                  </w:r>
                </w:p>
              </w:tc>
              <w:tc>
                <w:tcPr>
                  <w:tcW w:w="1250" w:type="dxa"/>
                  <w:vMerge w:val="restart"/>
                  <w:tcBorders>
                    <w:tl2br w:val="nil"/>
                    <w:tr2bl w:val="nil"/>
                  </w:tcBorders>
                  <w:noWrap w:val="0"/>
                  <w:vAlign w:val="center"/>
                </w:tcPr>
                <w:p w14:paraId="595BB26E">
                  <w:pPr>
                    <w:adjustRightInd w:val="0"/>
                    <w:snapToGrid w:val="0"/>
                    <w:jc w:val="center"/>
                    <w:rPr>
                      <w:b/>
                      <w:bCs/>
                      <w:color w:val="auto"/>
                      <w:szCs w:val="21"/>
                    </w:rPr>
                  </w:pPr>
                  <w:r>
                    <w:rPr>
                      <w:b/>
                      <w:bCs/>
                      <w:color w:val="auto"/>
                      <w:szCs w:val="21"/>
                    </w:rPr>
                    <w:t>设备名称</w:t>
                  </w:r>
                </w:p>
              </w:tc>
              <w:tc>
                <w:tcPr>
                  <w:tcW w:w="1346" w:type="dxa"/>
                  <w:vMerge w:val="restart"/>
                  <w:tcBorders>
                    <w:tl2br w:val="nil"/>
                    <w:tr2bl w:val="nil"/>
                  </w:tcBorders>
                  <w:noWrap w:val="0"/>
                  <w:vAlign w:val="center"/>
                </w:tcPr>
                <w:p w14:paraId="64885964">
                  <w:pPr>
                    <w:adjustRightInd w:val="0"/>
                    <w:snapToGrid w:val="0"/>
                    <w:jc w:val="center"/>
                    <w:rPr>
                      <w:rFonts w:hint="default" w:eastAsia="宋体"/>
                      <w:b/>
                      <w:bCs/>
                      <w:color w:val="auto"/>
                      <w:szCs w:val="21"/>
                      <w:lang w:val="en-US" w:eastAsia="zh-CN"/>
                    </w:rPr>
                  </w:pPr>
                  <w:r>
                    <w:rPr>
                      <w:rFonts w:hint="eastAsia"/>
                      <w:b/>
                      <w:bCs/>
                      <w:color w:val="auto"/>
                      <w:szCs w:val="21"/>
                      <w:lang w:val="en-US" w:eastAsia="zh-CN"/>
                    </w:rPr>
                    <w:t>型号</w:t>
                  </w:r>
                </w:p>
              </w:tc>
              <w:tc>
                <w:tcPr>
                  <w:tcW w:w="1797" w:type="dxa"/>
                  <w:gridSpan w:val="3"/>
                  <w:tcBorders>
                    <w:right w:val="single" w:color="000000" w:sz="6" w:space="0"/>
                    <w:tl2br w:val="nil"/>
                    <w:tr2bl w:val="nil"/>
                  </w:tcBorders>
                  <w:noWrap w:val="0"/>
                  <w:vAlign w:val="center"/>
                </w:tcPr>
                <w:p w14:paraId="51F133A8">
                  <w:pPr>
                    <w:adjustRightInd w:val="0"/>
                    <w:snapToGrid w:val="0"/>
                    <w:jc w:val="center"/>
                    <w:rPr>
                      <w:b/>
                      <w:bCs/>
                      <w:color w:val="auto"/>
                      <w:szCs w:val="21"/>
                    </w:rPr>
                  </w:pPr>
                  <w:r>
                    <w:rPr>
                      <w:rFonts w:hint="eastAsia"/>
                      <w:b/>
                      <w:bCs/>
                      <w:color w:val="auto"/>
                      <w:szCs w:val="21"/>
                      <w:lang w:val="en-US" w:eastAsia="zh-CN"/>
                    </w:rPr>
                    <w:t>空间相对为主/m</w:t>
                  </w:r>
                </w:p>
              </w:tc>
              <w:tc>
                <w:tcPr>
                  <w:tcW w:w="1284" w:type="dxa"/>
                  <w:vMerge w:val="restart"/>
                  <w:tcBorders>
                    <w:left w:val="single" w:color="000000" w:sz="6" w:space="0"/>
                    <w:right w:val="single" w:color="auto" w:sz="4" w:space="0"/>
                    <w:tl2br w:val="nil"/>
                    <w:tr2bl w:val="nil"/>
                  </w:tcBorders>
                  <w:noWrap w:val="0"/>
                  <w:vAlign w:val="center"/>
                </w:tcPr>
                <w:p w14:paraId="62A2A710">
                  <w:pPr>
                    <w:adjustRightInd w:val="0"/>
                    <w:snapToGrid w:val="0"/>
                    <w:jc w:val="center"/>
                    <w:rPr>
                      <w:rFonts w:hint="default" w:eastAsia="宋体"/>
                      <w:b/>
                      <w:bCs/>
                      <w:color w:val="auto"/>
                      <w:szCs w:val="21"/>
                      <w:lang w:val="en-US" w:eastAsia="zh-CN"/>
                    </w:rPr>
                  </w:pPr>
                  <w:r>
                    <w:rPr>
                      <w:rFonts w:hint="eastAsia"/>
                      <w:b/>
                      <w:bCs/>
                      <w:color w:val="auto"/>
                      <w:szCs w:val="21"/>
                      <w:lang w:val="en-US" w:eastAsia="zh-CN"/>
                    </w:rPr>
                    <w:t>声源源强（声功率级）</w:t>
                  </w:r>
                  <w:r>
                    <w:rPr>
                      <w:b/>
                      <w:bCs/>
                      <w:color w:val="auto"/>
                      <w:szCs w:val="21"/>
                    </w:rPr>
                    <w:t>dB(A)</w:t>
                  </w:r>
                </w:p>
              </w:tc>
              <w:tc>
                <w:tcPr>
                  <w:tcW w:w="1340" w:type="dxa"/>
                  <w:vMerge w:val="restart"/>
                  <w:tcBorders>
                    <w:left w:val="single" w:color="auto" w:sz="4" w:space="0"/>
                    <w:tl2br w:val="nil"/>
                    <w:tr2bl w:val="nil"/>
                  </w:tcBorders>
                  <w:noWrap w:val="0"/>
                  <w:vAlign w:val="center"/>
                </w:tcPr>
                <w:p w14:paraId="614DF863">
                  <w:pPr>
                    <w:adjustRightInd w:val="0"/>
                    <w:snapToGrid w:val="0"/>
                    <w:jc w:val="center"/>
                    <w:rPr>
                      <w:b/>
                      <w:bCs/>
                      <w:color w:val="auto"/>
                      <w:szCs w:val="21"/>
                    </w:rPr>
                  </w:pPr>
                  <w:r>
                    <w:rPr>
                      <w:rFonts w:hint="eastAsia"/>
                      <w:b/>
                      <w:bCs/>
                      <w:color w:val="auto"/>
                      <w:szCs w:val="21"/>
                      <w:lang w:val="en-US" w:eastAsia="zh-CN"/>
                    </w:rPr>
                    <w:t>声源控制</w:t>
                  </w:r>
                  <w:r>
                    <w:rPr>
                      <w:b/>
                      <w:bCs/>
                      <w:color w:val="auto"/>
                      <w:szCs w:val="21"/>
                    </w:rPr>
                    <w:t>措施</w:t>
                  </w:r>
                </w:p>
              </w:tc>
              <w:tc>
                <w:tcPr>
                  <w:tcW w:w="879" w:type="dxa"/>
                  <w:vMerge w:val="restart"/>
                  <w:tcBorders>
                    <w:tl2br w:val="nil"/>
                    <w:tr2bl w:val="nil"/>
                  </w:tcBorders>
                  <w:noWrap w:val="0"/>
                  <w:vAlign w:val="center"/>
                </w:tcPr>
                <w:p w14:paraId="07B1E29C">
                  <w:pPr>
                    <w:adjustRightInd w:val="0"/>
                    <w:snapToGrid w:val="0"/>
                    <w:jc w:val="center"/>
                    <w:rPr>
                      <w:rFonts w:hint="eastAsia"/>
                      <w:b/>
                      <w:bCs/>
                      <w:color w:val="auto"/>
                      <w:szCs w:val="21"/>
                      <w:lang w:val="en-US" w:eastAsia="zh-CN"/>
                    </w:rPr>
                  </w:pPr>
                  <w:r>
                    <w:rPr>
                      <w:rFonts w:hint="eastAsia"/>
                      <w:b/>
                      <w:bCs/>
                      <w:color w:val="auto"/>
                      <w:szCs w:val="21"/>
                      <w:lang w:val="en-US" w:eastAsia="zh-CN"/>
                    </w:rPr>
                    <w:t>运行时间</w:t>
                  </w:r>
                </w:p>
              </w:tc>
            </w:tr>
            <w:tr w14:paraId="755E1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0" w:hRule="atLeast"/>
                <w:jc w:val="center"/>
              </w:trPr>
              <w:tc>
                <w:tcPr>
                  <w:tcW w:w="502" w:type="dxa"/>
                  <w:vMerge w:val="continue"/>
                  <w:tcBorders>
                    <w:tl2br w:val="nil"/>
                    <w:tr2bl w:val="nil"/>
                  </w:tcBorders>
                  <w:noWrap w:val="0"/>
                  <w:vAlign w:val="center"/>
                </w:tcPr>
                <w:p w14:paraId="59BA4024">
                  <w:pPr>
                    <w:adjustRightInd w:val="0"/>
                    <w:snapToGrid w:val="0"/>
                    <w:jc w:val="center"/>
                    <w:rPr>
                      <w:b/>
                      <w:bCs/>
                      <w:color w:val="auto"/>
                      <w:szCs w:val="21"/>
                    </w:rPr>
                  </w:pPr>
                </w:p>
              </w:tc>
              <w:tc>
                <w:tcPr>
                  <w:tcW w:w="1250" w:type="dxa"/>
                  <w:vMerge w:val="continue"/>
                  <w:tcBorders>
                    <w:tl2br w:val="nil"/>
                    <w:tr2bl w:val="nil"/>
                  </w:tcBorders>
                  <w:noWrap w:val="0"/>
                  <w:vAlign w:val="center"/>
                </w:tcPr>
                <w:p w14:paraId="21AD15A6">
                  <w:pPr>
                    <w:adjustRightInd w:val="0"/>
                    <w:snapToGrid w:val="0"/>
                    <w:jc w:val="center"/>
                    <w:rPr>
                      <w:b/>
                      <w:bCs/>
                      <w:color w:val="auto"/>
                      <w:szCs w:val="21"/>
                    </w:rPr>
                  </w:pPr>
                </w:p>
              </w:tc>
              <w:tc>
                <w:tcPr>
                  <w:tcW w:w="1346" w:type="dxa"/>
                  <w:vMerge w:val="continue"/>
                  <w:tcBorders>
                    <w:tl2br w:val="nil"/>
                    <w:tr2bl w:val="nil"/>
                  </w:tcBorders>
                  <w:noWrap w:val="0"/>
                  <w:vAlign w:val="center"/>
                </w:tcPr>
                <w:p w14:paraId="1721AF70">
                  <w:pPr>
                    <w:adjustRightInd w:val="0"/>
                    <w:snapToGrid w:val="0"/>
                    <w:jc w:val="center"/>
                    <w:rPr>
                      <w:b/>
                      <w:bCs/>
                      <w:color w:val="auto"/>
                      <w:szCs w:val="21"/>
                    </w:rPr>
                  </w:pPr>
                </w:p>
              </w:tc>
              <w:tc>
                <w:tcPr>
                  <w:tcW w:w="596" w:type="dxa"/>
                  <w:tcBorders>
                    <w:top w:val="single" w:color="auto" w:sz="4" w:space="0"/>
                    <w:tl2br w:val="nil"/>
                    <w:tr2bl w:val="nil"/>
                  </w:tcBorders>
                  <w:noWrap w:val="0"/>
                  <w:vAlign w:val="center"/>
                </w:tcPr>
                <w:p w14:paraId="7B51B4CB">
                  <w:pPr>
                    <w:adjustRightInd w:val="0"/>
                    <w:snapToGrid w:val="0"/>
                    <w:jc w:val="center"/>
                    <w:rPr>
                      <w:b/>
                      <w:bCs/>
                      <w:color w:val="auto"/>
                      <w:szCs w:val="21"/>
                    </w:rPr>
                  </w:pPr>
                  <w:r>
                    <w:rPr>
                      <w:rFonts w:hint="eastAsia"/>
                      <w:b/>
                      <w:bCs/>
                      <w:color w:val="auto"/>
                      <w:szCs w:val="21"/>
                      <w:lang w:val="en-US" w:eastAsia="zh-CN"/>
                    </w:rPr>
                    <w:t>X</w:t>
                  </w:r>
                </w:p>
              </w:tc>
              <w:tc>
                <w:tcPr>
                  <w:tcW w:w="666" w:type="dxa"/>
                  <w:tcBorders>
                    <w:top w:val="single" w:color="auto" w:sz="4" w:space="0"/>
                    <w:right w:val="single" w:color="auto" w:sz="4" w:space="0"/>
                    <w:tl2br w:val="nil"/>
                    <w:tr2bl w:val="nil"/>
                  </w:tcBorders>
                  <w:noWrap w:val="0"/>
                  <w:vAlign w:val="center"/>
                </w:tcPr>
                <w:p w14:paraId="0D4FF7C1">
                  <w:pPr>
                    <w:adjustRightInd w:val="0"/>
                    <w:snapToGrid w:val="0"/>
                    <w:jc w:val="center"/>
                    <w:rPr>
                      <w:b/>
                      <w:bCs/>
                      <w:color w:val="auto"/>
                      <w:szCs w:val="21"/>
                    </w:rPr>
                  </w:pPr>
                  <w:r>
                    <w:rPr>
                      <w:rFonts w:hint="eastAsia"/>
                      <w:b/>
                      <w:bCs/>
                      <w:color w:val="auto"/>
                      <w:szCs w:val="21"/>
                      <w:lang w:val="en-US" w:eastAsia="zh-CN"/>
                    </w:rPr>
                    <w:t>Y</w:t>
                  </w:r>
                </w:p>
              </w:tc>
              <w:tc>
                <w:tcPr>
                  <w:tcW w:w="535" w:type="dxa"/>
                  <w:tcBorders>
                    <w:top w:val="single" w:color="auto" w:sz="4" w:space="0"/>
                    <w:left w:val="single" w:color="auto" w:sz="4" w:space="0"/>
                    <w:right w:val="single" w:color="000000" w:sz="6" w:space="0"/>
                    <w:tl2br w:val="nil"/>
                    <w:tr2bl w:val="nil"/>
                  </w:tcBorders>
                  <w:noWrap w:val="0"/>
                  <w:vAlign w:val="center"/>
                </w:tcPr>
                <w:p w14:paraId="0D0F7870">
                  <w:pPr>
                    <w:adjustRightInd w:val="0"/>
                    <w:snapToGrid w:val="0"/>
                    <w:jc w:val="center"/>
                    <w:rPr>
                      <w:b/>
                      <w:bCs/>
                      <w:color w:val="auto"/>
                      <w:szCs w:val="21"/>
                    </w:rPr>
                  </w:pPr>
                  <w:r>
                    <w:rPr>
                      <w:rFonts w:hint="eastAsia"/>
                      <w:b/>
                      <w:bCs/>
                      <w:color w:val="auto"/>
                      <w:szCs w:val="21"/>
                      <w:lang w:val="en-US" w:eastAsia="zh-CN"/>
                    </w:rPr>
                    <w:t>Z</w:t>
                  </w:r>
                </w:p>
              </w:tc>
              <w:tc>
                <w:tcPr>
                  <w:tcW w:w="1284" w:type="dxa"/>
                  <w:vMerge w:val="continue"/>
                  <w:tcBorders>
                    <w:left w:val="single" w:color="000000" w:sz="6" w:space="0"/>
                    <w:right w:val="single" w:color="auto" w:sz="4" w:space="0"/>
                    <w:tl2br w:val="nil"/>
                    <w:tr2bl w:val="nil"/>
                  </w:tcBorders>
                  <w:noWrap w:val="0"/>
                  <w:vAlign w:val="center"/>
                </w:tcPr>
                <w:p w14:paraId="37110903">
                  <w:pPr>
                    <w:adjustRightInd w:val="0"/>
                    <w:snapToGrid w:val="0"/>
                    <w:jc w:val="center"/>
                    <w:rPr>
                      <w:b/>
                      <w:bCs/>
                      <w:color w:val="auto"/>
                      <w:szCs w:val="21"/>
                    </w:rPr>
                  </w:pPr>
                </w:p>
              </w:tc>
              <w:tc>
                <w:tcPr>
                  <w:tcW w:w="1340" w:type="dxa"/>
                  <w:vMerge w:val="continue"/>
                  <w:tcBorders>
                    <w:left w:val="single" w:color="auto" w:sz="4" w:space="0"/>
                    <w:tl2br w:val="nil"/>
                    <w:tr2bl w:val="nil"/>
                  </w:tcBorders>
                  <w:noWrap w:val="0"/>
                  <w:vAlign w:val="center"/>
                </w:tcPr>
                <w:p w14:paraId="68A108B7">
                  <w:pPr>
                    <w:adjustRightInd w:val="0"/>
                    <w:snapToGrid w:val="0"/>
                    <w:jc w:val="center"/>
                    <w:rPr>
                      <w:b/>
                      <w:bCs/>
                      <w:color w:val="auto"/>
                      <w:szCs w:val="21"/>
                    </w:rPr>
                  </w:pPr>
                </w:p>
              </w:tc>
              <w:tc>
                <w:tcPr>
                  <w:tcW w:w="879" w:type="dxa"/>
                  <w:vMerge w:val="continue"/>
                  <w:tcBorders>
                    <w:tl2br w:val="nil"/>
                    <w:tr2bl w:val="nil"/>
                  </w:tcBorders>
                  <w:noWrap w:val="0"/>
                  <w:vAlign w:val="center"/>
                </w:tcPr>
                <w:p w14:paraId="100C2048">
                  <w:pPr>
                    <w:adjustRightInd w:val="0"/>
                    <w:snapToGrid w:val="0"/>
                    <w:jc w:val="center"/>
                    <w:rPr>
                      <w:b/>
                      <w:bCs/>
                      <w:color w:val="auto"/>
                      <w:szCs w:val="21"/>
                    </w:rPr>
                  </w:pPr>
                </w:p>
              </w:tc>
            </w:tr>
            <w:tr w14:paraId="3F675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502" w:type="dxa"/>
                  <w:tcBorders>
                    <w:tl2br w:val="nil"/>
                    <w:tr2bl w:val="nil"/>
                  </w:tcBorders>
                  <w:noWrap w:val="0"/>
                  <w:vAlign w:val="center"/>
                </w:tcPr>
                <w:p w14:paraId="2DCBEED8">
                  <w:pPr>
                    <w:adjustRightInd w:val="0"/>
                    <w:snapToGrid w:val="0"/>
                    <w:jc w:val="center"/>
                    <w:rPr>
                      <w:rFonts w:hint="default" w:eastAsia="宋体"/>
                      <w:b w:val="0"/>
                      <w:bCs w:val="0"/>
                      <w:color w:val="auto"/>
                      <w:szCs w:val="21"/>
                      <w:lang w:val="en-US" w:eastAsia="zh-CN"/>
                    </w:rPr>
                  </w:pPr>
                  <w:r>
                    <w:rPr>
                      <w:rFonts w:hint="eastAsia"/>
                      <w:b/>
                      <w:bCs/>
                      <w:color w:val="auto"/>
                      <w:szCs w:val="21"/>
                      <w:lang w:val="en-US" w:eastAsia="zh-CN"/>
                    </w:rPr>
                    <w:t>一</w:t>
                  </w:r>
                </w:p>
              </w:tc>
              <w:tc>
                <w:tcPr>
                  <w:tcW w:w="7896" w:type="dxa"/>
                  <w:gridSpan w:val="8"/>
                  <w:tcBorders>
                    <w:tl2br w:val="nil"/>
                    <w:tr2bl w:val="nil"/>
                  </w:tcBorders>
                  <w:noWrap w:val="0"/>
                  <w:vAlign w:val="center"/>
                </w:tcPr>
                <w:p w14:paraId="3762C25A">
                  <w:pPr>
                    <w:adjustRightInd w:val="0"/>
                    <w:snapToGrid w:val="0"/>
                    <w:jc w:val="center"/>
                    <w:rPr>
                      <w:rFonts w:hint="default"/>
                      <w:b w:val="0"/>
                      <w:bCs w:val="0"/>
                      <w:color w:val="auto"/>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澳洲坚果青皮果加工</w:t>
                  </w:r>
                  <w:r>
                    <w:rPr>
                      <w:rFonts w:hint="eastAsia" w:ascii="Times New Roman" w:hAnsi="Times New Roman" w:eastAsia="宋体" w:cs="Times New Roman"/>
                      <w:b/>
                      <w:bCs/>
                      <w:i w:val="0"/>
                      <w:iCs w:val="0"/>
                      <w:color w:val="auto"/>
                      <w:kern w:val="0"/>
                      <w:sz w:val="21"/>
                      <w:szCs w:val="21"/>
                      <w:u w:val="none"/>
                      <w:lang w:val="en-US" w:eastAsia="zh-CN" w:bidi="ar"/>
                    </w:rPr>
                    <w:t>设备</w:t>
                  </w:r>
                </w:p>
              </w:tc>
            </w:tr>
            <w:tr w14:paraId="77C9F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502" w:type="dxa"/>
                  <w:tcBorders>
                    <w:tl2br w:val="nil"/>
                    <w:tr2bl w:val="nil"/>
                  </w:tcBorders>
                  <w:noWrap w:val="0"/>
                  <w:vAlign w:val="center"/>
                </w:tcPr>
                <w:p w14:paraId="7A057204">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w:t>
                  </w:r>
                </w:p>
              </w:tc>
              <w:tc>
                <w:tcPr>
                  <w:tcW w:w="1250" w:type="dxa"/>
                  <w:tcBorders>
                    <w:tl2br w:val="nil"/>
                    <w:tr2bl w:val="nil"/>
                  </w:tcBorders>
                  <w:noWrap w:val="0"/>
                  <w:vAlign w:val="center"/>
                </w:tcPr>
                <w:p w14:paraId="67FEC5F2">
                  <w:pPr>
                    <w:keepNext w:val="0"/>
                    <w:keepLines w:val="0"/>
                    <w:widowControl/>
                    <w:suppressLineNumbers w:val="0"/>
                    <w:jc w:val="center"/>
                    <w:textAlignment w:val="center"/>
                    <w:rPr>
                      <w:rFonts w:hint="default"/>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筛分提升机</w:t>
                  </w:r>
                </w:p>
              </w:tc>
              <w:tc>
                <w:tcPr>
                  <w:tcW w:w="1346" w:type="dxa"/>
                  <w:tcBorders>
                    <w:tl2br w:val="nil"/>
                    <w:tr2bl w:val="nil"/>
                  </w:tcBorders>
                  <w:noWrap w:val="0"/>
                  <w:vAlign w:val="center"/>
                </w:tcPr>
                <w:p w14:paraId="2191A455">
                  <w:pPr>
                    <w:keepNext w:val="0"/>
                    <w:keepLines w:val="0"/>
                    <w:widowControl/>
                    <w:suppressLineNumbers w:val="0"/>
                    <w:jc w:val="center"/>
                    <w:textAlignment w:val="center"/>
                    <w:rPr>
                      <w:rFonts w:hint="eastAsia" w:eastAsia="宋体"/>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总长5300*760*3600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596" w:type="dxa"/>
                  <w:tcBorders>
                    <w:tl2br w:val="nil"/>
                    <w:tr2bl w:val="nil"/>
                  </w:tcBorders>
                  <w:noWrap w:val="0"/>
                  <w:vAlign w:val="center"/>
                </w:tcPr>
                <w:p w14:paraId="511328FF">
                  <w:pPr>
                    <w:adjustRightInd w:val="0"/>
                    <w:snapToGrid w:val="0"/>
                    <w:jc w:val="center"/>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67</w:t>
                  </w:r>
                </w:p>
              </w:tc>
              <w:tc>
                <w:tcPr>
                  <w:tcW w:w="666" w:type="dxa"/>
                  <w:tcBorders>
                    <w:right w:val="single" w:color="auto" w:sz="4" w:space="0"/>
                    <w:tl2br w:val="nil"/>
                    <w:tr2bl w:val="nil"/>
                  </w:tcBorders>
                  <w:noWrap w:val="0"/>
                  <w:vAlign w:val="center"/>
                </w:tcPr>
                <w:p w14:paraId="20012274">
                  <w:pPr>
                    <w:adjustRightInd w:val="0"/>
                    <w:snapToGrid w:val="0"/>
                    <w:jc w:val="center"/>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27</w:t>
                  </w:r>
                </w:p>
              </w:tc>
              <w:tc>
                <w:tcPr>
                  <w:tcW w:w="535" w:type="dxa"/>
                  <w:tcBorders>
                    <w:left w:val="single" w:color="auto" w:sz="4" w:space="0"/>
                    <w:right w:val="single" w:color="000000" w:sz="6" w:space="0"/>
                    <w:tl2br w:val="nil"/>
                    <w:tr2bl w:val="nil"/>
                  </w:tcBorders>
                  <w:noWrap w:val="0"/>
                  <w:vAlign w:val="center"/>
                </w:tcPr>
                <w:p w14:paraId="6F5F513E">
                  <w:pPr>
                    <w:adjustRightInd w:val="0"/>
                    <w:snapToGrid w:val="0"/>
                    <w:jc w:val="center"/>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0.1</w:t>
                  </w:r>
                </w:p>
              </w:tc>
              <w:tc>
                <w:tcPr>
                  <w:tcW w:w="1284" w:type="dxa"/>
                  <w:tcBorders>
                    <w:left w:val="single" w:color="000000" w:sz="6" w:space="0"/>
                    <w:tl2br w:val="nil"/>
                    <w:tr2bl w:val="nil"/>
                  </w:tcBorders>
                  <w:noWrap w:val="0"/>
                  <w:vAlign w:val="center"/>
                </w:tcPr>
                <w:p w14:paraId="55564CC4">
                  <w:pPr>
                    <w:adjustRightInd w:val="0"/>
                    <w:snapToGrid w:val="0"/>
                    <w:jc w:val="center"/>
                    <w:rPr>
                      <w:rFonts w:hint="default"/>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80-85</w:t>
                  </w:r>
                </w:p>
              </w:tc>
              <w:tc>
                <w:tcPr>
                  <w:tcW w:w="1340" w:type="dxa"/>
                  <w:tcBorders>
                    <w:tl2br w:val="nil"/>
                    <w:tr2bl w:val="nil"/>
                  </w:tcBorders>
                  <w:noWrap w:val="0"/>
                  <w:vAlign w:val="center"/>
                </w:tcPr>
                <w:p w14:paraId="10CCA61F">
                  <w:pPr>
                    <w:adjustRightInd w:val="0"/>
                    <w:snapToGrid w:val="0"/>
                    <w:jc w:val="center"/>
                    <w:rPr>
                      <w:b/>
                      <w:bCs/>
                      <w:color w:val="auto"/>
                      <w:sz w:val="21"/>
                      <w:szCs w:val="21"/>
                    </w:rPr>
                  </w:pPr>
                  <w:r>
                    <w:rPr>
                      <w:rFonts w:hint="eastAsia"/>
                      <w:b w:val="0"/>
                      <w:bCs w:val="0"/>
                      <w:color w:val="auto"/>
                      <w:sz w:val="21"/>
                      <w:szCs w:val="21"/>
                      <w:lang w:val="en-US" w:eastAsia="zh-CN"/>
                    </w:rPr>
                    <w:t>建筑隔声、减振机座</w:t>
                  </w:r>
                </w:p>
              </w:tc>
              <w:tc>
                <w:tcPr>
                  <w:tcW w:w="879" w:type="dxa"/>
                  <w:vMerge w:val="restart"/>
                  <w:tcBorders>
                    <w:tl2br w:val="nil"/>
                    <w:tr2bl w:val="nil"/>
                  </w:tcBorders>
                  <w:noWrap w:val="0"/>
                  <w:vAlign w:val="center"/>
                </w:tcPr>
                <w:p w14:paraId="64AE48A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连续运行8h</w:t>
                  </w:r>
                </w:p>
              </w:tc>
            </w:tr>
            <w:tr w14:paraId="5641B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502" w:type="dxa"/>
                  <w:tcBorders>
                    <w:tl2br w:val="nil"/>
                    <w:tr2bl w:val="nil"/>
                  </w:tcBorders>
                  <w:noWrap w:val="0"/>
                  <w:vAlign w:val="center"/>
                </w:tcPr>
                <w:p w14:paraId="1C0D0A4E">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c>
                <w:tcPr>
                  <w:tcW w:w="1250" w:type="dxa"/>
                  <w:tcBorders>
                    <w:tl2br w:val="nil"/>
                    <w:tr2bl w:val="nil"/>
                  </w:tcBorders>
                  <w:noWrap w:val="0"/>
                  <w:vAlign w:val="center"/>
                </w:tcPr>
                <w:p w14:paraId="78D9C93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青果分级筛</w:t>
                  </w:r>
                </w:p>
              </w:tc>
              <w:tc>
                <w:tcPr>
                  <w:tcW w:w="1346" w:type="dxa"/>
                  <w:tcBorders>
                    <w:tl2br w:val="nil"/>
                    <w:tr2bl w:val="nil"/>
                  </w:tcBorders>
                  <w:noWrap w:val="0"/>
                  <w:vAlign w:val="center"/>
                </w:tcPr>
                <w:p w14:paraId="6E7C357F">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滚筛直径：970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外形尺寸6440*1300*3600</w:t>
                  </w:r>
                </w:p>
              </w:tc>
              <w:tc>
                <w:tcPr>
                  <w:tcW w:w="596" w:type="dxa"/>
                  <w:tcBorders>
                    <w:tl2br w:val="nil"/>
                    <w:tr2bl w:val="nil"/>
                  </w:tcBorders>
                  <w:noWrap w:val="0"/>
                  <w:vAlign w:val="center"/>
                </w:tcPr>
                <w:p w14:paraId="3131851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61</w:t>
                  </w:r>
                </w:p>
              </w:tc>
              <w:tc>
                <w:tcPr>
                  <w:tcW w:w="666" w:type="dxa"/>
                  <w:tcBorders>
                    <w:right w:val="single" w:color="auto" w:sz="4" w:space="0"/>
                    <w:tl2br w:val="nil"/>
                    <w:tr2bl w:val="nil"/>
                  </w:tcBorders>
                  <w:noWrap w:val="0"/>
                  <w:vAlign w:val="center"/>
                </w:tcPr>
                <w:p w14:paraId="5EE3B95D">
                  <w:pPr>
                    <w:adjustRightInd w:val="0"/>
                    <w:snapToGrid w:val="0"/>
                    <w:jc w:val="center"/>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25</w:t>
                  </w:r>
                </w:p>
              </w:tc>
              <w:tc>
                <w:tcPr>
                  <w:tcW w:w="535" w:type="dxa"/>
                  <w:tcBorders>
                    <w:left w:val="single" w:color="auto" w:sz="4" w:space="0"/>
                    <w:right w:val="single" w:color="000000" w:sz="6" w:space="0"/>
                    <w:tl2br w:val="nil"/>
                    <w:tr2bl w:val="nil"/>
                  </w:tcBorders>
                  <w:noWrap w:val="0"/>
                  <w:vAlign w:val="center"/>
                </w:tcPr>
                <w:p w14:paraId="1F0F220F">
                  <w:pPr>
                    <w:adjustRightInd w:val="0"/>
                    <w:snapToGrid w:val="0"/>
                    <w:jc w:val="center"/>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0</w:t>
                  </w:r>
                </w:p>
              </w:tc>
              <w:tc>
                <w:tcPr>
                  <w:tcW w:w="1284" w:type="dxa"/>
                  <w:tcBorders>
                    <w:left w:val="single" w:color="000000" w:sz="6" w:space="0"/>
                    <w:tl2br w:val="nil"/>
                    <w:tr2bl w:val="nil"/>
                  </w:tcBorders>
                  <w:noWrap w:val="0"/>
                  <w:vAlign w:val="center"/>
                </w:tcPr>
                <w:p w14:paraId="34D2F762">
                  <w:pPr>
                    <w:adjustRightInd w:val="0"/>
                    <w:snapToGrid w:val="0"/>
                    <w:jc w:val="center"/>
                    <w:rPr>
                      <w:rFonts w:hint="default"/>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85</w:t>
                  </w:r>
                </w:p>
              </w:tc>
              <w:tc>
                <w:tcPr>
                  <w:tcW w:w="1340" w:type="dxa"/>
                  <w:tcBorders>
                    <w:tl2br w:val="nil"/>
                    <w:tr2bl w:val="nil"/>
                  </w:tcBorders>
                  <w:noWrap w:val="0"/>
                  <w:vAlign w:val="center"/>
                </w:tcPr>
                <w:p w14:paraId="5B457A32">
                  <w:pPr>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0D834896">
                  <w:pPr>
                    <w:adjustRightInd w:val="0"/>
                    <w:snapToGrid w:val="0"/>
                    <w:jc w:val="center"/>
                    <w:rPr>
                      <w:b/>
                      <w:bCs/>
                      <w:color w:val="auto"/>
                      <w:sz w:val="21"/>
                      <w:szCs w:val="21"/>
                    </w:rPr>
                  </w:pPr>
                </w:p>
              </w:tc>
            </w:tr>
            <w:tr w14:paraId="031D0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2435BE67">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p>
              </w:tc>
              <w:tc>
                <w:tcPr>
                  <w:tcW w:w="1250" w:type="dxa"/>
                  <w:tcBorders>
                    <w:tl2br w:val="nil"/>
                    <w:tr2bl w:val="nil"/>
                  </w:tcBorders>
                  <w:noWrap w:val="0"/>
                  <w:vAlign w:val="center"/>
                </w:tcPr>
                <w:p w14:paraId="03390BE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坚果脱皮机</w:t>
                  </w:r>
                </w:p>
              </w:tc>
              <w:tc>
                <w:tcPr>
                  <w:tcW w:w="1346" w:type="dxa"/>
                  <w:tcBorders>
                    <w:tl2br w:val="nil"/>
                    <w:tr2bl w:val="nil"/>
                  </w:tcBorders>
                  <w:noWrap w:val="0"/>
                  <w:vAlign w:val="center"/>
                </w:tcPr>
                <w:p w14:paraId="3984D4D1">
                  <w:pPr>
                    <w:keepNext w:val="0"/>
                    <w:keepLines w:val="0"/>
                    <w:widowControl/>
                    <w:suppressLineNumbers w:val="0"/>
                    <w:jc w:val="center"/>
                    <w:textAlignment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4轴2通道</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外形尺寸2400*500*1800</w:t>
                  </w:r>
                </w:p>
              </w:tc>
              <w:tc>
                <w:tcPr>
                  <w:tcW w:w="596" w:type="dxa"/>
                  <w:tcBorders>
                    <w:tl2br w:val="nil"/>
                    <w:tr2bl w:val="nil"/>
                  </w:tcBorders>
                  <w:noWrap w:val="0"/>
                  <w:vAlign w:val="center"/>
                </w:tcPr>
                <w:p w14:paraId="12330ECF">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59</w:t>
                  </w:r>
                </w:p>
              </w:tc>
              <w:tc>
                <w:tcPr>
                  <w:tcW w:w="666" w:type="dxa"/>
                  <w:tcBorders>
                    <w:right w:val="single" w:color="auto" w:sz="4" w:space="0"/>
                    <w:tl2br w:val="nil"/>
                    <w:tr2bl w:val="nil"/>
                  </w:tcBorders>
                  <w:noWrap w:val="0"/>
                  <w:vAlign w:val="center"/>
                </w:tcPr>
                <w:p w14:paraId="62B7CB9D">
                  <w:pPr>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27</w:t>
                  </w:r>
                </w:p>
              </w:tc>
              <w:tc>
                <w:tcPr>
                  <w:tcW w:w="535" w:type="dxa"/>
                  <w:tcBorders>
                    <w:left w:val="single" w:color="auto" w:sz="4" w:space="0"/>
                    <w:right w:val="single" w:color="000000" w:sz="6" w:space="0"/>
                    <w:tl2br w:val="nil"/>
                    <w:tr2bl w:val="nil"/>
                  </w:tcBorders>
                  <w:noWrap w:val="0"/>
                  <w:vAlign w:val="center"/>
                </w:tcPr>
                <w:p w14:paraId="527A7E9C">
                  <w:pPr>
                    <w:adjustRightInd w:val="0"/>
                    <w:snapToGrid w:val="0"/>
                    <w:jc w:val="center"/>
                    <w:rPr>
                      <w:rFonts w:hint="default" w:eastAsia="宋体"/>
                      <w:b w:val="0"/>
                      <w:bCs w:val="0"/>
                      <w:color w:val="auto"/>
                      <w:sz w:val="21"/>
                      <w:szCs w:val="21"/>
                      <w:lang w:val="en-US" w:eastAsia="zh-CN"/>
                    </w:rPr>
                  </w:pPr>
                  <w:r>
                    <w:rPr>
                      <w:rFonts w:hint="eastAsia" w:eastAsia="宋体"/>
                      <w:b w:val="0"/>
                      <w:bCs w:val="0"/>
                      <w:color w:val="auto"/>
                      <w:sz w:val="21"/>
                      <w:szCs w:val="21"/>
                      <w:lang w:val="en-US" w:eastAsia="zh-CN"/>
                    </w:rPr>
                    <w:t>0.2</w:t>
                  </w:r>
                </w:p>
              </w:tc>
              <w:tc>
                <w:tcPr>
                  <w:tcW w:w="1284" w:type="dxa"/>
                  <w:tcBorders>
                    <w:left w:val="single" w:color="000000" w:sz="6" w:space="0"/>
                    <w:tl2br w:val="nil"/>
                    <w:tr2bl w:val="nil"/>
                  </w:tcBorders>
                  <w:noWrap w:val="0"/>
                  <w:vAlign w:val="center"/>
                </w:tcPr>
                <w:p w14:paraId="592295E3">
                  <w:pPr>
                    <w:adjustRightInd w:val="0"/>
                    <w:snapToGrid w:val="0"/>
                    <w:jc w:val="center"/>
                    <w:rPr>
                      <w:rFonts w:hint="default"/>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85</w:t>
                  </w:r>
                </w:p>
              </w:tc>
              <w:tc>
                <w:tcPr>
                  <w:tcW w:w="1340" w:type="dxa"/>
                  <w:tcBorders>
                    <w:tl2br w:val="nil"/>
                    <w:tr2bl w:val="nil"/>
                  </w:tcBorders>
                  <w:noWrap w:val="0"/>
                  <w:vAlign w:val="center"/>
                </w:tcPr>
                <w:p w14:paraId="253BABD0">
                  <w:pPr>
                    <w:adjustRightInd w:val="0"/>
                    <w:snapToGrid w:val="0"/>
                    <w:jc w:val="center"/>
                    <w:rPr>
                      <w:b/>
                      <w:bCs/>
                      <w:color w:val="auto"/>
                      <w:sz w:val="21"/>
                      <w:szCs w:val="21"/>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29289BCC">
                  <w:pPr>
                    <w:adjustRightInd w:val="0"/>
                    <w:snapToGrid w:val="0"/>
                    <w:jc w:val="center"/>
                    <w:rPr>
                      <w:b/>
                      <w:bCs/>
                      <w:color w:val="auto"/>
                      <w:sz w:val="21"/>
                      <w:szCs w:val="21"/>
                    </w:rPr>
                  </w:pPr>
                </w:p>
              </w:tc>
            </w:tr>
            <w:tr w14:paraId="3B769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238B5D5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1250" w:type="dxa"/>
                  <w:tcBorders>
                    <w:tl2br w:val="nil"/>
                    <w:tr2bl w:val="nil"/>
                  </w:tcBorders>
                  <w:noWrap w:val="0"/>
                  <w:vAlign w:val="center"/>
                </w:tcPr>
                <w:p w14:paraId="2E529A3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输送机</w:t>
                  </w:r>
                </w:p>
              </w:tc>
              <w:tc>
                <w:tcPr>
                  <w:tcW w:w="1346" w:type="dxa"/>
                  <w:tcBorders>
                    <w:tl2br w:val="nil"/>
                    <w:tr2bl w:val="nil"/>
                  </w:tcBorders>
                  <w:noWrap w:val="0"/>
                  <w:vAlign w:val="center"/>
                </w:tcPr>
                <w:p w14:paraId="724C16E5">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596" w:type="dxa"/>
                  <w:tcBorders>
                    <w:tl2br w:val="nil"/>
                    <w:tr2bl w:val="nil"/>
                  </w:tcBorders>
                  <w:noWrap w:val="0"/>
                  <w:vAlign w:val="center"/>
                </w:tcPr>
                <w:p w14:paraId="2F6C2C7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55</w:t>
                  </w:r>
                </w:p>
              </w:tc>
              <w:tc>
                <w:tcPr>
                  <w:tcW w:w="666" w:type="dxa"/>
                  <w:tcBorders>
                    <w:right w:val="single" w:color="auto" w:sz="4" w:space="0"/>
                    <w:tl2br w:val="nil"/>
                    <w:tr2bl w:val="nil"/>
                  </w:tcBorders>
                  <w:noWrap w:val="0"/>
                  <w:vAlign w:val="center"/>
                </w:tcPr>
                <w:p w14:paraId="6C07BA81">
                  <w:pPr>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25</w:t>
                  </w:r>
                </w:p>
              </w:tc>
              <w:tc>
                <w:tcPr>
                  <w:tcW w:w="535" w:type="dxa"/>
                  <w:tcBorders>
                    <w:left w:val="single" w:color="auto" w:sz="4" w:space="0"/>
                    <w:right w:val="single" w:color="000000" w:sz="6" w:space="0"/>
                    <w:tl2br w:val="nil"/>
                    <w:tr2bl w:val="nil"/>
                  </w:tcBorders>
                  <w:noWrap w:val="0"/>
                  <w:vAlign w:val="center"/>
                </w:tcPr>
                <w:p w14:paraId="154CC91A">
                  <w:pPr>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5F3C9AD1">
                  <w:pPr>
                    <w:adjustRightInd w:val="0"/>
                    <w:snapToGrid w:val="0"/>
                    <w:jc w:val="center"/>
                    <w:rPr>
                      <w:rFonts w:hint="default"/>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65</w:t>
                  </w:r>
                </w:p>
              </w:tc>
              <w:tc>
                <w:tcPr>
                  <w:tcW w:w="1340" w:type="dxa"/>
                  <w:tcBorders>
                    <w:tl2br w:val="nil"/>
                    <w:tr2bl w:val="nil"/>
                  </w:tcBorders>
                  <w:noWrap w:val="0"/>
                  <w:vAlign w:val="center"/>
                </w:tcPr>
                <w:p w14:paraId="605847AE">
                  <w:pPr>
                    <w:adjustRightInd w:val="0"/>
                    <w:snapToGrid w:val="0"/>
                    <w:jc w:val="center"/>
                    <w:rPr>
                      <w:b/>
                      <w:bCs/>
                      <w:color w:val="auto"/>
                      <w:sz w:val="21"/>
                      <w:szCs w:val="21"/>
                    </w:rPr>
                  </w:pPr>
                  <w:r>
                    <w:rPr>
                      <w:rFonts w:hint="eastAsia"/>
                      <w:b w:val="0"/>
                      <w:bCs w:val="0"/>
                      <w:color w:val="auto"/>
                      <w:sz w:val="21"/>
                      <w:szCs w:val="21"/>
                      <w:lang w:val="en-US" w:eastAsia="zh-CN"/>
                    </w:rPr>
                    <w:t>建筑隔声</w:t>
                  </w:r>
                </w:p>
              </w:tc>
              <w:tc>
                <w:tcPr>
                  <w:tcW w:w="879" w:type="dxa"/>
                  <w:vMerge w:val="continue"/>
                  <w:tcBorders>
                    <w:tl2br w:val="nil"/>
                    <w:tr2bl w:val="nil"/>
                  </w:tcBorders>
                  <w:noWrap w:val="0"/>
                  <w:vAlign w:val="center"/>
                </w:tcPr>
                <w:p w14:paraId="2C6A4280">
                  <w:pPr>
                    <w:adjustRightInd w:val="0"/>
                    <w:snapToGrid w:val="0"/>
                    <w:jc w:val="center"/>
                    <w:rPr>
                      <w:b/>
                      <w:bCs/>
                      <w:color w:val="auto"/>
                      <w:sz w:val="21"/>
                      <w:szCs w:val="21"/>
                    </w:rPr>
                  </w:pPr>
                </w:p>
              </w:tc>
            </w:tr>
            <w:tr w14:paraId="66870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31DD7C2F">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1250" w:type="dxa"/>
                  <w:tcBorders>
                    <w:tl2br w:val="nil"/>
                    <w:tr2bl w:val="nil"/>
                  </w:tcBorders>
                  <w:noWrap w:val="0"/>
                  <w:vAlign w:val="center"/>
                </w:tcPr>
                <w:p w14:paraId="7EF25B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清洗提升机</w:t>
                  </w:r>
                </w:p>
              </w:tc>
              <w:tc>
                <w:tcPr>
                  <w:tcW w:w="1346" w:type="dxa"/>
                  <w:tcBorders>
                    <w:tl2br w:val="nil"/>
                    <w:tr2bl w:val="nil"/>
                  </w:tcBorders>
                  <w:noWrap w:val="0"/>
                  <w:vAlign w:val="center"/>
                </w:tcPr>
                <w:p w14:paraId="38632AD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总长4500*760*2700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201不锈钢链板</w:t>
                  </w:r>
                </w:p>
              </w:tc>
              <w:tc>
                <w:tcPr>
                  <w:tcW w:w="596" w:type="dxa"/>
                  <w:tcBorders>
                    <w:tl2br w:val="nil"/>
                    <w:tr2bl w:val="nil"/>
                  </w:tcBorders>
                  <w:noWrap w:val="0"/>
                  <w:vAlign w:val="center"/>
                </w:tcPr>
                <w:p w14:paraId="6E6DB66D">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60</w:t>
                  </w:r>
                </w:p>
              </w:tc>
              <w:tc>
                <w:tcPr>
                  <w:tcW w:w="666" w:type="dxa"/>
                  <w:tcBorders>
                    <w:right w:val="single" w:color="auto" w:sz="4" w:space="0"/>
                    <w:tl2br w:val="nil"/>
                    <w:tr2bl w:val="nil"/>
                  </w:tcBorders>
                  <w:noWrap w:val="0"/>
                  <w:vAlign w:val="center"/>
                </w:tcPr>
                <w:p w14:paraId="3D8E338C">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25</w:t>
                  </w:r>
                </w:p>
              </w:tc>
              <w:tc>
                <w:tcPr>
                  <w:tcW w:w="535" w:type="dxa"/>
                  <w:tcBorders>
                    <w:left w:val="single" w:color="auto" w:sz="4" w:space="0"/>
                    <w:right w:val="single" w:color="000000" w:sz="6" w:space="0"/>
                    <w:tl2br w:val="nil"/>
                    <w:tr2bl w:val="nil"/>
                  </w:tcBorders>
                  <w:noWrap w:val="0"/>
                  <w:vAlign w:val="center"/>
                </w:tcPr>
                <w:p w14:paraId="551D1F0A">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661882BB">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80-85</w:t>
                  </w:r>
                </w:p>
              </w:tc>
              <w:tc>
                <w:tcPr>
                  <w:tcW w:w="1340" w:type="dxa"/>
                  <w:tcBorders>
                    <w:tl2br w:val="nil"/>
                    <w:tr2bl w:val="nil"/>
                  </w:tcBorders>
                  <w:noWrap w:val="0"/>
                  <w:vAlign w:val="center"/>
                </w:tcPr>
                <w:p w14:paraId="685ECF7F">
                  <w:pPr>
                    <w:adjustRightInd w:val="0"/>
                    <w:snapToGrid w:val="0"/>
                    <w:jc w:val="center"/>
                    <w:rPr>
                      <w:rFonts w:hint="eastAsia"/>
                      <w:b w:val="0"/>
                      <w:bCs w:val="0"/>
                      <w:color w:val="auto"/>
                      <w:kern w:val="2"/>
                      <w:sz w:val="21"/>
                      <w:szCs w:val="21"/>
                      <w:lang w:val="en-US" w:eastAsia="zh-CN" w:bidi="ar-SA"/>
                    </w:rPr>
                  </w:pPr>
                  <w:r>
                    <w:rPr>
                      <w:rFonts w:hint="eastAsia"/>
                      <w:b w:val="0"/>
                      <w:bCs w:val="0"/>
                      <w:color w:val="auto"/>
                      <w:sz w:val="21"/>
                      <w:szCs w:val="21"/>
                      <w:lang w:val="en-US" w:eastAsia="zh-CN"/>
                    </w:rPr>
                    <w:t>建筑隔声、减振机座</w:t>
                  </w:r>
                </w:p>
              </w:tc>
              <w:tc>
                <w:tcPr>
                  <w:tcW w:w="879" w:type="dxa"/>
                  <w:tcBorders>
                    <w:tl2br w:val="nil"/>
                    <w:tr2bl w:val="nil"/>
                  </w:tcBorders>
                  <w:noWrap w:val="0"/>
                  <w:vAlign w:val="center"/>
                </w:tcPr>
                <w:p w14:paraId="62F30216">
                  <w:pPr>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连续运行8h</w:t>
                  </w:r>
                </w:p>
              </w:tc>
            </w:tr>
            <w:tr w14:paraId="5C890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3BB889B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w:t>
                  </w:r>
                </w:p>
              </w:tc>
              <w:tc>
                <w:tcPr>
                  <w:tcW w:w="1250" w:type="dxa"/>
                  <w:tcBorders>
                    <w:tl2br w:val="nil"/>
                    <w:tr2bl w:val="nil"/>
                  </w:tcBorders>
                  <w:noWrap w:val="0"/>
                  <w:vAlign w:val="center"/>
                </w:tcPr>
                <w:p w14:paraId="3457D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清洗机</w:t>
                  </w:r>
                </w:p>
              </w:tc>
              <w:tc>
                <w:tcPr>
                  <w:tcW w:w="1346" w:type="dxa"/>
                  <w:tcBorders>
                    <w:tl2br w:val="nil"/>
                    <w:tr2bl w:val="nil"/>
                  </w:tcBorders>
                  <w:noWrap w:val="0"/>
                  <w:vAlign w:val="center"/>
                </w:tcPr>
                <w:p w14:paraId="2E3EF76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滚筒直径1270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外形尺寸4000*1600*2800</w:t>
                  </w:r>
                </w:p>
              </w:tc>
              <w:tc>
                <w:tcPr>
                  <w:tcW w:w="596" w:type="dxa"/>
                  <w:tcBorders>
                    <w:tl2br w:val="nil"/>
                    <w:tr2bl w:val="nil"/>
                  </w:tcBorders>
                  <w:noWrap w:val="0"/>
                  <w:vAlign w:val="center"/>
                </w:tcPr>
                <w:p w14:paraId="6DE364F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64</w:t>
                  </w:r>
                </w:p>
              </w:tc>
              <w:tc>
                <w:tcPr>
                  <w:tcW w:w="666" w:type="dxa"/>
                  <w:tcBorders>
                    <w:right w:val="single" w:color="auto" w:sz="4" w:space="0"/>
                    <w:tl2br w:val="nil"/>
                    <w:tr2bl w:val="nil"/>
                  </w:tcBorders>
                  <w:noWrap w:val="0"/>
                  <w:vAlign w:val="center"/>
                </w:tcPr>
                <w:p w14:paraId="1AF13474">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15</w:t>
                  </w:r>
                </w:p>
              </w:tc>
              <w:tc>
                <w:tcPr>
                  <w:tcW w:w="535" w:type="dxa"/>
                  <w:tcBorders>
                    <w:left w:val="single" w:color="auto" w:sz="4" w:space="0"/>
                    <w:right w:val="single" w:color="000000" w:sz="6" w:space="0"/>
                    <w:tl2br w:val="nil"/>
                    <w:tr2bl w:val="nil"/>
                  </w:tcBorders>
                  <w:noWrap w:val="0"/>
                  <w:vAlign w:val="center"/>
                </w:tcPr>
                <w:p w14:paraId="7A55C582">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65BFCB6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w:t>
                  </w:r>
                </w:p>
              </w:tc>
              <w:tc>
                <w:tcPr>
                  <w:tcW w:w="1340" w:type="dxa"/>
                  <w:tcBorders>
                    <w:tl2br w:val="nil"/>
                    <w:tr2bl w:val="nil"/>
                  </w:tcBorders>
                  <w:noWrap w:val="0"/>
                  <w:vAlign w:val="center"/>
                </w:tcPr>
                <w:p w14:paraId="575B8C42">
                  <w:pPr>
                    <w:adjustRightInd w:val="0"/>
                    <w:snapToGrid w:val="0"/>
                    <w:jc w:val="center"/>
                    <w:rPr>
                      <w:rFonts w:hint="eastAsia"/>
                      <w:b w:val="0"/>
                      <w:bCs w:val="0"/>
                      <w:color w:val="auto"/>
                      <w:kern w:val="2"/>
                      <w:sz w:val="21"/>
                      <w:szCs w:val="21"/>
                      <w:lang w:val="en-US" w:eastAsia="zh-CN" w:bidi="ar-SA"/>
                    </w:rPr>
                  </w:pPr>
                  <w:r>
                    <w:rPr>
                      <w:rFonts w:hint="eastAsia"/>
                      <w:b w:val="0"/>
                      <w:bCs w:val="0"/>
                      <w:color w:val="auto"/>
                      <w:sz w:val="21"/>
                      <w:szCs w:val="21"/>
                      <w:lang w:val="en-US" w:eastAsia="zh-CN"/>
                    </w:rPr>
                    <w:t>建筑隔声、减振机座</w:t>
                  </w:r>
                </w:p>
              </w:tc>
              <w:tc>
                <w:tcPr>
                  <w:tcW w:w="879" w:type="dxa"/>
                  <w:tcBorders>
                    <w:tl2br w:val="nil"/>
                    <w:tr2bl w:val="nil"/>
                  </w:tcBorders>
                  <w:noWrap w:val="0"/>
                  <w:vAlign w:val="center"/>
                </w:tcPr>
                <w:p w14:paraId="5CF1C707">
                  <w:pPr>
                    <w:adjustRightInd w:val="0"/>
                    <w:snapToGrid w:val="0"/>
                    <w:jc w:val="center"/>
                    <w:rPr>
                      <w:rFonts w:hint="default" w:eastAsia="宋体"/>
                      <w:b w:val="0"/>
                      <w:bCs w:val="0"/>
                      <w:color w:val="auto"/>
                      <w:kern w:val="2"/>
                      <w:sz w:val="21"/>
                      <w:szCs w:val="21"/>
                      <w:lang w:val="en-US" w:eastAsia="zh-CN" w:bidi="ar-SA"/>
                    </w:rPr>
                  </w:pPr>
                  <w:r>
                    <w:rPr>
                      <w:rFonts w:hint="eastAsia"/>
                      <w:b w:val="0"/>
                      <w:bCs w:val="0"/>
                      <w:color w:val="auto"/>
                      <w:sz w:val="21"/>
                      <w:szCs w:val="21"/>
                      <w:lang w:val="en-US" w:eastAsia="zh-CN"/>
                    </w:rPr>
                    <w:t>连续运行8h</w:t>
                  </w:r>
                </w:p>
              </w:tc>
            </w:tr>
            <w:tr w14:paraId="51425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150CE57E">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w:t>
                  </w:r>
                </w:p>
              </w:tc>
              <w:tc>
                <w:tcPr>
                  <w:tcW w:w="1250" w:type="dxa"/>
                  <w:tcBorders>
                    <w:tl2br w:val="nil"/>
                    <w:tr2bl w:val="nil"/>
                  </w:tcBorders>
                  <w:noWrap w:val="0"/>
                  <w:vAlign w:val="center"/>
                </w:tcPr>
                <w:p w14:paraId="53B796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浮选机</w:t>
                  </w:r>
                </w:p>
              </w:tc>
              <w:tc>
                <w:tcPr>
                  <w:tcW w:w="1346" w:type="dxa"/>
                  <w:tcBorders>
                    <w:tl2br w:val="nil"/>
                    <w:tr2bl w:val="nil"/>
                  </w:tcBorders>
                  <w:noWrap w:val="0"/>
                  <w:vAlign w:val="center"/>
                </w:tcPr>
                <w:p w14:paraId="4850C40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3800*1300*2000</w:t>
                  </w:r>
                </w:p>
              </w:tc>
              <w:tc>
                <w:tcPr>
                  <w:tcW w:w="596" w:type="dxa"/>
                  <w:tcBorders>
                    <w:tl2br w:val="nil"/>
                    <w:tr2bl w:val="nil"/>
                  </w:tcBorders>
                  <w:noWrap w:val="0"/>
                  <w:vAlign w:val="center"/>
                </w:tcPr>
                <w:p w14:paraId="067AAC7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59</w:t>
                  </w:r>
                </w:p>
              </w:tc>
              <w:tc>
                <w:tcPr>
                  <w:tcW w:w="666" w:type="dxa"/>
                  <w:tcBorders>
                    <w:right w:val="single" w:color="auto" w:sz="4" w:space="0"/>
                    <w:tl2br w:val="nil"/>
                    <w:tr2bl w:val="nil"/>
                  </w:tcBorders>
                  <w:noWrap w:val="0"/>
                  <w:vAlign w:val="center"/>
                </w:tcPr>
                <w:p w14:paraId="7C6403E2">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13</w:t>
                  </w:r>
                </w:p>
              </w:tc>
              <w:tc>
                <w:tcPr>
                  <w:tcW w:w="535" w:type="dxa"/>
                  <w:tcBorders>
                    <w:left w:val="single" w:color="auto" w:sz="4" w:space="0"/>
                    <w:right w:val="single" w:color="000000" w:sz="6" w:space="0"/>
                    <w:tl2br w:val="nil"/>
                    <w:tr2bl w:val="nil"/>
                  </w:tcBorders>
                  <w:noWrap w:val="0"/>
                  <w:vAlign w:val="center"/>
                </w:tcPr>
                <w:p w14:paraId="0BA33AEE">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5900CC94">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75</w:t>
                  </w:r>
                </w:p>
              </w:tc>
              <w:tc>
                <w:tcPr>
                  <w:tcW w:w="1340" w:type="dxa"/>
                  <w:tcBorders>
                    <w:tl2br w:val="nil"/>
                    <w:tr2bl w:val="nil"/>
                  </w:tcBorders>
                  <w:noWrap w:val="0"/>
                  <w:vAlign w:val="center"/>
                </w:tcPr>
                <w:p w14:paraId="14C96D19">
                  <w:pPr>
                    <w:adjustRightInd w:val="0"/>
                    <w:snapToGrid w:val="0"/>
                    <w:jc w:val="center"/>
                    <w:rPr>
                      <w:rFonts w:hint="eastAsia"/>
                      <w:b w:val="0"/>
                      <w:bCs w:val="0"/>
                      <w:color w:val="auto"/>
                      <w:kern w:val="2"/>
                      <w:sz w:val="21"/>
                      <w:szCs w:val="21"/>
                      <w:lang w:val="en-US" w:eastAsia="zh-CN" w:bidi="ar-SA"/>
                    </w:rPr>
                  </w:pPr>
                  <w:r>
                    <w:rPr>
                      <w:rFonts w:hint="eastAsia"/>
                      <w:b w:val="0"/>
                      <w:bCs w:val="0"/>
                      <w:color w:val="auto"/>
                      <w:sz w:val="21"/>
                      <w:szCs w:val="21"/>
                      <w:lang w:val="en-US" w:eastAsia="zh-CN"/>
                    </w:rPr>
                    <w:t>建筑隔声、减振机座</w:t>
                  </w:r>
                </w:p>
              </w:tc>
              <w:tc>
                <w:tcPr>
                  <w:tcW w:w="879" w:type="dxa"/>
                  <w:tcBorders>
                    <w:tl2br w:val="nil"/>
                    <w:tr2bl w:val="nil"/>
                  </w:tcBorders>
                  <w:noWrap w:val="0"/>
                  <w:vAlign w:val="center"/>
                </w:tcPr>
                <w:p w14:paraId="7B52E26F">
                  <w:pPr>
                    <w:adjustRightInd w:val="0"/>
                    <w:snapToGrid w:val="0"/>
                    <w:jc w:val="center"/>
                    <w:rPr>
                      <w:rFonts w:hint="default" w:eastAsia="宋体"/>
                      <w:b w:val="0"/>
                      <w:bCs w:val="0"/>
                      <w:color w:val="auto"/>
                      <w:kern w:val="2"/>
                      <w:sz w:val="21"/>
                      <w:szCs w:val="21"/>
                      <w:lang w:val="en-US" w:eastAsia="zh-CN" w:bidi="ar-SA"/>
                    </w:rPr>
                  </w:pPr>
                  <w:r>
                    <w:rPr>
                      <w:rFonts w:hint="eastAsia"/>
                      <w:b w:val="0"/>
                      <w:bCs w:val="0"/>
                      <w:color w:val="auto"/>
                      <w:sz w:val="21"/>
                      <w:szCs w:val="21"/>
                      <w:lang w:val="en-US" w:eastAsia="zh-CN"/>
                    </w:rPr>
                    <w:t>连续运行8h</w:t>
                  </w:r>
                </w:p>
              </w:tc>
            </w:tr>
            <w:tr w14:paraId="4BFB4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5F55A11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w:t>
                  </w:r>
                </w:p>
              </w:tc>
              <w:tc>
                <w:tcPr>
                  <w:tcW w:w="1250" w:type="dxa"/>
                  <w:tcBorders>
                    <w:tl2br w:val="nil"/>
                    <w:tr2bl w:val="nil"/>
                  </w:tcBorders>
                  <w:noWrap w:val="0"/>
                  <w:vAlign w:val="center"/>
                </w:tcPr>
                <w:p w14:paraId="5527B5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沥水风干机</w:t>
                  </w:r>
                </w:p>
              </w:tc>
              <w:tc>
                <w:tcPr>
                  <w:tcW w:w="1346" w:type="dxa"/>
                  <w:tcBorders>
                    <w:tl2br w:val="nil"/>
                    <w:tr2bl w:val="nil"/>
                  </w:tcBorders>
                  <w:noWrap w:val="0"/>
                  <w:vAlign w:val="center"/>
                </w:tcPr>
                <w:p w14:paraId="215173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5000*910*1200</w:t>
                  </w:r>
                </w:p>
              </w:tc>
              <w:tc>
                <w:tcPr>
                  <w:tcW w:w="596" w:type="dxa"/>
                  <w:tcBorders>
                    <w:tl2br w:val="nil"/>
                    <w:tr2bl w:val="nil"/>
                  </w:tcBorders>
                  <w:noWrap w:val="0"/>
                  <w:vAlign w:val="center"/>
                </w:tcPr>
                <w:p w14:paraId="505F4C1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65</w:t>
                  </w:r>
                </w:p>
              </w:tc>
              <w:tc>
                <w:tcPr>
                  <w:tcW w:w="666" w:type="dxa"/>
                  <w:tcBorders>
                    <w:right w:val="single" w:color="auto" w:sz="4" w:space="0"/>
                    <w:tl2br w:val="nil"/>
                    <w:tr2bl w:val="nil"/>
                  </w:tcBorders>
                  <w:noWrap w:val="0"/>
                  <w:vAlign w:val="center"/>
                </w:tcPr>
                <w:p w14:paraId="4371F18B">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19</w:t>
                  </w:r>
                </w:p>
              </w:tc>
              <w:tc>
                <w:tcPr>
                  <w:tcW w:w="535" w:type="dxa"/>
                  <w:tcBorders>
                    <w:left w:val="single" w:color="auto" w:sz="4" w:space="0"/>
                    <w:right w:val="single" w:color="000000" w:sz="6" w:space="0"/>
                    <w:tl2br w:val="nil"/>
                    <w:tr2bl w:val="nil"/>
                  </w:tcBorders>
                  <w:noWrap w:val="0"/>
                  <w:vAlign w:val="center"/>
                </w:tcPr>
                <w:p w14:paraId="7475DEA3">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1A1ED59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75-80</w:t>
                  </w:r>
                </w:p>
              </w:tc>
              <w:tc>
                <w:tcPr>
                  <w:tcW w:w="1340" w:type="dxa"/>
                  <w:tcBorders>
                    <w:tl2br w:val="nil"/>
                    <w:tr2bl w:val="nil"/>
                  </w:tcBorders>
                  <w:noWrap w:val="0"/>
                  <w:vAlign w:val="center"/>
                </w:tcPr>
                <w:p w14:paraId="7FEA7BB8">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建筑隔声、减振机座、消音器</w:t>
                  </w:r>
                </w:p>
              </w:tc>
              <w:tc>
                <w:tcPr>
                  <w:tcW w:w="879" w:type="dxa"/>
                  <w:tcBorders>
                    <w:tl2br w:val="nil"/>
                    <w:tr2bl w:val="nil"/>
                  </w:tcBorders>
                  <w:noWrap w:val="0"/>
                  <w:vAlign w:val="center"/>
                </w:tcPr>
                <w:p w14:paraId="207C6DDD">
                  <w:pPr>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连续运行8h</w:t>
                  </w:r>
                </w:p>
              </w:tc>
            </w:tr>
            <w:tr w14:paraId="02F82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561D7463">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w:t>
                  </w:r>
                </w:p>
              </w:tc>
              <w:tc>
                <w:tcPr>
                  <w:tcW w:w="1250" w:type="dxa"/>
                  <w:tcBorders>
                    <w:tl2br w:val="nil"/>
                    <w:tr2bl w:val="nil"/>
                  </w:tcBorders>
                  <w:noWrap w:val="0"/>
                  <w:vAlign w:val="center"/>
                </w:tcPr>
                <w:p w14:paraId="34D88A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烘房上料提升机</w:t>
                  </w:r>
                </w:p>
              </w:tc>
              <w:tc>
                <w:tcPr>
                  <w:tcW w:w="1346" w:type="dxa"/>
                  <w:tcBorders>
                    <w:tl2br w:val="nil"/>
                    <w:tr2bl w:val="nil"/>
                  </w:tcBorders>
                  <w:noWrap w:val="0"/>
                  <w:vAlign w:val="center"/>
                </w:tcPr>
                <w:p w14:paraId="7F2F5BE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总长6200*760*4200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304不锈钢链板</w:t>
                  </w:r>
                </w:p>
              </w:tc>
              <w:tc>
                <w:tcPr>
                  <w:tcW w:w="596" w:type="dxa"/>
                  <w:tcBorders>
                    <w:tl2br w:val="nil"/>
                    <w:tr2bl w:val="nil"/>
                  </w:tcBorders>
                  <w:noWrap w:val="0"/>
                  <w:vAlign w:val="center"/>
                </w:tcPr>
                <w:p w14:paraId="71D97E6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55</w:t>
                  </w:r>
                </w:p>
              </w:tc>
              <w:tc>
                <w:tcPr>
                  <w:tcW w:w="666" w:type="dxa"/>
                  <w:tcBorders>
                    <w:right w:val="single" w:color="auto" w:sz="4" w:space="0"/>
                    <w:tl2br w:val="nil"/>
                    <w:tr2bl w:val="nil"/>
                  </w:tcBorders>
                  <w:noWrap w:val="0"/>
                  <w:vAlign w:val="center"/>
                </w:tcPr>
                <w:p w14:paraId="38D78BAA">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22</w:t>
                  </w:r>
                </w:p>
              </w:tc>
              <w:tc>
                <w:tcPr>
                  <w:tcW w:w="535" w:type="dxa"/>
                  <w:tcBorders>
                    <w:left w:val="single" w:color="auto" w:sz="4" w:space="0"/>
                    <w:right w:val="single" w:color="000000" w:sz="6" w:space="0"/>
                    <w:tl2br w:val="nil"/>
                    <w:tr2bl w:val="nil"/>
                  </w:tcBorders>
                  <w:noWrap w:val="0"/>
                  <w:vAlign w:val="center"/>
                </w:tcPr>
                <w:p w14:paraId="48566680">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5DE3A21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80-85</w:t>
                  </w:r>
                </w:p>
              </w:tc>
              <w:tc>
                <w:tcPr>
                  <w:tcW w:w="1340" w:type="dxa"/>
                  <w:tcBorders>
                    <w:tl2br w:val="nil"/>
                    <w:tr2bl w:val="nil"/>
                  </w:tcBorders>
                  <w:noWrap w:val="0"/>
                  <w:vAlign w:val="center"/>
                </w:tcPr>
                <w:p w14:paraId="3AB363AE">
                  <w:pPr>
                    <w:adjustRightInd w:val="0"/>
                    <w:snapToGrid w:val="0"/>
                    <w:jc w:val="center"/>
                    <w:rPr>
                      <w:rFonts w:hint="eastAsia"/>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tcBorders>
                    <w:tl2br w:val="nil"/>
                    <w:tr2bl w:val="nil"/>
                  </w:tcBorders>
                  <w:noWrap w:val="0"/>
                  <w:vAlign w:val="center"/>
                </w:tcPr>
                <w:p w14:paraId="6017FF78">
                  <w:pPr>
                    <w:adjustRightInd w:val="0"/>
                    <w:snapToGrid w:val="0"/>
                    <w:jc w:val="center"/>
                    <w:rPr>
                      <w:rFonts w:hint="default"/>
                      <w:b w:val="0"/>
                      <w:bCs w:val="0"/>
                      <w:color w:val="auto"/>
                      <w:sz w:val="21"/>
                      <w:szCs w:val="21"/>
                      <w:lang w:val="en-US"/>
                    </w:rPr>
                  </w:pPr>
                  <w:r>
                    <w:rPr>
                      <w:rFonts w:hint="eastAsia"/>
                      <w:b w:val="0"/>
                      <w:bCs w:val="0"/>
                      <w:color w:val="auto"/>
                      <w:sz w:val="21"/>
                      <w:szCs w:val="21"/>
                      <w:lang w:val="en-US" w:eastAsia="zh-CN"/>
                    </w:rPr>
                    <w:t>间歇运行1h</w:t>
                  </w:r>
                </w:p>
              </w:tc>
            </w:tr>
            <w:tr w14:paraId="55398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02" w:type="dxa"/>
                  <w:tcBorders>
                    <w:tl2br w:val="nil"/>
                    <w:tr2bl w:val="nil"/>
                  </w:tcBorders>
                  <w:noWrap w:val="0"/>
                  <w:vAlign w:val="center"/>
                </w:tcPr>
                <w:p w14:paraId="20BCBD9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1250" w:type="dxa"/>
                  <w:tcBorders>
                    <w:tl2br w:val="nil"/>
                    <w:tr2bl w:val="nil"/>
                  </w:tcBorders>
                  <w:noWrap w:val="0"/>
                  <w:vAlign w:val="center"/>
                </w:tcPr>
                <w:p w14:paraId="0AD224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烘房上平面输送机</w:t>
                  </w:r>
                </w:p>
              </w:tc>
              <w:tc>
                <w:tcPr>
                  <w:tcW w:w="1346" w:type="dxa"/>
                  <w:tcBorders>
                    <w:tl2br w:val="nil"/>
                    <w:tr2bl w:val="nil"/>
                  </w:tcBorders>
                  <w:noWrap w:val="0"/>
                  <w:vAlign w:val="center"/>
                </w:tcPr>
                <w:p w14:paraId="088C71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总长11700*510*280</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总长7200*510*280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总长11200*510*280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总长12000*610*280</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PP塑料链板</w:t>
                  </w:r>
                </w:p>
              </w:tc>
              <w:tc>
                <w:tcPr>
                  <w:tcW w:w="596" w:type="dxa"/>
                  <w:tcBorders>
                    <w:tl2br w:val="nil"/>
                    <w:tr2bl w:val="nil"/>
                  </w:tcBorders>
                  <w:noWrap w:val="0"/>
                  <w:vAlign w:val="center"/>
                </w:tcPr>
                <w:p w14:paraId="79B568D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41</w:t>
                  </w:r>
                </w:p>
              </w:tc>
              <w:tc>
                <w:tcPr>
                  <w:tcW w:w="666" w:type="dxa"/>
                  <w:tcBorders>
                    <w:right w:val="single" w:color="auto" w:sz="4" w:space="0"/>
                    <w:tl2br w:val="nil"/>
                    <w:tr2bl w:val="nil"/>
                  </w:tcBorders>
                  <w:noWrap w:val="0"/>
                  <w:vAlign w:val="center"/>
                </w:tcPr>
                <w:p w14:paraId="49288A23">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19</w:t>
                  </w:r>
                </w:p>
              </w:tc>
              <w:tc>
                <w:tcPr>
                  <w:tcW w:w="535" w:type="dxa"/>
                  <w:tcBorders>
                    <w:left w:val="single" w:color="auto" w:sz="4" w:space="0"/>
                    <w:right w:val="single" w:color="000000" w:sz="6" w:space="0"/>
                    <w:tl2br w:val="nil"/>
                    <w:tr2bl w:val="nil"/>
                  </w:tcBorders>
                  <w:noWrap w:val="0"/>
                  <w:vAlign w:val="center"/>
                </w:tcPr>
                <w:p w14:paraId="05E684AA">
                  <w:pPr>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0.2</w:t>
                  </w:r>
                </w:p>
              </w:tc>
              <w:tc>
                <w:tcPr>
                  <w:tcW w:w="1284" w:type="dxa"/>
                  <w:tcBorders>
                    <w:left w:val="single" w:color="000000" w:sz="6" w:space="0"/>
                    <w:right w:val="single" w:color="auto" w:sz="4" w:space="0"/>
                    <w:tl2br w:val="nil"/>
                    <w:tr2bl w:val="nil"/>
                  </w:tcBorders>
                  <w:noWrap w:val="0"/>
                  <w:vAlign w:val="center"/>
                </w:tcPr>
                <w:p w14:paraId="7E4FB169">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65</w:t>
                  </w:r>
                </w:p>
              </w:tc>
              <w:tc>
                <w:tcPr>
                  <w:tcW w:w="1340" w:type="dxa"/>
                  <w:tcBorders>
                    <w:tl2br w:val="nil"/>
                    <w:tr2bl w:val="nil"/>
                  </w:tcBorders>
                  <w:noWrap w:val="0"/>
                  <w:vAlign w:val="center"/>
                </w:tcPr>
                <w:p w14:paraId="48A70D1A">
                  <w:pPr>
                    <w:adjustRightInd w:val="0"/>
                    <w:snapToGrid w:val="0"/>
                    <w:jc w:val="center"/>
                    <w:rPr>
                      <w:rFonts w:hint="eastAsia"/>
                      <w:b w:val="0"/>
                      <w:bCs w:val="0"/>
                      <w:color w:val="auto"/>
                      <w:sz w:val="21"/>
                      <w:szCs w:val="21"/>
                      <w:lang w:val="en-US" w:eastAsia="zh-CN"/>
                    </w:rPr>
                  </w:pPr>
                  <w:r>
                    <w:rPr>
                      <w:rFonts w:hint="eastAsia"/>
                      <w:b w:val="0"/>
                      <w:bCs w:val="0"/>
                      <w:color w:val="auto"/>
                      <w:sz w:val="21"/>
                      <w:szCs w:val="21"/>
                      <w:lang w:val="en-US" w:eastAsia="zh-CN"/>
                    </w:rPr>
                    <w:t>建筑隔声</w:t>
                  </w:r>
                </w:p>
              </w:tc>
              <w:tc>
                <w:tcPr>
                  <w:tcW w:w="879" w:type="dxa"/>
                  <w:tcBorders>
                    <w:tl2br w:val="nil"/>
                    <w:tr2bl w:val="nil"/>
                  </w:tcBorders>
                  <w:noWrap w:val="0"/>
                  <w:vAlign w:val="center"/>
                </w:tcPr>
                <w:p w14:paraId="3499FBCD">
                  <w:pPr>
                    <w:adjustRightInd w:val="0"/>
                    <w:snapToGrid w:val="0"/>
                    <w:jc w:val="center"/>
                    <w:rPr>
                      <w:b w:val="0"/>
                      <w:bCs w:val="0"/>
                      <w:color w:val="auto"/>
                      <w:sz w:val="21"/>
                      <w:szCs w:val="21"/>
                    </w:rPr>
                  </w:pPr>
                  <w:r>
                    <w:rPr>
                      <w:rFonts w:hint="eastAsia"/>
                      <w:b w:val="0"/>
                      <w:bCs w:val="0"/>
                      <w:color w:val="auto"/>
                      <w:sz w:val="21"/>
                      <w:szCs w:val="21"/>
                      <w:lang w:val="en-US" w:eastAsia="zh-CN"/>
                    </w:rPr>
                    <w:t>间歇运行1h</w:t>
                  </w:r>
                </w:p>
              </w:tc>
            </w:tr>
            <w:tr w14:paraId="0F13C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502" w:type="dxa"/>
                  <w:tcBorders>
                    <w:tl2br w:val="nil"/>
                    <w:tr2bl w:val="nil"/>
                  </w:tcBorders>
                  <w:noWrap w:val="0"/>
                  <w:vAlign w:val="center"/>
                </w:tcPr>
                <w:p w14:paraId="6CDDE50F">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Cs w:val="21"/>
                      <w:lang w:val="en-US" w:eastAsia="zh-CN"/>
                    </w:rPr>
                    <w:t>二</w:t>
                  </w:r>
                </w:p>
              </w:tc>
              <w:tc>
                <w:tcPr>
                  <w:tcW w:w="7896" w:type="dxa"/>
                  <w:gridSpan w:val="8"/>
                  <w:tcBorders>
                    <w:tl2br w:val="nil"/>
                    <w:tr2bl w:val="nil"/>
                  </w:tcBorders>
                  <w:noWrap w:val="0"/>
                  <w:vAlign w:val="center"/>
                </w:tcPr>
                <w:p w14:paraId="4FEB3D61">
                  <w:pPr>
                    <w:adjustRightInd w:val="0"/>
                    <w:snapToGrid w:val="0"/>
                    <w:jc w:val="center"/>
                    <w:rPr>
                      <w:b/>
                      <w:bCs/>
                      <w:color w:val="auto"/>
                      <w:sz w:val="21"/>
                      <w:szCs w:val="21"/>
                    </w:rPr>
                  </w:pPr>
                  <w:r>
                    <w:rPr>
                      <w:rFonts w:hint="default" w:ascii="Times New Roman" w:hAnsi="Times New Roman" w:eastAsia="宋体" w:cs="Times New Roman"/>
                      <w:b/>
                      <w:bCs/>
                      <w:color w:val="auto"/>
                      <w:sz w:val="21"/>
                      <w:szCs w:val="21"/>
                      <w:lang w:val="en-US" w:eastAsia="zh-CN"/>
                    </w:rPr>
                    <w:t>开口取仁生产线</w:t>
                  </w:r>
                </w:p>
              </w:tc>
            </w:tr>
            <w:tr w14:paraId="1678A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502" w:type="dxa"/>
                  <w:tcBorders>
                    <w:tl2br w:val="nil"/>
                    <w:tr2bl w:val="nil"/>
                  </w:tcBorders>
                  <w:noWrap w:val="0"/>
                  <w:vAlign w:val="center"/>
                </w:tcPr>
                <w:p w14:paraId="5E9712AB">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1</w:t>
                  </w:r>
                </w:p>
              </w:tc>
              <w:tc>
                <w:tcPr>
                  <w:tcW w:w="1250" w:type="dxa"/>
                  <w:tcBorders>
                    <w:tl2br w:val="nil"/>
                    <w:tr2bl w:val="nil"/>
                  </w:tcBorders>
                  <w:noWrap w:val="0"/>
                  <w:vAlign w:val="center"/>
                </w:tcPr>
                <w:p w14:paraId="7A813BF9">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粉筛提升机</w:t>
                  </w:r>
                </w:p>
              </w:tc>
              <w:tc>
                <w:tcPr>
                  <w:tcW w:w="1346" w:type="dxa"/>
                  <w:tcBorders>
                    <w:tl2br w:val="nil"/>
                    <w:tr2bl w:val="nil"/>
                  </w:tcBorders>
                  <w:noWrap w:val="0"/>
                  <w:vAlign w:val="center"/>
                </w:tcPr>
                <w:p w14:paraId="1131CD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3200*640*2200PVC  </w:t>
                  </w:r>
                </w:p>
                <w:p w14:paraId="3BB84597">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 食品级皮带</w:t>
                  </w:r>
                </w:p>
              </w:tc>
              <w:tc>
                <w:tcPr>
                  <w:tcW w:w="596" w:type="dxa"/>
                  <w:tcBorders>
                    <w:tl2br w:val="nil"/>
                    <w:tr2bl w:val="nil"/>
                  </w:tcBorders>
                  <w:noWrap w:val="0"/>
                  <w:vAlign w:val="center"/>
                </w:tcPr>
                <w:p w14:paraId="56DD6205">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68</w:t>
                  </w:r>
                </w:p>
              </w:tc>
              <w:tc>
                <w:tcPr>
                  <w:tcW w:w="666" w:type="dxa"/>
                  <w:tcBorders>
                    <w:right w:val="single" w:color="auto" w:sz="4" w:space="0"/>
                    <w:tl2br w:val="nil"/>
                    <w:tr2bl w:val="nil"/>
                  </w:tcBorders>
                  <w:noWrap w:val="0"/>
                  <w:vAlign w:val="center"/>
                </w:tcPr>
                <w:p w14:paraId="1A9BBE39">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-24</w:t>
                  </w:r>
                </w:p>
              </w:tc>
              <w:tc>
                <w:tcPr>
                  <w:tcW w:w="535" w:type="dxa"/>
                  <w:tcBorders>
                    <w:left w:val="single" w:color="auto" w:sz="4" w:space="0"/>
                    <w:right w:val="single" w:color="000000" w:sz="6" w:space="0"/>
                    <w:tl2br w:val="nil"/>
                    <w:tr2bl w:val="nil"/>
                  </w:tcBorders>
                  <w:noWrap w:val="0"/>
                  <w:vAlign w:val="center"/>
                </w:tcPr>
                <w:p w14:paraId="46155821">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61FA66D3">
                  <w:pPr>
                    <w:adjustRightInd w:val="0"/>
                    <w:snapToGrid w:val="0"/>
                    <w:jc w:val="center"/>
                    <w:rPr>
                      <w:rFonts w:hint="default"/>
                      <w:b w:val="0"/>
                      <w:bCs w:val="0"/>
                      <w:color w:val="auto"/>
                      <w:szCs w:val="21"/>
                      <w:lang w:val="en-US" w:eastAsia="zh-CN"/>
                    </w:rPr>
                  </w:pPr>
                  <w:r>
                    <w:rPr>
                      <w:rFonts w:hint="eastAsia" w:ascii="Times New Roman" w:hAnsi="Times New Roman" w:eastAsia="宋体" w:cs="Times New Roman"/>
                      <w:b w:val="0"/>
                      <w:bCs w:val="0"/>
                      <w:color w:val="auto"/>
                      <w:sz w:val="21"/>
                      <w:szCs w:val="21"/>
                      <w:lang w:val="en-US" w:eastAsia="zh-CN"/>
                    </w:rPr>
                    <w:t>80-85</w:t>
                  </w:r>
                </w:p>
              </w:tc>
              <w:tc>
                <w:tcPr>
                  <w:tcW w:w="1340" w:type="dxa"/>
                  <w:tcBorders>
                    <w:tl2br w:val="nil"/>
                    <w:tr2bl w:val="nil"/>
                  </w:tcBorders>
                  <w:noWrap w:val="0"/>
                  <w:vAlign w:val="center"/>
                </w:tcPr>
                <w:p w14:paraId="609C98C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vMerge w:val="restart"/>
                  <w:tcBorders>
                    <w:tl2br w:val="nil"/>
                    <w:tr2bl w:val="nil"/>
                  </w:tcBorders>
                  <w:noWrap w:val="0"/>
                  <w:vAlign w:val="center"/>
                </w:tcPr>
                <w:p w14:paraId="2A3F5010">
                  <w:pPr>
                    <w:adjustRightInd w:val="0"/>
                    <w:snapToGrid w:val="0"/>
                    <w:jc w:val="center"/>
                    <w:rPr>
                      <w:b/>
                      <w:bCs/>
                      <w:color w:val="auto"/>
                      <w:sz w:val="21"/>
                      <w:szCs w:val="21"/>
                    </w:rPr>
                  </w:pPr>
                  <w:r>
                    <w:rPr>
                      <w:rFonts w:hint="eastAsia" w:ascii="Times New Roman" w:hAnsi="Times New Roman" w:eastAsia="宋体" w:cs="Times New Roman"/>
                      <w:color w:val="auto"/>
                      <w:sz w:val="21"/>
                      <w:szCs w:val="21"/>
                      <w:lang w:val="en-US" w:eastAsia="zh-CN"/>
                    </w:rPr>
                    <w:t>连续运行8h</w:t>
                  </w:r>
                </w:p>
              </w:tc>
            </w:tr>
            <w:tr w14:paraId="6F7E4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502" w:type="dxa"/>
                  <w:tcBorders>
                    <w:tl2br w:val="nil"/>
                    <w:tr2bl w:val="nil"/>
                  </w:tcBorders>
                  <w:noWrap w:val="0"/>
                  <w:vAlign w:val="center"/>
                </w:tcPr>
                <w:p w14:paraId="2EA98551">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2</w:t>
                  </w:r>
                </w:p>
              </w:tc>
              <w:tc>
                <w:tcPr>
                  <w:tcW w:w="1250" w:type="dxa"/>
                  <w:tcBorders>
                    <w:tl2br w:val="nil"/>
                    <w:tr2bl w:val="nil"/>
                  </w:tcBorders>
                  <w:noWrap w:val="0"/>
                  <w:vAlign w:val="center"/>
                </w:tcPr>
                <w:p w14:paraId="405CB566">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滚筒式粉尘筛</w:t>
                  </w:r>
                </w:p>
              </w:tc>
              <w:tc>
                <w:tcPr>
                  <w:tcW w:w="1346" w:type="dxa"/>
                  <w:tcBorders>
                    <w:tl2br w:val="nil"/>
                    <w:tr2bl w:val="nil"/>
                  </w:tcBorders>
                  <w:noWrap w:val="0"/>
                  <w:vAlign w:val="center"/>
                </w:tcPr>
                <w:p w14:paraId="7B75968D">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3300*800*1700</w:t>
                  </w:r>
                </w:p>
              </w:tc>
              <w:tc>
                <w:tcPr>
                  <w:tcW w:w="596" w:type="dxa"/>
                  <w:tcBorders>
                    <w:tl2br w:val="nil"/>
                    <w:tr2bl w:val="nil"/>
                  </w:tcBorders>
                  <w:noWrap w:val="0"/>
                  <w:vAlign w:val="center"/>
                </w:tcPr>
                <w:p w14:paraId="77114ED7">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72</w:t>
                  </w:r>
                </w:p>
              </w:tc>
              <w:tc>
                <w:tcPr>
                  <w:tcW w:w="666" w:type="dxa"/>
                  <w:tcBorders>
                    <w:right w:val="single" w:color="auto" w:sz="4" w:space="0"/>
                    <w:tl2br w:val="nil"/>
                    <w:tr2bl w:val="nil"/>
                  </w:tcBorders>
                  <w:noWrap w:val="0"/>
                  <w:vAlign w:val="center"/>
                </w:tcPr>
                <w:p w14:paraId="01B9338C">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-29</w:t>
                  </w:r>
                </w:p>
              </w:tc>
              <w:tc>
                <w:tcPr>
                  <w:tcW w:w="535" w:type="dxa"/>
                  <w:tcBorders>
                    <w:left w:val="single" w:color="auto" w:sz="4" w:space="0"/>
                    <w:right w:val="single" w:color="000000" w:sz="6" w:space="0"/>
                    <w:tl2br w:val="nil"/>
                    <w:tr2bl w:val="nil"/>
                  </w:tcBorders>
                  <w:noWrap w:val="0"/>
                  <w:vAlign w:val="center"/>
                </w:tcPr>
                <w:p w14:paraId="6F5A80F0">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45B9B0D7">
                  <w:pPr>
                    <w:adjustRightInd w:val="0"/>
                    <w:snapToGrid w:val="0"/>
                    <w:jc w:val="center"/>
                    <w:rPr>
                      <w:rFonts w:hint="default"/>
                      <w:b w:val="0"/>
                      <w:bCs w:val="0"/>
                      <w:color w:val="auto"/>
                      <w:szCs w:val="21"/>
                      <w:lang w:val="en-US" w:eastAsia="zh-CN"/>
                    </w:rPr>
                  </w:pPr>
                  <w:r>
                    <w:rPr>
                      <w:rFonts w:hint="eastAsia" w:ascii="Times New Roman" w:hAnsi="Times New Roman" w:eastAsia="宋体" w:cs="Times New Roman"/>
                      <w:b w:val="0"/>
                      <w:bCs w:val="0"/>
                      <w:color w:val="auto"/>
                      <w:sz w:val="21"/>
                      <w:szCs w:val="21"/>
                      <w:lang w:val="en-US" w:eastAsia="zh-CN"/>
                    </w:rPr>
                    <w:t>85</w:t>
                  </w:r>
                </w:p>
              </w:tc>
              <w:tc>
                <w:tcPr>
                  <w:tcW w:w="1340" w:type="dxa"/>
                  <w:tcBorders>
                    <w:tl2br w:val="nil"/>
                    <w:tr2bl w:val="nil"/>
                  </w:tcBorders>
                  <w:noWrap w:val="0"/>
                  <w:vAlign w:val="center"/>
                </w:tcPr>
                <w:p w14:paraId="489FE297">
                  <w:pPr>
                    <w:adjustRightInd w:val="0"/>
                    <w:snapToGrid w:val="0"/>
                    <w:jc w:val="center"/>
                    <w:rPr>
                      <w:b/>
                      <w:bCs/>
                      <w:color w:val="auto"/>
                      <w:szCs w:val="21"/>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59EA85F9">
                  <w:pPr>
                    <w:adjustRightInd w:val="0"/>
                    <w:snapToGrid w:val="0"/>
                    <w:jc w:val="center"/>
                    <w:rPr>
                      <w:b/>
                      <w:bCs/>
                      <w:color w:val="auto"/>
                      <w:szCs w:val="21"/>
                    </w:rPr>
                  </w:pPr>
                </w:p>
              </w:tc>
            </w:tr>
            <w:tr w14:paraId="6BDD7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502" w:type="dxa"/>
                  <w:tcBorders>
                    <w:tl2br w:val="nil"/>
                    <w:tr2bl w:val="nil"/>
                  </w:tcBorders>
                  <w:noWrap w:val="0"/>
                  <w:vAlign w:val="center"/>
                </w:tcPr>
                <w:p w14:paraId="0A012A11">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3</w:t>
                  </w:r>
                </w:p>
              </w:tc>
              <w:tc>
                <w:tcPr>
                  <w:tcW w:w="1250" w:type="dxa"/>
                  <w:tcBorders>
                    <w:tl2br w:val="nil"/>
                    <w:tr2bl w:val="nil"/>
                  </w:tcBorders>
                  <w:noWrap w:val="0"/>
                  <w:vAlign w:val="center"/>
                </w:tcPr>
                <w:p w14:paraId="0602E2BC">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杀青提升机</w:t>
                  </w:r>
                </w:p>
              </w:tc>
              <w:tc>
                <w:tcPr>
                  <w:tcW w:w="1346" w:type="dxa"/>
                  <w:tcBorders>
                    <w:tl2br w:val="nil"/>
                    <w:tr2bl w:val="nil"/>
                  </w:tcBorders>
                  <w:noWrap w:val="0"/>
                  <w:vAlign w:val="center"/>
                </w:tcPr>
                <w:p w14:paraId="61A11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4600*640*3300PVC   </w:t>
                  </w:r>
                </w:p>
                <w:p w14:paraId="22D81190">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食品级皮带</w:t>
                  </w:r>
                </w:p>
              </w:tc>
              <w:tc>
                <w:tcPr>
                  <w:tcW w:w="596" w:type="dxa"/>
                  <w:tcBorders>
                    <w:tl2br w:val="nil"/>
                    <w:tr2bl w:val="nil"/>
                  </w:tcBorders>
                  <w:noWrap w:val="0"/>
                  <w:vAlign w:val="center"/>
                </w:tcPr>
                <w:p w14:paraId="35621C07">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72</w:t>
                  </w:r>
                </w:p>
              </w:tc>
              <w:tc>
                <w:tcPr>
                  <w:tcW w:w="666" w:type="dxa"/>
                  <w:tcBorders>
                    <w:right w:val="single" w:color="auto" w:sz="4" w:space="0"/>
                    <w:tl2br w:val="nil"/>
                    <w:tr2bl w:val="nil"/>
                  </w:tcBorders>
                  <w:noWrap w:val="0"/>
                  <w:vAlign w:val="center"/>
                </w:tcPr>
                <w:p w14:paraId="74B498DE">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-28</w:t>
                  </w:r>
                </w:p>
              </w:tc>
              <w:tc>
                <w:tcPr>
                  <w:tcW w:w="535" w:type="dxa"/>
                  <w:tcBorders>
                    <w:left w:val="single" w:color="auto" w:sz="4" w:space="0"/>
                    <w:right w:val="single" w:color="000000" w:sz="6" w:space="0"/>
                    <w:tl2br w:val="nil"/>
                    <w:tr2bl w:val="nil"/>
                  </w:tcBorders>
                  <w:noWrap w:val="0"/>
                  <w:vAlign w:val="center"/>
                </w:tcPr>
                <w:p w14:paraId="6DB5357F">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235DAC1C">
                  <w:pPr>
                    <w:adjustRightInd w:val="0"/>
                    <w:snapToGrid w:val="0"/>
                    <w:jc w:val="center"/>
                    <w:rPr>
                      <w:rFonts w:hint="default"/>
                      <w:b w:val="0"/>
                      <w:bCs w:val="0"/>
                      <w:color w:val="auto"/>
                      <w:szCs w:val="21"/>
                      <w:lang w:val="en-US" w:eastAsia="zh-CN"/>
                    </w:rPr>
                  </w:pPr>
                  <w:r>
                    <w:rPr>
                      <w:rFonts w:hint="eastAsia" w:ascii="Times New Roman" w:hAnsi="Times New Roman" w:eastAsia="宋体" w:cs="Times New Roman"/>
                      <w:b w:val="0"/>
                      <w:bCs w:val="0"/>
                      <w:color w:val="auto"/>
                      <w:sz w:val="21"/>
                      <w:szCs w:val="21"/>
                      <w:lang w:val="en-US" w:eastAsia="zh-CN"/>
                    </w:rPr>
                    <w:t>80-85</w:t>
                  </w:r>
                </w:p>
              </w:tc>
              <w:tc>
                <w:tcPr>
                  <w:tcW w:w="1340" w:type="dxa"/>
                  <w:tcBorders>
                    <w:tl2br w:val="nil"/>
                    <w:tr2bl w:val="nil"/>
                  </w:tcBorders>
                  <w:noWrap w:val="0"/>
                  <w:vAlign w:val="center"/>
                </w:tcPr>
                <w:p w14:paraId="5531B41E">
                  <w:pPr>
                    <w:adjustRightInd w:val="0"/>
                    <w:snapToGrid w:val="0"/>
                    <w:jc w:val="center"/>
                    <w:rPr>
                      <w:b/>
                      <w:bCs/>
                      <w:color w:val="auto"/>
                      <w:szCs w:val="21"/>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7BBB7E85">
                  <w:pPr>
                    <w:adjustRightInd w:val="0"/>
                    <w:snapToGrid w:val="0"/>
                    <w:jc w:val="center"/>
                    <w:rPr>
                      <w:b/>
                      <w:bCs/>
                      <w:color w:val="auto"/>
                      <w:szCs w:val="21"/>
                    </w:rPr>
                  </w:pPr>
                </w:p>
              </w:tc>
            </w:tr>
            <w:tr w14:paraId="17C62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502" w:type="dxa"/>
                  <w:tcBorders>
                    <w:tl2br w:val="nil"/>
                    <w:tr2bl w:val="nil"/>
                  </w:tcBorders>
                  <w:noWrap w:val="0"/>
                  <w:vAlign w:val="center"/>
                </w:tcPr>
                <w:p w14:paraId="696C21B4">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4</w:t>
                  </w:r>
                </w:p>
              </w:tc>
              <w:tc>
                <w:tcPr>
                  <w:tcW w:w="1250" w:type="dxa"/>
                  <w:tcBorders>
                    <w:tl2br w:val="nil"/>
                    <w:tr2bl w:val="nil"/>
                  </w:tcBorders>
                  <w:noWrap w:val="0"/>
                  <w:vAlign w:val="center"/>
                </w:tcPr>
                <w:p w14:paraId="098E6EDC">
                  <w:pPr>
                    <w:keepNext w:val="0"/>
                    <w:keepLines w:val="0"/>
                    <w:widowControl/>
                    <w:suppressLineNumbers w:val="0"/>
                    <w:jc w:val="center"/>
                    <w:textAlignment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滚筒入味机</w:t>
                  </w:r>
                </w:p>
              </w:tc>
              <w:tc>
                <w:tcPr>
                  <w:tcW w:w="1346" w:type="dxa"/>
                  <w:tcBorders>
                    <w:tl2br w:val="nil"/>
                    <w:tr2bl w:val="nil"/>
                  </w:tcBorders>
                  <w:noWrap w:val="0"/>
                  <w:vAlign w:val="center"/>
                </w:tcPr>
                <w:p w14:paraId="2273A0B9">
                  <w:pPr>
                    <w:keepNext w:val="0"/>
                    <w:keepLines w:val="0"/>
                    <w:widowControl/>
                    <w:suppressLineNumbers w:val="0"/>
                    <w:jc w:val="center"/>
                    <w:textAlignment w:val="center"/>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3500*860*1100</w:t>
                  </w:r>
                </w:p>
              </w:tc>
              <w:tc>
                <w:tcPr>
                  <w:tcW w:w="596" w:type="dxa"/>
                  <w:tcBorders>
                    <w:tl2br w:val="nil"/>
                    <w:tr2bl w:val="nil"/>
                  </w:tcBorders>
                  <w:noWrap w:val="0"/>
                  <w:vAlign w:val="center"/>
                </w:tcPr>
                <w:p w14:paraId="1B496F5D">
                  <w:pPr>
                    <w:widowControl/>
                    <w:kinsoku w:val="0"/>
                    <w:autoSpaceDE w:val="0"/>
                    <w:autoSpaceDN w:val="0"/>
                    <w:adjustRightInd w:val="0"/>
                    <w:snapToGrid w:val="0"/>
                    <w:spacing w:before="202" w:line="218" w:lineRule="auto"/>
                    <w:ind w:left="34" w:leftChars="0"/>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eastAsia" w:ascii="Times New Roman" w:hAnsi="Times New Roman" w:eastAsia="宋体" w:cs="Times New Roman"/>
                      <w:snapToGrid w:val="0"/>
                      <w:color w:val="auto"/>
                      <w:spacing w:val="-7"/>
                      <w:kern w:val="0"/>
                      <w:sz w:val="21"/>
                      <w:szCs w:val="21"/>
                      <w:lang w:val="en-US" w:eastAsia="zh-CN"/>
                    </w:rPr>
                    <w:t>82</w:t>
                  </w:r>
                </w:p>
              </w:tc>
              <w:tc>
                <w:tcPr>
                  <w:tcW w:w="666" w:type="dxa"/>
                  <w:tcBorders>
                    <w:right w:val="single" w:color="auto" w:sz="4" w:space="0"/>
                    <w:tl2br w:val="nil"/>
                    <w:tr2bl w:val="nil"/>
                  </w:tcBorders>
                  <w:noWrap w:val="0"/>
                  <w:vAlign w:val="center"/>
                </w:tcPr>
                <w:p w14:paraId="37F76781">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-30</w:t>
                  </w:r>
                </w:p>
              </w:tc>
              <w:tc>
                <w:tcPr>
                  <w:tcW w:w="535" w:type="dxa"/>
                  <w:tcBorders>
                    <w:left w:val="single" w:color="auto" w:sz="4" w:space="0"/>
                    <w:right w:val="single" w:color="000000" w:sz="6" w:space="0"/>
                    <w:tl2br w:val="nil"/>
                    <w:tr2bl w:val="nil"/>
                  </w:tcBorders>
                  <w:noWrap w:val="0"/>
                  <w:vAlign w:val="center"/>
                </w:tcPr>
                <w:p w14:paraId="2E4D03CF">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693C3187">
                  <w:pPr>
                    <w:adjustRightInd w:val="0"/>
                    <w:snapToGrid w:val="0"/>
                    <w:jc w:val="center"/>
                    <w:rPr>
                      <w:rFonts w:hint="default"/>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65</w:t>
                  </w:r>
                </w:p>
              </w:tc>
              <w:tc>
                <w:tcPr>
                  <w:tcW w:w="1340" w:type="dxa"/>
                  <w:tcBorders>
                    <w:tl2br w:val="nil"/>
                    <w:tr2bl w:val="nil"/>
                  </w:tcBorders>
                  <w:noWrap w:val="0"/>
                  <w:vAlign w:val="center"/>
                </w:tcPr>
                <w:p w14:paraId="6EA4B646">
                  <w:pPr>
                    <w:adjustRightInd w:val="0"/>
                    <w:snapToGrid w:val="0"/>
                    <w:jc w:val="center"/>
                    <w:rPr>
                      <w:b/>
                      <w:bCs/>
                      <w:color w:val="auto"/>
                      <w:szCs w:val="21"/>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104D90BE">
                  <w:pPr>
                    <w:adjustRightInd w:val="0"/>
                    <w:snapToGrid w:val="0"/>
                    <w:jc w:val="center"/>
                    <w:rPr>
                      <w:b/>
                      <w:bCs/>
                      <w:color w:val="auto"/>
                      <w:szCs w:val="21"/>
                    </w:rPr>
                  </w:pPr>
                </w:p>
              </w:tc>
            </w:tr>
            <w:tr w14:paraId="70BA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502" w:type="dxa"/>
                  <w:tcBorders>
                    <w:tl2br w:val="nil"/>
                    <w:tr2bl w:val="nil"/>
                  </w:tcBorders>
                  <w:noWrap w:val="0"/>
                  <w:vAlign w:val="center"/>
                </w:tcPr>
                <w:p w14:paraId="14D9C4AD">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5</w:t>
                  </w:r>
                </w:p>
              </w:tc>
              <w:tc>
                <w:tcPr>
                  <w:tcW w:w="1250" w:type="dxa"/>
                  <w:tcBorders>
                    <w:tl2br w:val="nil"/>
                    <w:tr2bl w:val="nil"/>
                  </w:tcBorders>
                  <w:noWrap w:val="0"/>
                  <w:vAlign w:val="center"/>
                </w:tcPr>
                <w:p w14:paraId="2E4F19CA">
                  <w:pPr>
                    <w:keepNext w:val="0"/>
                    <w:keepLines w:val="0"/>
                    <w:widowControl/>
                    <w:suppressLineNumbers w:val="0"/>
                    <w:jc w:val="center"/>
                    <w:textAlignment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震动脱水筛</w:t>
                  </w:r>
                </w:p>
              </w:tc>
              <w:tc>
                <w:tcPr>
                  <w:tcW w:w="1346" w:type="dxa"/>
                  <w:tcBorders>
                    <w:tl2br w:val="nil"/>
                    <w:tr2bl w:val="nil"/>
                  </w:tcBorders>
                  <w:noWrap w:val="0"/>
                  <w:vAlign w:val="center"/>
                </w:tcPr>
                <w:p w14:paraId="4F45C530">
                  <w:pPr>
                    <w:keepNext w:val="0"/>
                    <w:keepLines w:val="0"/>
                    <w:widowControl/>
                    <w:suppressLineNumbers w:val="0"/>
                    <w:jc w:val="center"/>
                    <w:textAlignment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1200*600*1800</w:t>
                  </w:r>
                </w:p>
              </w:tc>
              <w:tc>
                <w:tcPr>
                  <w:tcW w:w="596" w:type="dxa"/>
                  <w:tcBorders>
                    <w:tl2br w:val="nil"/>
                    <w:tr2bl w:val="nil"/>
                  </w:tcBorders>
                  <w:noWrap w:val="0"/>
                  <w:vAlign w:val="center"/>
                </w:tcPr>
                <w:p w14:paraId="08578208">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83</w:t>
                  </w:r>
                </w:p>
              </w:tc>
              <w:tc>
                <w:tcPr>
                  <w:tcW w:w="666" w:type="dxa"/>
                  <w:tcBorders>
                    <w:right w:val="single" w:color="auto" w:sz="4" w:space="0"/>
                    <w:tl2br w:val="nil"/>
                    <w:tr2bl w:val="nil"/>
                  </w:tcBorders>
                  <w:noWrap w:val="0"/>
                  <w:vAlign w:val="center"/>
                </w:tcPr>
                <w:p w14:paraId="1FC5B0AF">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-30</w:t>
                  </w:r>
                </w:p>
              </w:tc>
              <w:tc>
                <w:tcPr>
                  <w:tcW w:w="535" w:type="dxa"/>
                  <w:tcBorders>
                    <w:left w:val="single" w:color="auto" w:sz="4" w:space="0"/>
                    <w:right w:val="single" w:color="000000" w:sz="6" w:space="0"/>
                    <w:tl2br w:val="nil"/>
                    <w:tr2bl w:val="nil"/>
                  </w:tcBorders>
                  <w:noWrap w:val="0"/>
                  <w:vAlign w:val="center"/>
                </w:tcPr>
                <w:p w14:paraId="30AAF10F">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17167F2F">
                  <w:pPr>
                    <w:adjustRightInd w:val="0"/>
                    <w:snapToGrid w:val="0"/>
                    <w:jc w:val="center"/>
                    <w:rPr>
                      <w:rFonts w:hint="default"/>
                      <w:b w:val="0"/>
                      <w:bCs w:val="0"/>
                      <w:color w:val="auto"/>
                      <w:szCs w:val="21"/>
                      <w:lang w:val="en-US" w:eastAsia="zh-CN"/>
                    </w:rPr>
                  </w:pPr>
                  <w:r>
                    <w:rPr>
                      <w:rFonts w:hint="eastAsia" w:ascii="Times New Roman" w:hAnsi="Times New Roman" w:eastAsia="宋体" w:cs="Times New Roman"/>
                      <w:b w:val="0"/>
                      <w:bCs w:val="0"/>
                      <w:color w:val="auto"/>
                      <w:sz w:val="21"/>
                      <w:szCs w:val="21"/>
                      <w:lang w:val="en-US" w:eastAsia="zh-CN"/>
                    </w:rPr>
                    <w:t>85</w:t>
                  </w:r>
                </w:p>
              </w:tc>
              <w:tc>
                <w:tcPr>
                  <w:tcW w:w="1340" w:type="dxa"/>
                  <w:tcBorders>
                    <w:tl2br w:val="nil"/>
                    <w:tr2bl w:val="nil"/>
                  </w:tcBorders>
                  <w:noWrap w:val="0"/>
                  <w:vAlign w:val="center"/>
                </w:tcPr>
                <w:p w14:paraId="63E2157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47DDFADC">
                  <w:pPr>
                    <w:adjustRightInd w:val="0"/>
                    <w:snapToGrid w:val="0"/>
                    <w:jc w:val="center"/>
                    <w:rPr>
                      <w:b/>
                      <w:bCs/>
                      <w:color w:val="auto"/>
                      <w:szCs w:val="21"/>
                    </w:rPr>
                  </w:pPr>
                </w:p>
              </w:tc>
            </w:tr>
            <w:tr w14:paraId="6F150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87" w:hRule="atLeast"/>
                <w:jc w:val="center"/>
              </w:trPr>
              <w:tc>
                <w:tcPr>
                  <w:tcW w:w="502" w:type="dxa"/>
                  <w:tcBorders>
                    <w:tl2br w:val="nil"/>
                    <w:tr2bl w:val="nil"/>
                  </w:tcBorders>
                  <w:noWrap w:val="0"/>
                  <w:vAlign w:val="center"/>
                </w:tcPr>
                <w:p w14:paraId="4D2C08BD">
                  <w:pPr>
                    <w:adjustRightInd w:val="0"/>
                    <w:snapToGrid w:val="0"/>
                    <w:jc w:val="center"/>
                    <w:rPr>
                      <w:rFonts w:hint="eastAsia"/>
                      <w:b/>
                      <w:bCs/>
                      <w:color w:val="auto"/>
                      <w:szCs w:val="21"/>
                      <w:lang w:val="en-US" w:eastAsia="zh-CN"/>
                    </w:rPr>
                  </w:pPr>
                  <w:r>
                    <w:rPr>
                      <w:rFonts w:hint="eastAsia"/>
                      <w:b w:val="0"/>
                      <w:bCs w:val="0"/>
                      <w:color w:val="auto"/>
                      <w:szCs w:val="21"/>
                      <w:lang w:val="en-US" w:eastAsia="zh-CN"/>
                    </w:rPr>
                    <w:t>6</w:t>
                  </w:r>
                </w:p>
              </w:tc>
              <w:tc>
                <w:tcPr>
                  <w:tcW w:w="1250" w:type="dxa"/>
                  <w:tcBorders>
                    <w:tl2br w:val="nil"/>
                    <w:tr2bl w:val="nil"/>
                  </w:tcBorders>
                  <w:noWrap w:val="0"/>
                  <w:vAlign w:val="center"/>
                </w:tcPr>
                <w:p w14:paraId="2AA29C77">
                  <w:pPr>
                    <w:keepNext w:val="0"/>
                    <w:keepLines w:val="0"/>
                    <w:widowControl/>
                    <w:suppressLineNumbers w:val="0"/>
                    <w:jc w:val="center"/>
                    <w:textAlignment w:val="center"/>
                    <w:rPr>
                      <w:rFonts w:hint="eastAsia"/>
                      <w:b/>
                      <w:bCs/>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烘干提升机</w:t>
                  </w:r>
                </w:p>
              </w:tc>
              <w:tc>
                <w:tcPr>
                  <w:tcW w:w="1346" w:type="dxa"/>
                  <w:tcBorders>
                    <w:tl2br w:val="nil"/>
                    <w:tr2bl w:val="nil"/>
                  </w:tcBorders>
                  <w:noWrap w:val="0"/>
                  <w:vAlign w:val="center"/>
                </w:tcPr>
                <w:p w14:paraId="05AB5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4600*660*3300     </w:t>
                  </w:r>
                </w:p>
                <w:p w14:paraId="2CF9A0C4">
                  <w:pPr>
                    <w:keepNext w:val="0"/>
                    <w:keepLines w:val="0"/>
                    <w:widowControl/>
                    <w:suppressLineNumbers w:val="0"/>
                    <w:jc w:val="center"/>
                    <w:textAlignment w:val="center"/>
                    <w:rPr>
                      <w:rFonts w:hint="default" w:eastAsia="宋体"/>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304不锈钢链板</w:t>
                  </w:r>
                </w:p>
              </w:tc>
              <w:tc>
                <w:tcPr>
                  <w:tcW w:w="596" w:type="dxa"/>
                  <w:tcBorders>
                    <w:tl2br w:val="nil"/>
                    <w:tr2bl w:val="nil"/>
                  </w:tcBorders>
                  <w:noWrap w:val="0"/>
                  <w:vAlign w:val="center"/>
                </w:tcPr>
                <w:p w14:paraId="2630C927">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91</w:t>
                  </w:r>
                </w:p>
              </w:tc>
              <w:tc>
                <w:tcPr>
                  <w:tcW w:w="666" w:type="dxa"/>
                  <w:tcBorders>
                    <w:right w:val="single" w:color="auto" w:sz="4" w:space="0"/>
                    <w:tl2br w:val="nil"/>
                    <w:tr2bl w:val="nil"/>
                  </w:tcBorders>
                  <w:noWrap w:val="0"/>
                  <w:vAlign w:val="center"/>
                </w:tcPr>
                <w:p w14:paraId="48A5A492">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-32</w:t>
                  </w:r>
                </w:p>
              </w:tc>
              <w:tc>
                <w:tcPr>
                  <w:tcW w:w="535" w:type="dxa"/>
                  <w:tcBorders>
                    <w:left w:val="single" w:color="auto" w:sz="4" w:space="0"/>
                    <w:right w:val="single" w:color="000000" w:sz="6" w:space="0"/>
                    <w:tl2br w:val="nil"/>
                    <w:tr2bl w:val="nil"/>
                  </w:tcBorders>
                  <w:noWrap w:val="0"/>
                  <w:vAlign w:val="center"/>
                </w:tcPr>
                <w:p w14:paraId="5C9BBD6B">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76D71323">
                  <w:pPr>
                    <w:adjustRightInd w:val="0"/>
                    <w:snapToGrid w:val="0"/>
                    <w:jc w:val="center"/>
                    <w:rPr>
                      <w:rFonts w:hint="default"/>
                      <w:b w:val="0"/>
                      <w:bCs w:val="0"/>
                      <w:color w:val="auto"/>
                      <w:szCs w:val="21"/>
                      <w:lang w:val="en-US" w:eastAsia="zh-CN"/>
                    </w:rPr>
                  </w:pPr>
                  <w:r>
                    <w:rPr>
                      <w:rFonts w:hint="eastAsia" w:ascii="Times New Roman" w:hAnsi="Times New Roman" w:eastAsia="宋体" w:cs="Times New Roman"/>
                      <w:b w:val="0"/>
                      <w:bCs w:val="0"/>
                      <w:color w:val="auto"/>
                      <w:sz w:val="21"/>
                      <w:szCs w:val="21"/>
                      <w:lang w:val="en-US" w:eastAsia="zh-CN"/>
                    </w:rPr>
                    <w:t>80-85</w:t>
                  </w:r>
                </w:p>
              </w:tc>
              <w:tc>
                <w:tcPr>
                  <w:tcW w:w="1340" w:type="dxa"/>
                  <w:tcBorders>
                    <w:tl2br w:val="nil"/>
                    <w:tr2bl w:val="nil"/>
                  </w:tcBorders>
                  <w:noWrap w:val="0"/>
                  <w:vAlign w:val="center"/>
                </w:tcPr>
                <w:p w14:paraId="1B3044CE">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48344FC0">
                  <w:pPr>
                    <w:adjustRightInd w:val="0"/>
                    <w:snapToGrid w:val="0"/>
                    <w:jc w:val="center"/>
                    <w:rPr>
                      <w:b/>
                      <w:bCs/>
                      <w:color w:val="auto"/>
                      <w:szCs w:val="21"/>
                    </w:rPr>
                  </w:pPr>
                </w:p>
              </w:tc>
            </w:tr>
            <w:tr w14:paraId="1DE5D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4D4F7A0C">
                  <w:pPr>
                    <w:adjustRightInd w:val="0"/>
                    <w:snapToGrid w:val="0"/>
                    <w:jc w:val="center"/>
                    <w:rPr>
                      <w:rFonts w:hint="eastAsia"/>
                      <w:b/>
                      <w:bCs/>
                      <w:color w:val="auto"/>
                      <w:szCs w:val="21"/>
                      <w:lang w:val="en-US" w:eastAsia="zh-CN"/>
                    </w:rPr>
                  </w:pPr>
                  <w:r>
                    <w:rPr>
                      <w:rFonts w:hint="eastAsia"/>
                      <w:b w:val="0"/>
                      <w:bCs w:val="0"/>
                      <w:color w:val="auto"/>
                      <w:szCs w:val="21"/>
                      <w:lang w:val="en-US" w:eastAsia="zh-CN"/>
                    </w:rPr>
                    <w:t>7</w:t>
                  </w:r>
                </w:p>
              </w:tc>
              <w:tc>
                <w:tcPr>
                  <w:tcW w:w="1250" w:type="dxa"/>
                  <w:tcBorders>
                    <w:tl2br w:val="nil"/>
                    <w:tr2bl w:val="nil"/>
                  </w:tcBorders>
                  <w:noWrap w:val="0"/>
                  <w:vAlign w:val="center"/>
                </w:tcPr>
                <w:p w14:paraId="16A51A71">
                  <w:pPr>
                    <w:keepNext w:val="0"/>
                    <w:keepLines w:val="0"/>
                    <w:widowControl/>
                    <w:suppressLineNumbers w:val="0"/>
                    <w:jc w:val="center"/>
                    <w:textAlignment w:val="center"/>
                    <w:rPr>
                      <w:rFonts w:hint="eastAsia"/>
                      <w:b/>
                      <w:bCs/>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坚果开口机</w:t>
                  </w:r>
                </w:p>
              </w:tc>
              <w:tc>
                <w:tcPr>
                  <w:tcW w:w="1346" w:type="dxa"/>
                  <w:tcBorders>
                    <w:tl2br w:val="nil"/>
                    <w:tr2bl w:val="nil"/>
                  </w:tcBorders>
                  <w:noWrap w:val="0"/>
                  <w:vAlign w:val="center"/>
                </w:tcPr>
                <w:p w14:paraId="4766D5FA">
                  <w:pPr>
                    <w:keepNext w:val="0"/>
                    <w:keepLines w:val="0"/>
                    <w:widowControl/>
                    <w:suppressLineNumbers w:val="0"/>
                    <w:jc w:val="center"/>
                    <w:textAlignment w:val="center"/>
                    <w:rPr>
                      <w:rFonts w:hint="default" w:eastAsia="宋体"/>
                      <w:b w:val="0"/>
                      <w:bCs w:val="0"/>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1300*900*1100</w:t>
                  </w:r>
                </w:p>
              </w:tc>
              <w:tc>
                <w:tcPr>
                  <w:tcW w:w="596" w:type="dxa"/>
                  <w:tcBorders>
                    <w:tl2br w:val="nil"/>
                    <w:tr2bl w:val="nil"/>
                  </w:tcBorders>
                  <w:noWrap w:val="0"/>
                  <w:vAlign w:val="center"/>
                </w:tcPr>
                <w:p w14:paraId="28FFC566">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77</w:t>
                  </w:r>
                </w:p>
              </w:tc>
              <w:tc>
                <w:tcPr>
                  <w:tcW w:w="666" w:type="dxa"/>
                  <w:tcBorders>
                    <w:right w:val="single" w:color="auto" w:sz="4" w:space="0"/>
                    <w:tl2br w:val="nil"/>
                    <w:tr2bl w:val="nil"/>
                  </w:tcBorders>
                  <w:noWrap w:val="0"/>
                  <w:vAlign w:val="center"/>
                </w:tcPr>
                <w:p w14:paraId="5DF1160B">
                  <w:pPr>
                    <w:adjustRightInd w:val="0"/>
                    <w:snapToGrid w:val="0"/>
                    <w:jc w:val="center"/>
                    <w:rPr>
                      <w:rFonts w:hint="default" w:eastAsia="宋体"/>
                      <w:b w:val="0"/>
                      <w:bCs w:val="0"/>
                      <w:color w:val="auto"/>
                      <w:szCs w:val="21"/>
                      <w:lang w:val="en-US" w:eastAsia="zh-CN"/>
                    </w:rPr>
                  </w:pPr>
                  <w:r>
                    <w:rPr>
                      <w:rFonts w:hint="eastAsia" w:eastAsia="宋体"/>
                      <w:b w:val="0"/>
                      <w:bCs w:val="0"/>
                      <w:color w:val="auto"/>
                      <w:szCs w:val="21"/>
                      <w:lang w:val="en-US" w:eastAsia="zh-CN"/>
                    </w:rPr>
                    <w:t>-15</w:t>
                  </w:r>
                </w:p>
              </w:tc>
              <w:tc>
                <w:tcPr>
                  <w:tcW w:w="535" w:type="dxa"/>
                  <w:tcBorders>
                    <w:left w:val="single" w:color="auto" w:sz="4" w:space="0"/>
                    <w:right w:val="single" w:color="000000" w:sz="6" w:space="0"/>
                    <w:tl2br w:val="nil"/>
                    <w:tr2bl w:val="nil"/>
                  </w:tcBorders>
                  <w:noWrap w:val="0"/>
                  <w:vAlign w:val="center"/>
                </w:tcPr>
                <w:p w14:paraId="6DAB2938">
                  <w:pPr>
                    <w:adjustRightInd w:val="0"/>
                    <w:snapToGrid w:val="0"/>
                    <w:jc w:val="center"/>
                    <w:rPr>
                      <w:rFonts w:hint="default" w:eastAsia="宋体"/>
                      <w:b w:val="0"/>
                      <w:bCs w:val="0"/>
                      <w:color w:val="auto"/>
                      <w:szCs w:val="21"/>
                      <w:lang w:val="en-US" w:eastAsia="zh-CN"/>
                    </w:rPr>
                  </w:pPr>
                  <w:r>
                    <w:rPr>
                      <w:rFonts w:hint="eastAsia" w:eastAsia="宋体"/>
                      <w:b w:val="0"/>
                      <w:bCs w:val="0"/>
                      <w:color w:val="auto"/>
                      <w:szCs w:val="21"/>
                      <w:lang w:val="en-US" w:eastAsia="zh-CN"/>
                    </w:rPr>
                    <w:t>0.2</w:t>
                  </w:r>
                </w:p>
              </w:tc>
              <w:tc>
                <w:tcPr>
                  <w:tcW w:w="1284" w:type="dxa"/>
                  <w:tcBorders>
                    <w:left w:val="single" w:color="000000" w:sz="6" w:space="0"/>
                    <w:tl2br w:val="nil"/>
                    <w:tr2bl w:val="nil"/>
                  </w:tcBorders>
                  <w:noWrap w:val="0"/>
                  <w:vAlign w:val="center"/>
                </w:tcPr>
                <w:p w14:paraId="7455D0EC">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85</w:t>
                  </w:r>
                </w:p>
              </w:tc>
              <w:tc>
                <w:tcPr>
                  <w:tcW w:w="1340" w:type="dxa"/>
                  <w:tcBorders>
                    <w:tl2br w:val="nil"/>
                    <w:tr2bl w:val="nil"/>
                  </w:tcBorders>
                  <w:noWrap w:val="0"/>
                  <w:vAlign w:val="center"/>
                </w:tcPr>
                <w:p w14:paraId="23C1CE85">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0EA8A402">
                  <w:pPr>
                    <w:adjustRightInd w:val="0"/>
                    <w:snapToGrid w:val="0"/>
                    <w:jc w:val="center"/>
                    <w:rPr>
                      <w:b/>
                      <w:bCs/>
                      <w:color w:val="auto"/>
                      <w:szCs w:val="21"/>
                    </w:rPr>
                  </w:pPr>
                </w:p>
              </w:tc>
            </w:tr>
            <w:tr w14:paraId="2633E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0C418380">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8</w:t>
                  </w:r>
                </w:p>
              </w:tc>
              <w:tc>
                <w:tcPr>
                  <w:tcW w:w="1250" w:type="dxa"/>
                  <w:tcBorders>
                    <w:tl2br w:val="nil"/>
                    <w:tr2bl w:val="nil"/>
                  </w:tcBorders>
                  <w:noWrap w:val="0"/>
                  <w:vAlign w:val="center"/>
                </w:tcPr>
                <w:p w14:paraId="6609E437">
                  <w:pPr>
                    <w:keepNext w:val="0"/>
                    <w:keepLines w:val="0"/>
                    <w:widowControl/>
                    <w:suppressLineNumbers w:val="0"/>
                    <w:jc w:val="center"/>
                    <w:textAlignment w:val="center"/>
                    <w:rPr>
                      <w:rFonts w:hint="default"/>
                      <w:b/>
                      <w:bCs/>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坚果取仁机</w:t>
                  </w:r>
                </w:p>
              </w:tc>
              <w:tc>
                <w:tcPr>
                  <w:tcW w:w="1346" w:type="dxa"/>
                  <w:tcBorders>
                    <w:tl2br w:val="nil"/>
                    <w:tr2bl w:val="nil"/>
                  </w:tcBorders>
                  <w:noWrap w:val="0"/>
                  <w:vAlign w:val="center"/>
                </w:tcPr>
                <w:p w14:paraId="22DFD831">
                  <w:pPr>
                    <w:keepNext w:val="0"/>
                    <w:keepLines w:val="0"/>
                    <w:widowControl/>
                    <w:suppressLineNumbers w:val="0"/>
                    <w:jc w:val="center"/>
                    <w:textAlignment w:val="center"/>
                    <w:rPr>
                      <w:rFonts w:hint="default" w:eastAsia="宋体"/>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1300*900*1100</w:t>
                  </w:r>
                </w:p>
              </w:tc>
              <w:tc>
                <w:tcPr>
                  <w:tcW w:w="596" w:type="dxa"/>
                  <w:tcBorders>
                    <w:tl2br w:val="nil"/>
                    <w:tr2bl w:val="nil"/>
                  </w:tcBorders>
                  <w:noWrap w:val="0"/>
                  <w:vAlign w:val="center"/>
                </w:tcPr>
                <w:p w14:paraId="5ACC0506">
                  <w:pPr>
                    <w:adjustRightInd w:val="0"/>
                    <w:snapToGrid w:val="0"/>
                    <w:jc w:val="center"/>
                    <w:rPr>
                      <w:rFonts w:hint="default"/>
                      <w:b w:val="0"/>
                      <w:bCs w:val="0"/>
                      <w:color w:val="auto"/>
                      <w:kern w:val="2"/>
                      <w:sz w:val="21"/>
                      <w:szCs w:val="21"/>
                      <w:lang w:val="en-US" w:eastAsia="zh-CN" w:bidi="ar-SA"/>
                    </w:rPr>
                  </w:pPr>
                  <w:r>
                    <w:rPr>
                      <w:rFonts w:hint="eastAsia"/>
                      <w:b w:val="0"/>
                      <w:bCs w:val="0"/>
                      <w:color w:val="auto"/>
                      <w:szCs w:val="21"/>
                      <w:lang w:val="en-US" w:eastAsia="zh-CN"/>
                    </w:rPr>
                    <w:t>86</w:t>
                  </w:r>
                </w:p>
              </w:tc>
              <w:tc>
                <w:tcPr>
                  <w:tcW w:w="666" w:type="dxa"/>
                  <w:tcBorders>
                    <w:right w:val="single" w:color="auto" w:sz="4" w:space="0"/>
                    <w:tl2br w:val="nil"/>
                    <w:tr2bl w:val="nil"/>
                  </w:tcBorders>
                  <w:noWrap w:val="0"/>
                  <w:vAlign w:val="center"/>
                </w:tcPr>
                <w:p w14:paraId="7B3DE56C">
                  <w:pPr>
                    <w:adjustRightInd w:val="0"/>
                    <w:snapToGrid w:val="0"/>
                    <w:jc w:val="center"/>
                    <w:rPr>
                      <w:rFonts w:hint="default" w:eastAsia="宋体"/>
                      <w:b w:val="0"/>
                      <w:bCs w:val="0"/>
                      <w:color w:val="auto"/>
                      <w:kern w:val="2"/>
                      <w:sz w:val="21"/>
                      <w:szCs w:val="21"/>
                      <w:lang w:val="en-US" w:eastAsia="zh-CN" w:bidi="ar-SA"/>
                    </w:rPr>
                  </w:pPr>
                  <w:r>
                    <w:rPr>
                      <w:rFonts w:hint="eastAsia"/>
                      <w:b w:val="0"/>
                      <w:bCs w:val="0"/>
                      <w:color w:val="auto"/>
                      <w:szCs w:val="21"/>
                      <w:lang w:val="en-US" w:eastAsia="zh-CN"/>
                    </w:rPr>
                    <w:t>-33</w:t>
                  </w:r>
                </w:p>
              </w:tc>
              <w:tc>
                <w:tcPr>
                  <w:tcW w:w="535" w:type="dxa"/>
                  <w:tcBorders>
                    <w:left w:val="single" w:color="auto" w:sz="4" w:space="0"/>
                    <w:right w:val="single" w:color="000000" w:sz="6" w:space="0"/>
                    <w:tl2br w:val="nil"/>
                    <w:tr2bl w:val="nil"/>
                  </w:tcBorders>
                  <w:noWrap w:val="0"/>
                  <w:vAlign w:val="center"/>
                </w:tcPr>
                <w:p w14:paraId="0B01F5C4">
                  <w:pPr>
                    <w:adjustRightInd w:val="0"/>
                    <w:snapToGrid w:val="0"/>
                    <w:jc w:val="center"/>
                    <w:rPr>
                      <w:rFonts w:hint="default" w:eastAsia="宋体"/>
                      <w:b w:val="0"/>
                      <w:bCs w:val="0"/>
                      <w:color w:val="auto"/>
                      <w:kern w:val="2"/>
                      <w:sz w:val="21"/>
                      <w:szCs w:val="21"/>
                      <w:lang w:val="en-US" w:eastAsia="zh-CN" w:bidi="ar-SA"/>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55179F1C">
                  <w:pPr>
                    <w:adjustRightInd w:val="0"/>
                    <w:snapToGrid w:val="0"/>
                    <w:jc w:val="center"/>
                    <w:rPr>
                      <w:rFonts w:hint="eastAsia"/>
                      <w:b w:val="0"/>
                      <w:bCs w:val="0"/>
                      <w:color w:val="auto"/>
                      <w:kern w:val="2"/>
                      <w:sz w:val="21"/>
                      <w:szCs w:val="21"/>
                      <w:lang w:val="en-US" w:eastAsia="zh-CN" w:bidi="ar-SA"/>
                    </w:rPr>
                  </w:pPr>
                  <w:r>
                    <w:rPr>
                      <w:rFonts w:hint="eastAsia"/>
                      <w:b w:val="0"/>
                      <w:bCs w:val="0"/>
                      <w:color w:val="auto"/>
                      <w:szCs w:val="21"/>
                      <w:lang w:val="en-US" w:eastAsia="zh-CN"/>
                    </w:rPr>
                    <w:t>85</w:t>
                  </w:r>
                </w:p>
              </w:tc>
              <w:tc>
                <w:tcPr>
                  <w:tcW w:w="1340" w:type="dxa"/>
                  <w:tcBorders>
                    <w:tl2br w:val="nil"/>
                    <w:tr2bl w:val="nil"/>
                  </w:tcBorders>
                  <w:noWrap w:val="0"/>
                  <w:vAlign w:val="center"/>
                </w:tcPr>
                <w:p w14:paraId="2A9DA23A">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08BE98F4">
                  <w:pPr>
                    <w:adjustRightInd w:val="0"/>
                    <w:snapToGrid w:val="0"/>
                    <w:jc w:val="center"/>
                    <w:rPr>
                      <w:b/>
                      <w:bCs/>
                      <w:color w:val="auto"/>
                      <w:szCs w:val="21"/>
                    </w:rPr>
                  </w:pPr>
                </w:p>
              </w:tc>
            </w:tr>
            <w:tr w14:paraId="1D180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26596176">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9</w:t>
                  </w:r>
                </w:p>
              </w:tc>
              <w:tc>
                <w:tcPr>
                  <w:tcW w:w="1250" w:type="dxa"/>
                  <w:tcBorders>
                    <w:tl2br w:val="nil"/>
                    <w:tr2bl w:val="nil"/>
                  </w:tcBorders>
                  <w:noWrap w:val="0"/>
                  <w:vAlign w:val="center"/>
                </w:tcPr>
                <w:p w14:paraId="475A50E6">
                  <w:pPr>
                    <w:keepNext w:val="0"/>
                    <w:keepLines w:val="0"/>
                    <w:widowControl/>
                    <w:suppressLineNumbers w:val="0"/>
                    <w:jc w:val="center"/>
                    <w:textAlignment w:val="center"/>
                    <w:rPr>
                      <w:rFonts w:hint="default"/>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仁壳人工分拣输送机</w:t>
                  </w:r>
                </w:p>
              </w:tc>
              <w:tc>
                <w:tcPr>
                  <w:tcW w:w="1346" w:type="dxa"/>
                  <w:tcBorders>
                    <w:tl2br w:val="nil"/>
                    <w:tr2bl w:val="nil"/>
                  </w:tcBorders>
                  <w:noWrap w:val="0"/>
                  <w:vAlign w:val="center"/>
                </w:tcPr>
                <w:p w14:paraId="502EEE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4000*910*750       </w:t>
                  </w:r>
                </w:p>
                <w:p w14:paraId="3C9EB133">
                  <w:pPr>
                    <w:keepNext w:val="0"/>
                    <w:keepLines w:val="0"/>
                    <w:widowControl/>
                    <w:suppressLineNumbers w:val="0"/>
                    <w:jc w:val="center"/>
                    <w:textAlignment w:val="center"/>
                    <w:rPr>
                      <w:rFonts w:hint="default" w:ascii="Times New Roman" w:hAnsi="Times New Roman" w:eastAsia="宋体" w:cs="Times New Roman"/>
                      <w:snapToGrid w:val="0"/>
                      <w:color w:val="auto"/>
                      <w:spacing w:val="8"/>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白色PVC皮带</w:t>
                  </w:r>
                </w:p>
              </w:tc>
              <w:tc>
                <w:tcPr>
                  <w:tcW w:w="596" w:type="dxa"/>
                  <w:tcBorders>
                    <w:tl2br w:val="nil"/>
                    <w:tr2bl w:val="nil"/>
                  </w:tcBorders>
                  <w:noWrap w:val="0"/>
                  <w:vAlign w:val="center"/>
                </w:tcPr>
                <w:p w14:paraId="2E10CDE9">
                  <w:pPr>
                    <w:adjustRightInd w:val="0"/>
                    <w:snapToGrid w:val="0"/>
                    <w:jc w:val="center"/>
                    <w:rPr>
                      <w:rFonts w:hint="default"/>
                      <w:b w:val="0"/>
                      <w:bCs w:val="0"/>
                      <w:color w:val="auto"/>
                      <w:kern w:val="2"/>
                      <w:sz w:val="21"/>
                      <w:szCs w:val="21"/>
                      <w:lang w:val="en-US" w:eastAsia="zh-CN" w:bidi="ar-SA"/>
                    </w:rPr>
                  </w:pPr>
                  <w:r>
                    <w:rPr>
                      <w:rFonts w:hint="eastAsia"/>
                      <w:b w:val="0"/>
                      <w:bCs w:val="0"/>
                      <w:color w:val="auto"/>
                      <w:szCs w:val="21"/>
                      <w:lang w:val="en-US" w:eastAsia="zh-CN"/>
                    </w:rPr>
                    <w:t>91</w:t>
                  </w:r>
                </w:p>
              </w:tc>
              <w:tc>
                <w:tcPr>
                  <w:tcW w:w="666" w:type="dxa"/>
                  <w:tcBorders>
                    <w:right w:val="single" w:color="auto" w:sz="4" w:space="0"/>
                    <w:tl2br w:val="nil"/>
                    <w:tr2bl w:val="nil"/>
                  </w:tcBorders>
                  <w:noWrap w:val="0"/>
                  <w:vAlign w:val="center"/>
                </w:tcPr>
                <w:p w14:paraId="5FD04EE3">
                  <w:pPr>
                    <w:adjustRightInd w:val="0"/>
                    <w:snapToGrid w:val="0"/>
                    <w:jc w:val="center"/>
                    <w:rPr>
                      <w:rFonts w:hint="eastAsia" w:eastAsia="宋体"/>
                      <w:b w:val="0"/>
                      <w:bCs w:val="0"/>
                      <w:color w:val="auto"/>
                      <w:kern w:val="2"/>
                      <w:sz w:val="21"/>
                      <w:szCs w:val="21"/>
                      <w:lang w:val="en-US" w:eastAsia="zh-CN" w:bidi="ar-SA"/>
                    </w:rPr>
                  </w:pPr>
                  <w:r>
                    <w:rPr>
                      <w:rFonts w:hint="eastAsia"/>
                      <w:b w:val="0"/>
                      <w:bCs w:val="0"/>
                      <w:color w:val="auto"/>
                      <w:szCs w:val="21"/>
                      <w:lang w:val="en-US" w:eastAsia="zh-CN"/>
                    </w:rPr>
                    <w:t>-23</w:t>
                  </w:r>
                </w:p>
              </w:tc>
              <w:tc>
                <w:tcPr>
                  <w:tcW w:w="535" w:type="dxa"/>
                  <w:tcBorders>
                    <w:left w:val="single" w:color="auto" w:sz="4" w:space="0"/>
                    <w:right w:val="single" w:color="000000" w:sz="6" w:space="0"/>
                    <w:tl2br w:val="nil"/>
                    <w:tr2bl w:val="nil"/>
                  </w:tcBorders>
                  <w:noWrap w:val="0"/>
                  <w:vAlign w:val="center"/>
                </w:tcPr>
                <w:p w14:paraId="4060800E">
                  <w:pPr>
                    <w:adjustRightInd w:val="0"/>
                    <w:snapToGrid w:val="0"/>
                    <w:jc w:val="center"/>
                    <w:rPr>
                      <w:rFonts w:hint="eastAsia" w:eastAsia="宋体"/>
                      <w:b w:val="0"/>
                      <w:bCs w:val="0"/>
                      <w:color w:val="auto"/>
                      <w:kern w:val="2"/>
                      <w:sz w:val="21"/>
                      <w:szCs w:val="21"/>
                      <w:lang w:val="en-US" w:eastAsia="zh-CN" w:bidi="ar-SA"/>
                    </w:rPr>
                  </w:pPr>
                  <w:r>
                    <w:rPr>
                      <w:rFonts w:hint="eastAsia"/>
                      <w:b w:val="0"/>
                      <w:bCs w:val="0"/>
                      <w:color w:val="auto"/>
                      <w:szCs w:val="21"/>
                      <w:lang w:val="en-US" w:eastAsia="zh-CN"/>
                    </w:rPr>
                    <w:t>0.2</w:t>
                  </w:r>
                </w:p>
              </w:tc>
              <w:tc>
                <w:tcPr>
                  <w:tcW w:w="1284" w:type="dxa"/>
                  <w:tcBorders>
                    <w:left w:val="single" w:color="000000" w:sz="6" w:space="0"/>
                    <w:tl2br w:val="nil"/>
                    <w:tr2bl w:val="nil"/>
                  </w:tcBorders>
                  <w:noWrap w:val="0"/>
                  <w:vAlign w:val="center"/>
                </w:tcPr>
                <w:p w14:paraId="61B05E06">
                  <w:pPr>
                    <w:adjustRightInd w:val="0"/>
                    <w:snapToGrid w:val="0"/>
                    <w:jc w:val="center"/>
                    <w:rPr>
                      <w:rFonts w:hint="eastAsia"/>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65</w:t>
                  </w:r>
                </w:p>
              </w:tc>
              <w:tc>
                <w:tcPr>
                  <w:tcW w:w="1340" w:type="dxa"/>
                  <w:tcBorders>
                    <w:tl2br w:val="nil"/>
                    <w:tr2bl w:val="nil"/>
                  </w:tcBorders>
                  <w:noWrap w:val="0"/>
                  <w:vAlign w:val="center"/>
                </w:tcPr>
                <w:p w14:paraId="1408B8C9">
                  <w:pPr>
                    <w:adjustRightInd w:val="0"/>
                    <w:snapToGrid w:val="0"/>
                    <w:jc w:val="center"/>
                    <w:rPr>
                      <w:rFonts w:hint="eastAsia"/>
                      <w:b/>
                      <w:bCs/>
                      <w:color w:val="auto"/>
                      <w:kern w:val="2"/>
                      <w:sz w:val="21"/>
                      <w:szCs w:val="21"/>
                      <w:lang w:val="en-US" w:eastAsia="zh-CN" w:bidi="ar-SA"/>
                    </w:rPr>
                  </w:pPr>
                  <w:r>
                    <w:rPr>
                      <w:rFonts w:hint="eastAsia"/>
                      <w:b w:val="0"/>
                      <w:bCs w:val="0"/>
                      <w:color w:val="auto"/>
                      <w:sz w:val="21"/>
                      <w:szCs w:val="21"/>
                      <w:lang w:val="en-US" w:eastAsia="zh-CN"/>
                    </w:rPr>
                    <w:t>建筑隔声</w:t>
                  </w:r>
                </w:p>
              </w:tc>
              <w:tc>
                <w:tcPr>
                  <w:tcW w:w="879" w:type="dxa"/>
                  <w:vMerge w:val="continue"/>
                  <w:tcBorders>
                    <w:tl2br w:val="nil"/>
                    <w:tr2bl w:val="nil"/>
                  </w:tcBorders>
                  <w:noWrap w:val="0"/>
                  <w:vAlign w:val="center"/>
                </w:tcPr>
                <w:p w14:paraId="280FAC8B">
                  <w:pPr>
                    <w:adjustRightInd w:val="0"/>
                    <w:snapToGrid w:val="0"/>
                    <w:jc w:val="center"/>
                    <w:rPr>
                      <w:b/>
                      <w:bCs/>
                      <w:color w:val="auto"/>
                      <w:szCs w:val="21"/>
                    </w:rPr>
                  </w:pPr>
                </w:p>
              </w:tc>
            </w:tr>
            <w:tr w14:paraId="11469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001D0AFF">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10</w:t>
                  </w:r>
                </w:p>
              </w:tc>
              <w:tc>
                <w:tcPr>
                  <w:tcW w:w="1250" w:type="dxa"/>
                  <w:tcBorders>
                    <w:tl2br w:val="nil"/>
                    <w:tr2bl w:val="nil"/>
                  </w:tcBorders>
                  <w:noWrap w:val="0"/>
                  <w:vAlign w:val="center"/>
                </w:tcPr>
                <w:p w14:paraId="4EE0A2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果仁震动分级筛</w:t>
                  </w:r>
                </w:p>
              </w:tc>
              <w:tc>
                <w:tcPr>
                  <w:tcW w:w="1346" w:type="dxa"/>
                  <w:tcBorders>
                    <w:tl2br w:val="nil"/>
                    <w:tr2bl w:val="nil"/>
                  </w:tcBorders>
                  <w:noWrap w:val="0"/>
                  <w:vAlign w:val="center"/>
                </w:tcPr>
                <w:p w14:paraId="50A41E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4000*600*1100</w:t>
                  </w:r>
                </w:p>
              </w:tc>
              <w:tc>
                <w:tcPr>
                  <w:tcW w:w="596" w:type="dxa"/>
                  <w:tcBorders>
                    <w:tl2br w:val="nil"/>
                    <w:tr2bl w:val="nil"/>
                  </w:tcBorders>
                  <w:noWrap w:val="0"/>
                  <w:vAlign w:val="center"/>
                </w:tcPr>
                <w:p w14:paraId="006E3DB5">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78</w:t>
                  </w:r>
                </w:p>
              </w:tc>
              <w:tc>
                <w:tcPr>
                  <w:tcW w:w="666" w:type="dxa"/>
                  <w:tcBorders>
                    <w:right w:val="single" w:color="auto" w:sz="4" w:space="0"/>
                    <w:tl2br w:val="nil"/>
                    <w:tr2bl w:val="nil"/>
                  </w:tcBorders>
                  <w:noWrap w:val="0"/>
                  <w:vAlign w:val="center"/>
                </w:tcPr>
                <w:p w14:paraId="05CB1B7C">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-39</w:t>
                  </w:r>
                </w:p>
              </w:tc>
              <w:tc>
                <w:tcPr>
                  <w:tcW w:w="535" w:type="dxa"/>
                  <w:tcBorders>
                    <w:left w:val="single" w:color="auto" w:sz="4" w:space="0"/>
                    <w:right w:val="single" w:color="000000" w:sz="6" w:space="0"/>
                    <w:tl2br w:val="nil"/>
                    <w:tr2bl w:val="nil"/>
                  </w:tcBorders>
                  <w:noWrap w:val="0"/>
                  <w:vAlign w:val="center"/>
                </w:tcPr>
                <w:p w14:paraId="458F8DEE">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0.2</w:t>
                  </w:r>
                </w:p>
              </w:tc>
              <w:tc>
                <w:tcPr>
                  <w:tcW w:w="1284" w:type="dxa"/>
                  <w:tcBorders>
                    <w:left w:val="single" w:color="000000" w:sz="6" w:space="0"/>
                    <w:tl2br w:val="nil"/>
                    <w:tr2bl w:val="nil"/>
                  </w:tcBorders>
                  <w:noWrap w:val="0"/>
                  <w:vAlign w:val="center"/>
                </w:tcPr>
                <w:p w14:paraId="2AB0DE2B">
                  <w:pPr>
                    <w:adjustRightInd w:val="0"/>
                    <w:snapToGrid w:val="0"/>
                    <w:jc w:val="center"/>
                    <w:rPr>
                      <w:rFonts w:hint="eastAsia"/>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85</w:t>
                  </w:r>
                </w:p>
              </w:tc>
              <w:tc>
                <w:tcPr>
                  <w:tcW w:w="1340" w:type="dxa"/>
                  <w:tcBorders>
                    <w:tl2br w:val="nil"/>
                    <w:tr2bl w:val="nil"/>
                  </w:tcBorders>
                  <w:noWrap w:val="0"/>
                  <w:vAlign w:val="center"/>
                </w:tcPr>
                <w:p w14:paraId="5684776D">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建筑隔声、减振机座</w:t>
                  </w:r>
                </w:p>
              </w:tc>
              <w:tc>
                <w:tcPr>
                  <w:tcW w:w="879" w:type="dxa"/>
                  <w:vMerge w:val="continue"/>
                  <w:tcBorders>
                    <w:tl2br w:val="nil"/>
                    <w:tr2bl w:val="nil"/>
                  </w:tcBorders>
                  <w:noWrap w:val="0"/>
                  <w:vAlign w:val="center"/>
                </w:tcPr>
                <w:p w14:paraId="694A4EDA">
                  <w:pPr>
                    <w:adjustRightInd w:val="0"/>
                    <w:snapToGrid w:val="0"/>
                    <w:jc w:val="center"/>
                    <w:rPr>
                      <w:b/>
                      <w:bCs/>
                      <w:color w:val="auto"/>
                      <w:szCs w:val="21"/>
                    </w:rPr>
                  </w:pPr>
                </w:p>
              </w:tc>
            </w:tr>
            <w:tr w14:paraId="0981E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4B7AB002">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三</w:t>
                  </w:r>
                </w:p>
              </w:tc>
              <w:tc>
                <w:tcPr>
                  <w:tcW w:w="7896" w:type="dxa"/>
                  <w:gridSpan w:val="8"/>
                  <w:tcBorders>
                    <w:tl2br w:val="nil"/>
                    <w:tr2bl w:val="nil"/>
                  </w:tcBorders>
                  <w:noWrap w:val="0"/>
                  <w:vAlign w:val="center"/>
                </w:tcPr>
                <w:p w14:paraId="20022DE5">
                  <w:pPr>
                    <w:adjustRightInd w:val="0"/>
                    <w:snapToGrid w:val="0"/>
                    <w:jc w:val="center"/>
                    <w:rPr>
                      <w:rFonts w:hint="default" w:eastAsia="宋体"/>
                      <w:b/>
                      <w:bCs/>
                      <w:color w:val="auto"/>
                      <w:szCs w:val="21"/>
                      <w:lang w:val="en-US" w:eastAsia="zh-CN"/>
                    </w:rPr>
                  </w:pPr>
                  <w:r>
                    <w:rPr>
                      <w:rFonts w:hint="eastAsia"/>
                      <w:b w:val="0"/>
                      <w:bCs w:val="0"/>
                      <w:color w:val="auto"/>
                      <w:szCs w:val="21"/>
                      <w:lang w:val="en-US" w:eastAsia="zh-CN"/>
                    </w:rPr>
                    <w:t>冷库设备</w:t>
                  </w:r>
                </w:p>
              </w:tc>
            </w:tr>
            <w:tr w14:paraId="78088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3EE63BE6">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1</w:t>
                  </w:r>
                </w:p>
              </w:tc>
              <w:tc>
                <w:tcPr>
                  <w:tcW w:w="1250" w:type="dxa"/>
                  <w:tcBorders>
                    <w:tl2br w:val="nil"/>
                    <w:tr2bl w:val="nil"/>
                  </w:tcBorders>
                  <w:noWrap w:val="0"/>
                  <w:vAlign w:val="center"/>
                </w:tcPr>
                <w:p w14:paraId="187F7A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制冷机</w:t>
                  </w:r>
                </w:p>
              </w:tc>
              <w:tc>
                <w:tcPr>
                  <w:tcW w:w="1346" w:type="dxa"/>
                  <w:tcBorders>
                    <w:tl2br w:val="nil"/>
                    <w:tr2bl w:val="nil"/>
                  </w:tcBorders>
                  <w:noWrap w:val="0"/>
                  <w:vAlign w:val="center"/>
                </w:tcPr>
                <w:p w14:paraId="76BB7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596" w:type="dxa"/>
                  <w:tcBorders>
                    <w:tl2br w:val="nil"/>
                    <w:tr2bl w:val="nil"/>
                  </w:tcBorders>
                  <w:noWrap w:val="0"/>
                  <w:vAlign w:val="center"/>
                </w:tcPr>
                <w:p w14:paraId="6C04A4AD">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61</w:t>
                  </w:r>
                </w:p>
              </w:tc>
              <w:tc>
                <w:tcPr>
                  <w:tcW w:w="666" w:type="dxa"/>
                  <w:tcBorders>
                    <w:right w:val="single" w:color="auto" w:sz="4" w:space="0"/>
                    <w:tl2br w:val="nil"/>
                    <w:tr2bl w:val="nil"/>
                  </w:tcBorders>
                  <w:noWrap w:val="0"/>
                  <w:vAlign w:val="center"/>
                </w:tcPr>
                <w:p w14:paraId="48432B06">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-1</w:t>
                  </w:r>
                </w:p>
              </w:tc>
              <w:tc>
                <w:tcPr>
                  <w:tcW w:w="535" w:type="dxa"/>
                  <w:tcBorders>
                    <w:left w:val="single" w:color="auto" w:sz="4" w:space="0"/>
                    <w:right w:val="single" w:color="000000" w:sz="6" w:space="0"/>
                    <w:tl2br w:val="nil"/>
                    <w:tr2bl w:val="nil"/>
                  </w:tcBorders>
                  <w:noWrap w:val="0"/>
                  <w:vAlign w:val="center"/>
                </w:tcPr>
                <w:p w14:paraId="2E6E9568">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0.2</w:t>
                  </w:r>
                </w:p>
              </w:tc>
              <w:tc>
                <w:tcPr>
                  <w:tcW w:w="1284" w:type="dxa"/>
                  <w:tcBorders>
                    <w:left w:val="single" w:color="000000" w:sz="6" w:space="0"/>
                    <w:tl2br w:val="nil"/>
                    <w:tr2bl w:val="nil"/>
                  </w:tcBorders>
                  <w:noWrap w:val="0"/>
                  <w:vAlign w:val="center"/>
                </w:tcPr>
                <w:p w14:paraId="65EB1DAD">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w:t>
                  </w:r>
                </w:p>
              </w:tc>
              <w:tc>
                <w:tcPr>
                  <w:tcW w:w="1340" w:type="dxa"/>
                  <w:tcBorders>
                    <w:tl2br w:val="nil"/>
                    <w:tr2bl w:val="nil"/>
                  </w:tcBorders>
                  <w:noWrap w:val="0"/>
                  <w:vAlign w:val="center"/>
                </w:tcPr>
                <w:p w14:paraId="3346A221">
                  <w:pPr>
                    <w:adjustRightInd w:val="0"/>
                    <w:snapToGrid w:val="0"/>
                    <w:jc w:val="center"/>
                    <w:rPr>
                      <w:rFonts w:hint="eastAsia"/>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tcBorders>
                    <w:tl2br w:val="nil"/>
                    <w:tr2bl w:val="nil"/>
                  </w:tcBorders>
                  <w:noWrap w:val="0"/>
                  <w:vAlign w:val="center"/>
                </w:tcPr>
                <w:p w14:paraId="46A175D1">
                  <w:pPr>
                    <w:adjustRightInd w:val="0"/>
                    <w:snapToGrid w:val="0"/>
                    <w:jc w:val="center"/>
                    <w:rPr>
                      <w:b/>
                      <w:bCs/>
                      <w:color w:val="auto"/>
                      <w:szCs w:val="21"/>
                    </w:rPr>
                  </w:pPr>
                  <w:r>
                    <w:rPr>
                      <w:rFonts w:hint="eastAsia" w:ascii="Times New Roman" w:hAnsi="Times New Roman" w:eastAsia="宋体" w:cs="Times New Roman"/>
                      <w:color w:val="auto"/>
                      <w:sz w:val="21"/>
                      <w:szCs w:val="21"/>
                      <w:lang w:val="en-US" w:eastAsia="zh-CN"/>
                    </w:rPr>
                    <w:t>连续运行24h</w:t>
                  </w:r>
                </w:p>
              </w:tc>
            </w:tr>
            <w:tr w14:paraId="708D4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035ABE09">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四</w:t>
                  </w:r>
                </w:p>
              </w:tc>
              <w:tc>
                <w:tcPr>
                  <w:tcW w:w="7896" w:type="dxa"/>
                  <w:gridSpan w:val="8"/>
                  <w:tcBorders>
                    <w:tl2br w:val="nil"/>
                    <w:tr2bl w:val="nil"/>
                  </w:tcBorders>
                  <w:noWrap w:val="0"/>
                  <w:vAlign w:val="center"/>
                </w:tcPr>
                <w:p w14:paraId="3AD22BC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r>
            <w:tr w14:paraId="75F2A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502" w:type="dxa"/>
                  <w:tcBorders>
                    <w:tl2br w:val="nil"/>
                    <w:tr2bl w:val="nil"/>
                  </w:tcBorders>
                  <w:noWrap w:val="0"/>
                  <w:vAlign w:val="center"/>
                </w:tcPr>
                <w:p w14:paraId="31D71268">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1</w:t>
                  </w:r>
                </w:p>
              </w:tc>
              <w:tc>
                <w:tcPr>
                  <w:tcW w:w="1250" w:type="dxa"/>
                  <w:tcBorders>
                    <w:tl2br w:val="nil"/>
                    <w:tr2bl w:val="nil"/>
                  </w:tcBorders>
                  <w:noWrap w:val="0"/>
                  <w:vAlign w:val="center"/>
                </w:tcPr>
                <w:p w14:paraId="1BD7B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水泵</w:t>
                  </w:r>
                </w:p>
              </w:tc>
              <w:tc>
                <w:tcPr>
                  <w:tcW w:w="1346" w:type="dxa"/>
                  <w:tcBorders>
                    <w:tl2br w:val="nil"/>
                    <w:tr2bl w:val="nil"/>
                  </w:tcBorders>
                  <w:noWrap w:val="0"/>
                  <w:vAlign w:val="center"/>
                </w:tcPr>
                <w:p w14:paraId="70226A7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596" w:type="dxa"/>
                  <w:tcBorders>
                    <w:tl2br w:val="nil"/>
                    <w:tr2bl w:val="nil"/>
                  </w:tcBorders>
                  <w:noWrap w:val="0"/>
                  <w:vAlign w:val="center"/>
                </w:tcPr>
                <w:p w14:paraId="1338411C">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77</w:t>
                  </w:r>
                </w:p>
              </w:tc>
              <w:tc>
                <w:tcPr>
                  <w:tcW w:w="666" w:type="dxa"/>
                  <w:tcBorders>
                    <w:right w:val="single" w:color="auto" w:sz="4" w:space="0"/>
                    <w:tl2br w:val="nil"/>
                    <w:tr2bl w:val="nil"/>
                  </w:tcBorders>
                  <w:noWrap w:val="0"/>
                  <w:vAlign w:val="center"/>
                </w:tcPr>
                <w:p w14:paraId="43A93FD3">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-42</w:t>
                  </w:r>
                </w:p>
              </w:tc>
              <w:tc>
                <w:tcPr>
                  <w:tcW w:w="535" w:type="dxa"/>
                  <w:tcBorders>
                    <w:left w:val="single" w:color="auto" w:sz="4" w:space="0"/>
                    <w:right w:val="single" w:color="000000" w:sz="6" w:space="0"/>
                    <w:tl2br w:val="nil"/>
                    <w:tr2bl w:val="nil"/>
                  </w:tcBorders>
                  <w:noWrap w:val="0"/>
                  <w:vAlign w:val="center"/>
                </w:tcPr>
                <w:p w14:paraId="3EC508D3">
                  <w:pPr>
                    <w:adjustRightInd w:val="0"/>
                    <w:snapToGrid w:val="0"/>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0.2</w:t>
                  </w:r>
                </w:p>
              </w:tc>
              <w:tc>
                <w:tcPr>
                  <w:tcW w:w="1284" w:type="dxa"/>
                  <w:tcBorders>
                    <w:left w:val="single" w:color="000000" w:sz="6" w:space="0"/>
                    <w:tl2br w:val="nil"/>
                    <w:tr2bl w:val="nil"/>
                  </w:tcBorders>
                  <w:noWrap w:val="0"/>
                  <w:vAlign w:val="center"/>
                </w:tcPr>
                <w:p w14:paraId="3304436A">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85</w:t>
                  </w:r>
                </w:p>
              </w:tc>
              <w:tc>
                <w:tcPr>
                  <w:tcW w:w="1340" w:type="dxa"/>
                  <w:tcBorders>
                    <w:tl2br w:val="nil"/>
                    <w:tr2bl w:val="nil"/>
                  </w:tcBorders>
                  <w:noWrap w:val="0"/>
                  <w:vAlign w:val="center"/>
                </w:tcPr>
                <w:p w14:paraId="599FEF79">
                  <w:pPr>
                    <w:adjustRightInd w:val="0"/>
                    <w:snapToGrid w:val="0"/>
                    <w:jc w:val="center"/>
                    <w:rPr>
                      <w:rFonts w:hint="eastAsia"/>
                      <w:b w:val="0"/>
                      <w:bCs w:val="0"/>
                      <w:color w:val="auto"/>
                      <w:sz w:val="21"/>
                      <w:szCs w:val="21"/>
                      <w:lang w:val="en-US" w:eastAsia="zh-CN"/>
                    </w:rPr>
                  </w:pPr>
                  <w:r>
                    <w:rPr>
                      <w:rFonts w:hint="eastAsia"/>
                      <w:b w:val="0"/>
                      <w:bCs w:val="0"/>
                      <w:color w:val="auto"/>
                      <w:sz w:val="21"/>
                      <w:szCs w:val="21"/>
                      <w:lang w:val="en-US" w:eastAsia="zh-CN"/>
                    </w:rPr>
                    <w:t>建筑隔声、减振机座</w:t>
                  </w:r>
                </w:p>
              </w:tc>
              <w:tc>
                <w:tcPr>
                  <w:tcW w:w="879" w:type="dxa"/>
                  <w:tcBorders>
                    <w:tl2br w:val="nil"/>
                    <w:tr2bl w:val="nil"/>
                  </w:tcBorders>
                  <w:noWrap w:val="0"/>
                  <w:vAlign w:val="center"/>
                </w:tcPr>
                <w:p w14:paraId="62E04BD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连续运行24h</w:t>
                  </w:r>
                </w:p>
              </w:tc>
            </w:tr>
          </w:tbl>
          <w:p w14:paraId="1AE4C946">
            <w:pPr>
              <w:pStyle w:val="16"/>
              <w:rPr>
                <w:rFonts w:hint="eastAsia" w:ascii="Times New Roman" w:hAnsi="Times New Roman" w:eastAsia="宋体" w:cs="Times New Roman"/>
                <w:b/>
                <w:bCs/>
                <w:color w:val="auto"/>
                <w:kern w:val="2"/>
                <w:sz w:val="24"/>
                <w:szCs w:val="24"/>
                <w:highlight w:val="none"/>
                <w:lang w:val="en-US" w:eastAsia="zh-CN" w:bidi="ar-SA"/>
              </w:rPr>
            </w:pPr>
          </w:p>
          <w:p w14:paraId="373B77FE">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①预测模式</w:t>
            </w:r>
          </w:p>
          <w:p w14:paraId="70E6673D">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bookmarkStart w:id="243" w:name="_Toc184481523"/>
            <w:bookmarkStart w:id="244" w:name="_Toc184482080"/>
            <w:r>
              <w:rPr>
                <w:rFonts w:hint="default" w:ascii="Times New Roman" w:hAnsi="Times New Roman" w:eastAsia="宋体" w:cs="Times New Roman"/>
                <w:color w:val="auto"/>
                <w:sz w:val="24"/>
                <w:szCs w:val="24"/>
              </w:rPr>
              <w:t>根据《环境影响评价技术导则</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HJ2.4-2021</w:t>
            </w:r>
            <w:r>
              <w:rPr>
                <w:rFonts w:hint="default" w:ascii="Times New Roman" w:hAnsi="Times New Roman" w:eastAsia="宋体" w:cs="Times New Roman"/>
                <w:color w:val="auto"/>
                <w:sz w:val="24"/>
                <w:szCs w:val="24"/>
              </w:rPr>
              <w:t>），无指向性点声源几何发散衰减按下列公式计算：</w:t>
            </w:r>
            <w:bookmarkEnd w:id="243"/>
            <w:bookmarkEnd w:id="244"/>
          </w:p>
          <w:p w14:paraId="18EA91FF">
            <w:pPr>
              <w:keepNext w:val="0"/>
              <w:keepLines w:val="0"/>
              <w:pageBreakBefore w:val="0"/>
              <w:widowControl w:val="0"/>
              <w:kinsoku/>
              <w:wordWrap/>
              <w:overflowPunct/>
              <w:topLinePunct w:val="0"/>
              <w:autoSpaceDE/>
              <w:autoSpaceDN/>
              <w:bidi w:val="0"/>
              <w:spacing w:line="360" w:lineRule="auto"/>
              <w:ind w:firstLine="480"/>
              <w:jc w:val="center"/>
              <w:textAlignment w:val="auto"/>
              <w:rPr>
                <w:rFonts w:eastAsia="宋体"/>
                <w:color w:val="auto"/>
                <w:sz w:val="24"/>
                <w:szCs w:val="24"/>
              </w:rPr>
            </w:pPr>
            <w:r>
              <w:rPr>
                <w:rFonts w:eastAsia="宋体"/>
                <w:color w:val="auto"/>
                <w:sz w:val="24"/>
                <w:szCs w:val="24"/>
                <w:lang w:val="zh-CN"/>
              </w:rPr>
              <w:object>
                <v:shape id="_x0000_i1031" o:spt="75" type="#_x0000_t75" style="height:37.5pt;width:174pt;" o:ole="t" filled="f" o:preferrelative="t" stroked="f" coordsize="21600,21600">
                  <v:path/>
                  <v:fill on="f" focussize="0,0"/>
                  <v:stroke on="f" joinstyle="miter"/>
                  <v:imagedata r:id="rId26" o:title=""/>
                  <o:lock v:ext="edit" aspectratio="t"/>
                  <w10:wrap type="none"/>
                  <w10:anchorlock/>
                </v:shape>
                <o:OLEObject Type="Embed" ProgID="Equations" ShapeID="_x0000_i1031" DrawAspect="Content" ObjectID="_1468075731" r:id="rId25">
                  <o:LockedField>false</o:LockedField>
                </o:OLEObject>
              </w:object>
            </w:r>
          </w:p>
          <w:p w14:paraId="4F3646E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eastAsia="宋体"/>
                <w:color w:val="auto"/>
                <w:sz w:val="24"/>
                <w:szCs w:val="24"/>
              </w:rPr>
            </w:pPr>
            <w:r>
              <w:rPr>
                <w:rFonts w:eastAsia="宋体"/>
                <w:color w:val="auto"/>
                <w:sz w:val="24"/>
                <w:szCs w:val="24"/>
              </w:rPr>
              <w:t>式中：</w:t>
            </w:r>
            <w:r>
              <w:rPr>
                <w:rFonts w:eastAsia="宋体"/>
                <w:color w:val="auto"/>
                <w:sz w:val="24"/>
                <w:szCs w:val="24"/>
              </w:rPr>
              <w:drawing>
                <wp:inline distT="0" distB="0" distL="114300" distR="114300">
                  <wp:extent cx="532765" cy="275590"/>
                  <wp:effectExtent l="0" t="0" r="635" b="10160"/>
                  <wp:docPr id="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1"/>
                          <pic:cNvPicPr>
                            <a:picLocks noChangeAspect="1"/>
                          </pic:cNvPicPr>
                        </pic:nvPicPr>
                        <pic:blipFill>
                          <a:blip r:embed="rId27"/>
                          <a:stretch>
                            <a:fillRect/>
                          </a:stretch>
                        </pic:blipFill>
                        <pic:spPr>
                          <a:xfrm>
                            <a:off x="0" y="0"/>
                            <a:ext cx="532765" cy="275590"/>
                          </a:xfrm>
                          <a:prstGeom prst="rect">
                            <a:avLst/>
                          </a:prstGeom>
                          <a:noFill/>
                          <a:ln>
                            <a:noFill/>
                          </a:ln>
                        </pic:spPr>
                      </pic:pic>
                    </a:graphicData>
                  </a:graphic>
                </wp:inline>
              </w:drawing>
            </w:r>
            <w:r>
              <w:rPr>
                <w:rFonts w:eastAsia="宋体"/>
                <w:color w:val="auto"/>
                <w:sz w:val="24"/>
                <w:szCs w:val="24"/>
              </w:rPr>
              <w:t>──点声源在预测点产生的声压级，dB(A)；</w:t>
            </w:r>
          </w:p>
          <w:p w14:paraId="1DAAD05A">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eastAsia="宋体"/>
                <w:color w:val="auto"/>
                <w:sz w:val="24"/>
                <w:szCs w:val="24"/>
              </w:rPr>
            </w:pPr>
            <w:r>
              <w:rPr>
                <w:rFonts w:eastAsia="宋体"/>
                <w:color w:val="auto"/>
                <w:sz w:val="24"/>
                <w:szCs w:val="24"/>
              </w:rPr>
              <w:drawing>
                <wp:inline distT="0" distB="0" distL="114300" distR="114300">
                  <wp:extent cx="704215" cy="266065"/>
                  <wp:effectExtent l="0" t="0" r="635" b="635"/>
                  <wp:docPr id="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2"/>
                          <pic:cNvPicPr>
                            <a:picLocks noChangeAspect="1"/>
                          </pic:cNvPicPr>
                        </pic:nvPicPr>
                        <pic:blipFill>
                          <a:blip r:embed="rId28"/>
                          <a:stretch>
                            <a:fillRect/>
                          </a:stretch>
                        </pic:blipFill>
                        <pic:spPr>
                          <a:xfrm>
                            <a:off x="0" y="0"/>
                            <a:ext cx="704215" cy="266065"/>
                          </a:xfrm>
                          <a:prstGeom prst="rect">
                            <a:avLst/>
                          </a:prstGeom>
                          <a:noFill/>
                          <a:ln>
                            <a:noFill/>
                          </a:ln>
                        </pic:spPr>
                      </pic:pic>
                    </a:graphicData>
                  </a:graphic>
                </wp:inline>
              </w:drawing>
            </w:r>
            <w:r>
              <w:rPr>
                <w:rFonts w:eastAsia="宋体"/>
                <w:color w:val="auto"/>
                <w:sz w:val="24"/>
                <w:szCs w:val="24"/>
              </w:rPr>
              <w:t>──参考位置</w:t>
            </w:r>
            <w:r>
              <w:rPr>
                <w:rFonts w:eastAsia="宋体"/>
                <w:color w:val="auto"/>
                <w:sz w:val="24"/>
                <w:szCs w:val="24"/>
              </w:rPr>
              <w:drawing>
                <wp:inline distT="0" distB="0" distL="114300" distR="114300">
                  <wp:extent cx="161290" cy="266065"/>
                  <wp:effectExtent l="0" t="0" r="10160" b="635"/>
                  <wp:docPr id="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3"/>
                          <pic:cNvPicPr>
                            <a:picLocks noChangeAspect="1"/>
                          </pic:cNvPicPr>
                        </pic:nvPicPr>
                        <pic:blipFill>
                          <a:blip r:embed="rId29"/>
                          <a:stretch>
                            <a:fillRect/>
                          </a:stretch>
                        </pic:blipFill>
                        <pic:spPr>
                          <a:xfrm>
                            <a:off x="0" y="0"/>
                            <a:ext cx="161290" cy="266065"/>
                          </a:xfrm>
                          <a:prstGeom prst="rect">
                            <a:avLst/>
                          </a:prstGeom>
                          <a:noFill/>
                          <a:ln>
                            <a:noFill/>
                          </a:ln>
                        </pic:spPr>
                      </pic:pic>
                    </a:graphicData>
                  </a:graphic>
                </wp:inline>
              </w:drawing>
            </w:r>
            <w:r>
              <w:rPr>
                <w:rFonts w:eastAsia="宋体"/>
                <w:color w:val="auto"/>
                <w:sz w:val="24"/>
                <w:szCs w:val="24"/>
              </w:rPr>
              <w:t>处</w:t>
            </w:r>
            <w:r>
              <w:rPr>
                <w:rFonts w:hint="eastAsia"/>
                <w:color w:val="auto"/>
                <w:sz w:val="24"/>
                <w:szCs w:val="24"/>
                <w:lang w:eastAsia="zh-CN"/>
              </w:rPr>
              <w:t>的</w:t>
            </w:r>
            <w:r>
              <w:rPr>
                <w:rFonts w:eastAsia="宋体"/>
                <w:color w:val="auto"/>
                <w:sz w:val="24"/>
                <w:szCs w:val="24"/>
              </w:rPr>
              <w:t>声压级，dB(A)；</w:t>
            </w:r>
          </w:p>
          <w:p w14:paraId="580DBB6A">
            <w:pPr>
              <w:pStyle w:val="90"/>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eastAsia="宋体"/>
                <w:color w:val="auto"/>
                <w:sz w:val="24"/>
                <w:szCs w:val="24"/>
              </w:rPr>
            </w:pPr>
            <w:r>
              <w:rPr>
                <w:rFonts w:eastAsia="宋体"/>
                <w:color w:val="auto"/>
                <w:sz w:val="24"/>
                <w:szCs w:val="24"/>
              </w:rPr>
              <w:t>r——预测点距声源距离，m；</w:t>
            </w:r>
          </w:p>
          <w:p w14:paraId="5D96883B">
            <w:pPr>
              <w:pStyle w:val="90"/>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eastAsia="宋体"/>
                <w:color w:val="auto"/>
                <w:sz w:val="24"/>
                <w:szCs w:val="24"/>
              </w:rPr>
            </w:pPr>
            <w:r>
              <w:rPr>
                <w:rFonts w:eastAsia="宋体"/>
                <w:color w:val="auto"/>
                <w:sz w:val="24"/>
                <w:szCs w:val="24"/>
              </w:rPr>
              <w:t>r</w:t>
            </w:r>
            <w:r>
              <w:rPr>
                <w:rFonts w:eastAsia="宋体"/>
                <w:color w:val="auto"/>
                <w:sz w:val="24"/>
                <w:szCs w:val="24"/>
                <w:vertAlign w:val="subscript"/>
              </w:rPr>
              <w:t>0</w:t>
            </w:r>
            <w:r>
              <w:rPr>
                <w:rFonts w:eastAsia="宋体"/>
                <w:color w:val="auto"/>
                <w:sz w:val="24"/>
                <w:szCs w:val="24"/>
              </w:rPr>
              <w:t>──参考位置距声源的距离，m；</w:t>
            </w:r>
          </w:p>
          <w:p w14:paraId="2966A760">
            <w:pPr>
              <w:keepNext w:val="0"/>
              <w:keepLines w:val="0"/>
              <w:pageBreakBefore w:val="0"/>
              <w:widowControl w:val="0"/>
              <w:kinsoku/>
              <w:wordWrap/>
              <w:overflowPunct/>
              <w:topLinePunct w:val="0"/>
              <w:autoSpaceDE/>
              <w:autoSpaceDN/>
              <w:bidi w:val="0"/>
              <w:spacing w:line="360" w:lineRule="auto"/>
              <w:ind w:firstLine="1200" w:firstLineChars="500"/>
              <w:textAlignment w:val="auto"/>
              <w:rPr>
                <w:rFonts w:eastAsia="宋体"/>
                <w:color w:val="auto"/>
                <w:sz w:val="24"/>
                <w:szCs w:val="24"/>
              </w:rPr>
            </w:pPr>
            <w:r>
              <w:rPr>
                <w:rFonts w:eastAsia="宋体"/>
                <w:color w:val="auto"/>
                <w:sz w:val="24"/>
                <w:szCs w:val="24"/>
                <w:lang w:val="zh-CN"/>
              </w:rPr>
              <w:t>Δloct－各种因素引起的衰减量(包括声屏障、遮挡物、空气吸收、地面效应等引起的衰减量，其计算方法详见“导则”正文)。</w:t>
            </w:r>
          </w:p>
          <w:p w14:paraId="00B2B6EC">
            <w:pPr>
              <w:keepNext w:val="0"/>
              <w:keepLines w:val="0"/>
              <w:pageBreakBefore w:val="0"/>
              <w:widowControl w:val="0"/>
              <w:kinsoku/>
              <w:wordWrap/>
              <w:overflowPunct/>
              <w:topLinePunct w:val="0"/>
              <w:autoSpaceDE/>
              <w:autoSpaceDN/>
              <w:bidi w:val="0"/>
              <w:adjustRightInd w:val="0"/>
              <w:snapToGrid w:val="0"/>
              <w:spacing w:line="360" w:lineRule="auto"/>
              <w:ind w:firstLine="676" w:firstLineChars="282"/>
              <w:textAlignment w:val="auto"/>
              <w:rPr>
                <w:rFonts w:eastAsia="宋体"/>
                <w:color w:val="auto"/>
                <w:sz w:val="24"/>
                <w:szCs w:val="24"/>
              </w:rPr>
            </w:pPr>
            <w:r>
              <w:rPr>
                <w:rFonts w:eastAsia="宋体"/>
                <w:color w:val="auto"/>
                <w:sz w:val="24"/>
                <w:szCs w:val="24"/>
              </w:rPr>
              <w:t>声压级合成模式：</w:t>
            </w:r>
          </w:p>
          <w:p w14:paraId="17A5139C">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eastAsia="宋体"/>
                <w:color w:val="auto"/>
                <w:sz w:val="24"/>
                <w:szCs w:val="24"/>
              </w:rPr>
            </w:pPr>
            <w:r>
              <w:rPr>
                <w:rFonts w:eastAsia="宋体"/>
                <w:color w:val="auto"/>
                <w:sz w:val="24"/>
                <w:szCs w:val="24"/>
              </w:rPr>
              <w:drawing>
                <wp:inline distT="0" distB="0" distL="114300" distR="114300">
                  <wp:extent cx="2304415" cy="656590"/>
                  <wp:effectExtent l="0" t="0" r="635" b="10160"/>
                  <wp:docPr id="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4"/>
                          <pic:cNvPicPr>
                            <a:picLocks noChangeAspect="1"/>
                          </pic:cNvPicPr>
                        </pic:nvPicPr>
                        <pic:blipFill>
                          <a:blip r:embed="rId30"/>
                          <a:stretch>
                            <a:fillRect/>
                          </a:stretch>
                        </pic:blipFill>
                        <pic:spPr>
                          <a:xfrm>
                            <a:off x="0" y="0"/>
                            <a:ext cx="2304415" cy="656590"/>
                          </a:xfrm>
                          <a:prstGeom prst="rect">
                            <a:avLst/>
                          </a:prstGeom>
                          <a:noFill/>
                          <a:ln>
                            <a:noFill/>
                          </a:ln>
                        </pic:spPr>
                      </pic:pic>
                    </a:graphicData>
                  </a:graphic>
                </wp:inline>
              </w:drawing>
            </w:r>
          </w:p>
          <w:p w14:paraId="7E7E611F">
            <w:pPr>
              <w:keepNext w:val="0"/>
              <w:keepLines w:val="0"/>
              <w:pageBreakBefore w:val="0"/>
              <w:widowControl w:val="0"/>
              <w:kinsoku/>
              <w:wordWrap/>
              <w:overflowPunct/>
              <w:topLinePunct w:val="0"/>
              <w:autoSpaceDE/>
              <w:autoSpaceDN/>
              <w:bidi w:val="0"/>
              <w:adjustRightInd w:val="0"/>
              <w:snapToGrid w:val="0"/>
              <w:spacing w:line="360" w:lineRule="auto"/>
              <w:ind w:firstLine="676" w:firstLineChars="282"/>
              <w:textAlignment w:val="auto"/>
              <w:rPr>
                <w:rFonts w:eastAsia="宋体"/>
                <w:color w:val="auto"/>
                <w:sz w:val="24"/>
                <w:szCs w:val="24"/>
              </w:rPr>
            </w:pPr>
            <w:r>
              <w:rPr>
                <w:rFonts w:eastAsia="宋体"/>
                <w:color w:val="auto"/>
                <w:sz w:val="24"/>
                <w:szCs w:val="24"/>
              </w:rPr>
              <w:t>式中：</w:t>
            </w:r>
            <w:r>
              <w:rPr>
                <w:rFonts w:eastAsia="宋体"/>
                <w:color w:val="auto"/>
                <w:sz w:val="24"/>
                <w:szCs w:val="24"/>
              </w:rPr>
              <w:drawing>
                <wp:inline distT="0" distB="0" distL="114300" distR="114300">
                  <wp:extent cx="504190" cy="418465"/>
                  <wp:effectExtent l="0" t="0" r="10160" b="635"/>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31"/>
                          <a:stretch>
                            <a:fillRect/>
                          </a:stretch>
                        </pic:blipFill>
                        <pic:spPr>
                          <a:xfrm>
                            <a:off x="0" y="0"/>
                            <a:ext cx="504190" cy="418465"/>
                          </a:xfrm>
                          <a:prstGeom prst="rect">
                            <a:avLst/>
                          </a:prstGeom>
                          <a:noFill/>
                          <a:ln>
                            <a:noFill/>
                          </a:ln>
                        </pic:spPr>
                      </pic:pic>
                    </a:graphicData>
                  </a:graphic>
                </wp:inline>
              </w:drawing>
            </w:r>
            <w:r>
              <w:rPr>
                <w:rFonts w:eastAsia="宋体"/>
                <w:color w:val="auto"/>
                <w:sz w:val="24"/>
                <w:szCs w:val="24"/>
              </w:rPr>
              <w:t>—预测点总声压级，dB（A）；</w:t>
            </w:r>
          </w:p>
          <w:p w14:paraId="6A089104">
            <w:pPr>
              <w:keepNext w:val="0"/>
              <w:keepLines w:val="0"/>
              <w:pageBreakBefore w:val="0"/>
              <w:widowControl w:val="0"/>
              <w:kinsoku/>
              <w:wordWrap/>
              <w:overflowPunct/>
              <w:topLinePunct w:val="0"/>
              <w:autoSpaceDE/>
              <w:autoSpaceDN/>
              <w:bidi w:val="0"/>
              <w:adjustRightInd w:val="0"/>
              <w:snapToGrid w:val="0"/>
              <w:spacing w:line="360" w:lineRule="auto"/>
              <w:ind w:firstLine="1440" w:firstLineChars="600"/>
              <w:textAlignment w:val="auto"/>
              <w:rPr>
                <w:rFonts w:eastAsia="宋体"/>
                <w:color w:val="auto"/>
                <w:sz w:val="24"/>
                <w:szCs w:val="24"/>
              </w:rPr>
            </w:pPr>
            <w:r>
              <w:rPr>
                <w:rFonts w:eastAsia="宋体"/>
                <w:color w:val="auto"/>
                <w:sz w:val="24"/>
                <w:szCs w:val="24"/>
              </w:rPr>
              <w:drawing>
                <wp:inline distT="0" distB="0" distL="114300" distR="114300">
                  <wp:extent cx="370840" cy="408940"/>
                  <wp:effectExtent l="0" t="0" r="10160" b="1016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pic:cNvPicPr>
                        </pic:nvPicPr>
                        <pic:blipFill>
                          <a:blip r:embed="rId32"/>
                          <a:stretch>
                            <a:fillRect/>
                          </a:stretch>
                        </pic:blipFill>
                        <pic:spPr>
                          <a:xfrm>
                            <a:off x="0" y="0"/>
                            <a:ext cx="370840" cy="408940"/>
                          </a:xfrm>
                          <a:prstGeom prst="rect">
                            <a:avLst/>
                          </a:prstGeom>
                          <a:noFill/>
                          <a:ln>
                            <a:noFill/>
                          </a:ln>
                        </pic:spPr>
                      </pic:pic>
                    </a:graphicData>
                  </a:graphic>
                </wp:inline>
              </w:drawing>
            </w:r>
            <w:r>
              <w:rPr>
                <w:rFonts w:eastAsia="宋体"/>
                <w:color w:val="auto"/>
                <w:sz w:val="24"/>
                <w:szCs w:val="24"/>
              </w:rPr>
              <w:t>—第i个点声源在预测点产生的A声压级，dB（A）；</w:t>
            </w:r>
          </w:p>
          <w:p w14:paraId="426CF619">
            <w:pPr>
              <w:keepNext w:val="0"/>
              <w:keepLines w:val="0"/>
              <w:pageBreakBefore w:val="0"/>
              <w:widowControl w:val="0"/>
              <w:kinsoku/>
              <w:wordWrap/>
              <w:overflowPunct/>
              <w:topLinePunct w:val="0"/>
              <w:autoSpaceDE/>
              <w:autoSpaceDN/>
              <w:bidi w:val="0"/>
              <w:adjustRightInd w:val="0"/>
              <w:snapToGrid w:val="0"/>
              <w:spacing w:line="360" w:lineRule="auto"/>
              <w:ind w:firstLine="1440" w:firstLineChars="600"/>
              <w:textAlignment w:val="auto"/>
              <w:rPr>
                <w:rFonts w:eastAsia="宋体"/>
                <w:color w:val="auto"/>
                <w:sz w:val="24"/>
                <w:szCs w:val="24"/>
              </w:rPr>
            </w:pPr>
            <w:r>
              <w:rPr>
                <w:rFonts w:eastAsia="宋体"/>
                <w:color w:val="auto"/>
                <w:sz w:val="24"/>
                <w:szCs w:val="24"/>
              </w:rPr>
              <w:t>N—声源个数。</w:t>
            </w:r>
          </w:p>
          <w:p w14:paraId="12327857">
            <w:pPr>
              <w:spacing w:line="360" w:lineRule="auto"/>
              <w:ind w:firstLine="480" w:firstLineChars="200"/>
              <w:rPr>
                <w:rFonts w:ascii="Times New Roman" w:hAnsi="Times New Roman" w:eastAsia="宋体" w:cs="Times New Roman"/>
                <w:color w:val="auto"/>
                <w:sz w:val="24"/>
                <w:szCs w:val="24"/>
              </w:rPr>
            </w:pPr>
            <w:bookmarkStart w:id="245" w:name="_Toc410033874"/>
            <w:bookmarkStart w:id="246" w:name="_Toc430201418"/>
            <w:bookmarkStart w:id="247" w:name="_Toc421915905"/>
            <w:bookmarkStart w:id="248" w:name="_Toc430953909"/>
            <w:bookmarkStart w:id="249" w:name="_Toc450603628"/>
            <w:bookmarkStart w:id="250" w:name="_Toc430953701"/>
            <w:r>
              <w:rPr>
                <w:rFonts w:hint="eastAsia" w:ascii="Times New Roman" w:hAnsi="Times New Roman" w:eastAsia="宋体" w:cs="Times New Roman"/>
                <w:color w:val="auto"/>
                <w:sz w:val="24"/>
                <w:szCs w:val="24"/>
                <w:lang w:val="en-US" w:eastAsia="zh-CN"/>
              </w:rPr>
              <w:t>②厂界噪声</w:t>
            </w:r>
            <w:r>
              <w:rPr>
                <w:rFonts w:ascii="Times New Roman" w:hAnsi="Times New Roman" w:eastAsia="宋体" w:cs="Times New Roman"/>
                <w:color w:val="auto"/>
                <w:sz w:val="24"/>
                <w:szCs w:val="24"/>
              </w:rPr>
              <w:t>预测结果及影响分析</w:t>
            </w:r>
            <w:bookmarkEnd w:id="245"/>
            <w:bookmarkEnd w:id="246"/>
            <w:bookmarkEnd w:id="247"/>
            <w:bookmarkEnd w:id="248"/>
            <w:bookmarkEnd w:id="249"/>
            <w:bookmarkEnd w:id="250"/>
          </w:p>
          <w:p w14:paraId="4A87C33B">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由于项目生产线仅白天生产，夜间仅有制冷机和烘干设备运行，本次环评针对昼、夜间分别进行厂界噪声预测，预测结果如下表：</w:t>
            </w:r>
          </w:p>
          <w:p w14:paraId="52042ED0">
            <w:pPr>
              <w:pageBreakBefore/>
              <w:adjustRightInd w:val="0"/>
              <w:snapToGrid w:val="0"/>
              <w:spacing w:line="360" w:lineRule="auto"/>
              <w:jc w:val="center"/>
              <w:rPr>
                <w:color w:val="auto"/>
                <w:lang w:val="zh-CN"/>
              </w:rPr>
            </w:pPr>
            <w:r>
              <w:rPr>
                <w:b/>
                <w:color w:val="auto"/>
                <w:sz w:val="24"/>
                <w:szCs w:val="24"/>
                <w:lang w:val="zh-CN"/>
              </w:rPr>
              <w:t>表</w:t>
            </w:r>
            <w:r>
              <w:rPr>
                <w:b/>
                <w:color w:val="auto"/>
                <w:sz w:val="24"/>
                <w:szCs w:val="24"/>
              </w:rPr>
              <w:t>4-</w:t>
            </w:r>
            <w:r>
              <w:rPr>
                <w:rFonts w:hint="eastAsia"/>
                <w:b/>
                <w:color w:val="auto"/>
                <w:sz w:val="24"/>
                <w:szCs w:val="24"/>
                <w:lang w:val="en-US" w:eastAsia="zh-CN"/>
              </w:rPr>
              <w:t xml:space="preserve">11  </w:t>
            </w:r>
            <w:r>
              <w:rPr>
                <w:b/>
                <w:color w:val="auto"/>
                <w:sz w:val="24"/>
                <w:szCs w:val="24"/>
                <w:lang w:val="zh-CN"/>
              </w:rPr>
              <w:t>项目噪声影响预测结果一览表</w:t>
            </w:r>
          </w:p>
          <w:tbl>
            <w:tblPr>
              <w:tblStyle w:val="34"/>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
              <w:gridCol w:w="656"/>
              <w:gridCol w:w="726"/>
              <w:gridCol w:w="560"/>
              <w:gridCol w:w="560"/>
              <w:gridCol w:w="560"/>
              <w:gridCol w:w="560"/>
              <w:gridCol w:w="561"/>
              <w:gridCol w:w="561"/>
              <w:gridCol w:w="561"/>
              <w:gridCol w:w="561"/>
              <w:gridCol w:w="561"/>
              <w:gridCol w:w="561"/>
              <w:gridCol w:w="561"/>
              <w:gridCol w:w="561"/>
              <w:gridCol w:w="561"/>
            </w:tblGrid>
            <w:tr w14:paraId="5368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99" w:type="dxa"/>
                  <w:vMerge w:val="restart"/>
                  <w:noWrap w:val="0"/>
                  <w:vAlign w:val="center"/>
                </w:tcPr>
                <w:p w14:paraId="7338BAB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序号</w:t>
                  </w:r>
                </w:p>
              </w:tc>
              <w:tc>
                <w:tcPr>
                  <w:tcW w:w="656" w:type="dxa"/>
                  <w:vMerge w:val="restart"/>
                  <w:noWrap w:val="0"/>
                  <w:vAlign w:val="center"/>
                </w:tcPr>
                <w:p w14:paraId="1DC26913">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声环境保护目标名称</w:t>
                  </w:r>
                </w:p>
              </w:tc>
              <w:tc>
                <w:tcPr>
                  <w:tcW w:w="726" w:type="dxa"/>
                  <w:noWrap w:val="0"/>
                  <w:vAlign w:val="center"/>
                </w:tcPr>
                <w:p w14:paraId="54B5D30B">
                  <w:pPr>
                    <w:adjustRightInd w:val="0"/>
                    <w:snapToGrid w:val="0"/>
                    <w:spacing w:line="360" w:lineRule="auto"/>
                    <w:jc w:val="center"/>
                    <w:rPr>
                      <w:rFonts w:hint="eastAsia"/>
                      <w:color w:val="auto"/>
                      <w:sz w:val="13"/>
                      <w:szCs w:val="13"/>
                      <w:lang w:val="en-US" w:eastAsia="zh-CN"/>
                    </w:rPr>
                  </w:pPr>
                  <w:r>
                    <w:rPr>
                      <w:rFonts w:hint="eastAsia"/>
                      <w:color w:val="auto"/>
                      <w:sz w:val="13"/>
                      <w:szCs w:val="13"/>
                      <w:lang w:val="en-US" w:eastAsia="zh-CN"/>
                    </w:rPr>
                    <w:t>噪声现状值/d</w:t>
                  </w:r>
                </w:p>
                <w:p w14:paraId="75AEB27E">
                  <w:pPr>
                    <w:pStyle w:val="16"/>
                    <w:jc w:val="center"/>
                    <w:rPr>
                      <w:rFonts w:hint="default"/>
                      <w:color w:val="auto"/>
                      <w:sz w:val="13"/>
                      <w:szCs w:val="13"/>
                      <w:lang w:val="en-US" w:eastAsia="zh-CN"/>
                    </w:rPr>
                  </w:pPr>
                  <w:r>
                    <w:rPr>
                      <w:rFonts w:hint="eastAsia" w:ascii="Times New Roman" w:hAnsi="Times New Roman" w:eastAsia="宋体" w:cs="Times New Roman"/>
                      <w:color w:val="auto"/>
                      <w:sz w:val="13"/>
                      <w:szCs w:val="13"/>
                      <w:vertAlign w:val="baseline"/>
                      <w:lang w:val="en-US" w:eastAsia="zh-CN"/>
                    </w:rPr>
                    <w:t>B(A)</w:t>
                  </w:r>
                </w:p>
              </w:tc>
              <w:tc>
                <w:tcPr>
                  <w:tcW w:w="560" w:type="dxa"/>
                  <w:noWrap w:val="0"/>
                  <w:vAlign w:val="center"/>
                </w:tcPr>
                <w:p w14:paraId="73267224">
                  <w:pPr>
                    <w:adjustRightInd w:val="0"/>
                    <w:snapToGrid w:val="0"/>
                    <w:spacing w:line="360" w:lineRule="auto"/>
                    <w:jc w:val="center"/>
                    <w:rPr>
                      <w:rFonts w:hint="eastAsia"/>
                      <w:color w:val="auto"/>
                      <w:sz w:val="13"/>
                      <w:szCs w:val="13"/>
                      <w:lang w:val="en-US" w:eastAsia="zh-CN"/>
                    </w:rPr>
                  </w:pPr>
                  <w:r>
                    <w:rPr>
                      <w:rFonts w:hint="eastAsia" w:ascii="Times New Roman" w:hAnsi="Times New Roman" w:eastAsia="宋体" w:cs="Times New Roman"/>
                      <w:color w:val="auto"/>
                      <w:sz w:val="13"/>
                      <w:szCs w:val="13"/>
                      <w:vertAlign w:val="baseline"/>
                      <w:lang w:val="en-US" w:eastAsia="zh-CN"/>
                    </w:rPr>
                    <w:t>噪声现状值</w:t>
                  </w:r>
                  <w:r>
                    <w:rPr>
                      <w:rFonts w:hint="eastAsia"/>
                      <w:color w:val="auto"/>
                      <w:sz w:val="13"/>
                      <w:szCs w:val="13"/>
                      <w:lang w:val="en-US" w:eastAsia="zh-CN"/>
                    </w:rPr>
                    <w:t>/d</w:t>
                  </w:r>
                </w:p>
                <w:p w14:paraId="02842DB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B(A)</w:t>
                  </w:r>
                </w:p>
              </w:tc>
              <w:tc>
                <w:tcPr>
                  <w:tcW w:w="560" w:type="dxa"/>
                  <w:noWrap w:val="0"/>
                  <w:vAlign w:val="center"/>
                </w:tcPr>
                <w:p w14:paraId="36A6CC78">
                  <w:pPr>
                    <w:adjustRightInd w:val="0"/>
                    <w:snapToGrid w:val="0"/>
                    <w:spacing w:line="360" w:lineRule="auto"/>
                    <w:jc w:val="center"/>
                    <w:rPr>
                      <w:rFonts w:hint="eastAsia"/>
                      <w:color w:val="auto"/>
                      <w:sz w:val="13"/>
                      <w:szCs w:val="13"/>
                      <w:lang w:val="en-US" w:eastAsia="zh-CN"/>
                    </w:rPr>
                  </w:pPr>
                  <w:r>
                    <w:rPr>
                      <w:rFonts w:hint="eastAsia" w:ascii="Times New Roman" w:hAnsi="Times New Roman" w:eastAsia="宋体" w:cs="Times New Roman"/>
                      <w:color w:val="auto"/>
                      <w:sz w:val="13"/>
                      <w:szCs w:val="13"/>
                      <w:vertAlign w:val="baseline"/>
                      <w:lang w:val="en-US" w:eastAsia="zh-CN"/>
                    </w:rPr>
                    <w:t>噪声标准</w:t>
                  </w:r>
                  <w:r>
                    <w:rPr>
                      <w:rFonts w:hint="eastAsia"/>
                      <w:color w:val="auto"/>
                      <w:sz w:val="13"/>
                      <w:szCs w:val="13"/>
                      <w:lang w:val="en-US" w:eastAsia="zh-CN"/>
                    </w:rPr>
                    <w:t>/d</w:t>
                  </w:r>
                </w:p>
                <w:p w14:paraId="20529498">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B(A)</w:t>
                  </w:r>
                </w:p>
              </w:tc>
              <w:tc>
                <w:tcPr>
                  <w:tcW w:w="560" w:type="dxa"/>
                  <w:noWrap w:val="0"/>
                  <w:vAlign w:val="center"/>
                </w:tcPr>
                <w:p w14:paraId="1152C216">
                  <w:pPr>
                    <w:adjustRightInd w:val="0"/>
                    <w:snapToGrid w:val="0"/>
                    <w:spacing w:line="360" w:lineRule="auto"/>
                    <w:jc w:val="center"/>
                    <w:rPr>
                      <w:rFonts w:hint="eastAsia"/>
                      <w:color w:val="auto"/>
                      <w:sz w:val="13"/>
                      <w:szCs w:val="13"/>
                      <w:lang w:val="en-US" w:eastAsia="zh-CN"/>
                    </w:rPr>
                  </w:pPr>
                  <w:r>
                    <w:rPr>
                      <w:rFonts w:hint="eastAsia" w:ascii="Times New Roman" w:hAnsi="Times New Roman" w:eastAsia="宋体" w:cs="Times New Roman"/>
                      <w:color w:val="auto"/>
                      <w:sz w:val="13"/>
                      <w:szCs w:val="13"/>
                      <w:vertAlign w:val="baseline"/>
                      <w:lang w:val="en-US" w:eastAsia="zh-CN"/>
                    </w:rPr>
                    <w:t>噪声标准</w:t>
                  </w:r>
                  <w:r>
                    <w:rPr>
                      <w:rFonts w:hint="eastAsia"/>
                      <w:color w:val="auto"/>
                      <w:sz w:val="13"/>
                      <w:szCs w:val="13"/>
                      <w:lang w:val="en-US" w:eastAsia="zh-CN"/>
                    </w:rPr>
                    <w:t>/d</w:t>
                  </w:r>
                </w:p>
                <w:p w14:paraId="60EBF948">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B(A)</w:t>
                  </w:r>
                </w:p>
              </w:tc>
              <w:tc>
                <w:tcPr>
                  <w:tcW w:w="560" w:type="dxa"/>
                  <w:noWrap w:val="0"/>
                  <w:vAlign w:val="center"/>
                </w:tcPr>
                <w:p w14:paraId="528C63AF">
                  <w:pPr>
                    <w:adjustRightInd w:val="0"/>
                    <w:snapToGrid w:val="0"/>
                    <w:spacing w:line="360" w:lineRule="auto"/>
                    <w:jc w:val="center"/>
                    <w:rPr>
                      <w:rFonts w:hint="eastAsia"/>
                      <w:color w:val="auto"/>
                      <w:sz w:val="13"/>
                      <w:szCs w:val="13"/>
                      <w:lang w:val="en-US" w:eastAsia="zh-CN"/>
                    </w:rPr>
                  </w:pPr>
                  <w:r>
                    <w:rPr>
                      <w:rFonts w:hint="eastAsia" w:ascii="Times New Roman" w:hAnsi="Times New Roman" w:eastAsia="宋体" w:cs="Times New Roman"/>
                      <w:color w:val="auto"/>
                      <w:sz w:val="13"/>
                      <w:szCs w:val="13"/>
                      <w:vertAlign w:val="baseline"/>
                      <w:lang w:val="en-US" w:eastAsia="zh-CN"/>
                    </w:rPr>
                    <w:t>噪声贡献值</w:t>
                  </w:r>
                  <w:r>
                    <w:rPr>
                      <w:rFonts w:hint="eastAsia"/>
                      <w:color w:val="auto"/>
                      <w:sz w:val="13"/>
                      <w:szCs w:val="13"/>
                      <w:lang w:val="en-US" w:eastAsia="zh-CN"/>
                    </w:rPr>
                    <w:t>/d</w:t>
                  </w:r>
                </w:p>
                <w:p w14:paraId="310A2BF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13B12C90">
                  <w:pPr>
                    <w:adjustRightInd w:val="0"/>
                    <w:snapToGrid w:val="0"/>
                    <w:spacing w:line="360" w:lineRule="auto"/>
                    <w:jc w:val="center"/>
                    <w:rPr>
                      <w:rFonts w:hint="eastAsia"/>
                      <w:color w:val="auto"/>
                      <w:sz w:val="13"/>
                      <w:szCs w:val="13"/>
                      <w:lang w:val="en-US" w:eastAsia="zh-CN"/>
                    </w:rPr>
                  </w:pPr>
                  <w:r>
                    <w:rPr>
                      <w:rFonts w:hint="eastAsia" w:ascii="Times New Roman" w:hAnsi="Times New Roman" w:eastAsia="宋体" w:cs="Times New Roman"/>
                      <w:color w:val="auto"/>
                      <w:sz w:val="13"/>
                      <w:szCs w:val="13"/>
                      <w:vertAlign w:val="baseline"/>
                      <w:lang w:val="en-US" w:eastAsia="zh-CN"/>
                    </w:rPr>
                    <w:t>噪声贡献值</w:t>
                  </w:r>
                  <w:r>
                    <w:rPr>
                      <w:rFonts w:hint="eastAsia"/>
                      <w:color w:val="auto"/>
                      <w:sz w:val="13"/>
                      <w:szCs w:val="13"/>
                      <w:lang w:val="en-US" w:eastAsia="zh-CN"/>
                    </w:rPr>
                    <w:t>/d</w:t>
                  </w:r>
                </w:p>
                <w:p w14:paraId="0B3628E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6EDFACF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噪声预测值</w:t>
                  </w:r>
                  <w:r>
                    <w:rPr>
                      <w:rFonts w:hint="eastAsia"/>
                      <w:color w:val="auto"/>
                      <w:sz w:val="13"/>
                      <w:szCs w:val="13"/>
                      <w:lang w:val="en-US" w:eastAsia="zh-CN"/>
                    </w:rPr>
                    <w:t>/d</w:t>
                  </w: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0B8A27CD">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噪声预测值</w:t>
                  </w:r>
                  <w:r>
                    <w:rPr>
                      <w:rFonts w:hint="eastAsia"/>
                      <w:color w:val="auto"/>
                      <w:sz w:val="13"/>
                      <w:szCs w:val="13"/>
                      <w:lang w:val="en-US" w:eastAsia="zh-CN"/>
                    </w:rPr>
                    <w:t>/d</w:t>
                  </w: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7A0A211F">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较现状增量</w:t>
                  </w:r>
                  <w:r>
                    <w:rPr>
                      <w:rFonts w:hint="eastAsia"/>
                      <w:color w:val="auto"/>
                      <w:sz w:val="13"/>
                      <w:szCs w:val="13"/>
                      <w:lang w:val="en-US" w:eastAsia="zh-CN"/>
                    </w:rPr>
                    <w:t>/d</w:t>
                  </w: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1CAE948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较现状增量</w:t>
                  </w:r>
                  <w:r>
                    <w:rPr>
                      <w:rFonts w:hint="eastAsia"/>
                      <w:color w:val="auto"/>
                      <w:sz w:val="13"/>
                      <w:szCs w:val="13"/>
                      <w:lang w:val="en-US" w:eastAsia="zh-CN"/>
                    </w:rPr>
                    <w:t>/d</w:t>
                  </w: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43C06F1D">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超标和达标情况</w:t>
                  </w:r>
                </w:p>
              </w:tc>
              <w:tc>
                <w:tcPr>
                  <w:tcW w:w="561" w:type="dxa"/>
                  <w:noWrap w:val="0"/>
                  <w:vAlign w:val="center"/>
                </w:tcPr>
                <w:p w14:paraId="0B116C2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超标和达标情况</w:t>
                  </w:r>
                </w:p>
              </w:tc>
              <w:tc>
                <w:tcPr>
                  <w:tcW w:w="561" w:type="dxa"/>
                  <w:noWrap w:val="0"/>
                  <w:vAlign w:val="center"/>
                </w:tcPr>
                <w:p w14:paraId="2F5E6C9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超标量</w:t>
                  </w:r>
                  <w:r>
                    <w:rPr>
                      <w:rFonts w:hint="eastAsia"/>
                      <w:color w:val="auto"/>
                      <w:sz w:val="13"/>
                      <w:szCs w:val="13"/>
                      <w:lang w:val="en-US" w:eastAsia="zh-CN"/>
                    </w:rPr>
                    <w:t>/d</w:t>
                  </w:r>
                  <w:r>
                    <w:rPr>
                      <w:rFonts w:hint="eastAsia" w:ascii="Times New Roman" w:hAnsi="Times New Roman" w:eastAsia="宋体" w:cs="Times New Roman"/>
                      <w:color w:val="auto"/>
                      <w:sz w:val="13"/>
                      <w:szCs w:val="13"/>
                      <w:vertAlign w:val="baseline"/>
                      <w:lang w:val="en-US" w:eastAsia="zh-CN"/>
                    </w:rPr>
                    <w:t>B(A)</w:t>
                  </w:r>
                </w:p>
              </w:tc>
              <w:tc>
                <w:tcPr>
                  <w:tcW w:w="561" w:type="dxa"/>
                  <w:noWrap w:val="0"/>
                  <w:vAlign w:val="center"/>
                </w:tcPr>
                <w:p w14:paraId="2FCCAE7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超标量</w:t>
                  </w:r>
                  <w:r>
                    <w:rPr>
                      <w:rFonts w:hint="eastAsia"/>
                      <w:color w:val="auto"/>
                      <w:sz w:val="13"/>
                      <w:szCs w:val="13"/>
                      <w:lang w:val="en-US" w:eastAsia="zh-CN"/>
                    </w:rPr>
                    <w:t>/d</w:t>
                  </w:r>
                  <w:r>
                    <w:rPr>
                      <w:rFonts w:hint="eastAsia" w:ascii="Times New Roman" w:hAnsi="Times New Roman" w:eastAsia="宋体" w:cs="Times New Roman"/>
                      <w:color w:val="auto"/>
                      <w:sz w:val="13"/>
                      <w:szCs w:val="13"/>
                      <w:vertAlign w:val="baseline"/>
                      <w:lang w:val="en-US" w:eastAsia="zh-CN"/>
                    </w:rPr>
                    <w:t>B(A)</w:t>
                  </w:r>
                </w:p>
              </w:tc>
            </w:tr>
            <w:tr w14:paraId="2B87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99" w:type="dxa"/>
                  <w:vMerge w:val="continue"/>
                  <w:noWrap w:val="0"/>
                  <w:vAlign w:val="center"/>
                </w:tcPr>
                <w:p w14:paraId="3A9165B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p>
              </w:tc>
              <w:tc>
                <w:tcPr>
                  <w:tcW w:w="656" w:type="dxa"/>
                  <w:vMerge w:val="continue"/>
                  <w:noWrap w:val="0"/>
                  <w:vAlign w:val="center"/>
                </w:tcPr>
                <w:p w14:paraId="0A0A425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p>
              </w:tc>
              <w:tc>
                <w:tcPr>
                  <w:tcW w:w="726" w:type="dxa"/>
                  <w:noWrap w:val="0"/>
                  <w:vAlign w:val="center"/>
                </w:tcPr>
                <w:p w14:paraId="4A7F408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0" w:type="dxa"/>
                  <w:noWrap w:val="0"/>
                  <w:vAlign w:val="center"/>
                </w:tcPr>
                <w:p w14:paraId="0C195A8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c>
                <w:tcPr>
                  <w:tcW w:w="560" w:type="dxa"/>
                  <w:noWrap w:val="0"/>
                  <w:vAlign w:val="center"/>
                </w:tcPr>
                <w:p w14:paraId="52606E9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0" w:type="dxa"/>
                  <w:noWrap w:val="0"/>
                  <w:vAlign w:val="center"/>
                </w:tcPr>
                <w:p w14:paraId="30772DB8">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c>
                <w:tcPr>
                  <w:tcW w:w="560" w:type="dxa"/>
                  <w:noWrap w:val="0"/>
                  <w:vAlign w:val="center"/>
                </w:tcPr>
                <w:p w14:paraId="08128CD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1" w:type="dxa"/>
                  <w:noWrap w:val="0"/>
                  <w:vAlign w:val="center"/>
                </w:tcPr>
                <w:p w14:paraId="48E911D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c>
                <w:tcPr>
                  <w:tcW w:w="561" w:type="dxa"/>
                  <w:noWrap w:val="0"/>
                  <w:vAlign w:val="center"/>
                </w:tcPr>
                <w:p w14:paraId="7498816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1" w:type="dxa"/>
                  <w:noWrap w:val="0"/>
                  <w:vAlign w:val="center"/>
                </w:tcPr>
                <w:p w14:paraId="54A95E2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c>
                <w:tcPr>
                  <w:tcW w:w="561" w:type="dxa"/>
                  <w:noWrap w:val="0"/>
                  <w:vAlign w:val="center"/>
                </w:tcPr>
                <w:p w14:paraId="1FBBA7D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1" w:type="dxa"/>
                  <w:noWrap w:val="0"/>
                  <w:vAlign w:val="center"/>
                </w:tcPr>
                <w:p w14:paraId="51703D2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c>
                <w:tcPr>
                  <w:tcW w:w="561" w:type="dxa"/>
                  <w:noWrap w:val="0"/>
                  <w:vAlign w:val="center"/>
                </w:tcPr>
                <w:p w14:paraId="67733F2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1" w:type="dxa"/>
                  <w:noWrap w:val="0"/>
                  <w:vAlign w:val="center"/>
                </w:tcPr>
                <w:p w14:paraId="1122B0F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c>
                <w:tcPr>
                  <w:tcW w:w="561" w:type="dxa"/>
                  <w:noWrap w:val="0"/>
                  <w:vAlign w:val="center"/>
                </w:tcPr>
                <w:p w14:paraId="6008899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昼间</w:t>
                  </w:r>
                </w:p>
              </w:tc>
              <w:tc>
                <w:tcPr>
                  <w:tcW w:w="561" w:type="dxa"/>
                  <w:noWrap w:val="0"/>
                  <w:vAlign w:val="center"/>
                </w:tcPr>
                <w:p w14:paraId="653482D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夜间</w:t>
                  </w:r>
                </w:p>
              </w:tc>
            </w:tr>
            <w:tr w14:paraId="493E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9" w:type="dxa"/>
                  <w:noWrap w:val="0"/>
                  <w:vAlign w:val="center"/>
                </w:tcPr>
                <w:p w14:paraId="646BFD68">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1</w:t>
                  </w:r>
                </w:p>
              </w:tc>
              <w:tc>
                <w:tcPr>
                  <w:tcW w:w="656" w:type="dxa"/>
                  <w:noWrap w:val="0"/>
                  <w:vAlign w:val="center"/>
                </w:tcPr>
                <w:p w14:paraId="706F847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厂界东</w:t>
                  </w:r>
                </w:p>
              </w:tc>
              <w:tc>
                <w:tcPr>
                  <w:tcW w:w="726" w:type="dxa"/>
                  <w:noWrap w:val="0"/>
                  <w:vAlign w:val="center"/>
                </w:tcPr>
                <w:p w14:paraId="3693EA0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53.0</w:t>
                  </w:r>
                </w:p>
              </w:tc>
              <w:tc>
                <w:tcPr>
                  <w:tcW w:w="560" w:type="dxa"/>
                  <w:noWrap w:val="0"/>
                  <w:vAlign w:val="center"/>
                </w:tcPr>
                <w:p w14:paraId="225B5F6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w:t>
                  </w:r>
                </w:p>
              </w:tc>
              <w:tc>
                <w:tcPr>
                  <w:tcW w:w="560" w:type="dxa"/>
                  <w:noWrap w:val="0"/>
                  <w:vAlign w:val="center"/>
                </w:tcPr>
                <w:p w14:paraId="3A2088A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60</w:t>
                  </w:r>
                </w:p>
              </w:tc>
              <w:tc>
                <w:tcPr>
                  <w:tcW w:w="560" w:type="dxa"/>
                  <w:noWrap w:val="0"/>
                  <w:vAlign w:val="center"/>
                </w:tcPr>
                <w:p w14:paraId="0121BE6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w:t>
                  </w:r>
                </w:p>
              </w:tc>
              <w:tc>
                <w:tcPr>
                  <w:tcW w:w="560" w:type="dxa"/>
                  <w:noWrap w:val="0"/>
                  <w:vAlign w:val="center"/>
                </w:tcPr>
                <w:p w14:paraId="5589DF8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44.65</w:t>
                  </w:r>
                </w:p>
              </w:tc>
              <w:tc>
                <w:tcPr>
                  <w:tcW w:w="561" w:type="dxa"/>
                  <w:noWrap w:val="0"/>
                  <w:vAlign w:val="center"/>
                </w:tcPr>
                <w:p w14:paraId="3C4D971C">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28.58</w:t>
                  </w:r>
                </w:p>
              </w:tc>
              <w:tc>
                <w:tcPr>
                  <w:tcW w:w="561" w:type="dxa"/>
                  <w:noWrap w:val="0"/>
                  <w:vAlign w:val="center"/>
                </w:tcPr>
                <w:p w14:paraId="0600131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53.59</w:t>
                  </w:r>
                </w:p>
              </w:tc>
              <w:tc>
                <w:tcPr>
                  <w:tcW w:w="561" w:type="dxa"/>
                  <w:noWrap w:val="0"/>
                  <w:vAlign w:val="center"/>
                </w:tcPr>
                <w:p w14:paraId="7B12B12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48.05</w:t>
                  </w:r>
                </w:p>
              </w:tc>
              <w:tc>
                <w:tcPr>
                  <w:tcW w:w="561" w:type="dxa"/>
                  <w:noWrap w:val="0"/>
                  <w:vAlign w:val="center"/>
                </w:tcPr>
                <w:p w14:paraId="5E13982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0.59</w:t>
                  </w:r>
                </w:p>
              </w:tc>
              <w:tc>
                <w:tcPr>
                  <w:tcW w:w="561" w:type="dxa"/>
                  <w:noWrap w:val="0"/>
                  <w:vAlign w:val="center"/>
                </w:tcPr>
                <w:p w14:paraId="306FC64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0.05</w:t>
                  </w:r>
                </w:p>
              </w:tc>
              <w:tc>
                <w:tcPr>
                  <w:tcW w:w="561" w:type="dxa"/>
                  <w:noWrap w:val="0"/>
                  <w:vAlign w:val="center"/>
                </w:tcPr>
                <w:p w14:paraId="40F6382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0BAD07B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0A008457">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-6.41</w:t>
                  </w:r>
                </w:p>
              </w:tc>
              <w:tc>
                <w:tcPr>
                  <w:tcW w:w="561" w:type="dxa"/>
                  <w:noWrap w:val="0"/>
                  <w:vAlign w:val="center"/>
                </w:tcPr>
                <w:p w14:paraId="0796A1F3">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-1.95</w:t>
                  </w:r>
                </w:p>
              </w:tc>
            </w:tr>
            <w:tr w14:paraId="4728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9" w:type="dxa"/>
                  <w:noWrap w:val="0"/>
                  <w:vAlign w:val="center"/>
                </w:tcPr>
                <w:p w14:paraId="2E409BA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2</w:t>
                  </w:r>
                </w:p>
              </w:tc>
              <w:tc>
                <w:tcPr>
                  <w:tcW w:w="656" w:type="dxa"/>
                  <w:noWrap w:val="0"/>
                  <w:vAlign w:val="center"/>
                </w:tcPr>
                <w:p w14:paraId="533A94F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厂界南</w:t>
                  </w:r>
                </w:p>
              </w:tc>
              <w:tc>
                <w:tcPr>
                  <w:tcW w:w="726" w:type="dxa"/>
                  <w:noWrap w:val="0"/>
                  <w:vAlign w:val="center"/>
                </w:tcPr>
                <w:p w14:paraId="0C9C264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53.0</w:t>
                  </w:r>
                </w:p>
              </w:tc>
              <w:tc>
                <w:tcPr>
                  <w:tcW w:w="560" w:type="dxa"/>
                  <w:noWrap w:val="0"/>
                  <w:vAlign w:val="center"/>
                </w:tcPr>
                <w:p w14:paraId="0CC4ED4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w:t>
                  </w:r>
                </w:p>
              </w:tc>
              <w:tc>
                <w:tcPr>
                  <w:tcW w:w="560" w:type="dxa"/>
                  <w:noWrap w:val="0"/>
                  <w:vAlign w:val="center"/>
                </w:tcPr>
                <w:p w14:paraId="77B8FDD3">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60</w:t>
                  </w:r>
                </w:p>
              </w:tc>
              <w:tc>
                <w:tcPr>
                  <w:tcW w:w="560" w:type="dxa"/>
                  <w:noWrap w:val="0"/>
                  <w:vAlign w:val="center"/>
                </w:tcPr>
                <w:p w14:paraId="6A44604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w:t>
                  </w:r>
                </w:p>
              </w:tc>
              <w:tc>
                <w:tcPr>
                  <w:tcW w:w="560" w:type="dxa"/>
                  <w:noWrap w:val="0"/>
                  <w:vAlign w:val="center"/>
                </w:tcPr>
                <w:p w14:paraId="5DBDD3E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44.68</w:t>
                  </w:r>
                </w:p>
              </w:tc>
              <w:tc>
                <w:tcPr>
                  <w:tcW w:w="561" w:type="dxa"/>
                  <w:noWrap w:val="0"/>
                  <w:vAlign w:val="center"/>
                </w:tcPr>
                <w:p w14:paraId="650547E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31.71</w:t>
                  </w:r>
                </w:p>
              </w:tc>
              <w:tc>
                <w:tcPr>
                  <w:tcW w:w="561" w:type="dxa"/>
                  <w:noWrap w:val="0"/>
                  <w:vAlign w:val="center"/>
                </w:tcPr>
                <w:p w14:paraId="06CF406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53.60</w:t>
                  </w:r>
                </w:p>
              </w:tc>
              <w:tc>
                <w:tcPr>
                  <w:tcW w:w="561" w:type="dxa"/>
                  <w:noWrap w:val="0"/>
                  <w:vAlign w:val="center"/>
                </w:tcPr>
                <w:p w14:paraId="28DAFBF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48.10</w:t>
                  </w:r>
                </w:p>
              </w:tc>
              <w:tc>
                <w:tcPr>
                  <w:tcW w:w="561" w:type="dxa"/>
                  <w:noWrap w:val="0"/>
                  <w:vAlign w:val="center"/>
                </w:tcPr>
                <w:p w14:paraId="1179541C">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0.60</w:t>
                  </w:r>
                </w:p>
              </w:tc>
              <w:tc>
                <w:tcPr>
                  <w:tcW w:w="561" w:type="dxa"/>
                  <w:noWrap w:val="0"/>
                  <w:vAlign w:val="center"/>
                </w:tcPr>
                <w:p w14:paraId="00F75F9F">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0.10</w:t>
                  </w:r>
                </w:p>
              </w:tc>
              <w:tc>
                <w:tcPr>
                  <w:tcW w:w="561" w:type="dxa"/>
                  <w:noWrap w:val="0"/>
                  <w:vAlign w:val="center"/>
                </w:tcPr>
                <w:p w14:paraId="4E30DE57">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7C88766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4EAAA19D">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-6.40</w:t>
                  </w:r>
                </w:p>
              </w:tc>
              <w:tc>
                <w:tcPr>
                  <w:tcW w:w="561" w:type="dxa"/>
                  <w:noWrap w:val="0"/>
                  <w:vAlign w:val="center"/>
                </w:tcPr>
                <w:p w14:paraId="1A36EB6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-1.90</w:t>
                  </w:r>
                </w:p>
              </w:tc>
            </w:tr>
            <w:tr w14:paraId="68C3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9" w:type="dxa"/>
                  <w:noWrap w:val="0"/>
                  <w:vAlign w:val="center"/>
                </w:tcPr>
                <w:p w14:paraId="638EE96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w:t>
                  </w:r>
                </w:p>
              </w:tc>
              <w:tc>
                <w:tcPr>
                  <w:tcW w:w="656" w:type="dxa"/>
                  <w:noWrap w:val="0"/>
                  <w:vAlign w:val="center"/>
                </w:tcPr>
                <w:p w14:paraId="2B17EBC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厂界西</w:t>
                  </w:r>
                </w:p>
              </w:tc>
              <w:tc>
                <w:tcPr>
                  <w:tcW w:w="726" w:type="dxa"/>
                  <w:noWrap w:val="0"/>
                  <w:vAlign w:val="center"/>
                </w:tcPr>
                <w:p w14:paraId="2121E78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53.0</w:t>
                  </w:r>
                </w:p>
              </w:tc>
              <w:tc>
                <w:tcPr>
                  <w:tcW w:w="560" w:type="dxa"/>
                  <w:noWrap w:val="0"/>
                  <w:vAlign w:val="center"/>
                </w:tcPr>
                <w:p w14:paraId="3312194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w:t>
                  </w:r>
                </w:p>
              </w:tc>
              <w:tc>
                <w:tcPr>
                  <w:tcW w:w="560" w:type="dxa"/>
                  <w:noWrap w:val="0"/>
                  <w:vAlign w:val="center"/>
                </w:tcPr>
                <w:p w14:paraId="5C3F675D">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60</w:t>
                  </w:r>
                </w:p>
              </w:tc>
              <w:tc>
                <w:tcPr>
                  <w:tcW w:w="560" w:type="dxa"/>
                  <w:noWrap w:val="0"/>
                  <w:vAlign w:val="center"/>
                </w:tcPr>
                <w:p w14:paraId="04B3321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w:t>
                  </w:r>
                </w:p>
              </w:tc>
              <w:tc>
                <w:tcPr>
                  <w:tcW w:w="560" w:type="dxa"/>
                  <w:noWrap w:val="0"/>
                  <w:vAlign w:val="center"/>
                </w:tcPr>
                <w:p w14:paraId="59F8E9C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41.49</w:t>
                  </w:r>
                </w:p>
              </w:tc>
              <w:tc>
                <w:tcPr>
                  <w:tcW w:w="561" w:type="dxa"/>
                  <w:noWrap w:val="0"/>
                  <w:vAlign w:val="center"/>
                </w:tcPr>
                <w:p w14:paraId="4E6EF057">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29.65</w:t>
                  </w:r>
                </w:p>
              </w:tc>
              <w:tc>
                <w:tcPr>
                  <w:tcW w:w="561" w:type="dxa"/>
                  <w:noWrap w:val="0"/>
                  <w:vAlign w:val="center"/>
                </w:tcPr>
                <w:p w14:paraId="37C3551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53.30</w:t>
                  </w:r>
                </w:p>
              </w:tc>
              <w:tc>
                <w:tcPr>
                  <w:tcW w:w="561" w:type="dxa"/>
                  <w:noWrap w:val="0"/>
                  <w:vAlign w:val="center"/>
                </w:tcPr>
                <w:p w14:paraId="0BC7F59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48.06</w:t>
                  </w:r>
                </w:p>
              </w:tc>
              <w:tc>
                <w:tcPr>
                  <w:tcW w:w="561" w:type="dxa"/>
                  <w:noWrap w:val="0"/>
                  <w:vAlign w:val="center"/>
                </w:tcPr>
                <w:p w14:paraId="2696028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0.30</w:t>
                  </w:r>
                </w:p>
              </w:tc>
              <w:tc>
                <w:tcPr>
                  <w:tcW w:w="561" w:type="dxa"/>
                  <w:noWrap w:val="0"/>
                  <w:vAlign w:val="center"/>
                </w:tcPr>
                <w:p w14:paraId="702F9D2D">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0.06</w:t>
                  </w:r>
                </w:p>
              </w:tc>
              <w:tc>
                <w:tcPr>
                  <w:tcW w:w="561" w:type="dxa"/>
                  <w:noWrap w:val="0"/>
                  <w:vAlign w:val="center"/>
                </w:tcPr>
                <w:p w14:paraId="786C53F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0EE12503">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72B7C05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-6.70</w:t>
                  </w:r>
                </w:p>
              </w:tc>
              <w:tc>
                <w:tcPr>
                  <w:tcW w:w="561" w:type="dxa"/>
                  <w:noWrap w:val="0"/>
                  <w:vAlign w:val="center"/>
                </w:tcPr>
                <w:p w14:paraId="35329DA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-1.94</w:t>
                  </w:r>
                </w:p>
              </w:tc>
            </w:tr>
            <w:tr w14:paraId="4E09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9" w:type="dxa"/>
                  <w:noWrap w:val="0"/>
                  <w:vAlign w:val="center"/>
                </w:tcPr>
                <w:p w14:paraId="62C4CB6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w:t>
                  </w:r>
                </w:p>
              </w:tc>
              <w:tc>
                <w:tcPr>
                  <w:tcW w:w="656" w:type="dxa"/>
                  <w:noWrap w:val="0"/>
                  <w:vAlign w:val="center"/>
                </w:tcPr>
                <w:p w14:paraId="1FC7803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厂界北</w:t>
                  </w:r>
                </w:p>
              </w:tc>
              <w:tc>
                <w:tcPr>
                  <w:tcW w:w="726" w:type="dxa"/>
                  <w:noWrap w:val="0"/>
                  <w:vAlign w:val="center"/>
                </w:tcPr>
                <w:p w14:paraId="49C1CF6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53.0</w:t>
                  </w:r>
                </w:p>
              </w:tc>
              <w:tc>
                <w:tcPr>
                  <w:tcW w:w="560" w:type="dxa"/>
                  <w:noWrap w:val="0"/>
                  <w:vAlign w:val="center"/>
                </w:tcPr>
                <w:p w14:paraId="0CC01BC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w:t>
                  </w:r>
                </w:p>
              </w:tc>
              <w:tc>
                <w:tcPr>
                  <w:tcW w:w="560" w:type="dxa"/>
                  <w:noWrap w:val="0"/>
                  <w:vAlign w:val="center"/>
                </w:tcPr>
                <w:p w14:paraId="76B99BD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60</w:t>
                  </w:r>
                </w:p>
              </w:tc>
              <w:tc>
                <w:tcPr>
                  <w:tcW w:w="560" w:type="dxa"/>
                  <w:noWrap w:val="0"/>
                  <w:vAlign w:val="center"/>
                </w:tcPr>
                <w:p w14:paraId="1DB7238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w:t>
                  </w:r>
                </w:p>
              </w:tc>
              <w:tc>
                <w:tcPr>
                  <w:tcW w:w="560" w:type="dxa"/>
                  <w:noWrap w:val="0"/>
                  <w:vAlign w:val="center"/>
                </w:tcPr>
                <w:p w14:paraId="48A3684A">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53.35</w:t>
                  </w:r>
                </w:p>
              </w:tc>
              <w:tc>
                <w:tcPr>
                  <w:tcW w:w="561" w:type="dxa"/>
                  <w:noWrap w:val="0"/>
                  <w:vAlign w:val="center"/>
                </w:tcPr>
                <w:p w14:paraId="7595FC1F">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33.12</w:t>
                  </w:r>
                </w:p>
              </w:tc>
              <w:tc>
                <w:tcPr>
                  <w:tcW w:w="561" w:type="dxa"/>
                  <w:noWrap w:val="0"/>
                  <w:vAlign w:val="center"/>
                </w:tcPr>
                <w:p w14:paraId="6E88B4CD">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56.19</w:t>
                  </w:r>
                </w:p>
              </w:tc>
              <w:tc>
                <w:tcPr>
                  <w:tcW w:w="561" w:type="dxa"/>
                  <w:noWrap w:val="0"/>
                  <w:vAlign w:val="center"/>
                </w:tcPr>
                <w:p w14:paraId="2544C5C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48.14</w:t>
                  </w:r>
                </w:p>
              </w:tc>
              <w:tc>
                <w:tcPr>
                  <w:tcW w:w="561" w:type="dxa"/>
                  <w:noWrap w:val="0"/>
                  <w:vAlign w:val="center"/>
                </w:tcPr>
                <w:p w14:paraId="5205AFDF">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3.19</w:t>
                  </w:r>
                </w:p>
              </w:tc>
              <w:tc>
                <w:tcPr>
                  <w:tcW w:w="561" w:type="dxa"/>
                  <w:noWrap w:val="0"/>
                  <w:vAlign w:val="center"/>
                </w:tcPr>
                <w:p w14:paraId="3EF67DC7">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0.14</w:t>
                  </w:r>
                </w:p>
              </w:tc>
              <w:tc>
                <w:tcPr>
                  <w:tcW w:w="561" w:type="dxa"/>
                  <w:noWrap w:val="0"/>
                  <w:vAlign w:val="center"/>
                </w:tcPr>
                <w:p w14:paraId="556EADC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169A523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220EB1F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-3.81</w:t>
                  </w:r>
                </w:p>
              </w:tc>
              <w:tc>
                <w:tcPr>
                  <w:tcW w:w="561" w:type="dxa"/>
                  <w:noWrap w:val="0"/>
                  <w:vAlign w:val="center"/>
                </w:tcPr>
                <w:p w14:paraId="49C830F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-1.86</w:t>
                  </w:r>
                </w:p>
              </w:tc>
            </w:tr>
            <w:tr w14:paraId="04A9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9" w:type="dxa"/>
                  <w:noWrap w:val="0"/>
                  <w:vAlign w:val="center"/>
                </w:tcPr>
                <w:p w14:paraId="3250B58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w:t>
                  </w:r>
                </w:p>
              </w:tc>
              <w:tc>
                <w:tcPr>
                  <w:tcW w:w="656" w:type="dxa"/>
                  <w:noWrap w:val="0"/>
                  <w:vAlign w:val="center"/>
                </w:tcPr>
                <w:p w14:paraId="78265353">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highlight w:val="none"/>
                      <w:lang w:val="en-US" w:eastAsia="zh-CN"/>
                    </w:rPr>
                    <w:t>罗胡山村</w:t>
                  </w:r>
                </w:p>
              </w:tc>
              <w:tc>
                <w:tcPr>
                  <w:tcW w:w="726" w:type="dxa"/>
                  <w:noWrap w:val="0"/>
                  <w:vAlign w:val="center"/>
                </w:tcPr>
                <w:p w14:paraId="217F960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50.0</w:t>
                  </w:r>
                </w:p>
              </w:tc>
              <w:tc>
                <w:tcPr>
                  <w:tcW w:w="560" w:type="dxa"/>
                  <w:noWrap w:val="0"/>
                  <w:vAlign w:val="center"/>
                </w:tcPr>
                <w:p w14:paraId="48F080B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46.0</w:t>
                  </w:r>
                </w:p>
              </w:tc>
              <w:tc>
                <w:tcPr>
                  <w:tcW w:w="560" w:type="dxa"/>
                  <w:noWrap w:val="0"/>
                  <w:vAlign w:val="center"/>
                </w:tcPr>
                <w:p w14:paraId="7853AA9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60</w:t>
                  </w:r>
                </w:p>
              </w:tc>
              <w:tc>
                <w:tcPr>
                  <w:tcW w:w="560" w:type="dxa"/>
                  <w:noWrap w:val="0"/>
                  <w:vAlign w:val="center"/>
                </w:tcPr>
                <w:p w14:paraId="720B857F">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w:t>
                  </w:r>
                </w:p>
              </w:tc>
              <w:tc>
                <w:tcPr>
                  <w:tcW w:w="560" w:type="dxa"/>
                  <w:noWrap w:val="0"/>
                  <w:vAlign w:val="center"/>
                </w:tcPr>
                <w:p w14:paraId="19886AB6">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35.53</w:t>
                  </w:r>
                </w:p>
              </w:tc>
              <w:tc>
                <w:tcPr>
                  <w:tcW w:w="561" w:type="dxa"/>
                  <w:noWrap w:val="0"/>
                  <w:vAlign w:val="center"/>
                </w:tcPr>
                <w:p w14:paraId="746BC2A6">
                  <w:pPr>
                    <w:adjustRightInd w:val="0"/>
                    <w:snapToGrid w:val="0"/>
                    <w:spacing w:line="360" w:lineRule="auto"/>
                    <w:jc w:val="center"/>
                    <w:rPr>
                      <w:rFonts w:hint="default" w:ascii="Times New Roman" w:hAnsi="Times New Roman" w:eastAsia="宋体" w:cs="Times New Roman"/>
                      <w:color w:val="auto"/>
                      <w:kern w:val="2"/>
                      <w:sz w:val="13"/>
                      <w:szCs w:val="13"/>
                      <w:vertAlign w:val="baseline"/>
                      <w:lang w:val="en-US" w:eastAsia="zh-CN" w:bidi="ar-SA"/>
                    </w:rPr>
                  </w:pPr>
                  <w:r>
                    <w:rPr>
                      <w:rFonts w:hint="eastAsia" w:ascii="Times New Roman" w:hAnsi="Times New Roman" w:eastAsia="宋体" w:cs="Times New Roman"/>
                      <w:color w:val="auto"/>
                      <w:kern w:val="2"/>
                      <w:sz w:val="13"/>
                      <w:szCs w:val="13"/>
                      <w:vertAlign w:val="baseline"/>
                      <w:lang w:val="en-US" w:eastAsia="zh-CN" w:bidi="ar-SA"/>
                    </w:rPr>
                    <w:t>21.08</w:t>
                  </w:r>
                </w:p>
              </w:tc>
              <w:tc>
                <w:tcPr>
                  <w:tcW w:w="561" w:type="dxa"/>
                  <w:noWrap w:val="0"/>
                  <w:vAlign w:val="center"/>
                </w:tcPr>
                <w:p w14:paraId="4E400CAC">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50.15</w:t>
                  </w:r>
                </w:p>
              </w:tc>
              <w:tc>
                <w:tcPr>
                  <w:tcW w:w="561" w:type="dxa"/>
                  <w:noWrap w:val="0"/>
                  <w:vAlign w:val="center"/>
                </w:tcPr>
                <w:p w14:paraId="32C4529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46.01</w:t>
                  </w:r>
                </w:p>
              </w:tc>
              <w:tc>
                <w:tcPr>
                  <w:tcW w:w="561" w:type="dxa"/>
                  <w:noWrap w:val="0"/>
                  <w:vAlign w:val="center"/>
                </w:tcPr>
                <w:p w14:paraId="2A7301B4">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0.15</w:t>
                  </w:r>
                </w:p>
              </w:tc>
              <w:tc>
                <w:tcPr>
                  <w:tcW w:w="561" w:type="dxa"/>
                  <w:noWrap w:val="0"/>
                  <w:vAlign w:val="center"/>
                </w:tcPr>
                <w:p w14:paraId="220AEE3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0.01</w:t>
                  </w:r>
                </w:p>
              </w:tc>
              <w:tc>
                <w:tcPr>
                  <w:tcW w:w="561" w:type="dxa"/>
                  <w:noWrap w:val="0"/>
                  <w:vAlign w:val="center"/>
                </w:tcPr>
                <w:p w14:paraId="587D66F8">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1016729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3C5A03D1">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-9.85</w:t>
                  </w:r>
                </w:p>
              </w:tc>
              <w:tc>
                <w:tcPr>
                  <w:tcW w:w="561" w:type="dxa"/>
                  <w:noWrap w:val="0"/>
                  <w:vAlign w:val="center"/>
                </w:tcPr>
                <w:p w14:paraId="066A37A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-3.99</w:t>
                  </w:r>
                </w:p>
              </w:tc>
            </w:tr>
            <w:tr w14:paraId="3D89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299" w:type="dxa"/>
                  <w:noWrap w:val="0"/>
                  <w:vAlign w:val="center"/>
                </w:tcPr>
                <w:p w14:paraId="6367791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w:t>
                  </w:r>
                </w:p>
              </w:tc>
              <w:tc>
                <w:tcPr>
                  <w:tcW w:w="656" w:type="dxa"/>
                  <w:noWrap w:val="0"/>
                  <w:vAlign w:val="center"/>
                </w:tcPr>
                <w:p w14:paraId="2451918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highlight w:val="none"/>
                      <w:lang w:val="en-US" w:eastAsia="zh-CN"/>
                    </w:rPr>
                    <w:t>芒市康丰糖业有限公司生活区</w:t>
                  </w:r>
                </w:p>
              </w:tc>
              <w:tc>
                <w:tcPr>
                  <w:tcW w:w="726" w:type="dxa"/>
                  <w:noWrap w:val="0"/>
                  <w:vAlign w:val="center"/>
                </w:tcPr>
                <w:p w14:paraId="60B8181C">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53.0</w:t>
                  </w:r>
                </w:p>
              </w:tc>
              <w:tc>
                <w:tcPr>
                  <w:tcW w:w="560" w:type="dxa"/>
                  <w:noWrap w:val="0"/>
                  <w:vAlign w:val="center"/>
                </w:tcPr>
                <w:p w14:paraId="48D5DDCB">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w:t>
                  </w:r>
                </w:p>
              </w:tc>
              <w:tc>
                <w:tcPr>
                  <w:tcW w:w="560" w:type="dxa"/>
                  <w:noWrap w:val="0"/>
                  <w:vAlign w:val="center"/>
                </w:tcPr>
                <w:p w14:paraId="3800BF60">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60</w:t>
                  </w:r>
                </w:p>
              </w:tc>
              <w:tc>
                <w:tcPr>
                  <w:tcW w:w="560" w:type="dxa"/>
                  <w:noWrap w:val="0"/>
                  <w:vAlign w:val="center"/>
                </w:tcPr>
                <w:p w14:paraId="46603D8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50</w:t>
                  </w:r>
                </w:p>
              </w:tc>
              <w:tc>
                <w:tcPr>
                  <w:tcW w:w="560" w:type="dxa"/>
                  <w:noWrap w:val="0"/>
                  <w:vAlign w:val="center"/>
                </w:tcPr>
                <w:p w14:paraId="7DA5C712">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33.58</w:t>
                  </w:r>
                </w:p>
              </w:tc>
              <w:tc>
                <w:tcPr>
                  <w:tcW w:w="561" w:type="dxa"/>
                  <w:noWrap w:val="0"/>
                  <w:vAlign w:val="center"/>
                </w:tcPr>
                <w:p w14:paraId="3905CA49">
                  <w:pPr>
                    <w:adjustRightInd w:val="0"/>
                    <w:snapToGrid w:val="0"/>
                    <w:spacing w:line="360" w:lineRule="auto"/>
                    <w:jc w:val="center"/>
                    <w:rPr>
                      <w:rFonts w:hint="default" w:ascii="Times New Roman" w:hAnsi="Times New Roman" w:eastAsia="宋体" w:cs="Times New Roman"/>
                      <w:color w:val="auto"/>
                      <w:kern w:val="2"/>
                      <w:sz w:val="13"/>
                      <w:szCs w:val="13"/>
                      <w:vertAlign w:val="baseline"/>
                      <w:lang w:val="en-US" w:eastAsia="zh-CN" w:bidi="ar-SA"/>
                    </w:rPr>
                  </w:pPr>
                  <w:r>
                    <w:rPr>
                      <w:rFonts w:hint="eastAsia" w:ascii="Times New Roman" w:hAnsi="Times New Roman" w:eastAsia="宋体" w:cs="Times New Roman"/>
                      <w:color w:val="auto"/>
                      <w:kern w:val="2"/>
                      <w:sz w:val="13"/>
                      <w:szCs w:val="13"/>
                      <w:vertAlign w:val="baseline"/>
                      <w:lang w:val="en-US" w:eastAsia="zh-CN" w:bidi="ar-SA"/>
                    </w:rPr>
                    <w:t>18.35</w:t>
                  </w:r>
                </w:p>
              </w:tc>
              <w:tc>
                <w:tcPr>
                  <w:tcW w:w="561" w:type="dxa"/>
                  <w:noWrap w:val="0"/>
                  <w:vAlign w:val="center"/>
                </w:tcPr>
                <w:p w14:paraId="665BBE29">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53.05</w:t>
                  </w:r>
                </w:p>
              </w:tc>
              <w:tc>
                <w:tcPr>
                  <w:tcW w:w="561" w:type="dxa"/>
                  <w:noWrap w:val="0"/>
                  <w:vAlign w:val="center"/>
                </w:tcPr>
                <w:p w14:paraId="3BBD695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48.0</w:t>
                  </w:r>
                </w:p>
              </w:tc>
              <w:tc>
                <w:tcPr>
                  <w:tcW w:w="561" w:type="dxa"/>
                  <w:noWrap w:val="0"/>
                  <w:vAlign w:val="center"/>
                </w:tcPr>
                <w:p w14:paraId="5A1AE02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0.05</w:t>
                  </w:r>
                </w:p>
              </w:tc>
              <w:tc>
                <w:tcPr>
                  <w:tcW w:w="561" w:type="dxa"/>
                  <w:noWrap w:val="0"/>
                  <w:vAlign w:val="center"/>
                </w:tcPr>
                <w:p w14:paraId="5351B6B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0.00</w:t>
                  </w:r>
                </w:p>
              </w:tc>
              <w:tc>
                <w:tcPr>
                  <w:tcW w:w="561" w:type="dxa"/>
                  <w:noWrap w:val="0"/>
                  <w:vAlign w:val="center"/>
                </w:tcPr>
                <w:p w14:paraId="58447615">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32815C98">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达标</w:t>
                  </w:r>
                </w:p>
              </w:tc>
              <w:tc>
                <w:tcPr>
                  <w:tcW w:w="561" w:type="dxa"/>
                  <w:noWrap w:val="0"/>
                  <w:vAlign w:val="center"/>
                </w:tcPr>
                <w:p w14:paraId="4B3C50CE">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-6.95</w:t>
                  </w:r>
                </w:p>
              </w:tc>
              <w:tc>
                <w:tcPr>
                  <w:tcW w:w="561" w:type="dxa"/>
                  <w:noWrap w:val="0"/>
                  <w:vAlign w:val="center"/>
                </w:tcPr>
                <w:p w14:paraId="4D0D87A3">
                  <w:pPr>
                    <w:adjustRightInd w:val="0"/>
                    <w:snapToGrid w:val="0"/>
                    <w:spacing w:line="360" w:lineRule="auto"/>
                    <w:jc w:val="center"/>
                    <w:rPr>
                      <w:rFonts w:hint="default" w:ascii="Times New Roman" w:hAnsi="Times New Roman" w:eastAsia="宋体" w:cs="Times New Roman"/>
                      <w:color w:val="auto"/>
                      <w:sz w:val="13"/>
                      <w:szCs w:val="13"/>
                      <w:vertAlign w:val="baseline"/>
                      <w:lang w:val="en-US" w:eastAsia="zh-CN"/>
                    </w:rPr>
                  </w:pPr>
                  <w:r>
                    <w:rPr>
                      <w:rFonts w:hint="eastAsia" w:ascii="Times New Roman" w:hAnsi="Times New Roman" w:eastAsia="宋体" w:cs="Times New Roman"/>
                      <w:color w:val="auto"/>
                      <w:sz w:val="13"/>
                      <w:szCs w:val="13"/>
                      <w:vertAlign w:val="baseline"/>
                      <w:lang w:val="en-US" w:eastAsia="zh-CN"/>
                    </w:rPr>
                    <w:t>-2.0</w:t>
                  </w:r>
                </w:p>
              </w:tc>
            </w:tr>
          </w:tbl>
          <w:p w14:paraId="20C6A395">
            <w:pPr>
              <w:pStyle w:val="16"/>
              <w:rPr>
                <w:b/>
                <w:color w:val="auto"/>
                <w:sz w:val="24"/>
                <w:szCs w:val="24"/>
                <w:lang w:val="zh-CN"/>
              </w:rPr>
            </w:pPr>
          </w:p>
          <w:p w14:paraId="40BE8F8C">
            <w:pPr>
              <w:rPr>
                <w:color w:val="auto"/>
                <w:lang w:val="zh-CN"/>
              </w:rPr>
            </w:pPr>
            <w:r>
              <w:rPr>
                <w:color w:val="auto"/>
              </w:rPr>
              <w:drawing>
                <wp:inline distT="0" distB="0" distL="114300" distR="114300">
                  <wp:extent cx="5696585" cy="2672715"/>
                  <wp:effectExtent l="0" t="0" r="18415" b="13335"/>
                  <wp:docPr id="1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8"/>
                          <pic:cNvPicPr>
                            <a:picLocks noChangeAspect="1"/>
                          </pic:cNvPicPr>
                        </pic:nvPicPr>
                        <pic:blipFill>
                          <a:blip r:embed="rId33"/>
                          <a:stretch>
                            <a:fillRect/>
                          </a:stretch>
                        </pic:blipFill>
                        <pic:spPr>
                          <a:xfrm>
                            <a:off x="0" y="0"/>
                            <a:ext cx="5696585" cy="2672715"/>
                          </a:xfrm>
                          <a:prstGeom prst="rect">
                            <a:avLst/>
                          </a:prstGeom>
                          <a:noFill/>
                          <a:ln>
                            <a:noFill/>
                          </a:ln>
                        </pic:spPr>
                      </pic:pic>
                    </a:graphicData>
                  </a:graphic>
                </wp:inline>
              </w:drawing>
            </w:r>
          </w:p>
          <w:p w14:paraId="5BF690BF">
            <w:pPr>
              <w:adjustRightInd w:val="0"/>
              <w:snapToGrid w:val="0"/>
              <w:spacing w:line="360" w:lineRule="auto"/>
              <w:ind w:firstLine="482" w:firstLineChars="200"/>
              <w:jc w:val="center"/>
              <w:rPr>
                <w:b/>
                <w:color w:val="auto"/>
                <w:sz w:val="24"/>
                <w:szCs w:val="24"/>
                <w:lang w:val="zh-CN"/>
              </w:rPr>
            </w:pPr>
            <w:r>
              <w:rPr>
                <w:rFonts w:hint="eastAsia" w:ascii="Times New Roman" w:hAnsi="Times New Roman" w:eastAsia="宋体" w:cs="Times New Roman"/>
                <w:b/>
                <w:bCs/>
                <w:color w:val="auto"/>
                <w:sz w:val="24"/>
                <w:szCs w:val="24"/>
                <w:lang w:val="en-US" w:eastAsia="zh-CN"/>
              </w:rPr>
              <w:t xml:space="preserve">图4-1   </w:t>
            </w:r>
            <w:r>
              <w:rPr>
                <w:rFonts w:eastAsia="宋体"/>
                <w:b/>
                <w:bCs/>
                <w:color w:val="auto"/>
                <w:sz w:val="24"/>
                <w:szCs w:val="24"/>
                <w:highlight w:val="none"/>
                <w:lang w:val="en-US" w:eastAsia="zh-CN" w:bidi="ar-SA"/>
              </w:rPr>
              <w:t>项目噪声预测图</w:t>
            </w:r>
          </w:p>
          <w:p w14:paraId="6FD4F013">
            <w:pPr>
              <w:adjustRightInd w:val="0"/>
              <w:snapToGrid w:val="0"/>
              <w:spacing w:line="360" w:lineRule="auto"/>
              <w:ind w:firstLine="480" w:firstLineChars="200"/>
              <w:jc w:val="left"/>
              <w:rPr>
                <w:rFonts w:hint="default"/>
                <w:color w:val="auto"/>
                <w:sz w:val="24"/>
                <w:lang w:val="en-US"/>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预测分析</w:t>
            </w:r>
            <w:r>
              <w:rPr>
                <w:rFonts w:hint="default" w:ascii="Times New Roman" w:hAnsi="Times New Roman" w:eastAsia="宋体" w:cs="Times New Roman"/>
                <w:color w:val="auto"/>
                <w:sz w:val="24"/>
                <w:szCs w:val="24"/>
                <w:lang w:val="en-US" w:eastAsia="zh-CN"/>
              </w:rPr>
              <w:t>显示</w:t>
            </w:r>
            <w:r>
              <w:rPr>
                <w:rFonts w:hint="eastAsia" w:ascii="Times New Roman" w:hAnsi="Times New Roman" w:eastAsia="宋体" w:cs="Times New Roman"/>
                <w:color w:val="auto"/>
                <w:sz w:val="24"/>
                <w:szCs w:val="24"/>
                <w:lang w:val="en-US" w:eastAsia="zh-CN"/>
              </w:rPr>
              <w:t>，</w:t>
            </w:r>
            <w:r>
              <w:rPr>
                <w:rFonts w:hint="eastAsia"/>
                <w:color w:val="auto"/>
                <w:sz w:val="24"/>
                <w:lang w:val="en-US" w:eastAsia="zh-CN"/>
              </w:rPr>
              <w:t>在</w:t>
            </w:r>
            <w:r>
              <w:rPr>
                <w:rFonts w:hint="eastAsia"/>
                <w:color w:val="auto"/>
                <w:sz w:val="24"/>
              </w:rPr>
              <w:t>正常运行时</w:t>
            </w:r>
            <w:r>
              <w:rPr>
                <w:rFonts w:hint="eastAsia"/>
                <w:color w:val="auto"/>
                <w:sz w:val="24"/>
                <w:lang w:eastAsia="zh-CN"/>
              </w:rPr>
              <w:t>，</w:t>
            </w:r>
            <w:r>
              <w:rPr>
                <w:rFonts w:hint="eastAsia"/>
                <w:color w:val="auto"/>
                <w:sz w:val="24"/>
                <w:lang w:val="en-US" w:eastAsia="zh-CN"/>
              </w:rPr>
              <w:t>采取了</w:t>
            </w:r>
            <w:r>
              <w:rPr>
                <w:rFonts w:hint="eastAsia"/>
                <w:color w:val="auto"/>
                <w:sz w:val="24"/>
              </w:rPr>
              <w:t>以上降噪、减震措施后，各个厂界昼</w:t>
            </w:r>
            <w:r>
              <w:rPr>
                <w:rFonts w:hint="eastAsia"/>
                <w:color w:val="auto"/>
                <w:sz w:val="24"/>
                <w:lang w:eastAsia="zh-CN"/>
              </w:rPr>
              <w:t>、</w:t>
            </w:r>
            <w:r>
              <w:rPr>
                <w:rFonts w:hint="eastAsia"/>
                <w:color w:val="auto"/>
                <w:sz w:val="24"/>
                <w:lang w:val="en-US" w:eastAsia="zh-CN"/>
              </w:rPr>
              <w:t>夜</w:t>
            </w:r>
            <w:r>
              <w:rPr>
                <w:rFonts w:hint="eastAsia"/>
                <w:color w:val="auto"/>
                <w:sz w:val="24"/>
              </w:rPr>
              <w:t>间噪声均</w:t>
            </w:r>
            <w:r>
              <w:rPr>
                <w:color w:val="auto"/>
                <w:sz w:val="24"/>
              </w:rPr>
              <w:t>能满足《工业企业厂界</w:t>
            </w:r>
            <w:r>
              <w:rPr>
                <w:rFonts w:hint="eastAsia"/>
                <w:color w:val="auto"/>
                <w:sz w:val="24"/>
              </w:rPr>
              <w:t>环境</w:t>
            </w:r>
            <w:r>
              <w:rPr>
                <w:color w:val="auto"/>
                <w:sz w:val="24"/>
              </w:rPr>
              <w:t>噪声</w:t>
            </w:r>
            <w:r>
              <w:rPr>
                <w:rFonts w:hint="eastAsia"/>
                <w:color w:val="auto"/>
                <w:sz w:val="24"/>
              </w:rPr>
              <w:t>排放</w:t>
            </w:r>
            <w:r>
              <w:rPr>
                <w:color w:val="auto"/>
                <w:sz w:val="24"/>
              </w:rPr>
              <w:t>标准》</w:t>
            </w:r>
            <w:r>
              <w:rPr>
                <w:rFonts w:hint="eastAsia"/>
                <w:color w:val="auto"/>
                <w:sz w:val="24"/>
              </w:rPr>
              <w:t>（</w:t>
            </w:r>
            <w:r>
              <w:rPr>
                <w:color w:val="auto"/>
                <w:sz w:val="24"/>
              </w:rPr>
              <w:t>GB12348-</w:t>
            </w:r>
            <w:r>
              <w:rPr>
                <w:rFonts w:hint="eastAsia"/>
                <w:color w:val="auto"/>
                <w:sz w:val="24"/>
              </w:rPr>
              <w:t>2008）中</w:t>
            </w:r>
            <w:r>
              <w:rPr>
                <w:rFonts w:hint="eastAsia"/>
                <w:color w:val="auto"/>
                <w:sz w:val="24"/>
                <w:lang w:val="en-US" w:eastAsia="zh-CN"/>
              </w:rPr>
              <w:t>2类</w:t>
            </w:r>
            <w:r>
              <w:rPr>
                <w:color w:val="auto"/>
                <w:sz w:val="24"/>
              </w:rPr>
              <w:t>标准的要求。</w:t>
            </w:r>
          </w:p>
          <w:p w14:paraId="0D05DD20">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72" w:firstLineChars="197"/>
              <w:textAlignment w:val="auto"/>
              <w:outlineLvl w:val="9"/>
              <w:rPr>
                <w:rFonts w:hint="eastAsia" w:ascii="宋体" w:hAnsi="宋体"/>
                <w:color w:val="auto"/>
                <w:sz w:val="24"/>
                <w:szCs w:val="24"/>
              </w:rPr>
            </w:pPr>
            <w:r>
              <w:rPr>
                <w:rFonts w:hint="eastAsia" w:ascii="宋体" w:hAnsi="宋体"/>
                <w:color w:val="auto"/>
                <w:sz w:val="24"/>
                <w:szCs w:val="24"/>
                <w:lang w:val="en-US" w:eastAsia="zh-CN"/>
              </w:rPr>
              <w:t>根据对</w:t>
            </w:r>
            <w:r>
              <w:rPr>
                <w:rFonts w:hint="eastAsia" w:ascii="Times New Roman" w:hAnsi="Times New Roman" w:eastAsia="宋体" w:cs="Times New Roman"/>
                <w:color w:val="auto"/>
                <w:kern w:val="0"/>
                <w:sz w:val="24"/>
                <w:szCs w:val="24"/>
                <w:highlight w:val="none"/>
                <w:lang w:val="en-US" w:eastAsia="zh-CN" w:bidi="ar-SA"/>
              </w:rPr>
              <w:t>周边50m范围内</w:t>
            </w:r>
            <w:r>
              <w:rPr>
                <w:rFonts w:hint="eastAsia" w:ascii="Times New Roman" w:hAnsi="Times New Roman" w:eastAsia="宋体" w:cs="Times New Roman"/>
                <w:color w:val="auto"/>
                <w:sz w:val="24"/>
                <w:szCs w:val="24"/>
                <w:highlight w:val="none"/>
                <w:lang w:val="en-US" w:eastAsia="zh-CN"/>
              </w:rPr>
              <w:t>的敏感保护目标为罗胡山村、芒市康丰糖业有限公司生活区进行噪声预测分析</w:t>
            </w:r>
            <w:r>
              <w:rPr>
                <w:rFonts w:hint="eastAsia" w:ascii="Times New Roman" w:hAnsi="Times New Roman" w:cs="Times New Roman"/>
                <w:color w:val="auto"/>
                <w:sz w:val="24"/>
                <w:szCs w:val="24"/>
                <w:lang w:val="en-US" w:eastAsia="zh-CN"/>
              </w:rPr>
              <w:t>，在采取了相应的噪声措施，通过距离衰减，</w:t>
            </w:r>
            <w:r>
              <w:rPr>
                <w:rFonts w:hint="eastAsia"/>
                <w:color w:val="auto"/>
                <w:sz w:val="24"/>
                <w:szCs w:val="24"/>
              </w:rPr>
              <w:t>噪声贡献值较小</w:t>
            </w:r>
            <w:r>
              <w:rPr>
                <w:rFonts w:hint="eastAsia"/>
                <w:color w:val="auto"/>
                <w:sz w:val="24"/>
                <w:szCs w:val="24"/>
                <w:lang w:eastAsia="zh-CN"/>
              </w:rPr>
              <w:t>，</w:t>
            </w:r>
            <w:r>
              <w:rPr>
                <w:rFonts w:hint="eastAsia" w:hAnsi="宋体"/>
                <w:color w:val="auto"/>
                <w:sz w:val="24"/>
                <w:szCs w:val="24"/>
                <w:lang w:val="en-US" w:eastAsia="zh-CN"/>
              </w:rPr>
              <w:t>声环境</w:t>
            </w:r>
            <w:r>
              <w:rPr>
                <w:rFonts w:hint="eastAsia"/>
                <w:color w:val="auto"/>
                <w:sz w:val="24"/>
                <w:szCs w:val="24"/>
                <w:lang w:val="en-GB"/>
              </w:rPr>
              <w:t>能满足《声环境质量标准》（GB3096-2008）</w:t>
            </w:r>
            <w:r>
              <w:rPr>
                <w:rFonts w:hint="eastAsia"/>
                <w:color w:val="auto"/>
                <w:sz w:val="24"/>
                <w:szCs w:val="24"/>
                <w:lang w:val="en-US" w:eastAsia="zh-CN"/>
              </w:rPr>
              <w:t>2</w:t>
            </w:r>
            <w:r>
              <w:rPr>
                <w:rFonts w:hint="eastAsia"/>
                <w:color w:val="auto"/>
                <w:sz w:val="24"/>
                <w:szCs w:val="24"/>
                <w:lang w:val="en-GB"/>
              </w:rPr>
              <w:t xml:space="preserve"> </w:t>
            </w:r>
            <w:r>
              <w:rPr>
                <w:rFonts w:hint="eastAsia"/>
                <w:color w:val="auto"/>
                <w:sz w:val="24"/>
                <w:szCs w:val="24"/>
                <w:lang w:val="en-US" w:eastAsia="zh-CN"/>
              </w:rPr>
              <w:t>类</w:t>
            </w:r>
            <w:r>
              <w:rPr>
                <w:rFonts w:hint="eastAsia"/>
                <w:color w:val="auto"/>
                <w:sz w:val="24"/>
                <w:szCs w:val="24"/>
                <w:lang w:val="en-GB"/>
              </w:rPr>
              <w:t>标准的要求</w:t>
            </w:r>
            <w:r>
              <w:rPr>
                <w:rFonts w:hint="eastAsia"/>
                <w:color w:val="auto"/>
                <w:sz w:val="24"/>
                <w:szCs w:val="24"/>
                <w:lang w:val="en-GB" w:eastAsia="zh-CN"/>
              </w:rPr>
              <w:t>，</w:t>
            </w:r>
            <w:r>
              <w:rPr>
                <w:rFonts w:hint="eastAsia"/>
                <w:color w:val="auto"/>
                <w:sz w:val="24"/>
                <w:szCs w:val="24"/>
                <w:lang w:val="en-US" w:eastAsia="zh-CN"/>
              </w:rPr>
              <w:t>不会出现扰民问题</w:t>
            </w:r>
            <w:r>
              <w:rPr>
                <w:rFonts w:hint="eastAsia" w:ascii="宋体" w:hAnsi="宋体"/>
                <w:color w:val="auto"/>
                <w:sz w:val="24"/>
                <w:szCs w:val="24"/>
              </w:rPr>
              <w:t>。</w:t>
            </w:r>
          </w:p>
          <w:p w14:paraId="6F113A7D">
            <w:pPr>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2.3.3噪声影响结论</w:t>
            </w:r>
          </w:p>
          <w:p w14:paraId="5E0F7BF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szCs w:val="21"/>
                <w:lang w:val="en-US" w:eastAsia="zh-CN"/>
              </w:rPr>
            </w:pPr>
            <w:r>
              <w:rPr>
                <w:rFonts w:hint="eastAsia"/>
                <w:color w:val="auto"/>
                <w:sz w:val="24"/>
                <w:lang w:val="en-GB" w:eastAsia="zh-TW"/>
              </w:rPr>
              <w:t>综上</w:t>
            </w:r>
            <w:r>
              <w:rPr>
                <w:rFonts w:hint="eastAsia"/>
                <w:color w:val="auto"/>
                <w:sz w:val="24"/>
                <w:lang w:val="en-GB" w:eastAsia="zh-CN"/>
              </w:rPr>
              <w:t>，</w:t>
            </w:r>
            <w:r>
              <w:rPr>
                <w:rFonts w:hint="eastAsia"/>
                <w:color w:val="auto"/>
                <w:sz w:val="24"/>
              </w:rPr>
              <w:t>项目运营期</w:t>
            </w:r>
            <w:r>
              <w:rPr>
                <w:rFonts w:hint="eastAsia"/>
                <w:color w:val="auto"/>
                <w:sz w:val="24"/>
                <w:lang w:val="en-GB"/>
              </w:rPr>
              <w:t>设备</w:t>
            </w:r>
            <w:r>
              <w:rPr>
                <w:color w:val="auto"/>
                <w:sz w:val="24"/>
                <w:lang w:val="en-GB" w:eastAsia="zh-TW"/>
              </w:rPr>
              <w:t>在正常</w:t>
            </w:r>
            <w:r>
              <w:rPr>
                <w:rFonts w:hint="eastAsia"/>
                <w:color w:val="auto"/>
                <w:sz w:val="24"/>
                <w:lang w:val="en-GB" w:eastAsia="zh-TW"/>
              </w:rPr>
              <w:t>运营</w:t>
            </w:r>
            <w:r>
              <w:rPr>
                <w:color w:val="auto"/>
                <w:sz w:val="24"/>
                <w:lang w:val="en-GB" w:eastAsia="zh-TW"/>
              </w:rPr>
              <w:t>情况下，</w:t>
            </w:r>
            <w:r>
              <w:rPr>
                <w:rFonts w:hint="eastAsia"/>
                <w:color w:val="auto"/>
                <w:sz w:val="24"/>
                <w:lang w:val="en-US" w:eastAsia="zh-CN"/>
              </w:rPr>
              <w:t>降噪措施可行，</w:t>
            </w:r>
            <w:r>
              <w:rPr>
                <w:rFonts w:hint="default" w:ascii="Times New Roman" w:hAnsi="Times New Roman" w:eastAsia="宋体" w:cs="Times New Roman"/>
                <w:color w:val="auto"/>
                <w:sz w:val="24"/>
                <w:szCs w:val="24"/>
              </w:rPr>
              <w:t>设备噪声</w:t>
            </w:r>
            <w:r>
              <w:rPr>
                <w:rFonts w:hint="eastAsia" w:ascii="Times New Roman" w:hAnsi="Times New Roman" w:eastAsia="宋体" w:cs="Times New Roman"/>
                <w:color w:val="auto"/>
                <w:sz w:val="24"/>
                <w:szCs w:val="24"/>
              </w:rPr>
              <w:t>经过以上降噪措施后</w:t>
            </w:r>
            <w:r>
              <w:rPr>
                <w:rFonts w:hint="default" w:ascii="Times New Roman" w:hAnsi="Times New Roman" w:eastAsia="宋体" w:cs="Times New Roman"/>
                <w:color w:val="auto"/>
                <w:sz w:val="24"/>
                <w:szCs w:val="24"/>
              </w:rPr>
              <w:t>对</w:t>
            </w:r>
            <w:r>
              <w:rPr>
                <w:rFonts w:hint="eastAsia" w:ascii="Times New Roman" w:hAnsi="Times New Roman" w:eastAsia="宋体" w:cs="Times New Roman"/>
                <w:color w:val="auto"/>
                <w:sz w:val="24"/>
                <w:szCs w:val="24"/>
              </w:rPr>
              <w:t>周围</w:t>
            </w:r>
            <w:r>
              <w:rPr>
                <w:rFonts w:hint="default" w:ascii="Times New Roman" w:hAnsi="Times New Roman" w:eastAsia="宋体" w:cs="Times New Roman"/>
                <w:color w:val="auto"/>
                <w:sz w:val="24"/>
                <w:szCs w:val="24"/>
              </w:rPr>
              <w:t>声环境影响轻微</w:t>
            </w:r>
            <w:r>
              <w:rPr>
                <w:color w:val="auto"/>
                <w:sz w:val="24"/>
                <w:lang w:val="en-GB" w:eastAsia="zh-TW"/>
              </w:rPr>
              <w:t>。</w:t>
            </w:r>
          </w:p>
          <w:p w14:paraId="1FDDF4BF">
            <w:pPr>
              <w:spacing w:line="360" w:lineRule="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2.4</w:t>
            </w:r>
            <w:r>
              <w:rPr>
                <w:rFonts w:hint="eastAsia" w:ascii="Times New Roman" w:hAnsi="Times New Roman" w:cs="Times New Roman"/>
                <w:b/>
                <w:bCs/>
                <w:color w:val="auto"/>
                <w:sz w:val="24"/>
                <w:szCs w:val="24"/>
                <w:lang w:val="en-US" w:eastAsia="zh-CN"/>
              </w:rPr>
              <w:t>固体废物</w:t>
            </w:r>
            <w:r>
              <w:rPr>
                <w:rFonts w:hint="default" w:ascii="Times New Roman" w:hAnsi="Times New Roman" w:cs="Times New Roman"/>
                <w:b/>
                <w:bCs/>
                <w:color w:val="auto"/>
                <w:sz w:val="24"/>
                <w:szCs w:val="24"/>
                <w:lang w:val="en-US" w:eastAsia="zh-CN"/>
              </w:rPr>
              <w:t>环境影响和保护措施</w:t>
            </w:r>
          </w:p>
          <w:p w14:paraId="65DA6FF7">
            <w:pPr>
              <w:spacing w:line="360" w:lineRule="auto"/>
              <w:ind w:firstLine="480" w:firstLineChars="200"/>
              <w:rPr>
                <w:rFonts w:hint="default" w:ascii="Times New Roman" w:hAnsi="Times New Roman" w:cs="Times New Roman"/>
                <w:b/>
                <w:color w:val="auto"/>
                <w:sz w:val="24"/>
                <w:szCs w:val="24"/>
              </w:rPr>
            </w:pPr>
            <w:r>
              <w:rPr>
                <w:rFonts w:hint="eastAsia" w:hAnsi="宋体"/>
                <w:color w:val="auto"/>
                <w:sz w:val="24"/>
                <w:szCs w:val="24"/>
                <w:lang w:eastAsia="zh-CN"/>
              </w:rPr>
              <w:t>本项目使用少量润滑油对设备进行润滑保养，润滑油</w:t>
            </w:r>
            <w:r>
              <w:rPr>
                <w:rFonts w:hint="eastAsia" w:hAnsi="宋体"/>
                <w:color w:val="auto"/>
                <w:sz w:val="24"/>
                <w:szCs w:val="24"/>
              </w:rPr>
              <w:t>仅在</w:t>
            </w:r>
            <w:r>
              <w:rPr>
                <w:rFonts w:hint="eastAsia" w:hAnsi="宋体"/>
                <w:color w:val="auto"/>
                <w:sz w:val="24"/>
                <w:szCs w:val="24"/>
                <w:lang w:eastAsia="zh-CN"/>
              </w:rPr>
              <w:t>保养设备</w:t>
            </w:r>
            <w:r>
              <w:rPr>
                <w:rFonts w:hint="eastAsia" w:hAnsi="宋体"/>
                <w:color w:val="auto"/>
                <w:sz w:val="24"/>
                <w:szCs w:val="24"/>
              </w:rPr>
              <w:t>过程中进行少量添加，</w:t>
            </w:r>
            <w:r>
              <w:rPr>
                <w:rFonts w:hint="eastAsia" w:hAnsi="宋体"/>
                <w:color w:val="auto"/>
                <w:sz w:val="24"/>
                <w:szCs w:val="24"/>
                <w:highlight w:val="none"/>
              </w:rPr>
              <w:t>无需</w:t>
            </w:r>
            <w:r>
              <w:rPr>
                <w:rFonts w:hint="eastAsia" w:hAnsi="宋体"/>
                <w:color w:val="auto"/>
                <w:sz w:val="24"/>
                <w:szCs w:val="24"/>
              </w:rPr>
              <w:t>更换，</w:t>
            </w:r>
            <w:r>
              <w:rPr>
                <w:rFonts w:hint="eastAsia"/>
                <w:color w:val="auto"/>
                <w:sz w:val="24"/>
                <w:szCs w:val="24"/>
              </w:rPr>
              <w:t>其有关车辆、设备的维修、更换机油、更换零部件</w:t>
            </w:r>
            <w:r>
              <w:rPr>
                <w:rFonts w:hint="eastAsia"/>
                <w:color w:val="auto"/>
                <w:sz w:val="24"/>
                <w:szCs w:val="24"/>
                <w:lang w:eastAsia="zh-CN"/>
              </w:rPr>
              <w:t>、</w:t>
            </w:r>
            <w:r>
              <w:rPr>
                <w:rFonts w:hint="eastAsia"/>
                <w:color w:val="auto"/>
                <w:sz w:val="24"/>
                <w:szCs w:val="24"/>
                <w:lang w:val="en-US" w:eastAsia="zh-CN"/>
              </w:rPr>
              <w:t>添加润滑油</w:t>
            </w:r>
            <w:r>
              <w:rPr>
                <w:rFonts w:hint="eastAsia"/>
                <w:color w:val="auto"/>
                <w:sz w:val="24"/>
                <w:szCs w:val="24"/>
              </w:rPr>
              <w:t>等均委托社会专门的维修单位进行维修，建设单位不自行进行更换</w:t>
            </w:r>
            <w:r>
              <w:rPr>
                <w:rFonts w:hint="eastAsia"/>
                <w:color w:val="auto"/>
                <w:sz w:val="24"/>
                <w:szCs w:val="24"/>
                <w:lang w:eastAsia="zh-CN"/>
              </w:rPr>
              <w:t>、</w:t>
            </w:r>
            <w:r>
              <w:rPr>
                <w:rFonts w:hint="eastAsia"/>
                <w:color w:val="auto"/>
                <w:sz w:val="24"/>
                <w:szCs w:val="24"/>
                <w:lang w:val="en-US" w:eastAsia="zh-CN"/>
              </w:rPr>
              <w:t>添加润滑油</w:t>
            </w:r>
            <w:r>
              <w:rPr>
                <w:rFonts w:hint="eastAsia"/>
                <w:color w:val="auto"/>
                <w:sz w:val="24"/>
                <w:szCs w:val="24"/>
              </w:rPr>
              <w:t>，不在厂区内进行维修。</w:t>
            </w:r>
            <w:r>
              <w:rPr>
                <w:rFonts w:hint="eastAsia" w:hAnsi="宋体"/>
                <w:color w:val="auto"/>
                <w:sz w:val="24"/>
                <w:szCs w:val="24"/>
              </w:rPr>
              <w:t>因此本项目不产生废弃机油类危险废物</w:t>
            </w:r>
            <w:r>
              <w:rPr>
                <w:rFonts w:hint="eastAsia" w:hAnsi="宋体"/>
                <w:color w:val="auto"/>
                <w:sz w:val="24"/>
                <w:szCs w:val="24"/>
                <w:lang w:eastAsia="zh-CN"/>
              </w:rPr>
              <w:t>，项目无危险废物产生</w:t>
            </w:r>
            <w:r>
              <w:rPr>
                <w:rFonts w:hint="eastAsia"/>
                <w:color w:val="auto"/>
                <w:sz w:val="24"/>
                <w:szCs w:val="24"/>
                <w:lang w:val="en-US" w:eastAsia="zh-CN"/>
              </w:rPr>
              <w:t>。</w:t>
            </w:r>
          </w:p>
          <w:p w14:paraId="77B5ED08">
            <w:pPr>
              <w:adjustRightInd w:val="0"/>
              <w:snapToGrid w:val="0"/>
              <w:spacing w:line="360" w:lineRule="auto"/>
              <w:jc w:val="left"/>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2.4.1</w:t>
            </w:r>
            <w:r>
              <w:rPr>
                <w:rFonts w:hint="default" w:ascii="Times New Roman" w:hAnsi="Times New Roman" w:eastAsia="宋体" w:cs="Times New Roman"/>
                <w:b w:val="0"/>
                <w:bCs w:val="0"/>
                <w:color w:val="auto"/>
                <w:sz w:val="24"/>
                <w:szCs w:val="24"/>
                <w:highlight w:val="none"/>
                <w:lang w:val="en-US" w:eastAsia="zh-CN"/>
              </w:rPr>
              <w:t>项目固体废物产生及处置情况</w:t>
            </w:r>
          </w:p>
          <w:p w14:paraId="5CC85B93">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sz w:val="24"/>
                <w:szCs w:val="24"/>
                <w:vertAlign w:val="baseline"/>
                <w:lang w:val="en-US" w:eastAsia="zh-CN"/>
              </w:rPr>
            </w:pPr>
            <w:r>
              <w:rPr>
                <w:rFonts w:hint="eastAsia" w:ascii="Times New Roman" w:hAnsi="宋体" w:eastAsia="宋体" w:cs="Times New Roman"/>
                <w:color w:val="auto"/>
                <w:sz w:val="24"/>
                <w:lang w:eastAsia="zh-CN"/>
              </w:rPr>
              <w:t>本项目产生的固体废物主要</w:t>
            </w:r>
            <w:r>
              <w:rPr>
                <w:rFonts w:hint="eastAsia" w:ascii="Times New Roman" w:hAnsi="宋体" w:eastAsia="宋体" w:cs="Times New Roman"/>
                <w:color w:val="auto"/>
                <w:sz w:val="24"/>
                <w:lang w:val="en-US" w:eastAsia="zh-CN"/>
              </w:rPr>
              <w:t>包括：</w:t>
            </w:r>
            <w:r>
              <w:rPr>
                <w:rFonts w:hint="default" w:ascii="Times New Roman" w:hAnsi="Times New Roman" w:eastAsia="宋体" w:cs="Times New Roman"/>
                <w:color w:val="auto"/>
                <w:kern w:val="2"/>
                <w:sz w:val="24"/>
                <w:szCs w:val="20"/>
                <w:lang w:val="en-US" w:eastAsia="zh-CN" w:bidi="ar-SA"/>
              </w:rPr>
              <w:t>坚果皮</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废弃的残次坚果、不合格品</w:t>
            </w:r>
            <w:r>
              <w:rPr>
                <w:rFonts w:hint="eastAsia" w:ascii="Times New Roman" w:hAnsi="Times New Roman" w:eastAsia="宋体" w:cs="Times New Roman"/>
                <w:color w:val="auto"/>
                <w:kern w:val="2"/>
                <w:sz w:val="24"/>
                <w:szCs w:val="20"/>
                <w:lang w:val="en-US" w:eastAsia="zh-CN" w:bidi="ar-SA"/>
              </w:rPr>
              <w:t>、</w:t>
            </w:r>
            <w:r>
              <w:rPr>
                <w:rFonts w:hint="eastAsia" w:ascii="Times New Roman" w:hAnsi="宋体" w:eastAsia="宋体" w:cs="Times New Roman"/>
                <w:color w:val="auto"/>
                <w:sz w:val="24"/>
                <w:lang w:val="en-US" w:eastAsia="zh-CN"/>
              </w:rPr>
              <w:t>果壳、布袋除尘器回收的粉尘、废包装材料、化粪池及污水处理站污泥、生活垃圾等。</w:t>
            </w:r>
          </w:p>
          <w:p w14:paraId="3C458E0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项目固体废物产生和排放情况见</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w:t>
            </w:r>
          </w:p>
          <w:p w14:paraId="3B1336FF">
            <w:pPr>
              <w:pStyle w:val="77"/>
              <w:spacing w:before="0" w:beforeLines="0" w:line="240" w:lineRule="auto"/>
              <w:rPr>
                <w:rFonts w:hint="default" w:ascii="Times New Roman" w:hAnsi="Times New Roman" w:eastAsia="宋体" w:cs="Times New Roman"/>
                <w:color w:val="auto"/>
                <w:kern w:val="2"/>
                <w:sz w:val="24"/>
                <w:szCs w:val="24"/>
                <w:lang w:val="en-GB"/>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rPr>
              <w:t>-</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 xml:space="preserve"> 项目固体废物产生和排放</w:t>
            </w:r>
            <w:r>
              <w:rPr>
                <w:rFonts w:hint="default" w:ascii="Times New Roman" w:hAnsi="Times New Roman" w:eastAsia="宋体" w:cs="Times New Roman"/>
                <w:color w:val="auto"/>
                <w:kern w:val="2"/>
                <w:sz w:val="24"/>
                <w:szCs w:val="24"/>
                <w:lang w:val="en-GB"/>
              </w:rPr>
              <w:t>情况表</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230"/>
              <w:gridCol w:w="1059"/>
              <w:gridCol w:w="1194"/>
              <w:gridCol w:w="902"/>
              <w:gridCol w:w="2164"/>
              <w:gridCol w:w="1934"/>
            </w:tblGrid>
            <w:tr w14:paraId="78FD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70" w:type="pct"/>
                  <w:noWrap w:val="0"/>
                  <w:tcMar>
                    <w:left w:w="28" w:type="dxa"/>
                    <w:right w:w="28" w:type="dxa"/>
                  </w:tcMar>
                  <w:vAlign w:val="center"/>
                </w:tcPr>
                <w:p w14:paraId="6AA7682E">
                  <w:pPr>
                    <w:pStyle w:val="8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属性</w:t>
                  </w:r>
                </w:p>
              </w:tc>
              <w:tc>
                <w:tcPr>
                  <w:tcW w:w="685" w:type="pct"/>
                  <w:noWrap w:val="0"/>
                  <w:tcMar>
                    <w:left w:w="28" w:type="dxa"/>
                    <w:right w:w="28" w:type="dxa"/>
                  </w:tcMar>
                  <w:vAlign w:val="center"/>
                </w:tcPr>
                <w:p w14:paraId="33346BA1">
                  <w:pPr>
                    <w:pStyle w:val="8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产生环节</w:t>
                  </w:r>
                </w:p>
              </w:tc>
              <w:tc>
                <w:tcPr>
                  <w:tcW w:w="590" w:type="pct"/>
                  <w:noWrap w:val="0"/>
                  <w:tcMar>
                    <w:left w:w="28" w:type="dxa"/>
                    <w:right w:w="28" w:type="dxa"/>
                  </w:tcMar>
                  <w:vAlign w:val="center"/>
                </w:tcPr>
                <w:p w14:paraId="3583EA78">
                  <w:pPr>
                    <w:pStyle w:val="8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665" w:type="pct"/>
                  <w:noWrap w:val="0"/>
                  <w:tcMar>
                    <w:left w:w="28" w:type="dxa"/>
                    <w:right w:w="28" w:type="dxa"/>
                  </w:tcMar>
                  <w:vAlign w:val="center"/>
                </w:tcPr>
                <w:p w14:paraId="7333A548">
                  <w:pPr>
                    <w:pStyle w:val="8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物理性状</w:t>
                  </w:r>
                </w:p>
              </w:tc>
              <w:tc>
                <w:tcPr>
                  <w:tcW w:w="502" w:type="pct"/>
                  <w:noWrap w:val="0"/>
                  <w:tcMar>
                    <w:left w:w="28" w:type="dxa"/>
                    <w:right w:w="28" w:type="dxa"/>
                  </w:tcMar>
                  <w:vAlign w:val="center"/>
                </w:tcPr>
                <w:p w14:paraId="0B0D16D8">
                  <w:pPr>
                    <w:pStyle w:val="8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w:t>
                  </w:r>
                  <w:r>
                    <w:rPr>
                      <w:rFonts w:hint="default" w:ascii="Times New Roman" w:hAnsi="Times New Roman" w:eastAsia="宋体" w:cs="Times New Roman"/>
                      <w:b/>
                      <w:bCs/>
                      <w:color w:val="auto"/>
                      <w:sz w:val="21"/>
                      <w:szCs w:val="21"/>
                      <w:lang w:eastAsia="zh-CN"/>
                    </w:rPr>
                    <w:t>产生量（</w:t>
                  </w:r>
                  <w:r>
                    <w:rPr>
                      <w:rFonts w:hint="default" w:ascii="Times New Roman" w:hAnsi="Times New Roman" w:eastAsia="宋体" w:cs="Times New Roman"/>
                      <w:b/>
                      <w:bCs/>
                      <w:color w:val="auto"/>
                      <w:sz w:val="21"/>
                      <w:szCs w:val="21"/>
                      <w:lang w:val="en-US" w:eastAsia="zh-CN"/>
                    </w:rPr>
                    <w:t>t/a）</w:t>
                  </w:r>
                </w:p>
              </w:tc>
              <w:tc>
                <w:tcPr>
                  <w:tcW w:w="1206" w:type="pct"/>
                  <w:noWrap w:val="0"/>
                  <w:tcMar>
                    <w:left w:w="28" w:type="dxa"/>
                    <w:right w:w="28" w:type="dxa"/>
                  </w:tcMar>
                  <w:vAlign w:val="center"/>
                </w:tcPr>
                <w:p w14:paraId="4E47D135">
                  <w:pPr>
                    <w:pStyle w:val="8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处置利用、管理情况</w:t>
                  </w:r>
                </w:p>
              </w:tc>
              <w:tc>
                <w:tcPr>
                  <w:tcW w:w="1078" w:type="pct"/>
                  <w:noWrap w:val="0"/>
                  <w:tcMar>
                    <w:left w:w="28" w:type="dxa"/>
                    <w:right w:w="28" w:type="dxa"/>
                  </w:tcMar>
                  <w:vAlign w:val="center"/>
                </w:tcPr>
                <w:p w14:paraId="0D7E2BC2">
                  <w:pPr>
                    <w:pStyle w:val="8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 xml:space="preserve">一般固体废物分类与代码 </w:t>
                  </w:r>
                  <w:r>
                    <w:rPr>
                      <w:rFonts w:hint="default" w:ascii="Times New Roman" w:hAnsi="Times New Roman" w:eastAsia="宋体" w:cs="Times New Roman"/>
                      <w:b/>
                      <w:bCs/>
                      <w:color w:val="auto"/>
                      <w:sz w:val="21"/>
                      <w:szCs w:val="21"/>
                      <w:lang w:val="en-US" w:eastAsia="zh-CN"/>
                    </w:rPr>
                    <w:t>GB_T 39198-2020</w:t>
                  </w:r>
                </w:p>
              </w:tc>
            </w:tr>
            <w:tr w14:paraId="4CE2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70" w:type="pct"/>
                  <w:vMerge w:val="restart"/>
                  <w:noWrap w:val="0"/>
                  <w:tcMar>
                    <w:left w:w="28" w:type="dxa"/>
                    <w:right w:w="28" w:type="dxa"/>
                  </w:tcMar>
                  <w:vAlign w:val="center"/>
                </w:tcPr>
                <w:p w14:paraId="79D30D0B">
                  <w:pPr>
                    <w:pStyle w:val="8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一般固体废物</w:t>
                  </w:r>
                </w:p>
              </w:tc>
              <w:tc>
                <w:tcPr>
                  <w:tcW w:w="685" w:type="pct"/>
                  <w:vMerge w:val="restart"/>
                  <w:noWrap w:val="0"/>
                  <w:tcMar>
                    <w:left w:w="28" w:type="dxa"/>
                    <w:right w:w="28" w:type="dxa"/>
                  </w:tcMar>
                  <w:vAlign w:val="center"/>
                </w:tcPr>
                <w:p w14:paraId="1D6D4F21">
                  <w:pPr>
                    <w:pStyle w:val="8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w:t>
                  </w:r>
                  <w:r>
                    <w:rPr>
                      <w:rFonts w:hint="eastAsia" w:ascii="Times New Roman" w:hAnsi="Times New Roman" w:eastAsia="宋体" w:cs="Times New Roman"/>
                      <w:color w:val="auto"/>
                      <w:sz w:val="21"/>
                      <w:szCs w:val="21"/>
                      <w:lang w:val="en-US" w:eastAsia="zh-CN"/>
                    </w:rPr>
                    <w:t>加工</w:t>
                  </w:r>
                  <w:r>
                    <w:rPr>
                      <w:rFonts w:hint="default" w:ascii="Times New Roman" w:hAnsi="Times New Roman" w:eastAsia="宋体" w:cs="Times New Roman"/>
                      <w:color w:val="auto"/>
                      <w:sz w:val="21"/>
                      <w:szCs w:val="21"/>
                      <w:lang w:val="en-US" w:eastAsia="zh-CN"/>
                    </w:rPr>
                    <w:t>过程</w:t>
                  </w:r>
                </w:p>
              </w:tc>
              <w:tc>
                <w:tcPr>
                  <w:tcW w:w="590" w:type="pct"/>
                  <w:noWrap w:val="0"/>
                  <w:tcMar>
                    <w:left w:w="28" w:type="dxa"/>
                    <w:right w:w="28" w:type="dxa"/>
                  </w:tcMar>
                  <w:vAlign w:val="center"/>
                </w:tcPr>
                <w:p w14:paraId="70F6C472">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坚果皮</w:t>
                  </w:r>
                </w:p>
              </w:tc>
              <w:tc>
                <w:tcPr>
                  <w:tcW w:w="665" w:type="pct"/>
                  <w:noWrap w:val="0"/>
                  <w:tcMar>
                    <w:left w:w="28" w:type="dxa"/>
                    <w:right w:w="28" w:type="dxa"/>
                  </w:tcMar>
                  <w:vAlign w:val="center"/>
                </w:tcPr>
                <w:p w14:paraId="65530316">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固态</w:t>
                  </w:r>
                </w:p>
              </w:tc>
              <w:tc>
                <w:tcPr>
                  <w:tcW w:w="502" w:type="pct"/>
                  <w:noWrap w:val="0"/>
                  <w:tcMar>
                    <w:left w:w="28" w:type="dxa"/>
                    <w:right w:w="28" w:type="dxa"/>
                  </w:tcMar>
                  <w:vAlign w:val="center"/>
                </w:tcPr>
                <w:p w14:paraId="4993BDD0">
                  <w:pPr>
                    <w:pStyle w:val="8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2310</w:t>
                  </w:r>
                </w:p>
              </w:tc>
              <w:tc>
                <w:tcPr>
                  <w:tcW w:w="1206" w:type="pct"/>
                  <w:noWrap w:val="0"/>
                  <w:tcMar>
                    <w:left w:w="28" w:type="dxa"/>
                    <w:right w:w="28" w:type="dxa"/>
                  </w:tcMar>
                  <w:vAlign w:val="center"/>
                </w:tcPr>
                <w:p w14:paraId="45F230AB">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暂存于废料堆放大棚，</w:t>
                  </w:r>
                  <w:r>
                    <w:rPr>
                      <w:rFonts w:hint="default" w:ascii="Times New Roman" w:hAnsi="Times New Roman" w:eastAsia="宋体" w:cs="Times New Roman"/>
                      <w:color w:val="auto"/>
                      <w:kern w:val="0"/>
                      <w:sz w:val="21"/>
                      <w:szCs w:val="21"/>
                      <w:lang w:val="en-US" w:eastAsia="zh-CN" w:bidi="ar-SA"/>
                    </w:rPr>
                    <w:t>由附近农户清运至坚果种植基地作为肥料施用</w:t>
                  </w:r>
                  <w:r>
                    <w:rPr>
                      <w:rFonts w:hint="eastAsia" w:ascii="Times New Roman" w:hAnsi="Times New Roman" w:eastAsia="宋体" w:cs="Times New Roman"/>
                      <w:color w:val="auto"/>
                      <w:kern w:val="0"/>
                      <w:sz w:val="21"/>
                      <w:szCs w:val="21"/>
                      <w:lang w:val="en-US" w:eastAsia="zh-CN" w:bidi="ar-SA"/>
                    </w:rPr>
                    <w:t>。</w:t>
                  </w:r>
                </w:p>
              </w:tc>
              <w:tc>
                <w:tcPr>
                  <w:tcW w:w="1078" w:type="pct"/>
                  <w:noWrap w:val="0"/>
                  <w:tcMar>
                    <w:left w:w="28" w:type="dxa"/>
                    <w:right w:w="28" w:type="dxa"/>
                  </w:tcMar>
                  <w:vAlign w:val="center"/>
                </w:tcPr>
                <w:p w14:paraId="253A2346">
                  <w:pPr>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900-999-99</w:t>
                  </w:r>
                </w:p>
              </w:tc>
            </w:tr>
            <w:tr w14:paraId="26C8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70" w:type="pct"/>
                  <w:vMerge w:val="continue"/>
                  <w:noWrap w:val="0"/>
                  <w:tcMar>
                    <w:left w:w="28" w:type="dxa"/>
                    <w:right w:w="28" w:type="dxa"/>
                  </w:tcMar>
                  <w:vAlign w:val="center"/>
                </w:tcPr>
                <w:p w14:paraId="1C90E2C1">
                  <w:pPr>
                    <w:pStyle w:val="80"/>
                    <w:jc w:val="center"/>
                    <w:rPr>
                      <w:rFonts w:hint="default" w:ascii="Times New Roman" w:hAnsi="Times New Roman" w:eastAsia="宋体" w:cs="Times New Roman"/>
                      <w:color w:val="auto"/>
                      <w:sz w:val="21"/>
                      <w:szCs w:val="21"/>
                      <w:lang w:val="en-US" w:eastAsia="zh-CN"/>
                    </w:rPr>
                  </w:pPr>
                </w:p>
              </w:tc>
              <w:tc>
                <w:tcPr>
                  <w:tcW w:w="685" w:type="pct"/>
                  <w:vMerge w:val="continue"/>
                  <w:noWrap w:val="0"/>
                  <w:tcMar>
                    <w:left w:w="28" w:type="dxa"/>
                    <w:right w:w="28" w:type="dxa"/>
                  </w:tcMar>
                  <w:vAlign w:val="center"/>
                </w:tcPr>
                <w:p w14:paraId="554135FC">
                  <w:pPr>
                    <w:pStyle w:val="80"/>
                    <w:jc w:val="center"/>
                    <w:rPr>
                      <w:rFonts w:hint="default" w:ascii="Times New Roman" w:hAnsi="Times New Roman" w:eastAsia="宋体" w:cs="Times New Roman"/>
                      <w:color w:val="auto"/>
                      <w:sz w:val="21"/>
                      <w:szCs w:val="21"/>
                      <w:lang w:val="en-US" w:eastAsia="zh-CN"/>
                    </w:rPr>
                  </w:pPr>
                </w:p>
              </w:tc>
              <w:tc>
                <w:tcPr>
                  <w:tcW w:w="590" w:type="pct"/>
                  <w:noWrap w:val="0"/>
                  <w:tcMar>
                    <w:left w:w="28" w:type="dxa"/>
                    <w:right w:w="28" w:type="dxa"/>
                  </w:tcMar>
                  <w:vAlign w:val="center"/>
                </w:tcPr>
                <w:p w14:paraId="783A89FB">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废弃的残次坚果、不合格品</w:t>
                  </w:r>
                </w:p>
              </w:tc>
              <w:tc>
                <w:tcPr>
                  <w:tcW w:w="665" w:type="pct"/>
                  <w:noWrap w:val="0"/>
                  <w:tcMar>
                    <w:left w:w="28" w:type="dxa"/>
                    <w:right w:w="28" w:type="dxa"/>
                  </w:tcMar>
                  <w:vAlign w:val="center"/>
                </w:tcPr>
                <w:p w14:paraId="5E23E661">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固态</w:t>
                  </w:r>
                </w:p>
              </w:tc>
              <w:tc>
                <w:tcPr>
                  <w:tcW w:w="502" w:type="pct"/>
                  <w:noWrap w:val="0"/>
                  <w:tcMar>
                    <w:left w:w="28" w:type="dxa"/>
                    <w:right w:w="28" w:type="dxa"/>
                  </w:tcMar>
                  <w:vAlign w:val="center"/>
                </w:tcPr>
                <w:p w14:paraId="19EE7FB7">
                  <w:pPr>
                    <w:pStyle w:val="8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660</w:t>
                  </w:r>
                </w:p>
              </w:tc>
              <w:tc>
                <w:tcPr>
                  <w:tcW w:w="1206" w:type="pct"/>
                  <w:noWrap w:val="0"/>
                  <w:tcMar>
                    <w:left w:w="28" w:type="dxa"/>
                    <w:right w:w="28" w:type="dxa"/>
                  </w:tcMar>
                  <w:vAlign w:val="center"/>
                </w:tcPr>
                <w:p w14:paraId="713D8504">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外售给回收商进行加工再利用。</w:t>
                  </w:r>
                </w:p>
              </w:tc>
              <w:tc>
                <w:tcPr>
                  <w:tcW w:w="1078" w:type="pct"/>
                  <w:noWrap w:val="0"/>
                  <w:tcMar>
                    <w:left w:w="28" w:type="dxa"/>
                    <w:right w:w="28" w:type="dxa"/>
                  </w:tcMar>
                  <w:vAlign w:val="center"/>
                </w:tcPr>
                <w:p w14:paraId="4C03AE6A">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900-999-99</w:t>
                  </w:r>
                </w:p>
              </w:tc>
            </w:tr>
            <w:tr w14:paraId="0B40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70" w:type="pct"/>
                  <w:vMerge w:val="continue"/>
                  <w:noWrap w:val="0"/>
                  <w:tcMar>
                    <w:left w:w="28" w:type="dxa"/>
                    <w:right w:w="28" w:type="dxa"/>
                  </w:tcMar>
                  <w:vAlign w:val="center"/>
                </w:tcPr>
                <w:p w14:paraId="09C3609E">
                  <w:pPr>
                    <w:pStyle w:val="80"/>
                    <w:jc w:val="center"/>
                    <w:rPr>
                      <w:rFonts w:hint="default" w:ascii="Times New Roman" w:hAnsi="Times New Roman" w:eastAsia="宋体" w:cs="Times New Roman"/>
                      <w:color w:val="auto"/>
                      <w:sz w:val="21"/>
                      <w:szCs w:val="21"/>
                      <w:lang w:val="en-US" w:eastAsia="zh-CN"/>
                    </w:rPr>
                  </w:pPr>
                </w:p>
              </w:tc>
              <w:tc>
                <w:tcPr>
                  <w:tcW w:w="685" w:type="pct"/>
                  <w:vMerge w:val="continue"/>
                  <w:noWrap w:val="0"/>
                  <w:tcMar>
                    <w:left w:w="28" w:type="dxa"/>
                    <w:right w:w="28" w:type="dxa"/>
                  </w:tcMar>
                  <w:vAlign w:val="center"/>
                </w:tcPr>
                <w:p w14:paraId="312F8C84">
                  <w:pPr>
                    <w:pStyle w:val="80"/>
                    <w:jc w:val="center"/>
                    <w:rPr>
                      <w:rFonts w:hint="default" w:ascii="Times New Roman" w:hAnsi="Times New Roman" w:eastAsia="宋体" w:cs="Times New Roman"/>
                      <w:color w:val="auto"/>
                      <w:sz w:val="21"/>
                      <w:szCs w:val="21"/>
                      <w:lang w:val="en-US" w:eastAsia="zh-CN"/>
                    </w:rPr>
                  </w:pPr>
                </w:p>
              </w:tc>
              <w:tc>
                <w:tcPr>
                  <w:tcW w:w="590" w:type="pct"/>
                  <w:noWrap w:val="0"/>
                  <w:tcMar>
                    <w:left w:w="28" w:type="dxa"/>
                    <w:right w:w="28" w:type="dxa"/>
                  </w:tcMar>
                  <w:vAlign w:val="center"/>
                </w:tcPr>
                <w:p w14:paraId="5B6F251F">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果壳</w:t>
                  </w:r>
                </w:p>
              </w:tc>
              <w:tc>
                <w:tcPr>
                  <w:tcW w:w="665" w:type="pct"/>
                  <w:noWrap w:val="0"/>
                  <w:tcMar>
                    <w:left w:w="28" w:type="dxa"/>
                    <w:right w:w="28" w:type="dxa"/>
                  </w:tcMar>
                  <w:vAlign w:val="center"/>
                </w:tcPr>
                <w:p w14:paraId="6BB3E91C">
                  <w:pPr>
                    <w:pStyle w:val="8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固态</w:t>
                  </w:r>
                </w:p>
              </w:tc>
              <w:tc>
                <w:tcPr>
                  <w:tcW w:w="502" w:type="pct"/>
                  <w:noWrap w:val="0"/>
                  <w:tcMar>
                    <w:left w:w="28" w:type="dxa"/>
                    <w:right w:w="28" w:type="dxa"/>
                  </w:tcMar>
                  <w:vAlign w:val="center"/>
                </w:tcPr>
                <w:p w14:paraId="13F1A199">
                  <w:pPr>
                    <w:pStyle w:val="8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1206" w:type="pct"/>
                  <w:noWrap w:val="0"/>
                  <w:tcMar>
                    <w:left w:w="28" w:type="dxa"/>
                    <w:right w:w="28" w:type="dxa"/>
                  </w:tcMar>
                  <w:vAlign w:val="center"/>
                </w:tcPr>
                <w:p w14:paraId="434A6675">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1078" w:type="pct"/>
                  <w:noWrap w:val="0"/>
                  <w:tcMar>
                    <w:left w:w="28" w:type="dxa"/>
                    <w:right w:w="28" w:type="dxa"/>
                  </w:tcMar>
                  <w:vAlign w:val="center"/>
                </w:tcPr>
                <w:p w14:paraId="345F96F6">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900-999-99</w:t>
                  </w:r>
                </w:p>
              </w:tc>
            </w:tr>
            <w:tr w14:paraId="0CB6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70" w:type="pct"/>
                  <w:vMerge w:val="continue"/>
                  <w:noWrap w:val="0"/>
                  <w:tcMar>
                    <w:left w:w="28" w:type="dxa"/>
                    <w:right w:w="28" w:type="dxa"/>
                  </w:tcMar>
                  <w:vAlign w:val="center"/>
                </w:tcPr>
                <w:p w14:paraId="4951CB71">
                  <w:pPr>
                    <w:pStyle w:val="80"/>
                    <w:jc w:val="center"/>
                    <w:rPr>
                      <w:rFonts w:hint="default" w:ascii="Times New Roman" w:hAnsi="Times New Roman" w:eastAsia="宋体" w:cs="Times New Roman"/>
                      <w:color w:val="auto"/>
                      <w:sz w:val="21"/>
                      <w:szCs w:val="21"/>
                      <w:lang w:val="en-US" w:eastAsia="zh-CN"/>
                    </w:rPr>
                  </w:pPr>
                </w:p>
              </w:tc>
              <w:tc>
                <w:tcPr>
                  <w:tcW w:w="685" w:type="pct"/>
                  <w:noWrap w:val="0"/>
                  <w:tcMar>
                    <w:left w:w="28" w:type="dxa"/>
                    <w:right w:w="28" w:type="dxa"/>
                  </w:tcMar>
                  <w:vAlign w:val="center"/>
                </w:tcPr>
                <w:p w14:paraId="0167F86C">
                  <w:pPr>
                    <w:pStyle w:val="8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原料使用及产品</w:t>
                  </w:r>
                  <w:r>
                    <w:rPr>
                      <w:rFonts w:hint="eastAsia" w:ascii="Times New Roman" w:hAnsi="Times New Roman" w:eastAsia="宋体" w:cs="Times New Roman"/>
                      <w:color w:val="auto"/>
                      <w:sz w:val="21"/>
                      <w:szCs w:val="21"/>
                      <w:lang w:val="en-US" w:eastAsia="zh-CN"/>
                    </w:rPr>
                    <w:t>包装</w:t>
                  </w:r>
                  <w:r>
                    <w:rPr>
                      <w:rFonts w:hint="default" w:ascii="Times New Roman" w:hAnsi="Times New Roman" w:eastAsia="宋体" w:cs="Times New Roman"/>
                      <w:color w:val="auto"/>
                      <w:sz w:val="21"/>
                      <w:szCs w:val="21"/>
                      <w:lang w:val="en-US" w:eastAsia="zh-CN"/>
                    </w:rPr>
                    <w:t>过程</w:t>
                  </w:r>
                </w:p>
              </w:tc>
              <w:tc>
                <w:tcPr>
                  <w:tcW w:w="590" w:type="pct"/>
                  <w:noWrap w:val="0"/>
                  <w:tcMar>
                    <w:left w:w="28" w:type="dxa"/>
                    <w:right w:w="28" w:type="dxa"/>
                  </w:tcMar>
                  <w:vAlign w:val="center"/>
                </w:tcPr>
                <w:p w14:paraId="3C1F6CDF">
                  <w:pPr>
                    <w:pStyle w:val="8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废包装材料</w:t>
                  </w:r>
                </w:p>
              </w:tc>
              <w:tc>
                <w:tcPr>
                  <w:tcW w:w="665" w:type="pct"/>
                  <w:noWrap w:val="0"/>
                  <w:tcMar>
                    <w:left w:w="28" w:type="dxa"/>
                    <w:right w:w="28" w:type="dxa"/>
                  </w:tcMar>
                  <w:vAlign w:val="center"/>
                </w:tcPr>
                <w:p w14:paraId="1CD7AECF">
                  <w:pPr>
                    <w:pStyle w:val="8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502" w:type="pct"/>
                  <w:noWrap w:val="0"/>
                  <w:tcMar>
                    <w:left w:w="28" w:type="dxa"/>
                    <w:right w:w="28" w:type="dxa"/>
                  </w:tcMar>
                  <w:vAlign w:val="center"/>
                </w:tcPr>
                <w:p w14:paraId="087A2CD2">
                  <w:pPr>
                    <w:pStyle w:val="8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206" w:type="pct"/>
                  <w:noWrap w:val="0"/>
                  <w:tcMar>
                    <w:left w:w="28" w:type="dxa"/>
                    <w:right w:w="28" w:type="dxa"/>
                  </w:tcMar>
                  <w:vAlign w:val="center"/>
                </w:tcPr>
                <w:p w14:paraId="0C47532A">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外售给废品回收站回收综合利用</w:t>
                  </w:r>
                  <w:r>
                    <w:rPr>
                      <w:rFonts w:hint="eastAsia" w:ascii="Times New Roman" w:hAnsi="Times New Roman" w:eastAsia="宋体" w:cs="Times New Roman"/>
                      <w:color w:val="auto"/>
                      <w:kern w:val="0"/>
                      <w:sz w:val="21"/>
                      <w:szCs w:val="21"/>
                      <w:lang w:val="en-US" w:eastAsia="zh-CN" w:bidi="ar-SA"/>
                    </w:rPr>
                    <w:t>。</w:t>
                  </w:r>
                </w:p>
              </w:tc>
              <w:tc>
                <w:tcPr>
                  <w:tcW w:w="1078" w:type="pct"/>
                  <w:noWrap w:val="0"/>
                  <w:tcMar>
                    <w:left w:w="28" w:type="dxa"/>
                    <w:right w:w="28" w:type="dxa"/>
                  </w:tcMar>
                  <w:vAlign w:val="center"/>
                </w:tcPr>
                <w:p w14:paraId="26305B6F">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900-999-99</w:t>
                  </w:r>
                </w:p>
              </w:tc>
            </w:tr>
            <w:tr w14:paraId="5BA9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70" w:type="pct"/>
                  <w:vMerge w:val="continue"/>
                  <w:noWrap w:val="0"/>
                  <w:tcMar>
                    <w:left w:w="28" w:type="dxa"/>
                    <w:right w:w="28" w:type="dxa"/>
                  </w:tcMar>
                  <w:vAlign w:val="center"/>
                </w:tcPr>
                <w:p w14:paraId="385AA904">
                  <w:pPr>
                    <w:pStyle w:val="80"/>
                    <w:jc w:val="center"/>
                    <w:rPr>
                      <w:rFonts w:hint="default" w:ascii="Times New Roman" w:hAnsi="Times New Roman" w:eastAsia="宋体" w:cs="Times New Roman"/>
                      <w:color w:val="auto"/>
                      <w:sz w:val="21"/>
                      <w:szCs w:val="21"/>
                      <w:lang w:val="en-US" w:eastAsia="zh-CN"/>
                    </w:rPr>
                  </w:pPr>
                </w:p>
              </w:tc>
              <w:tc>
                <w:tcPr>
                  <w:tcW w:w="685" w:type="pct"/>
                  <w:noWrap w:val="0"/>
                  <w:tcMar>
                    <w:left w:w="28" w:type="dxa"/>
                    <w:right w:w="28" w:type="dxa"/>
                  </w:tcMar>
                  <w:vAlign w:val="center"/>
                </w:tcPr>
                <w:p w14:paraId="512A70ED">
                  <w:pPr>
                    <w:pStyle w:val="8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布袋除尘器</w:t>
                  </w:r>
                </w:p>
              </w:tc>
              <w:tc>
                <w:tcPr>
                  <w:tcW w:w="590" w:type="pct"/>
                  <w:noWrap w:val="0"/>
                  <w:tcMar>
                    <w:left w:w="28" w:type="dxa"/>
                    <w:right w:w="28" w:type="dxa"/>
                  </w:tcMar>
                  <w:vAlign w:val="center"/>
                </w:tcPr>
                <w:p w14:paraId="79F886F1">
                  <w:pPr>
                    <w:pStyle w:val="80"/>
                    <w:jc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回收粉尘</w:t>
                  </w:r>
                </w:p>
              </w:tc>
              <w:tc>
                <w:tcPr>
                  <w:tcW w:w="665" w:type="pct"/>
                  <w:noWrap w:val="0"/>
                  <w:tcMar>
                    <w:left w:w="28" w:type="dxa"/>
                    <w:right w:w="28" w:type="dxa"/>
                  </w:tcMar>
                  <w:vAlign w:val="center"/>
                </w:tcPr>
                <w:p w14:paraId="431CDC1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02" w:type="pct"/>
                  <w:noWrap w:val="0"/>
                  <w:tcMar>
                    <w:left w:w="28" w:type="dxa"/>
                    <w:right w:w="28" w:type="dxa"/>
                  </w:tcMar>
                  <w:vAlign w:val="center"/>
                </w:tcPr>
                <w:p w14:paraId="54C8CA4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0.2159</w:t>
                  </w:r>
                </w:p>
              </w:tc>
              <w:tc>
                <w:tcPr>
                  <w:tcW w:w="1206" w:type="pct"/>
                  <w:noWrap w:val="0"/>
                  <w:tcMar>
                    <w:left w:w="28" w:type="dxa"/>
                    <w:right w:w="28" w:type="dxa"/>
                  </w:tcMar>
                  <w:vAlign w:val="center"/>
                </w:tcPr>
                <w:p w14:paraId="1F005489">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1078" w:type="pct"/>
                  <w:noWrap w:val="0"/>
                  <w:tcMar>
                    <w:left w:w="28" w:type="dxa"/>
                    <w:right w:w="28" w:type="dxa"/>
                  </w:tcMar>
                  <w:vAlign w:val="center"/>
                </w:tcPr>
                <w:p w14:paraId="253A6C9C">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lang w:val="en-US" w:eastAsia="zh-CN"/>
                    </w:rPr>
                    <w:t>900-999-66</w:t>
                  </w:r>
                </w:p>
              </w:tc>
            </w:tr>
            <w:tr w14:paraId="47F7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70" w:type="pct"/>
                  <w:vMerge w:val="continue"/>
                  <w:noWrap w:val="0"/>
                  <w:tcMar>
                    <w:left w:w="28" w:type="dxa"/>
                    <w:right w:w="28" w:type="dxa"/>
                  </w:tcMar>
                  <w:vAlign w:val="center"/>
                </w:tcPr>
                <w:p w14:paraId="53AA39D1">
                  <w:pPr>
                    <w:pStyle w:val="80"/>
                    <w:jc w:val="center"/>
                    <w:rPr>
                      <w:rFonts w:hint="default" w:ascii="Times New Roman" w:hAnsi="Times New Roman" w:eastAsia="宋体" w:cs="Times New Roman"/>
                      <w:color w:val="auto"/>
                      <w:sz w:val="21"/>
                      <w:szCs w:val="21"/>
                      <w:lang w:eastAsia="zh-CN"/>
                    </w:rPr>
                  </w:pPr>
                </w:p>
              </w:tc>
              <w:tc>
                <w:tcPr>
                  <w:tcW w:w="685" w:type="pct"/>
                  <w:noWrap w:val="0"/>
                  <w:tcMar>
                    <w:left w:w="28" w:type="dxa"/>
                    <w:right w:w="28" w:type="dxa"/>
                  </w:tcMar>
                  <w:vAlign w:val="center"/>
                </w:tcPr>
                <w:p w14:paraId="72C0F9A1">
                  <w:pPr>
                    <w:pStyle w:val="8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办公生活</w:t>
                  </w:r>
                </w:p>
              </w:tc>
              <w:tc>
                <w:tcPr>
                  <w:tcW w:w="590" w:type="pct"/>
                  <w:noWrap w:val="0"/>
                  <w:tcMar>
                    <w:left w:w="28" w:type="dxa"/>
                    <w:right w:w="28" w:type="dxa"/>
                  </w:tcMar>
                  <w:vAlign w:val="center"/>
                </w:tcPr>
                <w:p w14:paraId="16BE9F75">
                  <w:pPr>
                    <w:pStyle w:val="8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生活垃圾</w:t>
                  </w:r>
                </w:p>
              </w:tc>
              <w:tc>
                <w:tcPr>
                  <w:tcW w:w="665" w:type="pct"/>
                  <w:noWrap w:val="0"/>
                  <w:tcMar>
                    <w:left w:w="28" w:type="dxa"/>
                    <w:right w:w="28" w:type="dxa"/>
                  </w:tcMar>
                  <w:vAlign w:val="center"/>
                </w:tcPr>
                <w:p w14:paraId="48B486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固态</w:t>
                  </w:r>
                </w:p>
              </w:tc>
              <w:tc>
                <w:tcPr>
                  <w:tcW w:w="502" w:type="pct"/>
                  <w:noWrap w:val="0"/>
                  <w:tcMar>
                    <w:left w:w="28" w:type="dxa"/>
                    <w:right w:w="28" w:type="dxa"/>
                  </w:tcMar>
                  <w:vAlign w:val="center"/>
                </w:tcPr>
                <w:p w14:paraId="28F0B707">
                  <w:pPr>
                    <w:pStyle w:val="8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c>
                <w:tcPr>
                  <w:tcW w:w="1206" w:type="pct"/>
                  <w:noWrap w:val="0"/>
                  <w:tcMar>
                    <w:left w:w="28" w:type="dxa"/>
                    <w:right w:w="28" w:type="dxa"/>
                  </w:tcMar>
                  <w:vAlign w:val="center"/>
                </w:tcPr>
                <w:p w14:paraId="11A5D2BE">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设置2个环保型垃圾收集桶收集，</w:t>
                  </w:r>
                  <w:r>
                    <w:rPr>
                      <w:rFonts w:hint="eastAsia" w:ascii="Times New Roman" w:hAnsi="Times New Roman" w:eastAsia="宋体" w:cs="Times New Roman"/>
                      <w:color w:val="auto"/>
                      <w:kern w:val="0"/>
                      <w:sz w:val="21"/>
                      <w:szCs w:val="21"/>
                      <w:lang w:val="en-US" w:eastAsia="zh-CN" w:bidi="ar-SA"/>
                    </w:rPr>
                    <w:t>定期清运至当地乡镇垃圾收集点由环卫部门定期清运集中处置</w:t>
                  </w:r>
                  <w:r>
                    <w:rPr>
                      <w:rFonts w:hint="default" w:ascii="Times New Roman" w:hAnsi="Times New Roman" w:eastAsia="宋体" w:cs="Times New Roman"/>
                      <w:color w:val="auto"/>
                      <w:kern w:val="0"/>
                      <w:sz w:val="21"/>
                      <w:szCs w:val="21"/>
                      <w:lang w:val="en-US" w:eastAsia="zh-CN" w:bidi="ar-SA"/>
                    </w:rPr>
                    <w:t>。</w:t>
                  </w:r>
                </w:p>
              </w:tc>
              <w:tc>
                <w:tcPr>
                  <w:tcW w:w="1078" w:type="pct"/>
                  <w:noWrap w:val="0"/>
                  <w:tcMar>
                    <w:left w:w="28" w:type="dxa"/>
                    <w:right w:w="28" w:type="dxa"/>
                  </w:tcMar>
                  <w:vAlign w:val="center"/>
                </w:tcPr>
                <w:p w14:paraId="73980A19">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1FB1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0" w:type="pct"/>
                  <w:vMerge w:val="continue"/>
                  <w:noWrap w:val="0"/>
                  <w:tcMar>
                    <w:left w:w="28" w:type="dxa"/>
                    <w:right w:w="28" w:type="dxa"/>
                  </w:tcMar>
                  <w:vAlign w:val="center"/>
                </w:tcPr>
                <w:p w14:paraId="38A1C281">
                  <w:pPr>
                    <w:pStyle w:val="80"/>
                    <w:spacing w:line="360" w:lineRule="auto"/>
                    <w:jc w:val="center"/>
                    <w:rPr>
                      <w:rFonts w:hint="default" w:ascii="Times New Roman" w:hAnsi="Times New Roman" w:eastAsia="宋体" w:cs="Times New Roman"/>
                      <w:color w:val="auto"/>
                      <w:sz w:val="21"/>
                      <w:szCs w:val="21"/>
                      <w:lang w:val="en-US" w:eastAsia="zh-CN"/>
                    </w:rPr>
                  </w:pPr>
                </w:p>
              </w:tc>
              <w:tc>
                <w:tcPr>
                  <w:tcW w:w="685" w:type="pct"/>
                  <w:noWrap w:val="0"/>
                  <w:tcMar>
                    <w:left w:w="28" w:type="dxa"/>
                    <w:right w:w="28" w:type="dxa"/>
                  </w:tcMar>
                  <w:vAlign w:val="center"/>
                </w:tcPr>
                <w:p w14:paraId="1A9443BE">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、污水处理站</w:t>
                  </w:r>
                </w:p>
              </w:tc>
              <w:tc>
                <w:tcPr>
                  <w:tcW w:w="590" w:type="pct"/>
                  <w:noWrap w:val="0"/>
                  <w:tcMar>
                    <w:left w:w="28" w:type="dxa"/>
                    <w:right w:w="28" w:type="dxa"/>
                  </w:tcMar>
                  <w:vAlign w:val="center"/>
                </w:tcPr>
                <w:p w14:paraId="67FE16F7">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w:t>
                  </w:r>
                </w:p>
              </w:tc>
              <w:tc>
                <w:tcPr>
                  <w:tcW w:w="665" w:type="pct"/>
                  <w:noWrap w:val="0"/>
                  <w:tcMar>
                    <w:left w:w="28" w:type="dxa"/>
                    <w:right w:w="28" w:type="dxa"/>
                  </w:tcMar>
                  <w:vAlign w:val="center"/>
                </w:tcPr>
                <w:p w14:paraId="4D73188A">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02" w:type="pct"/>
                  <w:noWrap w:val="0"/>
                  <w:tcMar>
                    <w:left w:w="28" w:type="dxa"/>
                    <w:right w:w="28" w:type="dxa"/>
                  </w:tcMar>
                  <w:vAlign w:val="center"/>
                </w:tcPr>
                <w:p w14:paraId="5B143B15">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1206" w:type="pct"/>
                  <w:noWrap w:val="0"/>
                  <w:tcMar>
                    <w:left w:w="28" w:type="dxa"/>
                    <w:right w:w="28" w:type="dxa"/>
                  </w:tcMar>
                  <w:vAlign w:val="center"/>
                </w:tcPr>
                <w:p w14:paraId="64F850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定期由附近村民清掏作为农家肥使用。</w:t>
                  </w:r>
                </w:p>
              </w:tc>
              <w:tc>
                <w:tcPr>
                  <w:tcW w:w="1078" w:type="pct"/>
                  <w:noWrap w:val="0"/>
                  <w:tcMar>
                    <w:left w:w="28" w:type="dxa"/>
                    <w:right w:w="28" w:type="dxa"/>
                  </w:tcMar>
                  <w:vAlign w:val="center"/>
                </w:tcPr>
                <w:p w14:paraId="2B00282E">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551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0" w:type="pct"/>
                  <w:vMerge w:val="continue"/>
                  <w:noWrap w:val="0"/>
                  <w:tcMar>
                    <w:left w:w="28" w:type="dxa"/>
                    <w:right w:w="28" w:type="dxa"/>
                  </w:tcMar>
                  <w:vAlign w:val="center"/>
                </w:tcPr>
                <w:p w14:paraId="5D301A5D">
                  <w:pPr>
                    <w:pStyle w:val="80"/>
                    <w:spacing w:line="360" w:lineRule="auto"/>
                    <w:jc w:val="center"/>
                    <w:rPr>
                      <w:rFonts w:hint="default" w:ascii="Times New Roman" w:hAnsi="Times New Roman" w:eastAsia="宋体" w:cs="Times New Roman"/>
                      <w:color w:val="auto"/>
                      <w:sz w:val="21"/>
                      <w:szCs w:val="21"/>
                      <w:lang w:val="en-US" w:eastAsia="zh-CN"/>
                    </w:rPr>
                  </w:pPr>
                </w:p>
              </w:tc>
              <w:tc>
                <w:tcPr>
                  <w:tcW w:w="685" w:type="pct"/>
                  <w:noWrap w:val="0"/>
                  <w:tcMar>
                    <w:left w:w="28" w:type="dxa"/>
                    <w:right w:w="28" w:type="dxa"/>
                  </w:tcMar>
                  <w:vAlign w:val="center"/>
                </w:tcPr>
                <w:p w14:paraId="12A95FA9">
                  <w:pPr>
                    <w:pStyle w:val="8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隔油池</w:t>
                  </w:r>
                </w:p>
              </w:tc>
              <w:tc>
                <w:tcPr>
                  <w:tcW w:w="590" w:type="pct"/>
                  <w:noWrap w:val="0"/>
                  <w:tcMar>
                    <w:left w:w="28" w:type="dxa"/>
                    <w:right w:w="28" w:type="dxa"/>
                  </w:tcMar>
                  <w:vAlign w:val="center"/>
                </w:tcPr>
                <w:p w14:paraId="01761665">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废油脂</w:t>
                  </w:r>
                </w:p>
              </w:tc>
              <w:tc>
                <w:tcPr>
                  <w:tcW w:w="665" w:type="pct"/>
                  <w:noWrap w:val="0"/>
                  <w:tcMar>
                    <w:left w:w="28" w:type="dxa"/>
                    <w:right w:w="28" w:type="dxa"/>
                  </w:tcMar>
                  <w:vAlign w:val="center"/>
                </w:tcPr>
                <w:p w14:paraId="5ECA6304">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502" w:type="pct"/>
                  <w:noWrap w:val="0"/>
                  <w:tcMar>
                    <w:left w:w="28" w:type="dxa"/>
                    <w:right w:w="28" w:type="dxa"/>
                  </w:tcMar>
                  <w:vAlign w:val="center"/>
                </w:tcPr>
                <w:p w14:paraId="1E956009">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1206" w:type="pct"/>
                  <w:noWrap w:val="0"/>
                  <w:tcMar>
                    <w:left w:w="28" w:type="dxa"/>
                    <w:right w:w="28" w:type="dxa"/>
                  </w:tcMar>
                  <w:vAlign w:val="center"/>
                </w:tcPr>
                <w:p w14:paraId="4E5024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建设单位严格按照当地相关政府部门管理要求进行处置。</w:t>
                  </w:r>
                </w:p>
              </w:tc>
              <w:tc>
                <w:tcPr>
                  <w:tcW w:w="1078" w:type="pct"/>
                  <w:noWrap w:val="0"/>
                  <w:tcMar>
                    <w:left w:w="28" w:type="dxa"/>
                    <w:right w:w="28" w:type="dxa"/>
                  </w:tcMar>
                  <w:vAlign w:val="center"/>
                </w:tcPr>
                <w:p w14:paraId="633D5B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485A54B7">
            <w:pPr>
              <w:numPr>
                <w:ilvl w:val="0"/>
                <w:numId w:val="0"/>
              </w:numPr>
              <w:tabs>
                <w:tab w:val="left" w:pos="845"/>
                <w:tab w:val="left" w:pos="1020"/>
              </w:tabs>
              <w:adjustRightInd w:val="0"/>
              <w:snapToGrid w:val="0"/>
              <w:spacing w:line="360" w:lineRule="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2.4.2</w:t>
            </w:r>
            <w:r>
              <w:rPr>
                <w:rFonts w:hint="default" w:ascii="Times New Roman" w:hAnsi="Times New Roman" w:eastAsia="宋体" w:cs="Times New Roman"/>
                <w:b w:val="0"/>
                <w:bCs w:val="0"/>
                <w:color w:val="auto"/>
                <w:sz w:val="24"/>
                <w:szCs w:val="24"/>
                <w:highlight w:val="none"/>
                <w:lang w:val="en-US" w:eastAsia="zh-CN"/>
              </w:rPr>
              <w:t>固体废物</w:t>
            </w:r>
            <w:r>
              <w:rPr>
                <w:rFonts w:hint="eastAsia" w:ascii="Times New Roman" w:hAnsi="Times New Roman" w:eastAsia="宋体" w:cs="Times New Roman"/>
                <w:b w:val="0"/>
                <w:bCs w:val="0"/>
                <w:color w:val="auto"/>
                <w:sz w:val="24"/>
                <w:szCs w:val="24"/>
                <w:highlight w:val="none"/>
                <w:lang w:val="en-US" w:eastAsia="zh-CN"/>
              </w:rPr>
              <w:t>产生情况简述</w:t>
            </w:r>
          </w:p>
          <w:p w14:paraId="1FC9A4D0">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本项目固废</w:t>
            </w:r>
            <w:r>
              <w:rPr>
                <w:rFonts w:hint="eastAsia" w:ascii="宋体" w:hAnsi="宋体" w:eastAsia="宋体" w:cs="宋体"/>
                <w:color w:val="auto"/>
                <w:sz w:val="24"/>
                <w:szCs w:val="24"/>
                <w:lang w:val="en-US" w:eastAsia="zh-CN"/>
              </w:rPr>
              <w:t>产生情况具体如下：</w:t>
            </w:r>
          </w:p>
          <w:p w14:paraId="792235B1">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w:t>
            </w:r>
            <w:r>
              <w:rPr>
                <w:rFonts w:hint="default" w:ascii="Times New Roman" w:hAnsi="Times New Roman" w:eastAsia="宋体" w:cs="Times New Roman"/>
                <w:color w:val="auto"/>
                <w:kern w:val="2"/>
                <w:sz w:val="24"/>
                <w:szCs w:val="20"/>
                <w:lang w:val="en-US" w:eastAsia="zh-CN" w:bidi="ar-SA"/>
              </w:rPr>
              <w:t>坚果皮</w:t>
            </w:r>
          </w:p>
          <w:p w14:paraId="08CD78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坚果皮产生于脱皮机去除外层青皮环节，根据设计资料，坚果皮产生量为澳洲坚果鲜果用量的35%，本项目澳洲坚果鲜果用量为6600t/a，则坚果皮产生量为2310t/a，暂存于废料</w:t>
            </w:r>
            <w:r>
              <w:rPr>
                <w:rFonts w:hint="eastAsia" w:ascii="Times New Roman" w:hAnsi="Times New Roman" w:eastAsia="宋体" w:cs="Times New Roman"/>
                <w:color w:val="auto"/>
                <w:kern w:val="2"/>
                <w:sz w:val="24"/>
                <w:szCs w:val="20"/>
                <w:lang w:val="en-US" w:eastAsia="zh-CN" w:bidi="ar-SA"/>
              </w:rPr>
              <w:t>堆放</w:t>
            </w:r>
            <w:r>
              <w:rPr>
                <w:rFonts w:hint="default" w:ascii="Times New Roman" w:hAnsi="Times New Roman" w:eastAsia="宋体" w:cs="Times New Roman"/>
                <w:color w:val="auto"/>
                <w:kern w:val="2"/>
                <w:sz w:val="24"/>
                <w:szCs w:val="20"/>
                <w:lang w:val="en-US" w:eastAsia="zh-CN" w:bidi="ar-SA"/>
              </w:rPr>
              <w:t>大棚，</w:t>
            </w:r>
            <w:r>
              <w:rPr>
                <w:rFonts w:hint="eastAsia" w:ascii="Times New Roman" w:hAnsi="Times New Roman" w:eastAsia="宋体" w:cs="Times New Roman"/>
                <w:color w:val="auto"/>
                <w:kern w:val="2"/>
                <w:sz w:val="24"/>
                <w:szCs w:val="20"/>
                <w:lang w:val="en-US" w:eastAsia="zh-CN" w:bidi="ar-SA"/>
              </w:rPr>
              <w:t>由附近农户清掏拉运至坚果种植基地堆肥发酵作为农家肥使用</w:t>
            </w:r>
            <w:r>
              <w:rPr>
                <w:rFonts w:hint="default" w:ascii="Times New Roman" w:hAnsi="Times New Roman" w:eastAsia="宋体" w:cs="Times New Roman"/>
                <w:color w:val="auto"/>
                <w:kern w:val="2"/>
                <w:sz w:val="24"/>
                <w:szCs w:val="20"/>
                <w:lang w:val="en-US" w:eastAsia="zh-CN" w:bidi="ar-SA"/>
              </w:rPr>
              <w:t>。</w:t>
            </w:r>
          </w:p>
          <w:p w14:paraId="3FBB986F">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w:t>
            </w:r>
            <w:r>
              <w:rPr>
                <w:rFonts w:hint="default" w:ascii="Times New Roman" w:hAnsi="Times New Roman" w:eastAsia="宋体" w:cs="Times New Roman"/>
                <w:color w:val="auto"/>
                <w:kern w:val="2"/>
                <w:sz w:val="24"/>
                <w:szCs w:val="20"/>
                <w:lang w:val="en-US" w:eastAsia="zh-CN" w:bidi="ar-SA"/>
              </w:rPr>
              <w:t>废弃的残次坚果、不合格品</w:t>
            </w:r>
          </w:p>
          <w:p w14:paraId="5C0ADC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在生产过程中会挑选出虫果及残次坚果，粒径过小的产品，</w:t>
            </w:r>
            <w:r>
              <w:rPr>
                <w:rFonts w:hint="eastAsia" w:ascii="Times New Roman" w:hAnsi="Times New Roman" w:eastAsia="宋体" w:cs="Times New Roman"/>
                <w:color w:val="auto"/>
                <w:kern w:val="2"/>
                <w:sz w:val="24"/>
                <w:szCs w:val="20"/>
                <w:lang w:val="en-US" w:eastAsia="zh-CN" w:bidi="ar-SA"/>
              </w:rPr>
              <w:t>生产线下料</w:t>
            </w:r>
            <w:r>
              <w:rPr>
                <w:rFonts w:hint="default" w:ascii="Times New Roman" w:hAnsi="Times New Roman" w:eastAsia="宋体" w:cs="Times New Roman"/>
                <w:color w:val="auto"/>
                <w:kern w:val="2"/>
                <w:sz w:val="24"/>
                <w:szCs w:val="20"/>
                <w:lang w:val="en-US" w:eastAsia="zh-CN" w:bidi="ar-SA"/>
              </w:rPr>
              <w:t>产生量为澳洲坚果鲜果用量的10%，本项目澳洲坚果鲜果用量为6600t/a，则废弃残次坚果、不合格品产生量为660t/a，</w:t>
            </w:r>
            <w:r>
              <w:rPr>
                <w:rFonts w:hint="eastAsia" w:ascii="Times New Roman" w:hAnsi="Times New Roman" w:eastAsia="宋体" w:cs="Times New Roman"/>
                <w:color w:val="auto"/>
                <w:kern w:val="2"/>
                <w:sz w:val="24"/>
                <w:szCs w:val="20"/>
                <w:lang w:val="en-US" w:eastAsia="zh-CN" w:bidi="ar-SA"/>
              </w:rPr>
              <w:t>外售给回收商进行加工再利用。</w:t>
            </w:r>
          </w:p>
          <w:p w14:paraId="19353E0F">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w:t>
            </w:r>
            <w:r>
              <w:rPr>
                <w:rFonts w:hint="default" w:ascii="Times New Roman" w:hAnsi="Times New Roman" w:eastAsia="宋体" w:cs="Times New Roman"/>
                <w:color w:val="auto"/>
                <w:kern w:val="2"/>
                <w:sz w:val="24"/>
                <w:szCs w:val="20"/>
                <w:lang w:val="en-US" w:eastAsia="zh-CN" w:bidi="ar-SA"/>
              </w:rPr>
              <w:t>果壳</w:t>
            </w:r>
          </w:p>
          <w:p w14:paraId="64296F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本项目在果仁深加工过程中，将会对坚果取仁脱壳，根据设计，年产果仁200t/a需要脱皮澳洲坚果壳果600t/a，则产生的果壳量为400t/a，统一装袋收集后</w:t>
            </w:r>
            <w:r>
              <w:rPr>
                <w:rFonts w:hint="eastAsia" w:ascii="Times New Roman" w:hAnsi="Times New Roman" w:eastAsia="宋体" w:cs="Times New Roman"/>
                <w:color w:val="auto"/>
                <w:kern w:val="2"/>
                <w:sz w:val="24"/>
                <w:szCs w:val="20"/>
                <w:lang w:val="en-US" w:eastAsia="zh-CN" w:bidi="ar-SA"/>
              </w:rPr>
              <w:t>暂存于废料堆放大棚暂存，</w:t>
            </w:r>
            <w:r>
              <w:rPr>
                <w:rFonts w:hint="default" w:ascii="Times New Roman" w:hAnsi="Times New Roman" w:eastAsia="宋体" w:cs="Times New Roman"/>
                <w:color w:val="auto"/>
                <w:kern w:val="2"/>
                <w:sz w:val="24"/>
                <w:szCs w:val="20"/>
                <w:lang w:val="en-US" w:eastAsia="zh-CN" w:bidi="ar-SA"/>
              </w:rPr>
              <w:t>作为生物质燃料的原料外售。</w:t>
            </w:r>
          </w:p>
          <w:p w14:paraId="6CA79186">
            <w:pPr>
              <w:pStyle w:val="16"/>
              <w:keepNext w:val="0"/>
              <w:keepLines w:val="0"/>
              <w:pageBreakBefore w:val="0"/>
              <w:numPr>
                <w:ilvl w:val="0"/>
                <w:numId w:val="0"/>
              </w:numPr>
              <w:kinsoku/>
              <w:wordWrap/>
              <w:overflowPunct/>
              <w:topLinePunct w:val="0"/>
              <w:autoSpaceDE/>
              <w:autoSpaceDN/>
              <w:bidi w:val="0"/>
              <w:adjustRightInd w:val="0"/>
              <w:snapToGrid w:val="0"/>
              <w:spacing w:line="360" w:lineRule="auto"/>
              <w:ind w:left="420" w:leftChars="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（4）废包装材料</w:t>
            </w:r>
          </w:p>
          <w:p w14:paraId="1CEB16A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本项目原料使用及产品包装等环节均为产生废包装袋、废纸箱等废包装材料，约产生量为1t/a，经过统一收集暂存于包装间内一角，</w:t>
            </w:r>
            <w:r>
              <w:rPr>
                <w:rFonts w:hint="default" w:ascii="Times New Roman" w:hAnsi="Times New Roman" w:eastAsia="宋体" w:cs="Times New Roman"/>
                <w:color w:val="auto"/>
                <w:kern w:val="2"/>
                <w:sz w:val="24"/>
                <w:szCs w:val="20"/>
                <w:lang w:val="en-US" w:eastAsia="zh-CN" w:bidi="ar-SA"/>
              </w:rPr>
              <w:t>外售给废品回收站回收综合利用。</w:t>
            </w:r>
          </w:p>
          <w:p w14:paraId="5AC15DE4">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（5）污水处理站污泥</w:t>
            </w:r>
          </w:p>
          <w:p w14:paraId="29F22CE6">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 xml:space="preserve"> 项目自建污水处理站对生产废水进行处理，在处理过程中会产生少量的污泥，定期由附近农户清掏拉运至坚果种植基地堆肥发酵作为农家肥使用，不外排。</w:t>
            </w:r>
          </w:p>
          <w:p w14:paraId="70071348">
            <w:pPr>
              <w:pStyle w:val="16"/>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（6）布袋除尘器回收粉尘</w:t>
            </w:r>
          </w:p>
          <w:p w14:paraId="573BFD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根据废气污染源分析，项目设置布袋除尘器对开口环节产生的粉尘进行净化处理，可回收的粉尘量为0.2159t/a，</w:t>
            </w:r>
            <w:r>
              <w:rPr>
                <w:rFonts w:hint="default" w:ascii="Times New Roman" w:hAnsi="Times New Roman" w:eastAsia="宋体" w:cs="Times New Roman"/>
                <w:color w:val="auto"/>
                <w:kern w:val="2"/>
                <w:sz w:val="24"/>
                <w:szCs w:val="20"/>
                <w:lang w:val="en-US" w:eastAsia="zh-CN" w:bidi="ar-SA"/>
              </w:rPr>
              <w:t>统一装袋收集后</w:t>
            </w:r>
            <w:r>
              <w:rPr>
                <w:rFonts w:hint="eastAsia" w:ascii="Times New Roman" w:hAnsi="Times New Roman" w:eastAsia="宋体" w:cs="Times New Roman"/>
                <w:color w:val="auto"/>
                <w:kern w:val="2"/>
                <w:sz w:val="24"/>
                <w:szCs w:val="20"/>
                <w:lang w:val="en-US" w:eastAsia="zh-CN" w:bidi="ar-SA"/>
              </w:rPr>
              <w:t>暂存于废料堆放大棚暂存，</w:t>
            </w:r>
            <w:r>
              <w:rPr>
                <w:rFonts w:hint="default" w:ascii="Times New Roman" w:hAnsi="Times New Roman" w:eastAsia="宋体" w:cs="Times New Roman"/>
                <w:color w:val="auto"/>
                <w:kern w:val="2"/>
                <w:sz w:val="24"/>
                <w:szCs w:val="20"/>
                <w:lang w:val="en-US" w:eastAsia="zh-CN" w:bidi="ar-SA"/>
              </w:rPr>
              <w:t>作为生物质燃料的原料外售。</w:t>
            </w:r>
          </w:p>
          <w:p w14:paraId="22046FEE">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（7）生活垃圾</w:t>
            </w:r>
          </w:p>
          <w:p w14:paraId="49E03E75">
            <w:pPr>
              <w:keepNext w:val="0"/>
              <w:keepLines w:val="0"/>
              <w:pageBreakBefore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生活垃圾主要为办公、生活的废弃物，厂区内10名工作人员，</w:t>
            </w:r>
            <w:r>
              <w:rPr>
                <w:rFonts w:hint="default" w:ascii="Times New Roman" w:hAnsi="Times New Roman" w:eastAsia="宋体" w:cs="Times New Roman"/>
                <w:color w:val="auto"/>
                <w:kern w:val="2"/>
                <w:sz w:val="24"/>
                <w:szCs w:val="20"/>
                <w:lang w:val="en-US" w:eastAsia="zh-CN" w:bidi="ar-SA"/>
              </w:rPr>
              <w:t>根据</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第二次全国污染源普查产排污核算系数手册（试用版）</w:t>
            </w:r>
            <w:r>
              <w:rPr>
                <w:rFonts w:hint="eastAsia" w:ascii="Times New Roman" w:hAnsi="Times New Roman" w:eastAsia="宋体" w:cs="Times New Roman"/>
                <w:color w:val="auto"/>
                <w:kern w:val="2"/>
                <w:sz w:val="24"/>
                <w:szCs w:val="20"/>
                <w:lang w:val="en-US" w:eastAsia="zh-CN" w:bidi="ar-SA"/>
              </w:rPr>
              <w:t>》，本次环评生活垃圾</w:t>
            </w:r>
            <w:r>
              <w:rPr>
                <w:rFonts w:hint="default" w:ascii="Times New Roman" w:hAnsi="Times New Roman" w:eastAsia="宋体" w:cs="Times New Roman"/>
                <w:color w:val="auto"/>
                <w:kern w:val="2"/>
                <w:sz w:val="24"/>
                <w:szCs w:val="20"/>
                <w:lang w:val="en-US" w:eastAsia="zh-CN" w:bidi="ar-SA"/>
              </w:rPr>
              <w:t>产生量按每人每天0.</w:t>
            </w:r>
            <w:r>
              <w:rPr>
                <w:rFonts w:hint="eastAsia" w:ascii="Times New Roman" w:hAnsi="Times New Roman" w:eastAsia="宋体" w:cs="Times New Roman"/>
                <w:color w:val="auto"/>
                <w:kern w:val="2"/>
                <w:sz w:val="24"/>
                <w:szCs w:val="20"/>
                <w:lang w:val="en-US" w:eastAsia="zh-CN" w:bidi="ar-SA"/>
              </w:rPr>
              <w:t>35</w:t>
            </w:r>
            <w:r>
              <w:rPr>
                <w:rFonts w:hint="default" w:ascii="Times New Roman" w:hAnsi="Times New Roman" w:eastAsia="宋体" w:cs="Times New Roman"/>
                <w:color w:val="auto"/>
                <w:kern w:val="2"/>
                <w:sz w:val="24"/>
                <w:szCs w:val="20"/>
                <w:lang w:val="en-US" w:eastAsia="zh-CN" w:bidi="ar-SA"/>
              </w:rPr>
              <w:t>kg计</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生活垃圾产生量为</w:t>
            </w:r>
            <w:r>
              <w:rPr>
                <w:rFonts w:hint="eastAsia" w:ascii="Times New Roman" w:hAnsi="Times New Roman" w:eastAsia="宋体" w:cs="Times New Roman"/>
                <w:color w:val="auto"/>
                <w:kern w:val="2"/>
                <w:sz w:val="24"/>
                <w:szCs w:val="20"/>
                <w:lang w:val="en-US" w:eastAsia="zh-CN" w:bidi="ar-SA"/>
              </w:rPr>
              <w:t>3.5</w:t>
            </w:r>
            <w:r>
              <w:rPr>
                <w:rFonts w:hint="default" w:ascii="Times New Roman" w:hAnsi="Times New Roman" w:eastAsia="宋体" w:cs="Times New Roman"/>
                <w:color w:val="auto"/>
                <w:kern w:val="2"/>
                <w:sz w:val="24"/>
                <w:szCs w:val="20"/>
                <w:lang w:val="en-US" w:eastAsia="zh-CN" w:bidi="ar-SA"/>
              </w:rPr>
              <w:t>kg/d，</w:t>
            </w:r>
            <w:r>
              <w:rPr>
                <w:rFonts w:hint="eastAsia" w:ascii="Times New Roman" w:hAnsi="Times New Roman" w:eastAsia="宋体" w:cs="Times New Roman"/>
                <w:color w:val="auto"/>
                <w:kern w:val="2"/>
                <w:sz w:val="24"/>
                <w:szCs w:val="20"/>
                <w:lang w:val="en-US" w:eastAsia="zh-CN" w:bidi="ar-SA"/>
              </w:rPr>
              <w:t>0.7</w:t>
            </w:r>
            <w:r>
              <w:rPr>
                <w:rFonts w:hint="default" w:ascii="Times New Roman" w:hAnsi="Times New Roman" w:eastAsia="宋体" w:cs="Times New Roman"/>
                <w:color w:val="auto"/>
                <w:kern w:val="2"/>
                <w:sz w:val="24"/>
                <w:szCs w:val="20"/>
                <w:lang w:val="en-US" w:eastAsia="zh-CN" w:bidi="ar-SA"/>
              </w:rPr>
              <w:t>t/a。生活垃圾</w:t>
            </w:r>
            <w:r>
              <w:rPr>
                <w:rFonts w:hint="eastAsia" w:ascii="Times New Roman" w:hAnsi="Times New Roman" w:eastAsia="宋体" w:cs="Times New Roman"/>
                <w:color w:val="auto"/>
                <w:kern w:val="2"/>
                <w:sz w:val="24"/>
                <w:szCs w:val="20"/>
                <w:lang w:val="en-US" w:eastAsia="zh-CN" w:bidi="ar-SA"/>
              </w:rPr>
              <w:t>采用2个环保型垃圾收集桶集中</w:t>
            </w:r>
            <w:r>
              <w:rPr>
                <w:rFonts w:hint="default" w:ascii="Times New Roman" w:hAnsi="Times New Roman" w:eastAsia="宋体" w:cs="Times New Roman"/>
                <w:color w:val="auto"/>
                <w:kern w:val="2"/>
                <w:sz w:val="24"/>
                <w:szCs w:val="20"/>
                <w:lang w:val="en-US" w:eastAsia="zh-CN" w:bidi="ar-SA"/>
              </w:rPr>
              <w:t>收集后，</w:t>
            </w:r>
            <w:r>
              <w:rPr>
                <w:rFonts w:hint="eastAsia" w:ascii="Times New Roman" w:hAnsi="Times New Roman" w:eastAsia="宋体" w:cs="Times New Roman"/>
                <w:color w:val="auto"/>
                <w:kern w:val="2"/>
                <w:sz w:val="24"/>
                <w:szCs w:val="20"/>
                <w:lang w:val="en-US" w:eastAsia="zh-CN" w:bidi="ar-SA"/>
              </w:rPr>
              <w:t>定期清运至当地乡镇垃圾收集点由环卫部门定期清运集中处置。化粪池污泥定期由附近村民清掏作为农家肥使用，不外排</w:t>
            </w:r>
            <w:r>
              <w:rPr>
                <w:rFonts w:hint="default" w:ascii="Times New Roman" w:hAnsi="Times New Roman" w:eastAsia="宋体" w:cs="Times New Roman"/>
                <w:color w:val="auto"/>
                <w:kern w:val="2"/>
                <w:sz w:val="24"/>
                <w:szCs w:val="20"/>
                <w:lang w:val="en-US" w:eastAsia="zh-CN" w:bidi="ar-SA"/>
              </w:rPr>
              <w:t>。此外，</w:t>
            </w:r>
            <w:r>
              <w:rPr>
                <w:rFonts w:hint="eastAsia" w:ascii="Times New Roman" w:hAnsi="Times New Roman" w:eastAsia="宋体" w:cs="Times New Roman"/>
                <w:color w:val="auto"/>
                <w:kern w:val="2"/>
                <w:sz w:val="24"/>
                <w:szCs w:val="20"/>
                <w:lang w:val="en-US" w:eastAsia="zh-CN" w:bidi="ar-SA"/>
              </w:rPr>
              <w:t>食堂产生的</w:t>
            </w:r>
            <w:r>
              <w:rPr>
                <w:rFonts w:hint="default" w:ascii="Times New Roman" w:hAnsi="Times New Roman" w:eastAsia="宋体" w:cs="Times New Roman"/>
                <w:color w:val="auto"/>
                <w:kern w:val="2"/>
                <w:sz w:val="24"/>
                <w:szCs w:val="20"/>
                <w:lang w:val="en-US" w:eastAsia="zh-CN" w:bidi="ar-SA"/>
              </w:rPr>
              <w:t>废油脂要求建设单位严格按照当地相关政府部门管理要求进行处置。</w:t>
            </w:r>
          </w:p>
          <w:p w14:paraId="6BEE659D">
            <w:pPr>
              <w:keepNext w:val="0"/>
              <w:keepLines w:val="0"/>
              <w:pageBreakBefore w:val="0"/>
              <w:kinsoku/>
              <w:wordWrap/>
              <w:overflowPunct/>
              <w:topLinePunct w:val="0"/>
              <w:autoSpaceDE/>
              <w:autoSpaceDN/>
              <w:bidi w:val="0"/>
              <w:adjustRightInd/>
              <w:snapToGrid/>
              <w:spacing w:line="360" w:lineRule="auto"/>
              <w:ind w:right="0"/>
              <w:jc w:val="left"/>
              <w:textAlignment w:val="auto"/>
              <w:rPr>
                <w:rFonts w:hint="default"/>
                <w:b w:val="0"/>
                <w:bCs w:val="0"/>
                <w:color w:val="auto"/>
                <w:sz w:val="24"/>
                <w:szCs w:val="24"/>
                <w:lang w:val="en-US" w:eastAsia="zh-CN"/>
              </w:rPr>
            </w:pPr>
            <w:r>
              <w:rPr>
                <w:rFonts w:hint="eastAsia" w:ascii="Times New Roman" w:hAnsi="Times New Roman" w:cs="Times New Roman"/>
                <w:b w:val="0"/>
                <w:bCs w:val="0"/>
                <w:color w:val="auto"/>
                <w:spacing w:val="-10"/>
                <w:sz w:val="24"/>
                <w:szCs w:val="24"/>
                <w:lang w:val="en-US" w:eastAsia="zh-CN"/>
              </w:rPr>
              <w:t>2.4.3环境管理要求</w:t>
            </w:r>
          </w:p>
          <w:p w14:paraId="7439633C">
            <w:pPr>
              <w:pStyle w:val="3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firstLine="464"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pacing w:val="-4"/>
                <w:kern w:val="2"/>
                <w:sz w:val="24"/>
                <w:szCs w:val="20"/>
                <w:lang w:val="en-US" w:eastAsia="zh-CN" w:bidi="ar-SA"/>
              </w:rPr>
              <w:t>（1）</w:t>
            </w:r>
            <w:r>
              <w:rPr>
                <w:rFonts w:hint="default" w:ascii="Times New Roman" w:hAnsi="Times New Roman" w:eastAsia="宋体" w:cs="Times New Roman"/>
                <w:color w:val="auto"/>
                <w:spacing w:val="-4"/>
                <w:kern w:val="2"/>
                <w:sz w:val="24"/>
                <w:szCs w:val="20"/>
                <w:lang w:val="en-US" w:eastAsia="zh-CN" w:bidi="ar-SA"/>
              </w:rPr>
              <w:t>固体</w:t>
            </w:r>
            <w:r>
              <w:rPr>
                <w:rFonts w:hint="default" w:ascii="Times New Roman" w:hAnsi="Times New Roman" w:eastAsia="宋体" w:cs="Times New Roman"/>
                <w:color w:val="auto"/>
                <w:sz w:val="24"/>
                <w:szCs w:val="24"/>
                <w:lang w:val="en-US" w:eastAsia="zh-CN"/>
              </w:rPr>
              <w:t>废物贮存、处置场所按《环境保护图形标志 固体废物贮存(处置)场(GB15562.2-1995)》设置图形标志。</w:t>
            </w:r>
          </w:p>
          <w:p w14:paraId="1734D671">
            <w:pPr>
              <w:pStyle w:val="2"/>
              <w:spacing w:line="360" w:lineRule="auto"/>
              <w:ind w:firstLine="348" w:firstLineChars="15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4"/>
                <w:lang w:eastAsia="zh-CN"/>
              </w:rPr>
              <w:t>（</w:t>
            </w:r>
            <w:r>
              <w:rPr>
                <w:rFonts w:hint="default" w:ascii="Times New Roman" w:hAnsi="Times New Roman" w:eastAsia="宋体" w:cs="Times New Roman"/>
                <w:color w:val="auto"/>
                <w:spacing w:val="-4"/>
                <w:lang w:val="en-US" w:eastAsia="zh-CN"/>
              </w:rPr>
              <w:t>2</w:t>
            </w:r>
            <w:r>
              <w:rPr>
                <w:rFonts w:hint="default" w:ascii="Times New Roman" w:hAnsi="Times New Roman" w:eastAsia="宋体" w:cs="Times New Roman"/>
                <w:color w:val="auto"/>
                <w:spacing w:val="-4"/>
                <w:lang w:eastAsia="zh-CN"/>
              </w:rPr>
              <w:t>）</w:t>
            </w:r>
            <w:r>
              <w:rPr>
                <w:rFonts w:hint="default" w:ascii="Times New Roman" w:hAnsi="Times New Roman" w:eastAsia="宋体" w:cs="Times New Roman"/>
                <w:color w:val="auto"/>
                <w:spacing w:val="-4"/>
              </w:rPr>
              <w:t>项目</w:t>
            </w:r>
            <w:r>
              <w:rPr>
                <w:rFonts w:hint="default" w:ascii="Times New Roman" w:hAnsi="Times New Roman" w:eastAsia="宋体" w:cs="Times New Roman"/>
                <w:color w:val="auto"/>
                <w:spacing w:val="-4"/>
                <w:lang w:val="en-US" w:eastAsia="zh-CN"/>
              </w:rPr>
              <w:t>物料不得露天堆放，对车间内沉降的粉尘及时清扫回用于生产，避免造成二次污染。</w:t>
            </w:r>
            <w:r>
              <w:rPr>
                <w:rFonts w:hint="default" w:ascii="Times New Roman" w:hAnsi="Times New Roman" w:eastAsia="宋体" w:cs="Times New Roman"/>
                <w:color w:val="auto"/>
                <w:spacing w:val="-4"/>
              </w:rPr>
              <w:t>产生的一般</w:t>
            </w:r>
            <w:r>
              <w:rPr>
                <w:rFonts w:hint="default" w:ascii="Times New Roman" w:hAnsi="Times New Roman" w:eastAsia="宋体" w:cs="Times New Roman"/>
                <w:color w:val="auto"/>
                <w:spacing w:val="-4"/>
                <w:lang w:val="en-US" w:eastAsia="zh-CN"/>
              </w:rPr>
              <w:t>工业</w:t>
            </w:r>
            <w:r>
              <w:rPr>
                <w:rFonts w:hint="default" w:ascii="Times New Roman" w:hAnsi="Times New Roman" w:eastAsia="宋体" w:cs="Times New Roman"/>
                <w:color w:val="auto"/>
                <w:spacing w:val="-4"/>
              </w:rPr>
              <w:t>固体废物，集中收集后设置专门的区域存放</w:t>
            </w:r>
            <w:r>
              <w:rPr>
                <w:rFonts w:hint="default" w:ascii="Times New Roman" w:hAnsi="Times New Roman" w:eastAsia="宋体" w:cs="Times New Roman"/>
                <w:color w:val="auto"/>
                <w:spacing w:val="-4"/>
                <w:lang w:eastAsia="zh-CN"/>
              </w:rPr>
              <w:t>，</w:t>
            </w:r>
            <w:r>
              <w:rPr>
                <w:rFonts w:hint="default" w:ascii="Times New Roman" w:hAnsi="Times New Roman" w:eastAsia="宋体" w:cs="Times New Roman"/>
                <w:color w:val="auto"/>
              </w:rPr>
              <w:t>做好防雨防渗措施，并及时清运处置；</w:t>
            </w:r>
            <w:r>
              <w:rPr>
                <w:rFonts w:hint="eastAsia" w:ascii="Times New Roman" w:hAnsi="Times New Roman" w:eastAsia="宋体" w:cs="Times New Roman"/>
                <w:color w:val="auto"/>
                <w:lang w:val="en-US" w:eastAsia="zh-CN"/>
              </w:rPr>
              <w:t>设置废料堆放大棚</w:t>
            </w:r>
            <w:r>
              <w:rPr>
                <w:rFonts w:hint="default" w:ascii="Times New Roman" w:hAnsi="Times New Roman" w:eastAsia="宋体" w:cs="Times New Roman"/>
                <w:color w:val="auto"/>
                <w:lang w:val="en-US" w:eastAsia="zh-CN"/>
              </w:rPr>
              <w:t>作为一般工业固体废物暂存区</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设置三防措施，</w:t>
            </w:r>
            <w:r>
              <w:rPr>
                <w:rFonts w:hint="default" w:ascii="Times New Roman" w:hAnsi="Times New Roman" w:eastAsia="宋体" w:cs="Times New Roman"/>
                <w:color w:val="auto"/>
              </w:rPr>
              <w:t>地面水泥</w:t>
            </w:r>
            <w:r>
              <w:rPr>
                <w:rFonts w:hint="default" w:ascii="Times New Roman" w:hAnsi="Times New Roman" w:eastAsia="宋体" w:cs="Times New Roman"/>
                <w:color w:val="auto"/>
                <w:sz w:val="24"/>
                <w:szCs w:val="24"/>
              </w:rPr>
              <w:t>硬化，满足《一般工业固体废物</w:t>
            </w:r>
            <w:r>
              <w:rPr>
                <w:rFonts w:hint="default" w:ascii="Times New Roman" w:hAnsi="Times New Roman" w:eastAsia="宋体" w:cs="Times New Roman"/>
                <w:color w:val="auto"/>
                <w:sz w:val="24"/>
                <w:szCs w:val="24"/>
                <w:lang w:val="en-US" w:eastAsia="zh-CN"/>
              </w:rPr>
              <w:t>贮存和填埋污染控制标准</w:t>
            </w:r>
            <w:r>
              <w:rPr>
                <w:rFonts w:hint="default" w:ascii="Times New Roman" w:hAnsi="Times New Roman" w:eastAsia="宋体" w:cs="Times New Roman"/>
                <w:color w:val="auto"/>
                <w:sz w:val="24"/>
                <w:szCs w:val="24"/>
              </w:rPr>
              <w:t>》（GB18599-20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）中防风、防雨、防渗的要求。一般固体废物处置严格按照要求进行暂存及处置，对周围环境影响不大</w:t>
            </w:r>
            <w:r>
              <w:rPr>
                <w:rFonts w:hint="default" w:ascii="Times New Roman" w:hAnsi="Times New Roman" w:eastAsia="宋体" w:cs="Times New Roman"/>
                <w:color w:val="auto"/>
                <w:sz w:val="24"/>
                <w:szCs w:val="24"/>
                <w:lang w:eastAsia="zh-CN"/>
              </w:rPr>
              <w:t>。</w:t>
            </w:r>
          </w:p>
          <w:p w14:paraId="1605FE1D">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val="en-US" w:eastAsia="zh-CN"/>
              </w:rPr>
              <w:t>设置2个环保型垃圾收集</w:t>
            </w:r>
            <w:r>
              <w:rPr>
                <w:rFonts w:hint="default" w:ascii="Times New Roman" w:hAnsi="Times New Roman" w:eastAsia="宋体" w:cs="Times New Roman"/>
                <w:color w:val="auto"/>
                <w:sz w:val="24"/>
                <w:szCs w:val="24"/>
              </w:rPr>
              <w:t>集中收集后，能回收利用部分回收，其余无法回收部分生活垃圾，如包装废料、白色垃圾等，运至环卫部门指定的地点集中处理，不外排。</w:t>
            </w:r>
          </w:p>
          <w:p w14:paraId="1CCC32A9">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食堂产生的废油脂要求建设单位严格按照当地相关政府部门管理要求进行处置。</w:t>
            </w:r>
          </w:p>
          <w:p w14:paraId="4D5C5F1C">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（5）合理规划</w:t>
            </w:r>
            <w:r>
              <w:rPr>
                <w:rFonts w:hint="eastAsia" w:ascii="Times New Roman" w:hAnsi="Times New Roman" w:eastAsia="宋体" w:cs="Times New Roman"/>
                <w:color w:val="auto"/>
                <w:sz w:val="24"/>
                <w:szCs w:val="24"/>
                <w:lang w:val="en-US" w:eastAsia="zh-CN"/>
              </w:rPr>
              <w:t>污泥</w:t>
            </w:r>
            <w:r>
              <w:rPr>
                <w:rFonts w:hint="default" w:ascii="Times New Roman" w:hAnsi="Times New Roman" w:eastAsia="宋体" w:cs="Times New Roman"/>
                <w:color w:val="auto"/>
                <w:sz w:val="24"/>
                <w:szCs w:val="24"/>
                <w:lang w:val="en-US" w:eastAsia="zh-CN"/>
              </w:rPr>
              <w:t>清掏周期，避免出现满溢外漏的环境污染问题。</w:t>
            </w:r>
          </w:p>
          <w:p w14:paraId="65136DFF">
            <w:pPr>
              <w:keepNext w:val="0"/>
              <w:keepLines w:val="0"/>
              <w:pageBreakBefore w:val="0"/>
              <w:kinsoku/>
              <w:wordWrap/>
              <w:overflowPunct/>
              <w:topLinePunct w:val="0"/>
              <w:autoSpaceDE/>
              <w:autoSpaceDN/>
              <w:bidi w:val="0"/>
              <w:adjustRightInd/>
              <w:snapToGrid/>
              <w:spacing w:line="360" w:lineRule="auto"/>
              <w:ind w:right="0"/>
              <w:jc w:val="left"/>
              <w:textAlignment w:val="auto"/>
              <w:rPr>
                <w:rFonts w:hint="eastAsia" w:ascii="Times New Roman" w:hAnsi="Times New Roman" w:eastAsia="宋体" w:cs="Times New Roman"/>
                <w:b w:val="0"/>
                <w:bCs w:val="0"/>
                <w:color w:val="auto"/>
                <w:spacing w:val="-10"/>
                <w:sz w:val="24"/>
                <w:szCs w:val="24"/>
                <w:lang w:val="en-US" w:eastAsia="zh-CN"/>
              </w:rPr>
            </w:pPr>
            <w:r>
              <w:rPr>
                <w:rFonts w:hint="eastAsia" w:ascii="Times New Roman" w:hAnsi="Times New Roman" w:eastAsia="宋体" w:cs="Times New Roman"/>
                <w:b w:val="0"/>
                <w:bCs w:val="0"/>
                <w:color w:val="auto"/>
                <w:spacing w:val="-10"/>
                <w:sz w:val="24"/>
                <w:szCs w:val="24"/>
                <w:lang w:val="en-US" w:eastAsia="zh-CN"/>
              </w:rPr>
              <w:t>2.4.4固体废物环境影响结论</w:t>
            </w:r>
          </w:p>
          <w:p w14:paraId="04B0F8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highlight w:val="none"/>
              </w:rPr>
            </w:pPr>
            <w:r>
              <w:rPr>
                <w:rFonts w:hint="eastAsia" w:ascii="宋体" w:hAnsi="宋体" w:eastAsia="宋体" w:cs="宋体"/>
                <w:color w:val="auto"/>
                <w:kern w:val="0"/>
                <w:sz w:val="24"/>
                <w:szCs w:val="24"/>
                <w:lang w:val="en-US" w:eastAsia="zh-CN" w:bidi="ar"/>
              </w:rPr>
              <w:t>综上所述，项目产生的固废能够做到处置率</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，固体废弃物对环境影响较小。建设单位在运行过程中应严格按照环境管理的要求执行，保证固体废物合理处置。</w:t>
            </w:r>
            <w:r>
              <w:rPr>
                <w:rFonts w:hint="default" w:ascii="Times New Roman" w:hAnsi="Times New Roman" w:eastAsia="宋体" w:cs="Times New Roman"/>
                <w:color w:val="auto"/>
                <w:sz w:val="24"/>
                <w:szCs w:val="24"/>
                <w:highlight w:val="none"/>
                <w:lang w:val="en-US" w:eastAsia="zh-CN"/>
              </w:rPr>
              <w:t>项目产生固废均得到</w:t>
            </w:r>
            <w:r>
              <w:rPr>
                <w:rFonts w:hint="default" w:ascii="Times New Roman" w:hAnsi="Times New Roman" w:eastAsia="宋体" w:cs="Times New Roman"/>
                <w:bCs/>
                <w:color w:val="auto"/>
                <w:sz w:val="24"/>
                <w:szCs w:val="24"/>
                <w:highlight w:val="none"/>
              </w:rPr>
              <w:t>妥善处置，</w:t>
            </w:r>
            <w:r>
              <w:rPr>
                <w:rFonts w:hint="default" w:ascii="Times New Roman" w:hAnsi="Times New Roman" w:eastAsia="宋体" w:cs="Times New Roman"/>
                <w:bCs/>
                <w:color w:val="auto"/>
                <w:sz w:val="24"/>
                <w:szCs w:val="24"/>
                <w:highlight w:val="none"/>
                <w:lang w:val="en-US" w:eastAsia="zh-CN"/>
              </w:rPr>
              <w:t>不会对周边环境产生影响</w:t>
            </w:r>
            <w:r>
              <w:rPr>
                <w:rFonts w:hint="default" w:ascii="Times New Roman" w:hAnsi="Times New Roman" w:eastAsia="宋体" w:cs="Times New Roman"/>
                <w:bCs/>
                <w:color w:val="auto"/>
                <w:sz w:val="24"/>
                <w:szCs w:val="24"/>
                <w:highlight w:val="none"/>
              </w:rPr>
              <w:t>。</w:t>
            </w:r>
          </w:p>
          <w:p w14:paraId="5640BA11">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地下水</w:t>
            </w:r>
            <w:r>
              <w:rPr>
                <w:rFonts w:hint="eastAsia" w:ascii="Times New Roman" w:hAnsi="Times New Roman" w:eastAsia="宋体" w:cs="Times New Roman"/>
                <w:b/>
                <w:bCs/>
                <w:color w:val="auto"/>
                <w:sz w:val="24"/>
                <w:szCs w:val="24"/>
                <w:highlight w:val="none"/>
                <w:lang w:val="en-US" w:eastAsia="zh-CN"/>
              </w:rPr>
              <w:t>、土壤</w:t>
            </w:r>
            <w:r>
              <w:rPr>
                <w:rFonts w:hint="default" w:ascii="Times New Roman" w:hAnsi="Times New Roman" w:eastAsia="宋体" w:cs="Times New Roman"/>
                <w:b/>
                <w:bCs/>
                <w:color w:val="auto"/>
                <w:sz w:val="24"/>
                <w:szCs w:val="24"/>
                <w:highlight w:val="none"/>
                <w:lang w:val="en-US" w:eastAsia="zh-CN"/>
              </w:rPr>
              <w:t>环境影响和保护措施</w:t>
            </w:r>
          </w:p>
          <w:p w14:paraId="01AAE6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经查阅《环境影响评价技术导则 地下水环境》（HJ610-2016）附录A，建设项目属于“N轻工-107、其他食品制造-除手工制作和单纯分装外的”，报告表地下水环境影响评价项目类别为</w:t>
            </w:r>
            <w:r>
              <w:rPr>
                <w:rFonts w:hint="eastAsia" w:ascii="宋体" w:hAnsi="宋体" w:eastAsia="宋体" w:cs="宋体"/>
                <w:color w:val="auto"/>
                <w:kern w:val="2"/>
                <w:sz w:val="24"/>
                <w:szCs w:val="24"/>
                <w:lang w:val="en-US" w:eastAsia="zh-CN" w:bidi="ar-SA"/>
              </w:rPr>
              <w:t>Ⅳ类，根据</w:t>
            </w:r>
            <w:r>
              <w:rPr>
                <w:rFonts w:hint="eastAsia" w:ascii="Times New Roman" w:hAnsi="Times New Roman" w:eastAsia="宋体" w:cs="Times New Roman"/>
                <w:color w:val="auto"/>
                <w:kern w:val="2"/>
                <w:sz w:val="24"/>
                <w:szCs w:val="24"/>
                <w:lang w:val="en-US" w:eastAsia="zh-CN" w:bidi="ar-SA"/>
              </w:rPr>
              <w:t>《环境影响评价技术导则 地下水环境》（HJ610-2016）中“4.1一般性原则：</w:t>
            </w:r>
            <w:r>
              <w:rPr>
                <w:rFonts w:hint="eastAsia" w:ascii="宋体" w:hAnsi="宋体" w:eastAsia="宋体" w:cs="宋体"/>
                <w:color w:val="auto"/>
                <w:kern w:val="2"/>
                <w:sz w:val="24"/>
                <w:szCs w:val="24"/>
                <w:lang w:val="en-US" w:eastAsia="zh-CN" w:bidi="ar-SA"/>
              </w:rPr>
              <w:t>Ⅳ类项目不开展地下水环境影响评价</w:t>
            </w:r>
            <w:r>
              <w:rPr>
                <w:rFonts w:hint="eastAsia" w:ascii="Times New Roman" w:hAnsi="Times New Roman" w:eastAsia="宋体" w:cs="Times New Roman"/>
                <w:color w:val="auto"/>
                <w:kern w:val="2"/>
                <w:sz w:val="24"/>
                <w:szCs w:val="24"/>
                <w:lang w:val="en-US" w:eastAsia="zh-CN" w:bidi="ar-SA"/>
              </w:rPr>
              <w:t>”，故本项目可不开展地下水环境影响评价，本次评价仅对地下水影响进行简要分析。根据《环境影响评价技术导则 土壤环境》（HJ964-2018）附录A，表A.1，本项目不在该附表中项目类别，本项目可不开展土壤环境影响评价工作。</w:t>
            </w:r>
          </w:p>
          <w:p w14:paraId="2C76B3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olor w:val="auto"/>
                <w:kern w:val="0"/>
                <w:sz w:val="24"/>
                <w:highlight w:val="none"/>
              </w:rPr>
              <w:t>根据项目特点，项目可能对地下水造成污染的主要为</w:t>
            </w:r>
            <w:r>
              <w:rPr>
                <w:rFonts w:hint="eastAsia"/>
                <w:color w:val="auto"/>
                <w:kern w:val="0"/>
                <w:sz w:val="24"/>
                <w:highlight w:val="none"/>
                <w:lang w:val="en-US" w:eastAsia="zh-CN"/>
              </w:rPr>
              <w:t>生产废水、生活污水渗漏、</w:t>
            </w:r>
            <w:r>
              <w:rPr>
                <w:rFonts w:hint="eastAsia"/>
                <w:color w:val="auto"/>
                <w:kern w:val="0"/>
                <w:sz w:val="24"/>
                <w:highlight w:val="none"/>
              </w:rPr>
              <w:t>对地下水</w:t>
            </w:r>
            <w:r>
              <w:rPr>
                <w:rFonts w:hint="eastAsia"/>
                <w:color w:val="auto"/>
                <w:kern w:val="0"/>
                <w:sz w:val="24"/>
                <w:highlight w:val="none"/>
                <w:lang w:eastAsia="zh-CN"/>
              </w:rPr>
              <w:t>、</w:t>
            </w:r>
            <w:r>
              <w:rPr>
                <w:rFonts w:hint="eastAsia"/>
                <w:color w:val="auto"/>
                <w:kern w:val="0"/>
                <w:sz w:val="24"/>
                <w:highlight w:val="none"/>
                <w:lang w:val="en-US" w:eastAsia="zh-CN"/>
              </w:rPr>
              <w:t>土壤环境</w:t>
            </w:r>
            <w:r>
              <w:rPr>
                <w:rFonts w:hint="eastAsia"/>
                <w:color w:val="auto"/>
                <w:kern w:val="0"/>
                <w:sz w:val="24"/>
                <w:highlight w:val="none"/>
              </w:rPr>
              <w:t>主要影响途径为渗透影响，</w:t>
            </w:r>
            <w:r>
              <w:rPr>
                <w:rFonts w:hint="eastAsia"/>
                <w:color w:val="auto"/>
                <w:kern w:val="0"/>
                <w:sz w:val="24"/>
                <w:highlight w:val="none"/>
                <w:lang w:val="en-US" w:eastAsia="zh-CN"/>
              </w:rPr>
              <w:t>项目污水处理措施采取防渗措施并定期检查，正常情况下，废水入渗地下的概率不大。废水中主要污染物为SS等，无重金属等有毒有害物质，即使在事故情况下，项目废水污染物对地下水影响也不大。项目在采取</w:t>
            </w:r>
            <w:r>
              <w:rPr>
                <w:rFonts w:hint="eastAsia" w:ascii="宋体" w:hAnsi="宋体" w:cs="宋体"/>
                <w:bCs/>
                <w:color w:val="auto"/>
                <w:sz w:val="24"/>
                <w:szCs w:val="22"/>
                <w:highlight w:val="none"/>
              </w:rPr>
              <w:t>防漏、防渗</w:t>
            </w:r>
            <w:r>
              <w:rPr>
                <w:rFonts w:hint="eastAsia" w:ascii="宋体" w:hAnsi="宋体" w:cs="宋体"/>
                <w:bCs/>
                <w:color w:val="auto"/>
                <w:sz w:val="24"/>
                <w:szCs w:val="22"/>
                <w:highlight w:val="none"/>
                <w:lang w:eastAsia="zh-CN"/>
              </w:rPr>
              <w:t>、</w:t>
            </w:r>
            <w:r>
              <w:rPr>
                <w:rFonts w:hint="eastAsia" w:ascii="宋体" w:hAnsi="宋体" w:cs="宋体"/>
                <w:bCs/>
                <w:color w:val="auto"/>
                <w:sz w:val="24"/>
                <w:szCs w:val="22"/>
                <w:highlight w:val="none"/>
                <w:lang w:val="en-US" w:eastAsia="zh-CN"/>
              </w:rPr>
              <w:t>防雨等</w:t>
            </w:r>
            <w:r>
              <w:rPr>
                <w:rFonts w:hint="eastAsia"/>
                <w:color w:val="auto"/>
                <w:kern w:val="0"/>
                <w:sz w:val="24"/>
                <w:highlight w:val="none"/>
                <w:lang w:val="en-US" w:eastAsia="zh-CN"/>
              </w:rPr>
              <w:t>“三防”</w:t>
            </w:r>
            <w:r>
              <w:rPr>
                <w:rFonts w:hint="eastAsia" w:ascii="宋体" w:hAnsi="宋体" w:cs="宋体"/>
                <w:bCs/>
                <w:color w:val="auto"/>
                <w:sz w:val="24"/>
                <w:szCs w:val="22"/>
                <w:highlight w:val="none"/>
              </w:rPr>
              <w:t>措施，</w:t>
            </w:r>
            <w:r>
              <w:rPr>
                <w:rFonts w:hint="eastAsia" w:ascii="宋体" w:hAnsi="宋体" w:cs="宋体"/>
                <w:bCs/>
                <w:color w:val="auto"/>
                <w:sz w:val="24"/>
                <w:szCs w:val="22"/>
                <w:highlight w:val="none"/>
                <w:lang w:val="en-US" w:eastAsia="zh-CN"/>
              </w:rPr>
              <w:t>并</w:t>
            </w:r>
            <w:r>
              <w:rPr>
                <w:rFonts w:hint="eastAsia" w:ascii="宋体" w:hAnsi="宋体" w:cs="宋体"/>
                <w:bCs/>
                <w:color w:val="auto"/>
                <w:sz w:val="24"/>
                <w:szCs w:val="22"/>
                <w:highlight w:val="none"/>
              </w:rPr>
              <w:t>定期</w:t>
            </w:r>
            <w:r>
              <w:rPr>
                <w:rFonts w:hint="eastAsia" w:ascii="Times New Roman" w:hAnsi="Times New Roman" w:eastAsia="宋体" w:cs="Times New Roman"/>
                <w:color w:val="auto"/>
                <w:sz w:val="24"/>
                <w:szCs w:val="24"/>
                <w:lang w:val="en-US" w:eastAsia="zh-CN"/>
              </w:rPr>
              <w:t>定期检查消除污染隐患，发现有污染物泄漏或渗漏，及时修补</w:t>
            </w:r>
            <w:r>
              <w:rPr>
                <w:rFonts w:hint="eastAsia" w:ascii="宋体" w:hAnsi="宋体" w:eastAsia="宋体" w:cs="宋体"/>
                <w:bCs/>
                <w:color w:val="auto"/>
                <w:sz w:val="24"/>
                <w:szCs w:val="22"/>
                <w:highlight w:val="none"/>
                <w:lang w:eastAsia="zh-CN"/>
              </w:rPr>
              <w:t>，</w:t>
            </w:r>
            <w:r>
              <w:rPr>
                <w:rFonts w:hint="eastAsia" w:ascii="宋体" w:hAnsi="宋体" w:cs="宋体"/>
                <w:bCs/>
                <w:color w:val="auto"/>
                <w:sz w:val="24"/>
                <w:szCs w:val="22"/>
                <w:highlight w:val="none"/>
              </w:rPr>
              <w:t>可确保不对地下水</w:t>
            </w:r>
            <w:r>
              <w:rPr>
                <w:rFonts w:hint="eastAsia" w:ascii="宋体" w:hAnsi="宋体" w:cs="宋体"/>
                <w:bCs/>
                <w:color w:val="auto"/>
                <w:sz w:val="24"/>
                <w:szCs w:val="22"/>
                <w:highlight w:val="none"/>
                <w:lang w:eastAsia="zh-CN"/>
              </w:rPr>
              <w:t>、</w:t>
            </w:r>
            <w:r>
              <w:rPr>
                <w:rFonts w:hint="eastAsia" w:ascii="宋体" w:hAnsi="宋体" w:cs="宋体"/>
                <w:bCs/>
                <w:color w:val="auto"/>
                <w:sz w:val="24"/>
                <w:szCs w:val="22"/>
                <w:highlight w:val="none"/>
                <w:lang w:val="en-US" w:eastAsia="zh-CN"/>
              </w:rPr>
              <w:t>土壤</w:t>
            </w:r>
            <w:r>
              <w:rPr>
                <w:rFonts w:hint="eastAsia" w:ascii="宋体" w:hAnsi="宋体" w:cs="宋体"/>
                <w:bCs/>
                <w:color w:val="auto"/>
                <w:sz w:val="24"/>
                <w:szCs w:val="22"/>
                <w:highlight w:val="none"/>
              </w:rPr>
              <w:t>环境造成污染。</w:t>
            </w:r>
          </w:p>
          <w:p w14:paraId="3004AF14">
            <w:pPr>
              <w:adjustRightInd/>
              <w:spacing w:line="360" w:lineRule="auto"/>
              <w:ind w:firstLine="0" w:firstLineChars="0"/>
              <w:outlineLvl w:val="2"/>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生态</w:t>
            </w:r>
            <w:r>
              <w:rPr>
                <w:rFonts w:hint="default" w:ascii="Times New Roman" w:hAnsi="Times New Roman" w:cs="Times New Roman"/>
                <w:b/>
                <w:bCs/>
                <w:color w:val="auto"/>
                <w:sz w:val="24"/>
              </w:rPr>
              <w:t>环境</w:t>
            </w:r>
            <w:r>
              <w:rPr>
                <w:rFonts w:hint="default" w:ascii="Times New Roman" w:hAnsi="Times New Roman" w:cs="Times New Roman"/>
                <w:b/>
                <w:bCs/>
                <w:color w:val="auto"/>
                <w:sz w:val="24"/>
                <w:lang w:eastAsia="zh-CN"/>
              </w:rPr>
              <w:t>影响</w:t>
            </w:r>
            <w:r>
              <w:rPr>
                <w:rFonts w:hint="default" w:ascii="Times New Roman" w:hAnsi="Times New Roman" w:cs="Times New Roman"/>
                <w:b/>
                <w:bCs/>
                <w:color w:val="auto"/>
                <w:sz w:val="24"/>
                <w:lang w:val="en-US" w:eastAsia="zh-CN"/>
              </w:rPr>
              <w:t>和保护措施</w:t>
            </w:r>
          </w:p>
          <w:p w14:paraId="6FC244FB">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项目评价范围内无国家重点保护的植物种类，主要野生动物有鼠、蛇等。项目评价区域内无重点保护动物，无名胜古迹、风景旅游区及自然保护区。</w:t>
            </w:r>
          </w:p>
          <w:p w14:paraId="11908350">
            <w:pPr>
              <w:pStyle w:val="96"/>
              <w:ind w:firstLine="480" w:firstLineChars="200"/>
              <w:rPr>
                <w:rFonts w:ascii="Times New Roman" w:hAnsi="Times New Roman" w:eastAsia="宋体" w:cs="Times New Roman"/>
                <w:color w:val="auto"/>
              </w:rPr>
            </w:pPr>
            <w:r>
              <w:rPr>
                <w:rFonts w:ascii="Times New Roman" w:eastAsia="宋体" w:cs="Times New Roman"/>
                <w:color w:val="auto"/>
              </w:rPr>
              <w:t>根据现场踏勘情况，</w:t>
            </w:r>
            <w:r>
              <w:rPr>
                <w:rFonts w:hint="eastAsia" w:ascii="Times New Roman" w:cs="Times New Roman"/>
                <w:color w:val="auto"/>
                <w:lang w:val="en-US" w:eastAsia="zh-CN"/>
              </w:rPr>
              <w:t>本项目不涉及大型施工作业，</w:t>
            </w:r>
            <w:r>
              <w:rPr>
                <w:rFonts w:ascii="Times New Roman" w:eastAsia="宋体" w:cs="Times New Roman"/>
                <w:color w:val="auto"/>
              </w:rPr>
              <w:t>通过未来几年的建设，区域内绿化率将不断提高，绿地系统将逐步形成，将有效提高该区域的环境质量，减少原有生态系统破坏后的不利影响。</w:t>
            </w:r>
          </w:p>
          <w:p w14:paraId="2FFE7415">
            <w:pPr>
              <w:pStyle w:val="96"/>
              <w:ind w:firstLine="480" w:firstLineChars="200"/>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项目</w:t>
            </w:r>
            <w:r>
              <w:rPr>
                <w:rFonts w:hint="eastAsia" w:ascii="Times New Roman" w:hAnsi="Times New Roman" w:eastAsia="宋体" w:cs="Times New Roman"/>
                <w:color w:val="auto"/>
                <w:sz w:val="24"/>
                <w:lang w:eastAsia="zh-CN"/>
              </w:rPr>
              <w:t>营运期产生一定量的“三废”及噪声，为使其对环境的影响降到最低，项目产生的污染物均采取一定的治理措施或方案，可做到达标排放，</w:t>
            </w:r>
            <w:r>
              <w:rPr>
                <w:rFonts w:ascii="Times New Roman" w:eastAsia="宋体" w:cs="Times New Roman"/>
                <w:color w:val="auto"/>
              </w:rPr>
              <w:t>营运期对</w:t>
            </w:r>
            <w:r>
              <w:rPr>
                <w:rFonts w:hint="eastAsia" w:ascii="Times New Roman" w:eastAsia="宋体" w:cs="Times New Roman"/>
                <w:color w:val="auto"/>
                <w:lang w:val="en-US" w:eastAsia="zh-CN"/>
              </w:rPr>
              <w:t>动植物的影响</w:t>
            </w:r>
            <w:r>
              <w:rPr>
                <w:rFonts w:ascii="Times New Roman" w:eastAsia="宋体" w:cs="Times New Roman"/>
                <w:color w:val="auto"/>
              </w:rPr>
              <w:t>有限</w:t>
            </w:r>
            <w:r>
              <w:rPr>
                <w:rFonts w:hint="eastAsia" w:ascii="Times New Roman" w:eastAsia="宋体" w:cs="Times New Roman"/>
                <w:color w:val="auto"/>
                <w:lang w:eastAsia="zh-CN"/>
              </w:rPr>
              <w:t>，</w:t>
            </w:r>
            <w:r>
              <w:rPr>
                <w:rFonts w:hint="eastAsia" w:ascii="Times New Roman" w:hAnsi="Times New Roman" w:eastAsia="宋体" w:cs="Times New Roman"/>
                <w:color w:val="auto"/>
                <w:sz w:val="24"/>
                <w:lang w:eastAsia="zh-CN"/>
              </w:rPr>
              <w:t>不会改变周围生态环境现状。</w:t>
            </w:r>
          </w:p>
          <w:p w14:paraId="583B513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综上所述，项目运营期对生态环境影响不大。</w:t>
            </w:r>
          </w:p>
          <w:p w14:paraId="198269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color w:val="auto"/>
                <w:spacing w:val="-10"/>
                <w:kern w:val="0"/>
                <w:sz w:val="24"/>
                <w:szCs w:val="24"/>
                <w:lang w:val="en-US" w:eastAsia="zh-CN" w:bidi="ar-SA"/>
              </w:rPr>
            </w:pPr>
            <w:r>
              <w:rPr>
                <w:rFonts w:hint="eastAsia" w:ascii="宋体" w:hAnsi="宋体" w:eastAsia="宋体" w:cs="宋体"/>
                <w:b/>
                <w:bCs w:val="0"/>
                <w:color w:val="auto"/>
                <w:spacing w:val="-10"/>
                <w:kern w:val="0"/>
                <w:sz w:val="24"/>
                <w:szCs w:val="24"/>
                <w:lang w:val="en-US" w:eastAsia="zh-CN" w:bidi="ar-SA"/>
              </w:rPr>
              <w:t>2.7环境风险分析</w:t>
            </w:r>
          </w:p>
          <w:p w14:paraId="2A164174">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bookmarkStart w:id="251" w:name="_Toc18025"/>
            <w:r>
              <w:rPr>
                <w:rFonts w:hint="eastAsia" w:ascii="Times New Roman" w:hAnsi="Times New Roman" w:eastAsia="宋体" w:cs="Times New Roman"/>
                <w:b w:val="0"/>
                <w:bCs w:val="0"/>
                <w:color w:val="auto"/>
                <w:sz w:val="24"/>
                <w:szCs w:val="24"/>
                <w:lang w:val="en-US" w:eastAsia="zh-CN"/>
              </w:rPr>
              <w:t>（1）</w:t>
            </w:r>
            <w:bookmarkEnd w:id="251"/>
            <w:r>
              <w:rPr>
                <w:rFonts w:hint="eastAsia" w:ascii="Times New Roman" w:hAnsi="Times New Roman" w:eastAsia="宋体" w:cs="Times New Roman"/>
                <w:b w:val="0"/>
                <w:bCs w:val="0"/>
                <w:color w:val="auto"/>
                <w:sz w:val="24"/>
                <w:szCs w:val="24"/>
                <w:lang w:val="en-US" w:eastAsia="zh-CN"/>
              </w:rPr>
              <w:t>风险物质调查</w:t>
            </w:r>
          </w:p>
          <w:p w14:paraId="178B2AFB">
            <w:pPr>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ascii="宋体" w:hAnsi="宋体" w:eastAsia="宋体" w:cs="宋体"/>
                <w:color w:val="auto"/>
                <w:kern w:val="0"/>
                <w:sz w:val="24"/>
                <w:szCs w:val="24"/>
                <w:lang w:val="en-US" w:eastAsia="zh-CN" w:bidi="ar"/>
              </w:rPr>
              <w:t>装载机使用的柴油需要时到附近加油站购买，不在厂内贮存，本</w:t>
            </w:r>
            <w:r>
              <w:rPr>
                <w:rFonts w:hint="eastAsia" w:ascii="Times New Roman" w:hAnsi="Times New Roman" w:cs="Times New Roman"/>
                <w:b w:val="0"/>
                <w:bCs w:val="0"/>
                <w:color w:val="auto"/>
                <w:sz w:val="24"/>
                <w:highlight w:val="none"/>
                <w:lang w:val="en-US" w:eastAsia="zh-CN"/>
              </w:rPr>
              <w:t>项目冷库使用的R404A制冷剂，属于环保型制冷剂，不属于限制及禁止类，制冷剂不在厂区内贮存，属于在线使用。</w:t>
            </w:r>
            <w:r>
              <w:rPr>
                <w:rFonts w:hint="eastAsia" w:ascii="宋体" w:hAnsi="宋体" w:eastAsia="宋体" w:cs="宋体"/>
                <w:color w:val="auto"/>
                <w:kern w:val="0"/>
                <w:sz w:val="24"/>
                <w:szCs w:val="24"/>
                <w:lang w:val="en-US" w:eastAsia="zh-CN" w:bidi="ar"/>
              </w:rPr>
              <w:t>本项目所使用的原辅材料不属于有毒有害、易燃易爆危险物质，</w:t>
            </w:r>
            <w:r>
              <w:rPr>
                <w:color w:val="auto"/>
                <w:sz w:val="24"/>
                <w:szCs w:val="24"/>
              </w:rPr>
              <w:t>根据</w:t>
            </w:r>
            <w:r>
              <w:rPr>
                <w:color w:val="auto"/>
                <w:sz w:val="24"/>
                <w:szCs w:val="24"/>
                <w:lang w:val="en-US" w:eastAsia="zh-CN"/>
              </w:rPr>
              <w:t>《建设项目环境风险评价技术导则》（HJ169-</w:t>
            </w:r>
            <w:r>
              <w:rPr>
                <w:rFonts w:hint="eastAsia"/>
                <w:color w:val="auto"/>
                <w:sz w:val="24"/>
                <w:szCs w:val="24"/>
                <w:lang w:val="en-US" w:eastAsia="zh-CN"/>
              </w:rPr>
              <w:t>2018</w:t>
            </w:r>
            <w:r>
              <w:rPr>
                <w:color w:val="auto"/>
                <w:sz w:val="24"/>
                <w:szCs w:val="24"/>
                <w:lang w:val="en-US" w:eastAsia="zh-CN"/>
              </w:rPr>
              <w:t>）中附录</w:t>
            </w:r>
            <w:r>
              <w:rPr>
                <w:rFonts w:hint="eastAsia"/>
                <w:color w:val="auto"/>
                <w:sz w:val="24"/>
                <w:szCs w:val="24"/>
                <w:lang w:val="en-US" w:eastAsia="zh-CN"/>
              </w:rPr>
              <w:t>B</w:t>
            </w:r>
            <w:r>
              <w:rPr>
                <w:color w:val="auto"/>
                <w:sz w:val="24"/>
                <w:szCs w:val="24"/>
              </w:rPr>
              <w:t>、《危险化学品重大危险源辨识》（GB18218-20</w:t>
            </w:r>
            <w:r>
              <w:rPr>
                <w:rFonts w:hint="eastAsia"/>
                <w:color w:val="auto"/>
                <w:sz w:val="24"/>
                <w:szCs w:val="24"/>
                <w:lang w:val="en-US" w:eastAsia="zh-CN"/>
              </w:rPr>
              <w:t>21</w:t>
            </w:r>
            <w:r>
              <w:rPr>
                <w:color w:val="auto"/>
                <w:sz w:val="24"/>
                <w:szCs w:val="24"/>
              </w:rPr>
              <w:t>）</w:t>
            </w:r>
            <w:r>
              <w:rPr>
                <w:rFonts w:hint="eastAsia"/>
                <w:color w:val="auto"/>
                <w:sz w:val="24"/>
                <w:szCs w:val="24"/>
                <w:lang w:eastAsia="zh-CN"/>
              </w:rPr>
              <w:t>，</w:t>
            </w:r>
            <w:r>
              <w:rPr>
                <w:color w:val="auto"/>
                <w:sz w:val="24"/>
                <w:szCs w:val="24"/>
              </w:rPr>
              <w:t>本项目无重大危险源。</w:t>
            </w:r>
            <w:bookmarkStart w:id="252" w:name="_Toc232420862"/>
          </w:p>
          <w:bookmarkEnd w:id="252"/>
          <w:p w14:paraId="60D0CFEF">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b w:val="0"/>
                <w:bCs w:val="0"/>
                <w:color w:val="auto"/>
                <w:sz w:val="24"/>
                <w:szCs w:val="24"/>
                <w:lang w:val="en-US" w:eastAsia="zh-CN"/>
              </w:rPr>
            </w:pPr>
            <w:r>
              <w:rPr>
                <w:rFonts w:hint="eastAsia" w:ascii="Times New Roman" w:hAnsi="Times New Roman" w:eastAsia="宋体"/>
                <w:b w:val="0"/>
                <w:bCs w:val="0"/>
                <w:color w:val="auto"/>
                <w:sz w:val="24"/>
                <w:szCs w:val="24"/>
                <w:lang w:val="en-US" w:eastAsia="zh-CN"/>
              </w:rPr>
              <w:t xml:space="preserve">    （2）风险源分布和影响途径分析</w:t>
            </w:r>
          </w:p>
          <w:p w14:paraId="67ABEC43">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bCs/>
                <w:color w:val="auto"/>
                <w:sz w:val="24"/>
                <w:szCs w:val="24"/>
                <w:vertAlign w:val="baseline"/>
                <w:lang w:val="en-US" w:eastAsia="zh-CN"/>
              </w:rPr>
            </w:pPr>
            <w:r>
              <w:rPr>
                <w:rFonts w:hint="eastAsia"/>
                <w:bCs/>
                <w:color w:val="auto"/>
                <w:sz w:val="24"/>
                <w:szCs w:val="24"/>
                <w:vertAlign w:val="baseline"/>
                <w:lang w:val="en-US" w:eastAsia="zh-CN"/>
              </w:rPr>
              <w:t xml:space="preserve">本项目存在风险的特点主要表现为生产废水事故排放引发的风险；发生火灾爆炸事故。 </w:t>
            </w:r>
          </w:p>
          <w:p w14:paraId="492117C7">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 xml:space="preserve">①由于物料属于易燃物质，因此在物料储存过程中考虑有一定的火灾风险。 </w:t>
            </w:r>
          </w:p>
          <w:p w14:paraId="7A4E6F96">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vertAlign w:val="baseline"/>
                <w:lang w:val="en-US" w:eastAsia="zh-CN"/>
              </w:rPr>
            </w:pPr>
            <w:r>
              <w:rPr>
                <w:rFonts w:hint="default" w:ascii="Times New Roman" w:hAnsi="Times New Roman" w:eastAsia="仿宋" w:cs="Times New Roman"/>
                <w:bCs/>
                <w:color w:val="auto"/>
                <w:sz w:val="24"/>
                <w:szCs w:val="24"/>
                <w:vertAlign w:val="baseline"/>
                <w:lang w:val="en-US" w:eastAsia="zh-CN"/>
              </w:rPr>
              <w:t>②</w:t>
            </w:r>
            <w:r>
              <w:rPr>
                <w:rFonts w:hint="default" w:ascii="Times New Roman" w:hAnsi="Times New Roman" w:cs="Times New Roman"/>
                <w:bCs/>
                <w:color w:val="auto"/>
                <w:sz w:val="24"/>
                <w:szCs w:val="24"/>
                <w:vertAlign w:val="baseline"/>
                <w:lang w:val="en-US" w:eastAsia="zh-CN"/>
              </w:rPr>
              <w:t>本项目生产废水处理设施发生事故排放时，会对周围的水环境及项目所在区域地下水引起一定的污染风险。建设单位需对废水收集池进行防雨、防渗、防漏处理。</w:t>
            </w:r>
          </w:p>
          <w:p w14:paraId="1DD04703">
            <w:pPr>
              <w:pStyle w:val="16"/>
              <w:jc w:val="center"/>
              <w:rPr>
                <w:rFonts w:hint="eastAsia" w:ascii="Times New Roman" w:hAnsi="Times New Roman" w:eastAsia="宋体" w:cs="Times New Roman"/>
                <w:b/>
                <w:bCs w:val="0"/>
                <w:color w:val="auto"/>
                <w:kern w:val="2"/>
                <w:sz w:val="24"/>
                <w:szCs w:val="24"/>
                <w:vertAlign w:val="baseline"/>
                <w:lang w:val="en-US" w:eastAsia="zh-CN" w:bidi="ar-SA"/>
              </w:rPr>
            </w:pPr>
            <w:r>
              <w:rPr>
                <w:rFonts w:hint="eastAsia" w:ascii="Times New Roman" w:hAnsi="Times New Roman" w:eastAsia="宋体" w:cs="Times New Roman"/>
                <w:b/>
                <w:bCs w:val="0"/>
                <w:color w:val="auto"/>
                <w:kern w:val="2"/>
                <w:sz w:val="24"/>
                <w:szCs w:val="24"/>
                <w:vertAlign w:val="baseline"/>
                <w:lang w:val="en-US" w:eastAsia="zh-CN" w:bidi="ar-SA"/>
              </w:rPr>
              <w:t>表4-13本项目环境风险源分布和影响途径一览表</w:t>
            </w:r>
          </w:p>
          <w:tbl>
            <w:tblPr>
              <w:tblStyle w:val="34"/>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740"/>
              <w:gridCol w:w="1620"/>
              <w:gridCol w:w="1907"/>
              <w:gridCol w:w="1498"/>
              <w:gridCol w:w="1498"/>
            </w:tblGrid>
            <w:tr w14:paraId="68A3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noWrap w:val="0"/>
                  <w:vAlign w:val="center"/>
                </w:tcPr>
                <w:p w14:paraId="286629F7">
                  <w:pPr>
                    <w:jc w:val="center"/>
                    <w:rPr>
                      <w:rFonts w:hint="default"/>
                      <w:b/>
                      <w:bCs/>
                      <w:color w:val="auto"/>
                      <w:vertAlign w:val="baseline"/>
                      <w:lang w:val="en-US" w:eastAsia="zh-CN"/>
                    </w:rPr>
                  </w:pPr>
                  <w:r>
                    <w:rPr>
                      <w:rFonts w:hint="eastAsia"/>
                      <w:b/>
                      <w:bCs/>
                      <w:color w:val="auto"/>
                      <w:vertAlign w:val="baseline"/>
                      <w:lang w:val="en-US" w:eastAsia="zh-CN"/>
                    </w:rPr>
                    <w:t>序号</w:t>
                  </w:r>
                </w:p>
              </w:tc>
              <w:tc>
                <w:tcPr>
                  <w:tcW w:w="1740" w:type="dxa"/>
                  <w:noWrap w:val="0"/>
                  <w:vAlign w:val="center"/>
                </w:tcPr>
                <w:p w14:paraId="2A64B409">
                  <w:pPr>
                    <w:jc w:val="center"/>
                    <w:rPr>
                      <w:rFonts w:hint="default"/>
                      <w:b/>
                      <w:bCs/>
                      <w:color w:val="auto"/>
                      <w:vertAlign w:val="baseline"/>
                      <w:lang w:val="en-US" w:eastAsia="zh-CN"/>
                    </w:rPr>
                  </w:pPr>
                  <w:r>
                    <w:rPr>
                      <w:rFonts w:hint="eastAsia"/>
                      <w:b/>
                      <w:bCs/>
                      <w:color w:val="auto"/>
                      <w:vertAlign w:val="baseline"/>
                      <w:lang w:val="en-US" w:eastAsia="zh-CN"/>
                    </w:rPr>
                    <w:t>危险单元</w:t>
                  </w:r>
                </w:p>
              </w:tc>
              <w:tc>
                <w:tcPr>
                  <w:tcW w:w="1620" w:type="dxa"/>
                  <w:noWrap w:val="0"/>
                  <w:vAlign w:val="center"/>
                </w:tcPr>
                <w:p w14:paraId="06090BD1">
                  <w:pPr>
                    <w:jc w:val="center"/>
                    <w:rPr>
                      <w:rFonts w:hint="default"/>
                      <w:b/>
                      <w:bCs/>
                      <w:color w:val="auto"/>
                      <w:vertAlign w:val="baseline"/>
                      <w:lang w:val="en-US" w:eastAsia="zh-CN"/>
                    </w:rPr>
                  </w:pPr>
                  <w:r>
                    <w:rPr>
                      <w:rFonts w:hint="eastAsia"/>
                      <w:b/>
                      <w:bCs/>
                      <w:color w:val="auto"/>
                      <w:vertAlign w:val="baseline"/>
                      <w:lang w:val="en-US" w:eastAsia="zh-CN"/>
                    </w:rPr>
                    <w:t>污染源</w:t>
                  </w:r>
                </w:p>
              </w:tc>
              <w:tc>
                <w:tcPr>
                  <w:tcW w:w="1907" w:type="dxa"/>
                  <w:noWrap w:val="0"/>
                  <w:vAlign w:val="center"/>
                </w:tcPr>
                <w:p w14:paraId="23212239">
                  <w:pPr>
                    <w:jc w:val="center"/>
                    <w:rPr>
                      <w:rFonts w:hint="default"/>
                      <w:b/>
                      <w:bCs/>
                      <w:color w:val="auto"/>
                      <w:vertAlign w:val="baseline"/>
                      <w:lang w:val="en-US" w:eastAsia="zh-CN"/>
                    </w:rPr>
                  </w:pPr>
                  <w:r>
                    <w:rPr>
                      <w:rFonts w:hint="eastAsia"/>
                      <w:b/>
                      <w:bCs/>
                      <w:color w:val="auto"/>
                      <w:vertAlign w:val="baseline"/>
                      <w:lang w:val="en-US" w:eastAsia="zh-CN"/>
                    </w:rPr>
                    <w:t>污染类型</w:t>
                  </w:r>
                </w:p>
              </w:tc>
              <w:tc>
                <w:tcPr>
                  <w:tcW w:w="1498" w:type="dxa"/>
                  <w:noWrap w:val="0"/>
                  <w:vAlign w:val="center"/>
                </w:tcPr>
                <w:p w14:paraId="3ACC2A54">
                  <w:pPr>
                    <w:jc w:val="center"/>
                    <w:rPr>
                      <w:rFonts w:hint="default"/>
                      <w:b/>
                      <w:bCs/>
                      <w:color w:val="auto"/>
                      <w:vertAlign w:val="baseline"/>
                      <w:lang w:val="en-US" w:eastAsia="zh-CN"/>
                    </w:rPr>
                  </w:pPr>
                  <w:r>
                    <w:rPr>
                      <w:rFonts w:hint="eastAsia"/>
                      <w:b/>
                      <w:bCs/>
                      <w:color w:val="auto"/>
                      <w:vertAlign w:val="baseline"/>
                      <w:lang w:val="en-US" w:eastAsia="zh-CN"/>
                    </w:rPr>
                    <w:t>污染途径</w:t>
                  </w:r>
                </w:p>
              </w:tc>
              <w:tc>
                <w:tcPr>
                  <w:tcW w:w="1498" w:type="dxa"/>
                  <w:noWrap w:val="0"/>
                  <w:vAlign w:val="center"/>
                </w:tcPr>
                <w:p w14:paraId="1E465B64">
                  <w:pPr>
                    <w:jc w:val="center"/>
                    <w:rPr>
                      <w:rFonts w:hint="default"/>
                      <w:b/>
                      <w:bCs/>
                      <w:color w:val="auto"/>
                      <w:vertAlign w:val="baseline"/>
                      <w:lang w:val="en-US" w:eastAsia="zh-CN"/>
                    </w:rPr>
                  </w:pPr>
                  <w:r>
                    <w:rPr>
                      <w:rFonts w:hint="eastAsia"/>
                      <w:b/>
                      <w:bCs/>
                      <w:color w:val="auto"/>
                      <w:vertAlign w:val="baseline"/>
                      <w:lang w:val="en-US" w:eastAsia="zh-CN"/>
                    </w:rPr>
                    <w:t>可能影响环境</w:t>
                  </w:r>
                  <w:bookmarkStart w:id="273" w:name="_GoBack"/>
                  <w:bookmarkEnd w:id="273"/>
                  <w:r>
                    <w:rPr>
                      <w:rFonts w:hint="eastAsia"/>
                      <w:b/>
                      <w:bCs/>
                      <w:color w:val="auto"/>
                      <w:vertAlign w:val="baseline"/>
                      <w:lang w:val="en-US" w:eastAsia="zh-CN"/>
                    </w:rPr>
                    <w:t>敏感目标</w:t>
                  </w:r>
                </w:p>
              </w:tc>
            </w:tr>
            <w:tr w14:paraId="6F28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noWrap w:val="0"/>
                  <w:vAlign w:val="center"/>
                </w:tcPr>
                <w:p w14:paraId="217AEE00">
                  <w:pPr>
                    <w:jc w:val="center"/>
                    <w:rPr>
                      <w:rFonts w:hint="default"/>
                      <w:color w:val="auto"/>
                      <w:vertAlign w:val="baseline"/>
                      <w:lang w:val="en-US" w:eastAsia="zh-CN"/>
                    </w:rPr>
                  </w:pPr>
                  <w:r>
                    <w:rPr>
                      <w:rFonts w:hint="eastAsia"/>
                      <w:color w:val="auto"/>
                      <w:vertAlign w:val="baseline"/>
                      <w:lang w:val="en-US" w:eastAsia="zh-CN"/>
                    </w:rPr>
                    <w:t>1</w:t>
                  </w:r>
                </w:p>
              </w:tc>
              <w:tc>
                <w:tcPr>
                  <w:tcW w:w="1740" w:type="dxa"/>
                  <w:noWrap w:val="0"/>
                  <w:vAlign w:val="center"/>
                </w:tcPr>
                <w:p w14:paraId="060F2054">
                  <w:pPr>
                    <w:jc w:val="center"/>
                    <w:rPr>
                      <w:rFonts w:hint="default"/>
                      <w:color w:val="auto"/>
                      <w:vertAlign w:val="baseline"/>
                      <w:lang w:val="en-US" w:eastAsia="zh-CN"/>
                    </w:rPr>
                  </w:pPr>
                  <w:r>
                    <w:rPr>
                      <w:rFonts w:hint="eastAsia"/>
                      <w:color w:val="auto"/>
                      <w:vertAlign w:val="baseline"/>
                      <w:lang w:val="en-US" w:eastAsia="zh-CN"/>
                    </w:rPr>
                    <w:t>生产废水收集池</w:t>
                  </w:r>
                </w:p>
              </w:tc>
              <w:tc>
                <w:tcPr>
                  <w:tcW w:w="1620" w:type="dxa"/>
                  <w:noWrap w:val="0"/>
                  <w:vAlign w:val="center"/>
                </w:tcPr>
                <w:p w14:paraId="4455AF4A">
                  <w:pPr>
                    <w:jc w:val="center"/>
                    <w:rPr>
                      <w:rFonts w:hint="default"/>
                      <w:color w:val="auto"/>
                      <w:vertAlign w:val="baseline"/>
                      <w:lang w:val="en-US" w:eastAsia="zh-CN"/>
                    </w:rPr>
                  </w:pPr>
                  <w:r>
                    <w:rPr>
                      <w:rFonts w:hint="eastAsia"/>
                      <w:color w:val="auto"/>
                      <w:vertAlign w:val="baseline"/>
                      <w:lang w:val="en-US" w:eastAsia="zh-CN"/>
                    </w:rPr>
                    <w:t>生产废水</w:t>
                  </w:r>
                </w:p>
              </w:tc>
              <w:tc>
                <w:tcPr>
                  <w:tcW w:w="1907" w:type="dxa"/>
                  <w:noWrap w:val="0"/>
                  <w:vAlign w:val="center"/>
                </w:tcPr>
                <w:p w14:paraId="7F36400D">
                  <w:pPr>
                    <w:jc w:val="center"/>
                    <w:rPr>
                      <w:rFonts w:hint="default"/>
                      <w:color w:val="auto"/>
                      <w:vertAlign w:val="baseline"/>
                      <w:lang w:val="en-US" w:eastAsia="zh-CN"/>
                    </w:rPr>
                  </w:pPr>
                  <w:r>
                    <w:rPr>
                      <w:rFonts w:hint="eastAsia"/>
                      <w:color w:val="auto"/>
                      <w:vertAlign w:val="baseline"/>
                      <w:lang w:val="en-US" w:eastAsia="zh-CN"/>
                    </w:rPr>
                    <w:t>泄漏</w:t>
                  </w:r>
                </w:p>
              </w:tc>
              <w:tc>
                <w:tcPr>
                  <w:tcW w:w="1498" w:type="dxa"/>
                  <w:noWrap w:val="0"/>
                  <w:vAlign w:val="center"/>
                </w:tcPr>
                <w:p w14:paraId="124D2A43">
                  <w:pPr>
                    <w:jc w:val="center"/>
                    <w:rPr>
                      <w:rFonts w:hint="eastAsia"/>
                      <w:color w:val="auto"/>
                      <w:vertAlign w:val="baseline"/>
                      <w:lang w:val="en-US" w:eastAsia="zh-CN"/>
                    </w:rPr>
                  </w:pPr>
                  <w:r>
                    <w:rPr>
                      <w:rFonts w:hint="eastAsia"/>
                      <w:color w:val="auto"/>
                      <w:vertAlign w:val="baseline"/>
                      <w:lang w:val="en-US" w:eastAsia="zh-CN"/>
                    </w:rPr>
                    <w:t>土壤下渗、地表径流</w:t>
                  </w:r>
                </w:p>
              </w:tc>
              <w:tc>
                <w:tcPr>
                  <w:tcW w:w="1498" w:type="dxa"/>
                  <w:noWrap w:val="0"/>
                  <w:vAlign w:val="center"/>
                </w:tcPr>
                <w:p w14:paraId="192F435E">
                  <w:pPr>
                    <w:jc w:val="center"/>
                    <w:rPr>
                      <w:rFonts w:hint="eastAsia"/>
                      <w:color w:val="auto"/>
                      <w:vertAlign w:val="baseline"/>
                      <w:lang w:val="en-US" w:eastAsia="zh-CN"/>
                    </w:rPr>
                  </w:pPr>
                  <w:r>
                    <w:rPr>
                      <w:rFonts w:hint="eastAsia"/>
                      <w:color w:val="auto"/>
                      <w:vertAlign w:val="baseline"/>
                      <w:lang w:val="en-US" w:eastAsia="zh-CN"/>
                    </w:rPr>
                    <w:t>周边土壤、地下水、地表水</w:t>
                  </w:r>
                </w:p>
              </w:tc>
            </w:tr>
            <w:tr w14:paraId="5743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noWrap w:val="0"/>
                  <w:vAlign w:val="center"/>
                </w:tcPr>
                <w:p w14:paraId="279848DD">
                  <w:pPr>
                    <w:jc w:val="center"/>
                    <w:rPr>
                      <w:rFonts w:hint="default"/>
                      <w:color w:val="auto"/>
                      <w:vertAlign w:val="baseline"/>
                      <w:lang w:val="en-US" w:eastAsia="zh-CN"/>
                    </w:rPr>
                  </w:pPr>
                  <w:r>
                    <w:rPr>
                      <w:rFonts w:hint="eastAsia"/>
                      <w:color w:val="auto"/>
                      <w:vertAlign w:val="baseline"/>
                      <w:lang w:val="en-US" w:eastAsia="zh-CN"/>
                    </w:rPr>
                    <w:t>2</w:t>
                  </w:r>
                </w:p>
              </w:tc>
              <w:tc>
                <w:tcPr>
                  <w:tcW w:w="1740" w:type="dxa"/>
                  <w:noWrap w:val="0"/>
                  <w:vAlign w:val="center"/>
                </w:tcPr>
                <w:p w14:paraId="154691F5">
                  <w:pPr>
                    <w:jc w:val="center"/>
                    <w:rPr>
                      <w:rFonts w:hint="default"/>
                      <w:color w:val="auto"/>
                      <w:vertAlign w:val="baseline"/>
                      <w:lang w:val="en-US" w:eastAsia="zh-CN"/>
                    </w:rPr>
                  </w:pPr>
                  <w:r>
                    <w:rPr>
                      <w:rFonts w:hint="eastAsia"/>
                      <w:color w:val="auto"/>
                      <w:vertAlign w:val="baseline"/>
                      <w:lang w:val="en-US" w:eastAsia="zh-CN"/>
                    </w:rPr>
                    <w:t>生产车间及废料堆放大棚</w:t>
                  </w:r>
                </w:p>
              </w:tc>
              <w:tc>
                <w:tcPr>
                  <w:tcW w:w="1620" w:type="dxa"/>
                  <w:noWrap w:val="0"/>
                  <w:vAlign w:val="center"/>
                </w:tcPr>
                <w:p w14:paraId="258945A9">
                  <w:pPr>
                    <w:jc w:val="center"/>
                    <w:rPr>
                      <w:rFonts w:hint="default"/>
                      <w:color w:val="auto"/>
                      <w:vertAlign w:val="baseline"/>
                      <w:lang w:val="en-US" w:eastAsia="zh-CN"/>
                    </w:rPr>
                  </w:pPr>
                  <w:r>
                    <w:rPr>
                      <w:rFonts w:hint="eastAsia"/>
                      <w:color w:val="auto"/>
                      <w:vertAlign w:val="baseline"/>
                      <w:lang w:val="en-US" w:eastAsia="zh-CN"/>
                    </w:rPr>
                    <w:t>原料及产品、废料</w:t>
                  </w:r>
                </w:p>
              </w:tc>
              <w:tc>
                <w:tcPr>
                  <w:tcW w:w="1907" w:type="dxa"/>
                  <w:noWrap w:val="0"/>
                  <w:vAlign w:val="center"/>
                </w:tcPr>
                <w:p w14:paraId="0B5AE525">
                  <w:pPr>
                    <w:jc w:val="center"/>
                    <w:rPr>
                      <w:rFonts w:hint="default"/>
                      <w:color w:val="auto"/>
                      <w:vertAlign w:val="baseline"/>
                      <w:lang w:val="en-US" w:eastAsia="zh-CN"/>
                    </w:rPr>
                  </w:pPr>
                  <w:r>
                    <w:rPr>
                      <w:rFonts w:hint="eastAsia"/>
                      <w:color w:val="auto"/>
                      <w:vertAlign w:val="baseline"/>
                      <w:lang w:val="en-US" w:eastAsia="zh-CN"/>
                    </w:rPr>
                    <w:t>火灾</w:t>
                  </w:r>
                </w:p>
              </w:tc>
              <w:tc>
                <w:tcPr>
                  <w:tcW w:w="1498" w:type="dxa"/>
                  <w:noWrap w:val="0"/>
                  <w:vAlign w:val="center"/>
                </w:tcPr>
                <w:p w14:paraId="4AA44EBB">
                  <w:pPr>
                    <w:jc w:val="center"/>
                    <w:rPr>
                      <w:rFonts w:hint="eastAsia"/>
                      <w:color w:val="auto"/>
                      <w:vertAlign w:val="baseline"/>
                      <w:lang w:val="en-US" w:eastAsia="zh-CN"/>
                    </w:rPr>
                  </w:pPr>
                  <w:r>
                    <w:rPr>
                      <w:rFonts w:hint="eastAsia"/>
                      <w:color w:val="auto"/>
                      <w:vertAlign w:val="baseline"/>
                      <w:lang w:val="en-US" w:eastAsia="zh-CN"/>
                    </w:rPr>
                    <w:t>大气</w:t>
                  </w:r>
                </w:p>
              </w:tc>
              <w:tc>
                <w:tcPr>
                  <w:tcW w:w="1498" w:type="dxa"/>
                  <w:noWrap w:val="0"/>
                  <w:vAlign w:val="center"/>
                </w:tcPr>
                <w:p w14:paraId="05A14F68">
                  <w:pPr>
                    <w:jc w:val="center"/>
                    <w:rPr>
                      <w:rFonts w:hint="default"/>
                      <w:color w:val="auto"/>
                      <w:vertAlign w:val="baseline"/>
                      <w:lang w:val="en-US" w:eastAsia="zh-CN"/>
                    </w:rPr>
                  </w:pPr>
                  <w:r>
                    <w:rPr>
                      <w:rFonts w:hint="eastAsia"/>
                      <w:color w:val="auto"/>
                      <w:vertAlign w:val="baseline"/>
                      <w:lang w:val="en-US" w:eastAsia="zh-CN"/>
                    </w:rPr>
                    <w:t>大气环境</w:t>
                  </w:r>
                </w:p>
              </w:tc>
            </w:tr>
          </w:tbl>
          <w:p w14:paraId="66762078">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b w:val="0"/>
                <w:bCs w:val="0"/>
                <w:color w:val="auto"/>
                <w:sz w:val="24"/>
                <w:szCs w:val="24"/>
                <w:lang w:val="en-US" w:eastAsia="zh-CN"/>
              </w:rPr>
            </w:pPr>
            <w:r>
              <w:rPr>
                <w:rFonts w:hint="eastAsia" w:ascii="Times New Roman" w:hAnsi="Times New Roman" w:eastAsia="宋体"/>
                <w:b w:val="0"/>
                <w:bCs w:val="0"/>
                <w:color w:val="auto"/>
                <w:sz w:val="24"/>
                <w:szCs w:val="24"/>
                <w:lang w:val="en-US" w:eastAsia="zh-CN"/>
              </w:rPr>
              <w:t xml:space="preserve">   （3）风险防范措施 </w:t>
            </w:r>
          </w:p>
          <w:p w14:paraId="77A118D0">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bCs/>
                <w:color w:val="auto"/>
                <w:sz w:val="24"/>
                <w:szCs w:val="24"/>
                <w:vertAlign w:val="baseline"/>
                <w:lang w:val="en-US" w:eastAsia="zh-CN"/>
              </w:rPr>
            </w:pPr>
            <w:r>
              <w:rPr>
                <w:rFonts w:hint="eastAsia"/>
                <w:bCs/>
                <w:color w:val="auto"/>
                <w:sz w:val="24"/>
                <w:szCs w:val="24"/>
                <w:vertAlign w:val="baseline"/>
                <w:lang w:val="en-US" w:eastAsia="zh-CN"/>
              </w:rPr>
              <w:t xml:space="preserve">针对存在的风险因素，本次评价制定相应的风险防范措施，有的与环境保护措施具有一致性。具体如下： </w:t>
            </w:r>
          </w:p>
          <w:p w14:paraId="075553F4">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bCs/>
                <w:color w:val="auto"/>
                <w:sz w:val="24"/>
                <w:szCs w:val="24"/>
                <w:vertAlign w:val="baseline"/>
                <w:lang w:val="en-US" w:eastAsia="zh-CN"/>
              </w:rPr>
            </w:pPr>
            <w:r>
              <w:rPr>
                <w:rFonts w:hint="eastAsia" w:ascii="Times New Roman" w:hAnsi="Times New Roman" w:eastAsia="宋体" w:cs="Times New Roman"/>
                <w:bCs/>
                <w:color w:val="auto"/>
                <w:sz w:val="24"/>
                <w:szCs w:val="24"/>
                <w:vertAlign w:val="baseline"/>
                <w:lang w:val="en-US" w:eastAsia="zh-CN"/>
              </w:rPr>
              <w:t>1）</w:t>
            </w:r>
            <w:r>
              <w:rPr>
                <w:rFonts w:hint="default" w:cs="Times New Roman"/>
                <w:bCs/>
                <w:color w:val="auto"/>
                <w:sz w:val="24"/>
                <w:szCs w:val="24"/>
                <w:vertAlign w:val="baseline"/>
                <w:lang w:val="en-US" w:eastAsia="zh-CN"/>
              </w:rPr>
              <w:t>泄漏事故</w:t>
            </w:r>
            <w:r>
              <w:rPr>
                <w:rFonts w:hint="eastAsia" w:ascii="Times New Roman" w:hAnsi="Times New Roman" w:eastAsia="宋体" w:cs="Times New Roman"/>
                <w:bCs/>
                <w:color w:val="auto"/>
                <w:sz w:val="24"/>
                <w:szCs w:val="24"/>
                <w:vertAlign w:val="baseline"/>
                <w:lang w:val="en-US" w:eastAsia="zh-CN"/>
              </w:rPr>
              <w:t>排放</w:t>
            </w:r>
            <w:r>
              <w:rPr>
                <w:rFonts w:hint="eastAsia"/>
                <w:bCs/>
                <w:color w:val="auto"/>
                <w:sz w:val="24"/>
                <w:szCs w:val="24"/>
                <w:vertAlign w:val="baseline"/>
                <w:lang w:val="en-US" w:eastAsia="zh-CN"/>
              </w:rPr>
              <w:t xml:space="preserve">措施 </w:t>
            </w:r>
          </w:p>
          <w:p w14:paraId="2E92B9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olor w:val="auto"/>
                <w:kern w:val="0"/>
                <w:sz w:val="24"/>
                <w:highlight w:val="none"/>
                <w:lang w:val="en-US" w:eastAsia="zh-CN"/>
              </w:rPr>
              <w:t>化粪池、生产废水收集池做好重点防渗，生产车间及废料堆放大棚进行一般防渗硬化处理；在采取</w:t>
            </w:r>
            <w:r>
              <w:rPr>
                <w:rFonts w:hint="eastAsia" w:ascii="宋体" w:hAnsi="宋体" w:cs="宋体"/>
                <w:bCs/>
                <w:color w:val="auto"/>
                <w:sz w:val="24"/>
                <w:szCs w:val="22"/>
                <w:highlight w:val="none"/>
              </w:rPr>
              <w:t>防漏、防渗</w:t>
            </w:r>
            <w:r>
              <w:rPr>
                <w:rFonts w:hint="eastAsia" w:ascii="宋体" w:hAnsi="宋体" w:cs="宋体"/>
                <w:bCs/>
                <w:color w:val="auto"/>
                <w:sz w:val="24"/>
                <w:szCs w:val="22"/>
                <w:highlight w:val="none"/>
                <w:lang w:eastAsia="zh-CN"/>
              </w:rPr>
              <w:t>、</w:t>
            </w:r>
            <w:r>
              <w:rPr>
                <w:rFonts w:hint="eastAsia" w:ascii="宋体" w:hAnsi="宋体" w:cs="宋体"/>
                <w:bCs/>
                <w:color w:val="auto"/>
                <w:sz w:val="24"/>
                <w:szCs w:val="22"/>
                <w:highlight w:val="none"/>
                <w:lang w:val="en-US" w:eastAsia="zh-CN"/>
              </w:rPr>
              <w:t>防雨等</w:t>
            </w:r>
            <w:r>
              <w:rPr>
                <w:rFonts w:hint="eastAsia"/>
                <w:color w:val="auto"/>
                <w:kern w:val="0"/>
                <w:sz w:val="24"/>
                <w:highlight w:val="none"/>
                <w:lang w:val="en-US" w:eastAsia="zh-CN"/>
              </w:rPr>
              <w:t>“三防”</w:t>
            </w:r>
            <w:r>
              <w:rPr>
                <w:rFonts w:hint="eastAsia" w:ascii="宋体" w:hAnsi="宋体" w:cs="宋体"/>
                <w:bCs/>
                <w:color w:val="auto"/>
                <w:sz w:val="24"/>
                <w:szCs w:val="22"/>
                <w:highlight w:val="none"/>
              </w:rPr>
              <w:t>措施，</w:t>
            </w:r>
            <w:r>
              <w:rPr>
                <w:rFonts w:hint="eastAsia"/>
                <w:bCs/>
                <w:color w:val="auto"/>
                <w:sz w:val="24"/>
                <w:szCs w:val="24"/>
                <w:vertAlign w:val="baseline"/>
                <w:lang w:val="en-US" w:eastAsia="zh-CN"/>
              </w:rPr>
              <w:t>对易发生泄露的部位实行定期巡检制度，及时发现问题，尽快解决，并制定有效的应急防范措施，</w:t>
            </w:r>
            <w:r>
              <w:rPr>
                <w:rFonts w:hint="eastAsia" w:ascii="宋体" w:hAnsi="宋体" w:cs="宋体"/>
                <w:bCs/>
                <w:color w:val="auto"/>
                <w:sz w:val="24"/>
                <w:szCs w:val="22"/>
                <w:highlight w:val="none"/>
              </w:rPr>
              <w:t>可确保不对</w:t>
            </w:r>
            <w:r>
              <w:rPr>
                <w:rFonts w:hint="eastAsia" w:ascii="宋体" w:hAnsi="宋体" w:cs="宋体"/>
                <w:bCs/>
                <w:color w:val="auto"/>
                <w:sz w:val="24"/>
                <w:szCs w:val="22"/>
                <w:highlight w:val="none"/>
                <w:lang w:val="en-US" w:eastAsia="zh-CN"/>
              </w:rPr>
              <w:t>地表水、</w:t>
            </w:r>
            <w:r>
              <w:rPr>
                <w:rFonts w:hint="eastAsia" w:ascii="宋体" w:hAnsi="宋体" w:cs="宋体"/>
                <w:bCs/>
                <w:color w:val="auto"/>
                <w:sz w:val="24"/>
                <w:szCs w:val="22"/>
                <w:highlight w:val="none"/>
              </w:rPr>
              <w:t>地下水</w:t>
            </w:r>
            <w:r>
              <w:rPr>
                <w:rFonts w:hint="eastAsia" w:ascii="宋体" w:hAnsi="宋体" w:cs="宋体"/>
                <w:bCs/>
                <w:color w:val="auto"/>
                <w:sz w:val="24"/>
                <w:szCs w:val="22"/>
                <w:highlight w:val="none"/>
                <w:lang w:eastAsia="zh-CN"/>
              </w:rPr>
              <w:t>、</w:t>
            </w:r>
            <w:r>
              <w:rPr>
                <w:rFonts w:hint="eastAsia" w:ascii="宋体" w:hAnsi="宋体" w:cs="宋体"/>
                <w:bCs/>
                <w:color w:val="auto"/>
                <w:sz w:val="24"/>
                <w:szCs w:val="22"/>
                <w:highlight w:val="none"/>
                <w:lang w:val="en-US" w:eastAsia="zh-CN"/>
              </w:rPr>
              <w:t>土壤</w:t>
            </w:r>
            <w:r>
              <w:rPr>
                <w:rFonts w:hint="eastAsia" w:ascii="宋体" w:hAnsi="宋体" w:cs="宋体"/>
                <w:bCs/>
                <w:color w:val="auto"/>
                <w:sz w:val="24"/>
                <w:szCs w:val="22"/>
                <w:highlight w:val="none"/>
              </w:rPr>
              <w:t>环境造成污染。</w:t>
            </w:r>
          </w:p>
          <w:p w14:paraId="6A3C6911">
            <w:pPr>
              <w:tabs>
                <w:tab w:val="left" w:pos="1440"/>
                <w:tab w:val="left" w:pos="1800"/>
              </w:tabs>
              <w:adjustRightInd w:val="0"/>
              <w:snapToGrid w:val="0"/>
              <w:spacing w:line="360" w:lineRule="auto"/>
              <w:ind w:firstLine="480" w:firstLineChars="200"/>
              <w:rPr>
                <w:rFonts w:hint="default" w:eastAsia="宋体"/>
                <w:color w:val="auto"/>
                <w:sz w:val="24"/>
                <w:lang w:val="en-US" w:eastAsia="zh-CN"/>
              </w:rPr>
            </w:pPr>
            <w:r>
              <w:rPr>
                <w:rFonts w:hint="eastAsia" w:ascii="仿宋" w:hAnsi="仿宋" w:eastAsia="仿宋" w:cs="仿宋"/>
                <w:color w:val="auto"/>
                <w:sz w:val="24"/>
                <w:lang w:val="en-US" w:eastAsia="zh-CN"/>
              </w:rPr>
              <w:t>2）</w:t>
            </w:r>
            <w:r>
              <w:rPr>
                <w:rFonts w:hint="eastAsia"/>
                <w:color w:val="auto"/>
                <w:sz w:val="24"/>
                <w:lang w:val="en-US" w:eastAsia="zh-CN"/>
              </w:rPr>
              <w:t>火灾、爆炸事故预防措施</w:t>
            </w:r>
          </w:p>
          <w:p w14:paraId="66B52D6C">
            <w:pPr>
              <w:tabs>
                <w:tab w:val="left" w:pos="1440"/>
                <w:tab w:val="left" w:pos="1800"/>
              </w:tabs>
              <w:adjustRightInd w:val="0"/>
              <w:snapToGrid w:val="0"/>
              <w:spacing w:line="360" w:lineRule="auto"/>
              <w:ind w:firstLine="480" w:firstLineChars="200"/>
              <w:rPr>
                <w:color w:val="auto"/>
                <w:sz w:val="24"/>
              </w:rPr>
            </w:pPr>
            <w:r>
              <w:rPr>
                <w:rFonts w:hint="eastAsia" w:ascii="仿宋" w:hAnsi="仿宋" w:eastAsia="仿宋" w:cs="仿宋"/>
                <w:color w:val="auto"/>
                <w:sz w:val="24"/>
                <w:lang w:val="en-US" w:eastAsia="zh-CN"/>
              </w:rPr>
              <w:t>A.</w:t>
            </w:r>
            <w:r>
              <w:rPr>
                <w:color w:val="auto"/>
                <w:sz w:val="24"/>
              </w:rPr>
              <w:t>严格执行相关法律、法规</w:t>
            </w:r>
          </w:p>
          <w:p w14:paraId="5FA407BE">
            <w:pPr>
              <w:tabs>
                <w:tab w:val="left" w:pos="1440"/>
                <w:tab w:val="left" w:pos="1800"/>
              </w:tabs>
              <w:adjustRightInd w:val="0"/>
              <w:snapToGrid w:val="0"/>
              <w:spacing w:line="360" w:lineRule="auto"/>
              <w:ind w:firstLine="480" w:firstLineChars="200"/>
              <w:rPr>
                <w:color w:val="auto"/>
                <w:sz w:val="24"/>
              </w:rPr>
            </w:pPr>
            <w:r>
              <w:rPr>
                <w:color w:val="auto"/>
                <w:sz w:val="24"/>
              </w:rPr>
              <w:t>由于本项目所</w:t>
            </w:r>
            <w:r>
              <w:rPr>
                <w:rFonts w:hint="eastAsia"/>
                <w:color w:val="auto"/>
                <w:sz w:val="24"/>
              </w:rPr>
              <w:t>储存的物料属于</w:t>
            </w:r>
            <w:r>
              <w:rPr>
                <w:color w:val="auto"/>
                <w:sz w:val="24"/>
              </w:rPr>
              <w:t>易燃品，因此在设计、施工、生产、经营等各方面必须严格执行有关法律、法规。具体如《危险化学品安全管理条例》、《建筑设计防火规范》、《易燃易爆化学物品安全监督管理办法》等。</w:t>
            </w:r>
          </w:p>
          <w:p w14:paraId="4A9BD95D">
            <w:pPr>
              <w:adjustRightInd w:val="0"/>
              <w:snapToGrid w:val="0"/>
              <w:spacing w:line="360" w:lineRule="auto"/>
              <w:ind w:firstLine="480" w:firstLineChars="200"/>
              <w:jc w:val="left"/>
              <w:rPr>
                <w:rFonts w:hint="eastAsia"/>
                <w:color w:val="auto"/>
                <w:sz w:val="24"/>
              </w:rPr>
            </w:pPr>
            <w:r>
              <w:rPr>
                <w:rFonts w:hint="eastAsia" w:ascii="仿宋" w:hAnsi="仿宋" w:eastAsia="仿宋" w:cs="仿宋"/>
                <w:color w:val="auto"/>
                <w:sz w:val="24"/>
                <w:lang w:val="en-US" w:eastAsia="zh-CN"/>
              </w:rPr>
              <w:t>B.</w:t>
            </w:r>
            <w:r>
              <w:rPr>
                <w:color w:val="auto"/>
                <w:sz w:val="24"/>
              </w:rPr>
              <w:t>贮存过程的消防管理措施</w:t>
            </w:r>
          </w:p>
          <w:p w14:paraId="26CB36D8">
            <w:pPr>
              <w:tabs>
                <w:tab w:val="left" w:pos="1440"/>
                <w:tab w:val="left" w:pos="1800"/>
              </w:tabs>
              <w:adjustRightInd w:val="0"/>
              <w:snapToGrid w:val="0"/>
              <w:spacing w:line="360" w:lineRule="auto"/>
              <w:ind w:firstLine="480" w:firstLineChars="200"/>
              <w:rPr>
                <w:color w:val="auto"/>
                <w:sz w:val="24"/>
              </w:rPr>
            </w:pPr>
            <w:r>
              <w:rPr>
                <w:color w:val="auto"/>
                <w:sz w:val="24"/>
              </w:rPr>
              <w:t>对各种</w:t>
            </w:r>
            <w:r>
              <w:rPr>
                <w:rFonts w:hint="eastAsia"/>
                <w:color w:val="auto"/>
                <w:sz w:val="24"/>
              </w:rPr>
              <w:t>物料</w:t>
            </w:r>
            <w:r>
              <w:rPr>
                <w:color w:val="auto"/>
                <w:sz w:val="24"/>
              </w:rPr>
              <w:t>应该按有关消防规范分类贮存，以降低事故发生。易燃物贮存区要形成相对独立区，并在周围设防火墙，隔离带</w:t>
            </w:r>
            <w:r>
              <w:rPr>
                <w:rFonts w:hint="eastAsia"/>
                <w:color w:val="auto"/>
                <w:sz w:val="24"/>
              </w:rPr>
              <w:t>。</w:t>
            </w:r>
            <w:r>
              <w:rPr>
                <w:color w:val="auto"/>
                <w:sz w:val="24"/>
              </w:rPr>
              <w:t>储存区内应有“禁止吸烟和使用明火”的告示牌。存储温度不可高于52℃，存储区应远离频繁出入处和紧急出口。</w:t>
            </w:r>
          </w:p>
          <w:p w14:paraId="471A9800">
            <w:pPr>
              <w:adjustRightInd w:val="0"/>
              <w:snapToGrid w:val="0"/>
              <w:spacing w:line="360" w:lineRule="auto"/>
              <w:ind w:firstLine="480" w:firstLineChars="200"/>
              <w:jc w:val="left"/>
              <w:rPr>
                <w:rFonts w:hint="eastAsia"/>
                <w:color w:val="auto"/>
                <w:sz w:val="24"/>
              </w:rPr>
            </w:pPr>
            <w:r>
              <w:rPr>
                <w:rFonts w:hint="eastAsia" w:ascii="仿宋" w:hAnsi="仿宋" w:eastAsia="仿宋" w:cs="仿宋"/>
                <w:color w:val="auto"/>
                <w:sz w:val="24"/>
                <w:lang w:val="en-US" w:eastAsia="zh-CN"/>
              </w:rPr>
              <w:t>C.</w:t>
            </w:r>
            <w:r>
              <w:rPr>
                <w:rFonts w:hint="eastAsia"/>
                <w:color w:val="auto"/>
                <w:sz w:val="24"/>
              </w:rPr>
              <w:t>生产车间</w:t>
            </w:r>
            <w:r>
              <w:rPr>
                <w:color w:val="auto"/>
                <w:sz w:val="24"/>
              </w:rPr>
              <w:t>安全防火措施</w:t>
            </w:r>
          </w:p>
          <w:p w14:paraId="40D02BB4">
            <w:pPr>
              <w:tabs>
                <w:tab w:val="left" w:pos="1440"/>
                <w:tab w:val="left" w:pos="1800"/>
              </w:tabs>
              <w:adjustRightInd w:val="0"/>
              <w:snapToGrid w:val="0"/>
              <w:spacing w:line="360" w:lineRule="auto"/>
              <w:ind w:firstLine="480" w:firstLineChars="200"/>
              <w:rPr>
                <w:color w:val="auto"/>
                <w:sz w:val="24"/>
              </w:rPr>
            </w:pPr>
            <w:r>
              <w:rPr>
                <w:rFonts w:hint="eastAsia"/>
                <w:color w:val="auto"/>
                <w:sz w:val="24"/>
              </w:rPr>
              <w:t>生产</w:t>
            </w:r>
            <w:r>
              <w:rPr>
                <w:color w:val="auto"/>
                <w:sz w:val="24"/>
              </w:rPr>
              <w:t>车间应有</w:t>
            </w:r>
            <w:r>
              <w:rPr>
                <w:rFonts w:hint="eastAsia"/>
                <w:color w:val="auto"/>
                <w:sz w:val="24"/>
              </w:rPr>
              <w:t>多个</w:t>
            </w:r>
            <w:r>
              <w:rPr>
                <w:color w:val="auto"/>
                <w:sz w:val="24"/>
              </w:rPr>
              <w:t>出口，备有消防灭火用具，车间内严禁烟火；车间照明灯及电器开关符合防火安全技术要求。</w:t>
            </w:r>
          </w:p>
          <w:p w14:paraId="4B2CDBC7">
            <w:pPr>
              <w:adjustRightInd w:val="0"/>
              <w:snapToGrid w:val="0"/>
              <w:spacing w:line="360" w:lineRule="auto"/>
              <w:ind w:firstLine="480" w:firstLineChars="200"/>
              <w:rPr>
                <w:color w:val="auto"/>
                <w:sz w:val="24"/>
              </w:rPr>
            </w:pPr>
            <w:r>
              <w:rPr>
                <w:rFonts w:hint="eastAsia" w:ascii="仿宋" w:hAnsi="仿宋" w:eastAsia="仿宋" w:cs="仿宋"/>
                <w:color w:val="auto"/>
                <w:sz w:val="24"/>
                <w:lang w:val="en-US" w:eastAsia="zh-CN"/>
              </w:rPr>
              <w:t>D.</w:t>
            </w:r>
            <w:r>
              <w:rPr>
                <w:color w:val="auto"/>
                <w:sz w:val="24"/>
              </w:rPr>
              <w:t>严格控制火种和电源</w:t>
            </w:r>
          </w:p>
          <w:p w14:paraId="067AAD22">
            <w:pPr>
              <w:adjustRightInd w:val="0"/>
              <w:snapToGrid w:val="0"/>
              <w:spacing w:line="360" w:lineRule="auto"/>
              <w:ind w:firstLine="480" w:firstLineChars="200"/>
              <w:rPr>
                <w:color w:val="auto"/>
                <w:sz w:val="24"/>
              </w:rPr>
            </w:pPr>
            <w:r>
              <w:rPr>
                <w:rFonts w:hint="eastAsia" w:ascii="华文宋体" w:hAnsi="华文宋体" w:eastAsia="华文宋体" w:cs="华文宋体"/>
                <w:color w:val="auto"/>
                <w:sz w:val="24"/>
              </w:rPr>
              <w:t>①</w:t>
            </w:r>
            <w:r>
              <w:rPr>
                <w:color w:val="auto"/>
                <w:sz w:val="24"/>
              </w:rPr>
              <w:t>电气设计和电机设备的选用，必须按照国家标准《爆炸和火灾危险环境电力装置设计规范》及行业标准进行设计和选型。</w:t>
            </w:r>
          </w:p>
          <w:p w14:paraId="739A4B3E">
            <w:pPr>
              <w:adjustRightInd w:val="0"/>
              <w:snapToGrid w:val="0"/>
              <w:spacing w:line="360" w:lineRule="auto"/>
              <w:ind w:firstLine="480" w:firstLineChars="200"/>
              <w:rPr>
                <w:color w:val="auto"/>
                <w:sz w:val="24"/>
              </w:rPr>
            </w:pPr>
            <w:r>
              <w:rPr>
                <w:rFonts w:hint="eastAsia" w:ascii="华文宋体" w:hAnsi="华文宋体" w:eastAsia="华文宋体" w:cs="华文宋体"/>
                <w:color w:val="auto"/>
                <w:sz w:val="24"/>
              </w:rPr>
              <w:t>②</w:t>
            </w:r>
            <w:r>
              <w:rPr>
                <w:color w:val="auto"/>
                <w:sz w:val="24"/>
              </w:rPr>
              <w:t>加强管理，明确岗位责任制，定期检查、维修、保养设备及构件，确保各种工艺、电气、</w:t>
            </w:r>
            <w:r>
              <w:rPr>
                <w:rFonts w:hint="eastAsia"/>
                <w:color w:val="auto"/>
                <w:sz w:val="24"/>
              </w:rPr>
              <w:t>净化装置</w:t>
            </w:r>
            <w:r>
              <w:rPr>
                <w:color w:val="auto"/>
                <w:sz w:val="24"/>
              </w:rPr>
              <w:t>设备的正常运行，以及消防系统的可靠性。</w:t>
            </w:r>
          </w:p>
          <w:p w14:paraId="58CDE308">
            <w:pPr>
              <w:adjustRightInd w:val="0"/>
              <w:snapToGrid w:val="0"/>
              <w:spacing w:line="360" w:lineRule="auto"/>
              <w:ind w:firstLine="480" w:firstLineChars="200"/>
              <w:rPr>
                <w:color w:val="auto"/>
                <w:sz w:val="24"/>
              </w:rPr>
            </w:pPr>
            <w:r>
              <w:rPr>
                <w:rFonts w:hint="eastAsia" w:ascii="华文宋体" w:hAnsi="华文宋体" w:eastAsia="华文宋体" w:cs="华文宋体"/>
                <w:color w:val="auto"/>
                <w:sz w:val="24"/>
              </w:rPr>
              <w:t>③</w:t>
            </w:r>
            <w:r>
              <w:rPr>
                <w:color w:val="auto"/>
                <w:sz w:val="24"/>
              </w:rPr>
              <w:t>项目区内严禁吸烟和动用明火。如因生产需要必须动用明火时，在动火前，应严格执行动火审批制度。切实落实防范措施，并设有专人负责。在工作结束后，要细致检查，彻底熄灭残火。在危险性大的地方作业结束后，应设专人监护，确实无火险后，方可离去，防止死灰复燃。 </w:t>
            </w:r>
          </w:p>
          <w:p w14:paraId="7AEE2946">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加强安全保卫工作，严格做到有检查、有记录，发现问题及时报告。</w:t>
            </w:r>
          </w:p>
          <w:p w14:paraId="10FD5A32">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 xml:space="preserve">消防设施的电源，应保证不中断供电。项目区不能有架空电线通过，应尽可能地采用地埋线，以免电线杆倒断或电线松弛相碰打出火花，引起火灾。 </w:t>
            </w:r>
          </w:p>
          <w:p w14:paraId="730E540C">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宋体" w:hAnsi="宋体" w:cs="宋体"/>
                <w:color w:val="auto"/>
                <w:sz w:val="24"/>
              </w:rPr>
              <w:t>⑥</w:t>
            </w:r>
            <w:r>
              <w:rPr>
                <w:color w:val="auto"/>
                <w:sz w:val="24"/>
              </w:rPr>
              <w:t>易燃、可燃材料，不应到处乱堆放，应整齐堆放在指定地点，并与</w:t>
            </w:r>
            <w:r>
              <w:rPr>
                <w:rFonts w:hint="eastAsia"/>
                <w:color w:val="auto"/>
                <w:sz w:val="24"/>
              </w:rPr>
              <w:t>物料堆放区</w:t>
            </w:r>
            <w:r>
              <w:rPr>
                <w:color w:val="auto"/>
                <w:sz w:val="24"/>
              </w:rPr>
              <w:t>留有</w:t>
            </w:r>
            <w:r>
              <w:rPr>
                <w:rFonts w:ascii="Times New Roman" w:hAnsi="Times New Roman" w:eastAsia="宋体" w:cs="Times New Roman"/>
                <w:color w:val="auto"/>
                <w:sz w:val="24"/>
              </w:rPr>
              <w:t>一定的安全距离。</w:t>
            </w:r>
          </w:p>
          <w:p w14:paraId="56103EFF">
            <w:pPr>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3）冷库风险防范措施</w:t>
            </w:r>
          </w:p>
          <w:p w14:paraId="23F720E9">
            <w:pPr>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根据《冷库设计规范》</w:t>
            </w:r>
            <w:r>
              <w:rPr>
                <w:rFonts w:hint="eastAsia" w:ascii="Times New Roman" w:hAnsi="Times New Roman" w:eastAsia="宋体" w:cs="Times New Roman"/>
                <w:b w:val="0"/>
                <w:bCs w:val="0"/>
                <w:color w:val="auto"/>
                <w:sz w:val="24"/>
                <w:highlight w:val="none"/>
                <w:lang w:val="en-US" w:eastAsia="zh-CN"/>
              </w:rPr>
              <w:t>（GB50072-2010）要求</w:t>
            </w:r>
            <w:r>
              <w:rPr>
                <w:rFonts w:hint="eastAsia" w:ascii="Times New Roman" w:hAnsi="Times New Roman" w:cs="Times New Roman"/>
                <w:b w:val="0"/>
                <w:bCs w:val="0"/>
                <w:color w:val="auto"/>
                <w:sz w:val="24"/>
                <w:highlight w:val="none"/>
                <w:lang w:val="en-US" w:eastAsia="zh-CN"/>
              </w:rPr>
              <w:t>，制冷机房设置事故排风机。在机房内排风机控制柜上和制冷机房外墙上安装人工启停控制按钮。机房内排风机按二级负荷供电，当制冷系统因故障被切除供电电源停止运行时，应保证排风机的可靠供电。</w:t>
            </w:r>
          </w:p>
          <w:p w14:paraId="487C7458">
            <w:pPr>
              <w:adjustRightInd w:val="0"/>
              <w:snapToGrid w:val="0"/>
              <w:spacing w:line="360" w:lineRule="auto"/>
              <w:ind w:firstLine="480" w:firstLineChars="200"/>
              <w:jc w:val="left"/>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根据《冷库设计规范》</w:t>
            </w:r>
            <w:r>
              <w:rPr>
                <w:rFonts w:hint="eastAsia" w:ascii="Times New Roman" w:hAnsi="Times New Roman" w:eastAsia="宋体" w:cs="Times New Roman"/>
                <w:b w:val="0"/>
                <w:bCs w:val="0"/>
                <w:color w:val="auto"/>
                <w:sz w:val="24"/>
                <w:highlight w:val="none"/>
                <w:lang w:val="en-US" w:eastAsia="zh-CN"/>
              </w:rPr>
              <w:t>（GB50072-2010）</w:t>
            </w:r>
            <w:r>
              <w:rPr>
                <w:rFonts w:hint="eastAsia" w:ascii="Times New Roman" w:hAnsi="Times New Roman" w:cs="Times New Roman"/>
                <w:b w:val="0"/>
                <w:bCs w:val="0"/>
                <w:color w:val="auto"/>
                <w:sz w:val="24"/>
                <w:highlight w:val="none"/>
                <w:lang w:val="en-US" w:eastAsia="zh-CN"/>
              </w:rPr>
              <w:t>要求，项目在冷库门内设置有应急内开门锁装置，附近设置呼唤按钮，呼唤信号可传送到制冷机房值班控制室，在冷库外设置有呼唤信号显示。严格按照冷库设计规范进行建设，完善应急能力，保证设备稳定正常运行。</w:t>
            </w:r>
          </w:p>
          <w:p w14:paraId="17D5FC61">
            <w:pPr>
              <w:pStyle w:val="4"/>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b w:val="0"/>
                <w:bCs w:val="0"/>
                <w:color w:val="auto"/>
                <w:sz w:val="24"/>
                <w:szCs w:val="24"/>
                <w:lang w:val="en-US" w:eastAsia="zh-CN"/>
              </w:rPr>
              <w:t>（4）结论</w:t>
            </w:r>
          </w:p>
          <w:p w14:paraId="2018FA6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eastAsia"/>
                <w:bCs/>
                <w:color w:val="auto"/>
                <w:sz w:val="24"/>
                <w:szCs w:val="24"/>
                <w:vertAlign w:val="baseline"/>
                <w:lang w:val="en-US" w:eastAsia="zh-CN"/>
              </w:rPr>
              <w:t>本评价要求建设方在下一阶段工作中制定突发环境事件应急预案并到当地生态环境主管部门进行备案，在今后的运营过程中严格落实应急预案中的应急措施，定期进行演练，</w:t>
            </w:r>
            <w:r>
              <w:rPr>
                <w:rFonts w:hint="eastAsia" w:ascii="Times New Roman" w:hAnsi="Times New Roman" w:eastAsia="宋体" w:cs="Times New Roman"/>
                <w:b w:val="0"/>
                <w:color w:val="auto"/>
                <w:kern w:val="2"/>
                <w:sz w:val="24"/>
                <w:szCs w:val="24"/>
                <w:lang w:val="en-US" w:eastAsia="zh-CN" w:bidi="ar-SA"/>
              </w:rPr>
              <w:t>由以上分析可知，本项目存在的环境风险只要按照本次评价做好防范措施和应急预案的基础上，本项目的环境风险可以降至最小限度，从环境风险的角度分析，本项目是可行的。</w:t>
            </w:r>
          </w:p>
          <w:p w14:paraId="71193FB9">
            <w:pPr>
              <w:adjustRightInd w:val="0"/>
              <w:snapToGrid w:val="0"/>
              <w:spacing w:line="360" w:lineRule="auto"/>
              <w:rPr>
                <w:rFonts w:hint="default" w:ascii="Times New Roman" w:hAnsi="Times New Roman" w:eastAsia="宋体" w:cs="Times New Roman"/>
                <w:b/>
                <w:bCs w:val="0"/>
                <w:color w:val="auto"/>
                <w:spacing w:val="-10"/>
                <w:sz w:val="24"/>
                <w:szCs w:val="24"/>
                <w:lang w:eastAsia="zh-CN"/>
              </w:rPr>
            </w:pPr>
            <w:r>
              <w:rPr>
                <w:rFonts w:hint="eastAsia" w:ascii="Times New Roman" w:hAnsi="Times New Roman" w:eastAsia="宋体" w:cs="Times New Roman"/>
                <w:b/>
                <w:bCs w:val="0"/>
                <w:color w:val="auto"/>
                <w:spacing w:val="-10"/>
                <w:sz w:val="24"/>
                <w:szCs w:val="24"/>
                <w:lang w:val="en-US" w:eastAsia="zh-CN"/>
              </w:rPr>
              <w:t>2.8</w:t>
            </w:r>
            <w:r>
              <w:rPr>
                <w:rFonts w:hint="default" w:ascii="Times New Roman" w:hAnsi="Times New Roman" w:eastAsia="宋体" w:cs="Times New Roman"/>
                <w:b/>
                <w:bCs w:val="0"/>
                <w:color w:val="auto"/>
                <w:spacing w:val="-10"/>
                <w:sz w:val="24"/>
                <w:szCs w:val="24"/>
                <w:lang w:val="en-US" w:eastAsia="zh-CN"/>
              </w:rPr>
              <w:t>环境管理</w:t>
            </w:r>
            <w:r>
              <w:rPr>
                <w:rFonts w:hint="default" w:ascii="Times New Roman" w:hAnsi="Times New Roman" w:eastAsia="宋体" w:cs="Times New Roman"/>
                <w:b/>
                <w:bCs w:val="0"/>
                <w:color w:val="auto"/>
                <w:spacing w:val="-10"/>
                <w:sz w:val="24"/>
                <w:szCs w:val="24"/>
                <w:lang w:eastAsia="zh-CN"/>
              </w:rPr>
              <w:t>及监测计划</w:t>
            </w:r>
          </w:p>
          <w:p w14:paraId="5A63926C">
            <w:pPr>
              <w:pStyle w:val="97"/>
              <w:spacing w:line="360" w:lineRule="auto"/>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（1）排污许可证管理要求</w:t>
            </w:r>
          </w:p>
          <w:p w14:paraId="3B827D22">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yellow"/>
                <w:lang w:val="en-US" w:eastAsia="zh-CN"/>
              </w:rPr>
            </w:pPr>
            <w:r>
              <w:rPr>
                <w:rFonts w:hint="default" w:ascii="Times New Roman" w:hAnsi="Times New Roman" w:eastAsia="宋体" w:cs="Times New Roman"/>
                <w:b w:val="0"/>
                <w:bCs w:val="0"/>
                <w:color w:val="auto"/>
                <w:sz w:val="24"/>
                <w:szCs w:val="24"/>
                <w:highlight w:val="none"/>
                <w:lang w:val="en-US" w:eastAsia="zh-CN"/>
              </w:rPr>
              <w:t>本项目</w:t>
            </w:r>
            <w:r>
              <w:rPr>
                <w:rFonts w:hint="default" w:ascii="Times New Roman" w:hAnsi="Times New Roman" w:eastAsia="宋体" w:cs="Times New Roman"/>
                <w:color w:val="auto"/>
                <w:sz w:val="24"/>
                <w:szCs w:val="24"/>
                <w:lang w:val="en-US" w:eastAsia="zh-CN"/>
              </w:rPr>
              <w:t>属《国民经济行业分类》（GB/T4754-2017）中的“C-1373水果和坚果加工”</w:t>
            </w:r>
            <w:r>
              <w:rPr>
                <w:rFonts w:hint="default" w:ascii="Times New Roman" w:hAnsi="Times New Roman" w:eastAsia="宋体" w:cs="Times New Roman"/>
                <w:b w:val="0"/>
                <w:bCs w:val="0"/>
                <w:color w:val="auto"/>
                <w:sz w:val="24"/>
                <w:szCs w:val="24"/>
                <w:highlight w:val="none"/>
                <w:lang w:val="en-US" w:eastAsia="zh-CN"/>
              </w:rPr>
              <w:t>，根据《固定污染源排污许可分类管理名录》（2019年版本）</w:t>
            </w:r>
            <w:r>
              <w:rPr>
                <w:rFonts w:hint="eastAsia"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i w:val="0"/>
                <w:iCs w:val="0"/>
                <w:caps w:val="0"/>
                <w:color w:val="auto"/>
                <w:spacing w:val="0"/>
                <w:sz w:val="24"/>
                <w:szCs w:val="24"/>
                <w:shd w:val="clear" w:color="auto" w:fill="FFFFFF"/>
              </w:rPr>
              <w:t>八、农副食品加工业13</w:t>
            </w:r>
            <w:r>
              <w:rPr>
                <w:rFonts w:hint="default" w:ascii="Times New Roman" w:hAnsi="Times New Roman" w:eastAsia="宋体" w:cs="Times New Roman"/>
                <w:i w:val="0"/>
                <w:iCs w:val="0"/>
                <w:caps w:val="0"/>
                <w:color w:val="auto"/>
                <w:spacing w:val="0"/>
                <w:sz w:val="24"/>
                <w:szCs w:val="24"/>
                <w:shd w:val="clear" w:color="auto" w:fill="FFFFFF"/>
                <w:lang w:val="en-US" w:eastAsia="zh-CN"/>
              </w:rPr>
              <w:t>中15.蔬菜、菌类、水果和坚果加工137行业，本项目不涉及通用工序重点管理和简化管理，</w:t>
            </w:r>
            <w:r>
              <w:rPr>
                <w:rFonts w:hint="eastAsia" w:ascii="Times New Roman" w:hAnsi="Times New Roman" w:eastAsia="宋体" w:cs="Times New Roman"/>
                <w:i w:val="0"/>
                <w:iCs w:val="0"/>
                <w:caps w:val="0"/>
                <w:color w:val="auto"/>
                <w:spacing w:val="0"/>
                <w:sz w:val="24"/>
                <w:szCs w:val="24"/>
                <w:shd w:val="clear" w:color="auto" w:fill="FFFFFF"/>
                <w:lang w:val="en-US" w:eastAsia="zh-CN"/>
              </w:rPr>
              <w:t>本项目</w:t>
            </w:r>
            <w:r>
              <w:rPr>
                <w:rFonts w:hint="default" w:ascii="Times New Roman" w:hAnsi="Times New Roman" w:eastAsia="宋体" w:cs="Times New Roman"/>
                <w:i w:val="0"/>
                <w:iCs w:val="0"/>
                <w:caps w:val="0"/>
                <w:color w:val="auto"/>
                <w:spacing w:val="0"/>
                <w:sz w:val="24"/>
                <w:szCs w:val="24"/>
                <w:shd w:val="clear" w:color="auto" w:fill="FFFFFF"/>
                <w:lang w:val="en-US" w:eastAsia="zh-CN"/>
              </w:rPr>
              <w:t>属于其他，</w:t>
            </w:r>
            <w:r>
              <w:rPr>
                <w:rFonts w:hint="eastAsia" w:ascii="Times New Roman" w:hAnsi="Times New Roman" w:eastAsia="宋体" w:cs="Times New Roman"/>
                <w:i w:val="0"/>
                <w:iCs w:val="0"/>
                <w:caps w:val="0"/>
                <w:color w:val="auto"/>
                <w:spacing w:val="0"/>
                <w:sz w:val="24"/>
                <w:szCs w:val="24"/>
                <w:shd w:val="clear" w:color="auto" w:fill="FFFFFF"/>
                <w:lang w:val="en-US" w:eastAsia="zh-CN"/>
              </w:rPr>
              <w:t>属于</w:t>
            </w:r>
            <w:r>
              <w:rPr>
                <w:rFonts w:hint="default" w:ascii="Times New Roman" w:hAnsi="Times New Roman" w:eastAsia="宋体" w:cs="Times New Roman"/>
                <w:b w:val="0"/>
                <w:bCs w:val="0"/>
                <w:color w:val="auto"/>
                <w:sz w:val="24"/>
                <w:szCs w:val="24"/>
                <w:highlight w:val="none"/>
                <w:lang w:val="en-US" w:eastAsia="zh-CN"/>
              </w:rPr>
              <w:t>登记管理的排污单位，不需要申请排污许可证，建设单位应在全国排污许可证管理信息平台-公开端（http://permit.mee.gov.cn/）填报排污登记表，登记基本信息、污染物排放去向、执行的污染物排放标准以及采取的污染物防治措施。</w:t>
            </w:r>
          </w:p>
          <w:p w14:paraId="4E5ED521">
            <w:pPr>
              <w:pStyle w:val="97"/>
              <w:numPr>
                <w:ilvl w:val="0"/>
                <w:numId w:val="0"/>
              </w:numPr>
              <w:spacing w:line="360" w:lineRule="auto"/>
              <w:ind w:leftChars="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（2）自行监测及竣工环保验收监测</w:t>
            </w:r>
          </w:p>
          <w:p w14:paraId="6B6BEBF4">
            <w:pPr>
              <w:pStyle w:val="16"/>
              <w:spacing w:line="360" w:lineRule="auto"/>
              <w:ind w:firstLine="480" w:firstLineChars="200"/>
              <w:rPr>
                <w:rFonts w:hint="eastAsia" w:ascii="仿宋" w:hAnsi="仿宋" w:eastAsia="仿宋" w:cs="仿宋"/>
                <w:color w:val="auto"/>
              </w:rPr>
            </w:pPr>
            <w:r>
              <w:rPr>
                <w:rFonts w:hint="eastAsia" w:ascii="Times New Roman" w:hAnsi="Times New Roman" w:eastAsia="宋体" w:cs="Times New Roman"/>
                <w:color w:val="auto"/>
                <w:sz w:val="24"/>
                <w:szCs w:val="24"/>
                <w:lang w:val="en-US" w:eastAsia="zh-CN"/>
              </w:rPr>
              <w:t>由于本项目无需办理排污许可证，因此无需开展运营期</w:t>
            </w:r>
            <w:r>
              <w:rPr>
                <w:rFonts w:hint="default" w:ascii="Times New Roman" w:hAnsi="Times New Roman" w:eastAsia="宋体" w:cs="Times New Roman"/>
                <w:color w:val="auto"/>
                <w:sz w:val="24"/>
                <w:szCs w:val="24"/>
                <w:lang w:val="en-US" w:eastAsia="zh-CN"/>
              </w:rPr>
              <w:t>自行监测</w:t>
            </w:r>
            <w:r>
              <w:rPr>
                <w:rFonts w:hint="eastAsia" w:ascii="Times New Roman" w:hAnsi="Times New Roman" w:eastAsia="宋体" w:cs="Times New Roman"/>
                <w:color w:val="auto"/>
                <w:sz w:val="24"/>
                <w:szCs w:val="24"/>
                <w:lang w:val="en-US" w:eastAsia="zh-CN"/>
              </w:rPr>
              <w:t>。项目建成后，根据《建设项目环境保护管理条例》及《建设项目竣工环境保护验收暂行办法》等有关规定自主开展竣工环保验收，待项目验收合格后方可正式投入运行。严格按照环境保护措施监督检查清单中明确的措施及要求进行竣工环保竣工验收。项目运营期竣工环保验收主要进行废水、无组织废气、厂界噪声监测；具体监测计划见下表。</w:t>
            </w:r>
          </w:p>
          <w:p w14:paraId="1FB602BB">
            <w:pPr>
              <w:spacing w:line="240" w:lineRule="auto"/>
              <w:ind w:firstLine="2409" w:firstLineChars="10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竣工验收</w:t>
            </w:r>
            <w:r>
              <w:rPr>
                <w:rFonts w:hint="default" w:ascii="Times New Roman" w:hAnsi="Times New Roman" w:eastAsia="宋体" w:cs="Times New Roman"/>
                <w:b/>
                <w:bCs/>
                <w:color w:val="auto"/>
                <w:sz w:val="24"/>
                <w:szCs w:val="24"/>
                <w:highlight w:val="none"/>
              </w:rPr>
              <w:t>监测计划表</w:t>
            </w:r>
          </w:p>
          <w:tbl>
            <w:tblPr>
              <w:tblStyle w:val="33"/>
              <w:tblW w:w="48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2"/>
              <w:gridCol w:w="1397"/>
              <w:gridCol w:w="1556"/>
              <w:gridCol w:w="1556"/>
              <w:gridCol w:w="3249"/>
            </w:tblGrid>
            <w:tr w14:paraId="05139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3" w:hRule="atLeast"/>
                <w:jc w:val="center"/>
              </w:trPr>
              <w:tc>
                <w:tcPr>
                  <w:tcW w:w="586" w:type="pct"/>
                  <w:noWrap w:val="0"/>
                  <w:vAlign w:val="center"/>
                </w:tcPr>
                <w:p w14:paraId="4EEA9522">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监测要素</w:t>
                  </w:r>
                </w:p>
              </w:tc>
              <w:tc>
                <w:tcPr>
                  <w:tcW w:w="794" w:type="pct"/>
                  <w:noWrap w:val="0"/>
                  <w:vAlign w:val="center"/>
                </w:tcPr>
                <w:p w14:paraId="63565E0C">
                  <w:pPr>
                    <w:snapToGrid w:val="0"/>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点位</w:t>
                  </w:r>
                </w:p>
              </w:tc>
              <w:tc>
                <w:tcPr>
                  <w:tcW w:w="884" w:type="pct"/>
                  <w:tcBorders>
                    <w:right w:val="single" w:color="auto" w:sz="4" w:space="0"/>
                  </w:tcBorders>
                  <w:noWrap w:val="0"/>
                  <w:vAlign w:val="center"/>
                </w:tcPr>
                <w:p w14:paraId="6DBDE881">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监测参数</w:t>
                  </w:r>
                </w:p>
              </w:tc>
              <w:tc>
                <w:tcPr>
                  <w:tcW w:w="884" w:type="pct"/>
                  <w:tcBorders>
                    <w:right w:val="single" w:color="auto" w:sz="4" w:space="0"/>
                  </w:tcBorders>
                  <w:noWrap w:val="0"/>
                  <w:vAlign w:val="center"/>
                </w:tcPr>
                <w:p w14:paraId="2FCA8CA4">
                  <w:pPr>
                    <w:snapToGrid w:val="0"/>
                    <w:spacing w:line="240" w:lineRule="auto"/>
                    <w:ind w:right="-288" w:rightChars="-137"/>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监测频率</w:t>
                  </w:r>
                </w:p>
              </w:tc>
              <w:tc>
                <w:tcPr>
                  <w:tcW w:w="1848" w:type="pct"/>
                  <w:tcBorders>
                    <w:left w:val="single" w:color="auto" w:sz="4" w:space="0"/>
                  </w:tcBorders>
                  <w:noWrap w:val="0"/>
                  <w:vAlign w:val="center"/>
                </w:tcPr>
                <w:p w14:paraId="77FF6201">
                  <w:pPr>
                    <w:snapToGrid w:val="0"/>
                    <w:spacing w:line="240" w:lineRule="auto"/>
                    <w:ind w:right="-288" w:rightChars="-137"/>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执行标准</w:t>
                  </w:r>
                </w:p>
              </w:tc>
            </w:tr>
            <w:tr w14:paraId="03CBA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62" w:hRule="atLeast"/>
                <w:jc w:val="center"/>
              </w:trPr>
              <w:tc>
                <w:tcPr>
                  <w:tcW w:w="586" w:type="pct"/>
                  <w:vMerge w:val="restart"/>
                  <w:noWrap w:val="0"/>
                  <w:vAlign w:val="center"/>
                </w:tcPr>
                <w:p w14:paraId="0E071E1B">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废气</w:t>
                  </w:r>
                </w:p>
              </w:tc>
              <w:tc>
                <w:tcPr>
                  <w:tcW w:w="794" w:type="pct"/>
                  <w:vMerge w:val="restart"/>
                  <w:noWrap w:val="0"/>
                  <w:vAlign w:val="center"/>
                </w:tcPr>
                <w:p w14:paraId="1489EA5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上风向1个点，下风向2个点</w:t>
                  </w:r>
                </w:p>
              </w:tc>
              <w:tc>
                <w:tcPr>
                  <w:tcW w:w="884" w:type="pct"/>
                  <w:tcBorders>
                    <w:bottom w:val="single" w:color="auto" w:sz="4" w:space="0"/>
                    <w:right w:val="single" w:color="auto" w:sz="4" w:space="0"/>
                  </w:tcBorders>
                  <w:noWrap w:val="0"/>
                  <w:vAlign w:val="center"/>
                </w:tcPr>
                <w:p w14:paraId="7B94F65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b w:val="0"/>
                      <w:bCs/>
                      <w:color w:val="auto"/>
                      <w:sz w:val="21"/>
                      <w:szCs w:val="21"/>
                      <w:vertAlign w:val="baseline"/>
                      <w:lang w:val="en-US" w:eastAsia="zh-CN"/>
                    </w:rPr>
                    <w:t>臭气浓度</w:t>
                  </w:r>
                </w:p>
              </w:tc>
              <w:tc>
                <w:tcPr>
                  <w:tcW w:w="884" w:type="pct"/>
                  <w:vMerge w:val="restart"/>
                  <w:tcBorders>
                    <w:right w:val="single" w:color="auto" w:sz="4" w:space="0"/>
                  </w:tcBorders>
                  <w:noWrap w:val="0"/>
                  <w:vAlign w:val="center"/>
                </w:tcPr>
                <w:p w14:paraId="7C880980">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天，每</w:t>
                  </w:r>
                  <w:r>
                    <w:rPr>
                      <w:rFonts w:hint="eastAsia" w:ascii="Times New Roman" w:hAnsi="Times New Roman" w:eastAsia="宋体" w:cs="Times New Roman"/>
                      <w:color w:val="auto"/>
                      <w:sz w:val="21"/>
                      <w:szCs w:val="21"/>
                      <w:highlight w:val="none"/>
                      <w:lang w:val="en-US" w:eastAsia="zh-CN"/>
                    </w:rPr>
                    <w:t>天</w:t>
                  </w:r>
                  <w:r>
                    <w:rPr>
                      <w:rFonts w:hint="default" w:ascii="Times New Roman" w:hAnsi="Times New Roman" w:eastAsia="宋体" w:cs="Times New Roman"/>
                      <w:color w:val="auto"/>
                      <w:sz w:val="21"/>
                      <w:szCs w:val="21"/>
                      <w:highlight w:val="none"/>
                      <w:lang w:val="en-US" w:eastAsia="zh-CN"/>
                    </w:rPr>
                    <w:t>采3个样</w:t>
                  </w:r>
                </w:p>
              </w:tc>
              <w:tc>
                <w:tcPr>
                  <w:tcW w:w="1848" w:type="pct"/>
                  <w:tcBorders>
                    <w:left w:val="single" w:color="auto" w:sz="4" w:space="0"/>
                  </w:tcBorders>
                  <w:noWrap w:val="0"/>
                  <w:vAlign w:val="center"/>
                </w:tcPr>
                <w:p w14:paraId="4D464304">
                  <w:pPr>
                    <w:pStyle w:val="116"/>
                    <w:numPr>
                      <w:ilvl w:val="0"/>
                      <w:numId w:val="0"/>
                    </w:numPr>
                    <w:spacing w:line="240" w:lineRule="auto"/>
                    <w:ind w:left="0" w:leftChars="0" w:firstLine="0" w:firstLineChars="0"/>
                    <w:jc w:val="center"/>
                    <w:rPr>
                      <w:rFonts w:hint="eastAsia" w:ascii="Times New Roman" w:hAnsi="Times New Roman" w:eastAsia="宋体" w:cs="Times New Roman"/>
                      <w:bCs/>
                      <w:snapToGrid w:val="0"/>
                      <w:color w:val="auto"/>
                      <w:sz w:val="21"/>
                      <w:szCs w:val="21"/>
                      <w:highlight w:val="none"/>
                      <w:lang w:val="en-US" w:eastAsia="zh-CN"/>
                    </w:rPr>
                  </w:pPr>
                  <w:r>
                    <w:rPr>
                      <w:rFonts w:hint="eastAsia" w:ascii="宋体" w:hAnsi="宋体" w:eastAsia="宋体" w:cs="宋体"/>
                      <w:b w:val="0"/>
                      <w:bCs/>
                      <w:color w:val="auto"/>
                      <w:sz w:val="21"/>
                      <w:szCs w:val="21"/>
                      <w:vertAlign w:val="baseline"/>
                      <w:lang w:val="en-US" w:eastAsia="zh-CN"/>
                    </w:rPr>
                    <w:t>《恶臭污染物排放标准》（GB14554-93）二级标准中厂界臭气浓度限值</w:t>
                  </w:r>
                </w:p>
              </w:tc>
            </w:tr>
            <w:tr w14:paraId="09AC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62" w:hRule="atLeast"/>
                <w:jc w:val="center"/>
              </w:trPr>
              <w:tc>
                <w:tcPr>
                  <w:tcW w:w="586" w:type="pct"/>
                  <w:vMerge w:val="continue"/>
                  <w:noWrap w:val="0"/>
                  <w:vAlign w:val="center"/>
                </w:tcPr>
                <w:p w14:paraId="2BD7EBB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794" w:type="pct"/>
                  <w:vMerge w:val="continue"/>
                  <w:noWrap w:val="0"/>
                  <w:vAlign w:val="center"/>
                </w:tcPr>
                <w:p w14:paraId="0D791938">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884" w:type="pct"/>
                  <w:tcBorders>
                    <w:bottom w:val="single" w:color="auto" w:sz="4" w:space="0"/>
                    <w:right w:val="single" w:color="auto" w:sz="4" w:space="0"/>
                  </w:tcBorders>
                  <w:noWrap w:val="0"/>
                  <w:vAlign w:val="center"/>
                </w:tcPr>
                <w:p w14:paraId="36E11946">
                  <w:pPr>
                    <w:spacing w:line="240" w:lineRule="auto"/>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884" w:type="pct"/>
                  <w:vMerge w:val="continue"/>
                  <w:tcBorders>
                    <w:right w:val="single" w:color="auto" w:sz="4" w:space="0"/>
                  </w:tcBorders>
                  <w:noWrap w:val="0"/>
                  <w:vAlign w:val="center"/>
                </w:tcPr>
                <w:p w14:paraId="68B11213">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848" w:type="pct"/>
                  <w:tcBorders>
                    <w:left w:val="single" w:color="auto" w:sz="4" w:space="0"/>
                  </w:tcBorders>
                  <w:noWrap w:val="0"/>
                  <w:vAlign w:val="center"/>
                </w:tcPr>
                <w:p w14:paraId="69B5181A">
                  <w:pPr>
                    <w:pStyle w:val="116"/>
                    <w:numPr>
                      <w:ilvl w:val="0"/>
                      <w:numId w:val="0"/>
                    </w:numPr>
                    <w:spacing w:line="240" w:lineRule="auto"/>
                    <w:ind w:left="0" w:leftChars="0" w:firstLine="0" w:firstLineChars="0"/>
                    <w:jc w:val="center"/>
                    <w:rPr>
                      <w:rFonts w:hint="eastAsia"/>
                      <w:color w:val="auto"/>
                      <w:sz w:val="21"/>
                      <w:szCs w:val="21"/>
                      <w:highlight w:val="none"/>
                      <w:lang w:eastAsia="zh-CN"/>
                    </w:rPr>
                  </w:pPr>
                  <w:r>
                    <w:rPr>
                      <w:rFonts w:hint="eastAsia" w:ascii="宋体" w:hAnsi="宋体" w:eastAsia="宋体" w:cs="宋体"/>
                      <w:b w:val="0"/>
                      <w:bCs/>
                      <w:color w:val="auto"/>
                      <w:sz w:val="21"/>
                      <w:szCs w:val="21"/>
                      <w:vertAlign w:val="baseline"/>
                      <w:lang w:val="en-US" w:eastAsia="zh-CN"/>
                    </w:rPr>
                    <w:t>《大气污染物综合排放标准》（GB16297-1996）表2中颗粒物无组织排放限值</w:t>
                  </w:r>
                </w:p>
              </w:tc>
            </w:tr>
            <w:tr w14:paraId="39FC0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62" w:hRule="atLeast"/>
                <w:jc w:val="center"/>
              </w:trPr>
              <w:tc>
                <w:tcPr>
                  <w:tcW w:w="586" w:type="pct"/>
                  <w:noWrap w:val="0"/>
                  <w:vAlign w:val="center"/>
                </w:tcPr>
                <w:p w14:paraId="7517C8C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794" w:type="pct"/>
                  <w:noWrap w:val="0"/>
                  <w:vAlign w:val="center"/>
                </w:tcPr>
                <w:p w14:paraId="587AED7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生产废水处理设施出水口</w:t>
                  </w:r>
                </w:p>
              </w:tc>
              <w:tc>
                <w:tcPr>
                  <w:tcW w:w="884" w:type="pct"/>
                  <w:tcBorders>
                    <w:bottom w:val="single" w:color="auto" w:sz="4" w:space="0"/>
                    <w:right w:val="single" w:color="auto" w:sz="4" w:space="0"/>
                  </w:tcBorders>
                  <w:noWrap w:val="0"/>
                  <w:vAlign w:val="center"/>
                </w:tcPr>
                <w:p w14:paraId="66C2B50F">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pH、化学需氧量、氨氮、总磷、总氮、悬浮物、五日生化需氧量、色度</w:t>
                  </w:r>
                </w:p>
              </w:tc>
              <w:tc>
                <w:tcPr>
                  <w:tcW w:w="884" w:type="pct"/>
                  <w:tcBorders>
                    <w:right w:val="single" w:color="auto" w:sz="4" w:space="0"/>
                  </w:tcBorders>
                  <w:noWrap w:val="0"/>
                  <w:vAlign w:val="center"/>
                </w:tcPr>
                <w:p w14:paraId="255A8B5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天，每</w:t>
                  </w:r>
                  <w:r>
                    <w:rPr>
                      <w:rFonts w:hint="eastAsia" w:ascii="Times New Roman" w:hAnsi="Times New Roman" w:eastAsia="宋体" w:cs="Times New Roman"/>
                      <w:color w:val="auto"/>
                      <w:sz w:val="21"/>
                      <w:szCs w:val="21"/>
                      <w:highlight w:val="none"/>
                      <w:lang w:val="en-US" w:eastAsia="zh-CN"/>
                    </w:rPr>
                    <w:t>天</w:t>
                  </w:r>
                  <w:r>
                    <w:rPr>
                      <w:rFonts w:hint="default" w:ascii="Times New Roman" w:hAnsi="Times New Roman" w:eastAsia="宋体" w:cs="Times New Roman"/>
                      <w:color w:val="auto"/>
                      <w:sz w:val="21"/>
                      <w:szCs w:val="21"/>
                      <w:highlight w:val="none"/>
                      <w:lang w:val="en-US" w:eastAsia="zh-CN"/>
                    </w:rPr>
                    <w:t>采</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个样</w:t>
                  </w:r>
                </w:p>
              </w:tc>
              <w:tc>
                <w:tcPr>
                  <w:tcW w:w="1848" w:type="pct"/>
                  <w:tcBorders>
                    <w:left w:val="single" w:color="auto" w:sz="4" w:space="0"/>
                  </w:tcBorders>
                  <w:noWrap w:val="0"/>
                  <w:vAlign w:val="center"/>
                </w:tcPr>
                <w:p w14:paraId="5056DA12">
                  <w:pPr>
                    <w:pStyle w:val="116"/>
                    <w:numPr>
                      <w:ilvl w:val="0"/>
                      <w:numId w:val="0"/>
                    </w:numPr>
                    <w:spacing w:line="240" w:lineRule="auto"/>
                    <w:ind w:left="0" w:leftChars="0" w:firstLine="0" w:firstLineChars="0"/>
                    <w:jc w:val="center"/>
                    <w:rPr>
                      <w:rFonts w:hint="default" w:ascii="宋体" w:hAnsi="宋体" w:eastAsia="宋体" w:cs="宋体"/>
                      <w:b w:val="0"/>
                      <w:bCs/>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农田灌溉水质标准</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（GB5084-2</w:t>
                  </w:r>
                  <w:r>
                    <w:rPr>
                      <w:rFonts w:hint="eastAsia" w:ascii="Times New Roman" w:hAnsi="Times New Roman" w:eastAsia="宋体" w:cs="Times New Roman"/>
                      <w:color w:val="auto"/>
                      <w:sz w:val="21"/>
                      <w:szCs w:val="21"/>
                      <w:lang w:val="en-US" w:eastAsia="zh-CN"/>
                    </w:rPr>
                    <w:t>021</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中旱地作物标准限值</w:t>
                  </w:r>
                </w:p>
              </w:tc>
            </w:tr>
            <w:tr w14:paraId="5D6A2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62" w:hRule="atLeast"/>
                <w:jc w:val="center"/>
              </w:trPr>
              <w:tc>
                <w:tcPr>
                  <w:tcW w:w="586" w:type="pct"/>
                  <w:noWrap w:val="0"/>
                  <w:vAlign w:val="center"/>
                </w:tcPr>
                <w:p w14:paraId="7D360BBC">
                  <w:pPr>
                    <w:spacing w:line="240" w:lineRule="auto"/>
                    <w:ind w:firstLine="210" w:firstLineChars="1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94" w:type="pct"/>
                  <w:noWrap w:val="0"/>
                  <w:vAlign w:val="center"/>
                </w:tcPr>
                <w:p w14:paraId="49FCC93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w:t>
                  </w:r>
                </w:p>
              </w:tc>
              <w:tc>
                <w:tcPr>
                  <w:tcW w:w="884" w:type="pct"/>
                  <w:tcBorders>
                    <w:bottom w:val="single" w:color="auto" w:sz="4" w:space="0"/>
                    <w:right w:val="single" w:color="auto" w:sz="4" w:space="0"/>
                  </w:tcBorders>
                  <w:noWrap w:val="0"/>
                  <w:vAlign w:val="center"/>
                </w:tcPr>
                <w:p w14:paraId="220E5E6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等效声级</w:t>
                  </w:r>
                </w:p>
              </w:tc>
              <w:tc>
                <w:tcPr>
                  <w:tcW w:w="884" w:type="pct"/>
                  <w:tcBorders>
                    <w:right w:val="single" w:color="auto" w:sz="4" w:space="0"/>
                  </w:tcBorders>
                  <w:noWrap w:val="0"/>
                  <w:vAlign w:val="center"/>
                </w:tcPr>
                <w:p w14:paraId="70C1AC1A">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连续监测2天</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每天测昼、夜2个时段</w:t>
                  </w:r>
                </w:p>
              </w:tc>
              <w:tc>
                <w:tcPr>
                  <w:tcW w:w="1848" w:type="pct"/>
                  <w:tcBorders>
                    <w:left w:val="single" w:color="auto" w:sz="4" w:space="0"/>
                  </w:tcBorders>
                  <w:noWrap w:val="0"/>
                  <w:vAlign w:val="center"/>
                </w:tcPr>
                <w:p w14:paraId="708F0477">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snapToGrid w:val="0"/>
                      <w:color w:val="auto"/>
                      <w:sz w:val="21"/>
                      <w:szCs w:val="21"/>
                      <w:highlight w:val="none"/>
                      <w:lang w:val="en-US" w:eastAsia="zh-CN"/>
                    </w:rPr>
                    <w:t>执行《</w:t>
                  </w:r>
                  <w:r>
                    <w:rPr>
                      <w:rFonts w:hint="default" w:ascii="Times New Roman" w:hAnsi="Times New Roman" w:eastAsia="宋体" w:cs="Times New Roman"/>
                      <w:bCs/>
                      <w:snapToGrid w:val="0"/>
                      <w:color w:val="auto"/>
                      <w:sz w:val="21"/>
                      <w:szCs w:val="21"/>
                      <w:highlight w:val="none"/>
                    </w:rPr>
                    <w:t>工业企业厂界环境噪声排放标准》</w:t>
                  </w:r>
                  <w:r>
                    <w:rPr>
                      <w:rFonts w:hint="eastAsia" w:ascii="Times New Roman" w:hAnsi="Times New Roman" w:eastAsia="宋体" w:cs="Times New Roman"/>
                      <w:bCs/>
                      <w:snapToGrid w:val="0"/>
                      <w:color w:val="auto"/>
                      <w:sz w:val="21"/>
                      <w:szCs w:val="21"/>
                      <w:highlight w:val="none"/>
                      <w:lang w:eastAsia="zh-CN"/>
                    </w:rPr>
                    <w:t>（</w:t>
                  </w:r>
                  <w:r>
                    <w:rPr>
                      <w:rFonts w:hint="default" w:ascii="Times New Roman" w:hAnsi="Times New Roman" w:eastAsia="宋体" w:cs="Times New Roman"/>
                      <w:bCs/>
                      <w:snapToGrid w:val="0"/>
                      <w:color w:val="auto"/>
                      <w:sz w:val="21"/>
                      <w:szCs w:val="21"/>
                      <w:highlight w:val="none"/>
                    </w:rPr>
                    <w:t>GB12348-2008</w:t>
                  </w:r>
                  <w:r>
                    <w:rPr>
                      <w:rFonts w:hint="eastAsia" w:ascii="Times New Roman" w:hAnsi="Times New Roman" w:eastAsia="宋体" w:cs="Times New Roman"/>
                      <w:bCs/>
                      <w:snapToGrid w:val="0"/>
                      <w:color w:val="auto"/>
                      <w:sz w:val="21"/>
                      <w:szCs w:val="21"/>
                      <w:highlight w:val="none"/>
                      <w:lang w:eastAsia="zh-CN"/>
                    </w:rPr>
                    <w:t>）</w:t>
                  </w:r>
                  <w:r>
                    <w:rPr>
                      <w:rFonts w:hint="eastAsia" w:ascii="Times New Roman" w:hAnsi="Times New Roman" w:eastAsia="宋体" w:cs="Times New Roman"/>
                      <w:bCs/>
                      <w:snapToGrid w:val="0"/>
                      <w:color w:val="auto"/>
                      <w:sz w:val="21"/>
                      <w:szCs w:val="21"/>
                      <w:highlight w:val="none"/>
                      <w:lang w:val="en-US" w:eastAsia="zh-CN"/>
                    </w:rPr>
                    <w:t>中2</w:t>
                  </w:r>
                  <w:r>
                    <w:rPr>
                      <w:rFonts w:hint="default" w:ascii="Times New Roman" w:hAnsi="Times New Roman" w:eastAsia="宋体" w:cs="Times New Roman"/>
                      <w:bCs/>
                      <w:snapToGrid w:val="0"/>
                      <w:color w:val="auto"/>
                      <w:sz w:val="21"/>
                      <w:szCs w:val="21"/>
                      <w:highlight w:val="none"/>
                    </w:rPr>
                    <w:t>类标准的要求</w:t>
                  </w:r>
                </w:p>
              </w:tc>
            </w:tr>
          </w:tbl>
          <w:p w14:paraId="06845099">
            <w:pPr>
              <w:pStyle w:val="31"/>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每次监测结束后</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对监测资料</w:t>
            </w:r>
            <w:r>
              <w:rPr>
                <w:rFonts w:hint="eastAsia" w:ascii="Times New Roman" w:hAnsi="Times New Roman" w:eastAsia="宋体" w:cs="Times New Roman"/>
                <w:color w:val="auto"/>
                <w:kern w:val="2"/>
                <w:sz w:val="24"/>
                <w:szCs w:val="24"/>
                <w:lang w:val="en-US" w:eastAsia="zh-CN" w:bidi="ar-SA"/>
              </w:rPr>
              <w:t>进行整理归档。如果发现超标，及时</w:t>
            </w:r>
            <w:r>
              <w:rPr>
                <w:rFonts w:hint="default" w:ascii="Times New Roman" w:hAnsi="Times New Roman" w:eastAsia="宋体" w:cs="Times New Roman"/>
                <w:color w:val="auto"/>
                <w:kern w:val="2"/>
                <w:sz w:val="24"/>
                <w:szCs w:val="24"/>
                <w:lang w:val="en-US" w:eastAsia="zh-CN" w:bidi="ar-SA"/>
              </w:rPr>
              <w:t>应及时研究分析和找出存在问题，并采取措施加以解决。</w:t>
            </w:r>
          </w:p>
          <w:p w14:paraId="0622BD7D">
            <w:pPr>
              <w:keepNext w:val="0"/>
              <w:keepLines w:val="0"/>
              <w:widowControl/>
              <w:suppressLineNumbers w:val="0"/>
              <w:jc w:val="left"/>
              <w:rPr>
                <w:rFonts w:hint="default" w:ascii="宋体" w:hAnsi="宋体" w:eastAsia="宋体" w:cs="宋体"/>
                <w:bCs/>
                <w:color w:val="auto"/>
                <w:spacing w:val="-10"/>
                <w:sz w:val="24"/>
                <w:szCs w:val="24"/>
                <w:lang w:val="en-US" w:eastAsia="zh-CN"/>
              </w:rPr>
            </w:pPr>
          </w:p>
        </w:tc>
      </w:tr>
    </w:tbl>
    <w:p w14:paraId="428E98F0">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6EDDE02">
      <w:pPr>
        <w:pStyle w:val="3"/>
        <w:bidi w:val="0"/>
        <w:jc w:val="center"/>
        <w:rPr>
          <w:rFonts w:hint="eastAsia" w:ascii="Times New Roman" w:hAnsi="Times New Roman" w:cs="Times New Roman"/>
          <w:color w:val="auto"/>
        </w:rPr>
      </w:pPr>
      <w:bookmarkStart w:id="253" w:name="_Toc3105"/>
      <w:bookmarkStart w:id="254" w:name="_Toc31687"/>
      <w:bookmarkStart w:id="255" w:name="_Toc4401"/>
      <w:bookmarkStart w:id="256" w:name="_Toc14829"/>
      <w:bookmarkStart w:id="257" w:name="_Toc3724"/>
      <w:r>
        <w:rPr>
          <w:rFonts w:hint="eastAsia" w:ascii="Times New Roman" w:hAnsi="Times New Roman" w:cs="Times New Roman"/>
          <w:color w:val="auto"/>
          <w:lang w:val="en-US" w:eastAsia="zh-CN"/>
        </w:rPr>
        <w:t>五</w:t>
      </w:r>
      <w:r>
        <w:rPr>
          <w:rFonts w:hint="eastAsia" w:ascii="Times New Roman" w:hAnsi="Times New Roman" w:cs="Times New Roman"/>
          <w:color w:val="auto"/>
        </w:rPr>
        <w:t>、</w:t>
      </w:r>
      <w:bookmarkStart w:id="258" w:name="_Hlk54167917"/>
      <w:r>
        <w:rPr>
          <w:rFonts w:hint="eastAsia" w:ascii="Times New Roman" w:hAnsi="Times New Roman" w:cs="Times New Roman"/>
          <w:color w:val="auto"/>
        </w:rPr>
        <w:t>环境保护措施监督检查清单</w:t>
      </w:r>
      <w:bookmarkEnd w:id="253"/>
      <w:bookmarkEnd w:id="254"/>
      <w:bookmarkEnd w:id="255"/>
      <w:bookmarkEnd w:id="256"/>
      <w:bookmarkEnd w:id="257"/>
      <w:bookmarkEnd w:id="258"/>
    </w:p>
    <w:tbl>
      <w:tblPr>
        <w:tblStyle w:val="3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2168"/>
        <w:gridCol w:w="1111"/>
        <w:gridCol w:w="2754"/>
        <w:gridCol w:w="1953"/>
      </w:tblGrid>
      <w:tr w14:paraId="3F25B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90" w:type="pct"/>
            <w:tcBorders>
              <w:tl2br w:val="single" w:color="auto" w:sz="4" w:space="0"/>
            </w:tcBorders>
            <w:noWrap w:val="0"/>
            <w:vAlign w:val="center"/>
          </w:tcPr>
          <w:p w14:paraId="166D9140">
            <w:pPr>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14:paraId="577EC00D">
            <w:pPr>
              <w:adjustRightInd w:val="0"/>
              <w:snapToGrid w:val="0"/>
              <w:spacing w:line="240" w:lineRule="auto"/>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1197" w:type="pct"/>
            <w:noWrap w:val="0"/>
            <w:vAlign w:val="center"/>
          </w:tcPr>
          <w:p w14:paraId="4DD86E4E">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p w14:paraId="4822243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名称)/污染源</w:t>
            </w:r>
          </w:p>
        </w:tc>
        <w:tc>
          <w:tcPr>
            <w:tcW w:w="613" w:type="pct"/>
            <w:noWrap w:val="0"/>
            <w:vAlign w:val="center"/>
          </w:tcPr>
          <w:p w14:paraId="657FA2DF">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520" w:type="pct"/>
            <w:noWrap w:val="0"/>
            <w:vAlign w:val="center"/>
          </w:tcPr>
          <w:p w14:paraId="6148F593">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环境保护措施</w:t>
            </w:r>
          </w:p>
        </w:tc>
        <w:tc>
          <w:tcPr>
            <w:tcW w:w="1078" w:type="pct"/>
            <w:noWrap w:val="0"/>
            <w:vAlign w:val="center"/>
          </w:tcPr>
          <w:p w14:paraId="6A407C6E">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0456E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590" w:type="pct"/>
            <w:vMerge w:val="restart"/>
            <w:noWrap w:val="0"/>
            <w:vAlign w:val="center"/>
          </w:tcPr>
          <w:p w14:paraId="601A0BCE">
            <w:pPr>
              <w:pStyle w:val="113"/>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大气环境</w:t>
            </w:r>
          </w:p>
        </w:tc>
        <w:tc>
          <w:tcPr>
            <w:tcW w:w="1197" w:type="pct"/>
            <w:vMerge w:val="restart"/>
            <w:noWrap w:val="0"/>
            <w:vAlign w:val="center"/>
          </w:tcPr>
          <w:p w14:paraId="4A670B21">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b w:val="0"/>
                <w:bCs/>
                <w:color w:val="auto"/>
                <w:sz w:val="21"/>
                <w:szCs w:val="21"/>
                <w:lang w:val="en-US" w:eastAsia="zh-CN"/>
              </w:rPr>
              <w:t>原料堆放、装卸</w:t>
            </w:r>
          </w:p>
        </w:tc>
        <w:tc>
          <w:tcPr>
            <w:tcW w:w="613" w:type="pct"/>
            <w:noWrap w:val="0"/>
            <w:vAlign w:val="center"/>
          </w:tcPr>
          <w:p w14:paraId="19D5C668">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pacing w:val="-4"/>
                <w:szCs w:val="21"/>
                <w:lang w:val="en-US" w:eastAsia="zh-CN"/>
              </w:rPr>
              <w:t>无组织</w:t>
            </w:r>
            <w:r>
              <w:rPr>
                <w:rFonts w:hint="eastAsia" w:ascii="Times New Roman" w:hAnsi="Times New Roman" w:eastAsia="宋体" w:cs="Times New Roman"/>
                <w:color w:val="auto"/>
                <w:spacing w:val="-4"/>
                <w:szCs w:val="21"/>
              </w:rPr>
              <w:t>粉尘</w:t>
            </w:r>
          </w:p>
        </w:tc>
        <w:tc>
          <w:tcPr>
            <w:tcW w:w="1520" w:type="pct"/>
            <w:noWrap w:val="0"/>
            <w:vAlign w:val="center"/>
          </w:tcPr>
          <w:p w14:paraId="0D3E8BC2">
            <w:pPr>
              <w:widowControl/>
              <w:snapToGrid w:val="0"/>
              <w:jc w:val="center"/>
              <w:rPr>
                <w:rFonts w:hint="default" w:ascii="Times New Roman" w:hAnsi="Times New Roman" w:cs="Times New Roman"/>
                <w:color w:val="auto"/>
                <w:vertAlign w:val="baseline"/>
                <w:lang w:val="en-US" w:eastAsia="zh-CN"/>
              </w:rPr>
            </w:pPr>
            <w:r>
              <w:rPr>
                <w:rFonts w:hint="eastAsia" w:ascii="Times New Roman" w:hAnsi="Times New Roman" w:eastAsia="宋体" w:cs="Times New Roman"/>
                <w:color w:val="auto"/>
                <w:kern w:val="0"/>
                <w:sz w:val="21"/>
                <w:szCs w:val="21"/>
                <w:lang w:val="en-US" w:eastAsia="zh-CN" w:bidi="ar"/>
              </w:rPr>
              <w:t>生产车间内</w:t>
            </w: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原料堆放区；设置废料堆放棚</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不露天堆放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严禁物料堆放高度超出堆场隔墙，</w:t>
            </w:r>
            <w:r>
              <w:rPr>
                <w:rFonts w:hint="default" w:ascii="Times New Roman" w:hAnsi="Times New Roman" w:eastAsia="宋体" w:cs="Times New Roman"/>
                <w:color w:val="auto"/>
                <w:sz w:val="21"/>
                <w:szCs w:val="21"/>
              </w:rPr>
              <w:t>缩短堆放时间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厂区硬化，定期清扫、洒水降尘</w:t>
            </w:r>
            <w:r>
              <w:rPr>
                <w:rFonts w:hint="eastAsia" w:ascii="Times New Roman" w:hAnsi="Times New Roman" w:eastAsia="宋体" w:cs="Times New Roman"/>
                <w:color w:val="auto"/>
                <w:sz w:val="21"/>
                <w:szCs w:val="21"/>
                <w:lang w:val="en-US" w:eastAsia="zh-CN"/>
              </w:rPr>
              <w:t>；运输车斗采用</w:t>
            </w:r>
            <w:r>
              <w:rPr>
                <w:rFonts w:hint="default" w:ascii="Times New Roman" w:hAnsi="Times New Roman" w:eastAsia="宋体" w:cs="Times New Roman"/>
                <w:color w:val="auto"/>
                <w:sz w:val="21"/>
                <w:szCs w:val="21"/>
              </w:rPr>
              <w:t>苫布覆盖</w:t>
            </w:r>
          </w:p>
        </w:tc>
        <w:tc>
          <w:tcPr>
            <w:tcW w:w="1078" w:type="pct"/>
            <w:vMerge w:val="restart"/>
            <w:noWrap w:val="0"/>
            <w:vAlign w:val="center"/>
          </w:tcPr>
          <w:p w14:paraId="5763ED82">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pacing w:val="-4"/>
                <w:szCs w:val="21"/>
                <w:lang w:val="en-US" w:eastAsia="zh-CN"/>
              </w:rPr>
              <w:t>执行</w:t>
            </w:r>
            <w:r>
              <w:rPr>
                <w:rFonts w:hint="eastAsia" w:ascii="Times New Roman" w:hAnsi="Times New Roman" w:eastAsia="宋体" w:cs="Times New Roman"/>
                <w:color w:val="auto"/>
                <w:spacing w:val="-4"/>
                <w:szCs w:val="21"/>
              </w:rPr>
              <w:t>《大气污染物综合排放标准》(GB16297-1996)无组织排放监控浓度限值1.0mg/m</w:t>
            </w:r>
            <w:r>
              <w:rPr>
                <w:rFonts w:hint="eastAsia" w:ascii="Times New Roman" w:hAnsi="Times New Roman" w:eastAsia="宋体" w:cs="Times New Roman"/>
                <w:color w:val="auto"/>
                <w:spacing w:val="-4"/>
                <w:szCs w:val="21"/>
                <w:vertAlign w:val="superscript"/>
              </w:rPr>
              <w:t>3</w:t>
            </w:r>
            <w:r>
              <w:rPr>
                <w:rFonts w:hint="eastAsia" w:ascii="Times New Roman" w:hAnsi="Times New Roman" w:eastAsia="宋体" w:cs="Times New Roman"/>
                <w:color w:val="auto"/>
                <w:spacing w:val="-4"/>
                <w:szCs w:val="21"/>
              </w:rPr>
              <w:t>的要求</w:t>
            </w:r>
          </w:p>
        </w:tc>
      </w:tr>
      <w:tr w14:paraId="2661D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90" w:type="pct"/>
            <w:vMerge w:val="continue"/>
            <w:noWrap w:val="0"/>
            <w:vAlign w:val="center"/>
          </w:tcPr>
          <w:p w14:paraId="003CFFDC">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5B477ABA">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bCs/>
                <w:color w:val="auto"/>
                <w:sz w:val="21"/>
                <w:szCs w:val="21"/>
                <w:lang w:val="en-US" w:eastAsia="zh-CN"/>
              </w:rPr>
              <w:t>脱壳、振动筛分等工序</w:t>
            </w:r>
          </w:p>
        </w:tc>
        <w:tc>
          <w:tcPr>
            <w:tcW w:w="613" w:type="pct"/>
            <w:noWrap w:val="0"/>
            <w:vAlign w:val="center"/>
          </w:tcPr>
          <w:p w14:paraId="5D0EB341">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pacing w:val="-4"/>
                <w:szCs w:val="21"/>
                <w:lang w:val="en-US" w:eastAsia="zh-CN"/>
              </w:rPr>
              <w:t>无组织粉尘</w:t>
            </w:r>
          </w:p>
        </w:tc>
        <w:tc>
          <w:tcPr>
            <w:tcW w:w="1520" w:type="pct"/>
            <w:noWrap w:val="0"/>
            <w:vAlign w:val="center"/>
          </w:tcPr>
          <w:p w14:paraId="6CF8FB82">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eastAsia="宋体"/>
                <w:color w:val="auto"/>
                <w:szCs w:val="21"/>
                <w:lang w:val="en-US" w:eastAsia="zh-CN"/>
              </w:rPr>
              <w:t>3台开口设备自带1套布袋除尘器，集气效率90%，除尘效率不低于98%，同时在排气口末端设置布袋二级除尘，总的除尘效率可达99.96%。生产车间设置半封闭结构，无组织粉尘在生产车间内自然沉降。</w:t>
            </w:r>
          </w:p>
        </w:tc>
        <w:tc>
          <w:tcPr>
            <w:tcW w:w="1078" w:type="pct"/>
            <w:vMerge w:val="continue"/>
            <w:noWrap w:val="0"/>
            <w:vAlign w:val="center"/>
          </w:tcPr>
          <w:p w14:paraId="45EEA539">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p>
        </w:tc>
      </w:tr>
      <w:tr w14:paraId="5E566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90" w:type="pct"/>
            <w:vMerge w:val="continue"/>
            <w:noWrap w:val="0"/>
            <w:vAlign w:val="center"/>
          </w:tcPr>
          <w:p w14:paraId="70D5F0E5">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067C4266">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运输过程</w:t>
            </w:r>
          </w:p>
        </w:tc>
        <w:tc>
          <w:tcPr>
            <w:tcW w:w="613" w:type="pct"/>
            <w:noWrap w:val="0"/>
            <w:vAlign w:val="center"/>
          </w:tcPr>
          <w:p w14:paraId="4C90E91B">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尾气</w:t>
            </w:r>
          </w:p>
        </w:tc>
        <w:tc>
          <w:tcPr>
            <w:tcW w:w="1520" w:type="pct"/>
            <w:noWrap w:val="0"/>
            <w:vAlign w:val="center"/>
          </w:tcPr>
          <w:p w14:paraId="375E011F">
            <w:pPr>
              <w:pStyle w:val="113"/>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加强车辆管理</w:t>
            </w:r>
          </w:p>
        </w:tc>
        <w:tc>
          <w:tcPr>
            <w:tcW w:w="1078" w:type="pct"/>
            <w:noWrap w:val="0"/>
            <w:vAlign w:val="center"/>
          </w:tcPr>
          <w:p w14:paraId="65476180">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b w:val="0"/>
                <w:bCs/>
                <w:color w:val="auto"/>
                <w:kern w:val="0"/>
                <w:sz w:val="21"/>
                <w:szCs w:val="21"/>
                <w:vertAlign w:val="baseline"/>
                <w:lang w:val="en-US" w:eastAsia="zh-CN" w:bidi="ar-SA"/>
              </w:rPr>
              <w:t>/</w:t>
            </w:r>
          </w:p>
        </w:tc>
      </w:tr>
      <w:tr w14:paraId="0C279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90" w:type="pct"/>
            <w:vMerge w:val="continue"/>
            <w:noWrap w:val="0"/>
            <w:vAlign w:val="center"/>
          </w:tcPr>
          <w:p w14:paraId="69D4935D">
            <w:pPr>
              <w:adjustRightInd w:val="0"/>
              <w:snapToGrid w:val="0"/>
              <w:spacing w:line="240" w:lineRule="auto"/>
              <w:jc w:val="center"/>
              <w:rPr>
                <w:rFonts w:hint="default" w:ascii="Times New Roman" w:hAnsi="Times New Roman" w:cs="Times New Roman"/>
                <w:color w:val="auto"/>
              </w:rPr>
            </w:pPr>
          </w:p>
        </w:tc>
        <w:tc>
          <w:tcPr>
            <w:tcW w:w="1197" w:type="pct"/>
            <w:noWrap w:val="0"/>
            <w:vAlign w:val="center"/>
          </w:tcPr>
          <w:p w14:paraId="0C89BF6B">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pacing w:val="-4"/>
                <w:szCs w:val="21"/>
              </w:rPr>
              <w:t>食堂</w:t>
            </w:r>
          </w:p>
        </w:tc>
        <w:tc>
          <w:tcPr>
            <w:tcW w:w="613" w:type="pct"/>
            <w:noWrap w:val="0"/>
            <w:vAlign w:val="center"/>
          </w:tcPr>
          <w:p w14:paraId="7132B1D9">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pacing w:val="-4"/>
                <w:szCs w:val="21"/>
              </w:rPr>
              <w:t>油烟</w:t>
            </w:r>
          </w:p>
        </w:tc>
        <w:tc>
          <w:tcPr>
            <w:tcW w:w="1520" w:type="pct"/>
            <w:noWrap w:val="0"/>
            <w:vAlign w:val="center"/>
          </w:tcPr>
          <w:p w14:paraId="0E3F3E3C">
            <w:pPr>
              <w:widowControl/>
              <w:snapToGrid w:val="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pacing w:val="-4"/>
                <w:szCs w:val="21"/>
                <w:lang w:val="en-US" w:eastAsia="zh-CN"/>
              </w:rPr>
              <w:t>设置1套</w:t>
            </w:r>
            <w:r>
              <w:rPr>
                <w:rFonts w:hint="eastAsia" w:ascii="Times New Roman" w:hAnsi="Times New Roman" w:eastAsia="宋体" w:cs="Times New Roman"/>
                <w:color w:val="auto"/>
                <w:spacing w:val="-4"/>
                <w:szCs w:val="21"/>
                <w:lang w:eastAsia="zh-CN"/>
              </w:rPr>
              <w:t>抽油烟机</w:t>
            </w:r>
            <w:r>
              <w:rPr>
                <w:rFonts w:hint="eastAsia" w:ascii="Times New Roman" w:hAnsi="Times New Roman" w:eastAsia="宋体" w:cs="Times New Roman"/>
                <w:color w:val="auto"/>
                <w:spacing w:val="-4"/>
                <w:szCs w:val="21"/>
              </w:rPr>
              <w:t>，净化效率60%以上</w:t>
            </w:r>
          </w:p>
        </w:tc>
        <w:tc>
          <w:tcPr>
            <w:tcW w:w="1078" w:type="pct"/>
            <w:noWrap w:val="0"/>
            <w:vAlign w:val="center"/>
          </w:tcPr>
          <w:p w14:paraId="6392C0E9">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cs="Times New Roman"/>
                <w:color w:val="auto"/>
                <w:kern w:val="0"/>
                <w:sz w:val="21"/>
                <w:szCs w:val="21"/>
              </w:rPr>
              <w:t>执行《饮食业油烟排放标准（试行）》（GB18483-2001）表2小型</w:t>
            </w:r>
            <w:r>
              <w:rPr>
                <w:rFonts w:hint="default" w:ascii="Times New Roman" w:hAnsi="Times New Roman" w:cs="Times New Roman"/>
                <w:color w:val="auto"/>
                <w:sz w:val="21"/>
                <w:szCs w:val="21"/>
              </w:rPr>
              <w:t>规模排放限值</w:t>
            </w:r>
          </w:p>
        </w:tc>
      </w:tr>
      <w:tr w14:paraId="07615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90" w:type="pct"/>
            <w:vMerge w:val="restart"/>
            <w:noWrap w:val="0"/>
            <w:vAlign w:val="center"/>
          </w:tcPr>
          <w:p w14:paraId="7E1EE263">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地表水环境</w:t>
            </w:r>
          </w:p>
        </w:tc>
        <w:tc>
          <w:tcPr>
            <w:tcW w:w="2168" w:type="dxa"/>
            <w:noWrap w:val="0"/>
            <w:vAlign w:val="center"/>
          </w:tcPr>
          <w:p w14:paraId="5AE5FFA6">
            <w:pPr>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bCs/>
                <w:color w:val="auto"/>
                <w:sz w:val="21"/>
                <w:szCs w:val="21"/>
                <w:lang w:val="en-US" w:eastAsia="zh-CN"/>
              </w:rPr>
              <w:t>生产清洗废水</w:t>
            </w:r>
          </w:p>
        </w:tc>
        <w:tc>
          <w:tcPr>
            <w:tcW w:w="613" w:type="pct"/>
            <w:noWrap w:val="0"/>
            <w:vAlign w:val="center"/>
          </w:tcPr>
          <w:p w14:paraId="097B7E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color w:val="auto"/>
                <w:sz w:val="21"/>
                <w:szCs w:val="21"/>
              </w:rPr>
              <w:t>CODcr、</w:t>
            </w:r>
            <w:r>
              <w:rPr>
                <w:rFonts w:hint="eastAsia"/>
                <w:color w:val="auto"/>
                <w:sz w:val="21"/>
                <w:szCs w:val="21"/>
                <w:lang w:val="en-US" w:eastAsia="zh-CN"/>
              </w:rPr>
              <w:t>总氮</w:t>
            </w:r>
            <w:r>
              <w:rPr>
                <w:color w:val="auto"/>
                <w:sz w:val="21"/>
                <w:szCs w:val="21"/>
              </w:rPr>
              <w:t>、NH</w:t>
            </w:r>
            <w:r>
              <w:rPr>
                <w:color w:val="auto"/>
                <w:sz w:val="21"/>
                <w:szCs w:val="21"/>
                <w:vertAlign w:val="subscript"/>
              </w:rPr>
              <w:t>3</w:t>
            </w:r>
            <w:r>
              <w:rPr>
                <w:color w:val="auto"/>
                <w:sz w:val="21"/>
                <w:szCs w:val="21"/>
              </w:rPr>
              <w:t>-N、TP等</w:t>
            </w:r>
          </w:p>
        </w:tc>
        <w:tc>
          <w:tcPr>
            <w:tcW w:w="2754" w:type="dxa"/>
            <w:noWrap w:val="0"/>
            <w:vAlign w:val="center"/>
          </w:tcPr>
          <w:p w14:paraId="03997B72">
            <w:pPr>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1座自建污水处理站（采用沉淀分离+厌氧生物+好氧生物处理工艺），处理规模为10</w:t>
            </w:r>
            <w:r>
              <w:rPr>
                <w:rFonts w:hint="eastAsia" w:hAnsi="宋体"/>
                <w:color w:val="auto"/>
                <w:sz w:val="21"/>
                <w:szCs w:val="21"/>
                <w:lang w:val="en-US" w:eastAsia="zh-CN"/>
              </w:rPr>
              <w:t>m</w:t>
            </w:r>
            <w:r>
              <w:rPr>
                <w:rFonts w:hint="eastAsia" w:hAnsi="宋体"/>
                <w:color w:val="auto"/>
                <w:sz w:val="21"/>
                <w:szCs w:val="21"/>
                <w:vertAlign w:val="superscript"/>
                <w:lang w:val="en-US" w:eastAsia="zh-CN"/>
              </w:rPr>
              <w:t>3</w:t>
            </w:r>
            <w:r>
              <w:rPr>
                <w:rFonts w:hint="eastAsia" w:hAnsi="宋体"/>
                <w:color w:val="auto"/>
                <w:sz w:val="21"/>
                <w:szCs w:val="21"/>
                <w:vertAlign w:val="baseline"/>
                <w:lang w:val="en-US" w:eastAsia="zh-CN"/>
              </w:rPr>
              <w:t>/d，</w:t>
            </w:r>
            <w:r>
              <w:rPr>
                <w:rFonts w:hint="eastAsia" w:ascii="Times New Roman" w:hAnsi="Times New Roman" w:eastAsia="宋体" w:cs="Times New Roman"/>
                <w:color w:val="auto"/>
                <w:sz w:val="21"/>
                <w:szCs w:val="21"/>
                <w:lang w:val="en-US" w:eastAsia="zh-CN"/>
              </w:rPr>
              <w:t>在污水处理站的末端设置1座贮水池，容积为10m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，用于贮存污水处理站处理后的废水，同时购置1辆密闭罐车用于废水的转运。</w:t>
            </w:r>
          </w:p>
        </w:tc>
        <w:tc>
          <w:tcPr>
            <w:tcW w:w="1078" w:type="pct"/>
            <w:noWrap w:val="0"/>
            <w:vAlign w:val="center"/>
          </w:tcPr>
          <w:p w14:paraId="5FD78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建设单位拉运至坚果地及旱地浇灌，</w:t>
            </w:r>
            <w:r>
              <w:rPr>
                <w:rFonts w:hint="eastAsia" w:ascii="Times New Roman" w:hAnsi="Times New Roman" w:eastAsia="宋体" w:cs="Times New Roman"/>
                <w:color w:val="auto"/>
                <w:sz w:val="21"/>
                <w:szCs w:val="21"/>
                <w:highlight w:val="none"/>
                <w:lang w:val="en-US" w:eastAsia="zh-CN"/>
              </w:rPr>
              <w:t>不外排</w:t>
            </w:r>
          </w:p>
        </w:tc>
      </w:tr>
      <w:tr w14:paraId="27C4A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90" w:type="pct"/>
            <w:vMerge w:val="continue"/>
            <w:noWrap w:val="0"/>
            <w:vAlign w:val="center"/>
          </w:tcPr>
          <w:p w14:paraId="127BD6D2">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2168" w:type="dxa"/>
            <w:noWrap w:val="0"/>
            <w:vAlign w:val="center"/>
          </w:tcPr>
          <w:p w14:paraId="4ABC54D5">
            <w:pPr>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color w:val="auto"/>
                <w:sz w:val="21"/>
                <w:szCs w:val="21"/>
              </w:rPr>
              <w:t>办公</w:t>
            </w:r>
            <w:r>
              <w:rPr>
                <w:rFonts w:hint="eastAsia"/>
                <w:color w:val="auto"/>
                <w:sz w:val="21"/>
                <w:szCs w:val="21"/>
                <w:lang w:val="en-US" w:eastAsia="zh-CN"/>
              </w:rPr>
              <w:t>生活</w:t>
            </w:r>
            <w:r>
              <w:rPr>
                <w:color w:val="auto"/>
                <w:sz w:val="21"/>
                <w:szCs w:val="21"/>
              </w:rPr>
              <w:t>区</w:t>
            </w:r>
          </w:p>
        </w:tc>
        <w:tc>
          <w:tcPr>
            <w:tcW w:w="1111" w:type="dxa"/>
            <w:noWrap w:val="0"/>
            <w:vAlign w:val="center"/>
          </w:tcPr>
          <w:p w14:paraId="4001227D">
            <w:pPr>
              <w:spacing w:line="240" w:lineRule="auto"/>
              <w:jc w:val="center"/>
              <w:rPr>
                <w:rFonts w:hint="default" w:ascii="Times New Roman" w:hAnsi="Times New Roman" w:eastAsia="宋体" w:cs="Times New Roman"/>
                <w:color w:val="auto"/>
                <w:position w:val="2"/>
                <w:sz w:val="21"/>
                <w:szCs w:val="21"/>
                <w:highlight w:val="none"/>
                <w:lang w:val="en-US" w:eastAsia="zh-CN"/>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-N、TP等</w:t>
            </w:r>
          </w:p>
        </w:tc>
        <w:tc>
          <w:tcPr>
            <w:tcW w:w="2754" w:type="dxa"/>
            <w:noWrap w:val="0"/>
            <w:vAlign w:val="center"/>
          </w:tcPr>
          <w:p w14:paraId="7F75B0B9">
            <w:pPr>
              <w:spacing w:line="240" w:lineRule="auto"/>
              <w:jc w:val="center"/>
              <w:rPr>
                <w:rFonts w:hint="default" w:ascii="Times New Roman" w:hAnsi="Times New Roman" w:cs="Times New Roman"/>
                <w:color w:val="auto"/>
                <w:sz w:val="21"/>
                <w:szCs w:val="21"/>
                <w:lang w:val="en-US"/>
              </w:rPr>
            </w:pPr>
            <w:r>
              <w:rPr>
                <w:rFonts w:hint="eastAsia"/>
                <w:color w:val="auto"/>
                <w:sz w:val="21"/>
                <w:szCs w:val="21"/>
                <w:lang w:val="en-US" w:eastAsia="zh-CN"/>
              </w:rPr>
              <w:t>化粪池1座，容积4.0m</w:t>
            </w:r>
            <w:r>
              <w:rPr>
                <w:rFonts w:hint="eastAsia"/>
                <w:color w:val="auto"/>
                <w:sz w:val="21"/>
                <w:szCs w:val="21"/>
                <w:vertAlign w:val="superscript"/>
                <w:lang w:val="en-US" w:eastAsia="zh-CN"/>
              </w:rPr>
              <w:t>3</w:t>
            </w:r>
          </w:p>
        </w:tc>
        <w:tc>
          <w:tcPr>
            <w:tcW w:w="1078" w:type="pct"/>
            <w:vMerge w:val="restart"/>
            <w:noWrap w:val="0"/>
            <w:vAlign w:val="center"/>
          </w:tcPr>
          <w:p w14:paraId="7BD125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宋体" w:eastAsia="宋体" w:cs="Times New Roman"/>
                <w:b w:val="0"/>
                <w:bCs w:val="0"/>
                <w:color w:val="auto"/>
                <w:kern w:val="2"/>
                <w:sz w:val="21"/>
                <w:szCs w:val="21"/>
                <w:lang w:val="en-US" w:eastAsia="zh-CN" w:bidi="ar-SA"/>
              </w:rPr>
              <w:t>生活污水经化粪池处理</w:t>
            </w:r>
            <w:r>
              <w:rPr>
                <w:rFonts w:hint="eastAsia" w:ascii="Times New Roman" w:hAnsi="宋体" w:cs="Times New Roman"/>
                <w:b w:val="0"/>
                <w:bCs w:val="0"/>
                <w:color w:val="auto"/>
                <w:kern w:val="2"/>
                <w:sz w:val="21"/>
                <w:szCs w:val="21"/>
                <w:lang w:val="en-US" w:eastAsia="zh-CN" w:bidi="ar-SA"/>
              </w:rPr>
              <w:t>后由附近村民定期清掏作农家肥使用，</w:t>
            </w:r>
            <w:r>
              <w:rPr>
                <w:rFonts w:hint="default" w:ascii="Times New Roman" w:hAnsi="Times New Roman" w:eastAsia="宋体" w:cs="Times New Roman"/>
                <w:b w:val="0"/>
                <w:bCs/>
                <w:color w:val="auto"/>
                <w:kern w:val="0"/>
                <w:sz w:val="21"/>
                <w:szCs w:val="21"/>
                <w:vertAlign w:val="baseline"/>
                <w:lang w:val="en-US" w:eastAsia="zh-CN" w:bidi="ar-SA"/>
              </w:rPr>
              <w:t>不外排</w:t>
            </w:r>
          </w:p>
          <w:p w14:paraId="795C5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4DE07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90" w:type="pct"/>
            <w:vMerge w:val="continue"/>
            <w:noWrap w:val="0"/>
            <w:vAlign w:val="center"/>
          </w:tcPr>
          <w:p w14:paraId="0871ADC6">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2168" w:type="dxa"/>
            <w:noWrap w:val="0"/>
            <w:vAlign w:val="center"/>
          </w:tcPr>
          <w:p w14:paraId="11A48EC1">
            <w:pPr>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bCs/>
                <w:color w:val="auto"/>
                <w:sz w:val="21"/>
                <w:szCs w:val="21"/>
              </w:rPr>
              <w:t>食堂</w:t>
            </w:r>
          </w:p>
        </w:tc>
        <w:tc>
          <w:tcPr>
            <w:tcW w:w="1111" w:type="dxa"/>
            <w:noWrap w:val="0"/>
            <w:vAlign w:val="center"/>
          </w:tcPr>
          <w:p w14:paraId="163F7743">
            <w:pPr>
              <w:spacing w:line="240" w:lineRule="auto"/>
              <w:jc w:val="center"/>
              <w:rPr>
                <w:rFonts w:hint="default" w:ascii="Times New Roman" w:hAnsi="Times New Roman" w:eastAsia="宋体" w:cs="Times New Roman"/>
                <w:color w:val="auto"/>
                <w:position w:val="2"/>
                <w:sz w:val="21"/>
                <w:szCs w:val="21"/>
                <w:highlight w:val="none"/>
                <w:lang w:val="en-US" w:eastAsia="zh-CN"/>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-N、TP、植物油</w:t>
            </w:r>
            <w:r>
              <w:rPr>
                <w:rFonts w:hint="eastAsia"/>
                <w:color w:val="auto"/>
                <w:sz w:val="21"/>
                <w:szCs w:val="21"/>
                <w:lang w:val="en-US" w:eastAsia="zh-CN"/>
              </w:rPr>
              <w:t>等</w:t>
            </w:r>
          </w:p>
        </w:tc>
        <w:tc>
          <w:tcPr>
            <w:tcW w:w="2754" w:type="dxa"/>
            <w:noWrap w:val="0"/>
            <w:vAlign w:val="center"/>
          </w:tcPr>
          <w:p w14:paraId="6585BAD7">
            <w:pPr>
              <w:spacing w:line="240" w:lineRule="auto"/>
              <w:jc w:val="center"/>
              <w:rPr>
                <w:rFonts w:hint="default" w:ascii="Times New Roman" w:hAnsi="Times New Roman" w:cs="Times New Roman"/>
                <w:color w:val="auto"/>
                <w:sz w:val="21"/>
                <w:szCs w:val="21"/>
                <w:lang w:val="en-US" w:eastAsia="zh-CN"/>
              </w:rPr>
            </w:pPr>
            <w:r>
              <w:rPr>
                <w:rFonts w:hint="eastAsia" w:hAnsi="宋体"/>
                <w:color w:val="auto"/>
                <w:sz w:val="21"/>
                <w:szCs w:val="21"/>
              </w:rPr>
              <w:t>1个</w:t>
            </w:r>
            <w:r>
              <w:rPr>
                <w:rFonts w:hint="eastAsia" w:hAnsi="宋体"/>
                <w:color w:val="auto"/>
                <w:sz w:val="21"/>
                <w:szCs w:val="21"/>
                <w:lang w:val="en-US" w:eastAsia="zh-CN"/>
              </w:rPr>
              <w:t>1.0</w:t>
            </w:r>
            <w:r>
              <w:rPr>
                <w:rFonts w:hint="eastAsia" w:hAnsi="宋体"/>
                <w:color w:val="auto"/>
                <w:sz w:val="21"/>
                <w:szCs w:val="21"/>
              </w:rPr>
              <w:t>m</w:t>
            </w:r>
            <w:r>
              <w:rPr>
                <w:rFonts w:hint="eastAsia" w:hAnsi="宋体"/>
                <w:color w:val="auto"/>
                <w:sz w:val="21"/>
                <w:szCs w:val="21"/>
                <w:vertAlign w:val="superscript"/>
              </w:rPr>
              <w:t>3</w:t>
            </w:r>
            <w:r>
              <w:rPr>
                <w:rFonts w:hint="eastAsia" w:hAnsi="宋体"/>
                <w:color w:val="auto"/>
                <w:sz w:val="21"/>
                <w:szCs w:val="21"/>
                <w:lang w:val="en-US" w:eastAsia="zh-CN"/>
              </w:rPr>
              <w:t>隔油池</w:t>
            </w:r>
            <w:r>
              <w:rPr>
                <w:rFonts w:hint="eastAsia" w:hAnsi="宋体"/>
                <w:color w:val="auto"/>
                <w:sz w:val="21"/>
                <w:szCs w:val="21"/>
              </w:rPr>
              <w:t>预处理后同其它生活污水一起排入</w:t>
            </w:r>
            <w:r>
              <w:rPr>
                <w:rFonts w:hint="eastAsia" w:hAnsi="宋体"/>
                <w:color w:val="auto"/>
                <w:sz w:val="21"/>
                <w:szCs w:val="21"/>
                <w:lang w:val="en-US" w:eastAsia="zh-CN"/>
              </w:rPr>
              <w:t>化粪池</w:t>
            </w:r>
          </w:p>
        </w:tc>
        <w:tc>
          <w:tcPr>
            <w:tcW w:w="1078" w:type="pct"/>
            <w:vMerge w:val="continue"/>
            <w:noWrap w:val="0"/>
            <w:vAlign w:val="center"/>
          </w:tcPr>
          <w:p w14:paraId="4CD0A8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1BD3E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90" w:type="pct"/>
            <w:noWrap w:val="0"/>
            <w:vAlign w:val="center"/>
          </w:tcPr>
          <w:p w14:paraId="148F86FC">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声环境</w:t>
            </w:r>
          </w:p>
        </w:tc>
        <w:tc>
          <w:tcPr>
            <w:tcW w:w="1197" w:type="pct"/>
            <w:noWrap w:val="0"/>
            <w:vAlign w:val="center"/>
          </w:tcPr>
          <w:p w14:paraId="726B6498">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生产设备及交 </w:t>
            </w:r>
          </w:p>
          <w:p w14:paraId="0B3DBF4B">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通噪声</w:t>
            </w:r>
          </w:p>
          <w:p w14:paraId="1C844CD0">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p>
        </w:tc>
        <w:tc>
          <w:tcPr>
            <w:tcW w:w="613" w:type="pct"/>
            <w:noWrap w:val="0"/>
            <w:vAlign w:val="center"/>
          </w:tcPr>
          <w:p w14:paraId="7A7AE831">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等效连续 A </w:t>
            </w:r>
          </w:p>
          <w:p w14:paraId="5841C283">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声级，Leq</w:t>
            </w:r>
          </w:p>
          <w:p w14:paraId="63914876">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p>
        </w:tc>
        <w:tc>
          <w:tcPr>
            <w:tcW w:w="1520" w:type="pct"/>
            <w:noWrap w:val="0"/>
            <w:vAlign w:val="center"/>
          </w:tcPr>
          <w:p w14:paraId="6FBCDB4F">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合理布置、</w:t>
            </w:r>
            <w:r>
              <w:rPr>
                <w:rFonts w:hint="eastAsia" w:ascii="Times New Roman" w:hAnsi="Times New Roman" w:eastAsia="宋体" w:cs="Times New Roman"/>
                <w:bCs/>
                <w:color w:val="auto"/>
                <w:sz w:val="21"/>
                <w:szCs w:val="21"/>
                <w:lang w:val="en-US" w:eastAsia="zh-CN"/>
              </w:rPr>
              <w:t>高噪声</w:t>
            </w:r>
            <w:r>
              <w:rPr>
                <w:rFonts w:hint="default" w:ascii="Times New Roman" w:hAnsi="Times New Roman" w:eastAsia="宋体" w:cs="Times New Roman"/>
                <w:bCs/>
                <w:color w:val="auto"/>
                <w:sz w:val="21"/>
                <w:szCs w:val="21"/>
                <w:lang w:val="en-US" w:eastAsia="zh-CN"/>
              </w:rPr>
              <w:t xml:space="preserve">设备设置 </w:t>
            </w:r>
          </w:p>
          <w:p w14:paraId="16A51D8E">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减振基础、</w:t>
            </w:r>
            <w:r>
              <w:rPr>
                <w:rFonts w:hint="eastAsia" w:ascii="Times New Roman" w:hAnsi="Times New Roman" w:eastAsia="宋体" w:cs="Times New Roman"/>
                <w:bCs/>
                <w:color w:val="auto"/>
                <w:sz w:val="21"/>
                <w:szCs w:val="21"/>
                <w:lang w:val="en-US" w:eastAsia="zh-CN"/>
              </w:rPr>
              <w:t>车间及厂界围墙隔声处理</w:t>
            </w:r>
            <w:r>
              <w:rPr>
                <w:rFonts w:hint="default" w:ascii="Times New Roman" w:hAnsi="Times New Roman" w:eastAsia="宋体" w:cs="Times New Roman"/>
                <w:bCs/>
                <w:color w:val="auto"/>
                <w:sz w:val="21"/>
                <w:szCs w:val="21"/>
                <w:lang w:val="en-US" w:eastAsia="zh-CN"/>
              </w:rPr>
              <w:t>； 加强管理，定期维护维修； 减速慢行、禁止鸣笛</w:t>
            </w:r>
          </w:p>
        </w:tc>
        <w:tc>
          <w:tcPr>
            <w:tcW w:w="1078" w:type="pct"/>
            <w:noWrap w:val="0"/>
            <w:vAlign w:val="center"/>
          </w:tcPr>
          <w:p w14:paraId="7F2CE5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执行GB12348－2008《工业企业厂界环境噪声排放标准》2类标准</w:t>
            </w:r>
          </w:p>
        </w:tc>
      </w:tr>
      <w:tr w14:paraId="6E190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0" w:type="pct"/>
            <w:noWrap w:val="0"/>
            <w:vAlign w:val="center"/>
          </w:tcPr>
          <w:p w14:paraId="5D51205E">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电磁辐射</w:t>
            </w:r>
          </w:p>
        </w:tc>
        <w:tc>
          <w:tcPr>
            <w:tcW w:w="4409" w:type="pct"/>
            <w:gridSpan w:val="4"/>
            <w:noWrap w:val="0"/>
            <w:vAlign w:val="center"/>
          </w:tcPr>
          <w:p w14:paraId="4A3C224D">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w:t>
            </w:r>
          </w:p>
        </w:tc>
      </w:tr>
      <w:tr w14:paraId="3F0DE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90" w:type="pct"/>
            <w:vMerge w:val="restart"/>
            <w:noWrap w:val="0"/>
            <w:vAlign w:val="center"/>
          </w:tcPr>
          <w:p w14:paraId="2079844D">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固体废物</w:t>
            </w:r>
          </w:p>
        </w:tc>
        <w:tc>
          <w:tcPr>
            <w:tcW w:w="1197" w:type="pct"/>
            <w:noWrap w:val="0"/>
            <w:vAlign w:val="center"/>
          </w:tcPr>
          <w:p w14:paraId="7E01BF1B">
            <w:pPr>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生产</w:t>
            </w:r>
            <w:r>
              <w:rPr>
                <w:rFonts w:hint="eastAsia" w:ascii="Times New Roman" w:hAnsi="Times New Roman" w:eastAsia="宋体" w:cs="Times New Roman"/>
                <w:color w:val="auto"/>
                <w:sz w:val="21"/>
                <w:szCs w:val="21"/>
                <w:lang w:val="en-US" w:eastAsia="zh-CN"/>
              </w:rPr>
              <w:t>加工</w:t>
            </w:r>
            <w:r>
              <w:rPr>
                <w:rFonts w:hint="default" w:ascii="Times New Roman" w:hAnsi="Times New Roman" w:eastAsia="宋体" w:cs="Times New Roman"/>
                <w:color w:val="auto"/>
                <w:sz w:val="21"/>
                <w:szCs w:val="21"/>
                <w:lang w:val="en-US" w:eastAsia="zh-CN"/>
              </w:rPr>
              <w:t>过程</w:t>
            </w:r>
          </w:p>
        </w:tc>
        <w:tc>
          <w:tcPr>
            <w:tcW w:w="613" w:type="pct"/>
            <w:noWrap w:val="0"/>
            <w:vAlign w:val="center"/>
          </w:tcPr>
          <w:p w14:paraId="0D03AE0B">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坚果皮</w:t>
            </w:r>
          </w:p>
        </w:tc>
        <w:tc>
          <w:tcPr>
            <w:tcW w:w="2754" w:type="dxa"/>
            <w:noWrap w:val="0"/>
            <w:vAlign w:val="center"/>
          </w:tcPr>
          <w:p w14:paraId="04E2ED76">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ar-SA"/>
              </w:rPr>
              <w:t>暂存于废料堆放大棚，</w:t>
            </w:r>
            <w:r>
              <w:rPr>
                <w:rFonts w:hint="default" w:ascii="Times New Roman" w:hAnsi="Times New Roman" w:eastAsia="宋体" w:cs="Times New Roman"/>
                <w:color w:val="auto"/>
                <w:kern w:val="0"/>
                <w:sz w:val="21"/>
                <w:szCs w:val="21"/>
                <w:lang w:val="en-US" w:eastAsia="zh-CN" w:bidi="ar-SA"/>
              </w:rPr>
              <w:t>由附近农户清运至坚果种植基地作为肥料施用</w:t>
            </w:r>
            <w:r>
              <w:rPr>
                <w:rFonts w:hint="eastAsia" w:ascii="Times New Roman" w:hAnsi="Times New Roman" w:eastAsia="宋体" w:cs="Times New Roman"/>
                <w:color w:val="auto"/>
                <w:kern w:val="0"/>
                <w:sz w:val="21"/>
                <w:szCs w:val="21"/>
                <w:lang w:val="en-US" w:eastAsia="zh-CN" w:bidi="ar-SA"/>
              </w:rPr>
              <w:t>。</w:t>
            </w:r>
          </w:p>
        </w:tc>
        <w:tc>
          <w:tcPr>
            <w:tcW w:w="1078" w:type="pct"/>
            <w:vMerge w:val="restart"/>
            <w:noWrap w:val="0"/>
            <w:vAlign w:val="center"/>
          </w:tcPr>
          <w:p w14:paraId="146B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 xml:space="preserve">《一般工业固体废 </w:t>
            </w:r>
          </w:p>
          <w:p w14:paraId="0B6C4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 xml:space="preserve">物贮存和填埋污染 </w:t>
            </w:r>
          </w:p>
          <w:p w14:paraId="4CCAA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 xml:space="preserve">控制标准》 </w:t>
            </w:r>
          </w:p>
          <w:p w14:paraId="39243E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（GB18599-2020）</w:t>
            </w:r>
          </w:p>
          <w:p w14:paraId="482FC6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33EE3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90" w:type="pct"/>
            <w:vMerge w:val="continue"/>
            <w:noWrap w:val="0"/>
            <w:vAlign w:val="center"/>
          </w:tcPr>
          <w:p w14:paraId="7CF3A65B">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24304CA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w:t>
            </w:r>
            <w:r>
              <w:rPr>
                <w:rFonts w:hint="eastAsia" w:ascii="Times New Roman" w:hAnsi="Times New Roman" w:eastAsia="宋体" w:cs="Times New Roman"/>
                <w:color w:val="auto"/>
                <w:sz w:val="21"/>
                <w:szCs w:val="21"/>
                <w:lang w:val="en-US" w:eastAsia="zh-CN"/>
              </w:rPr>
              <w:t>加工</w:t>
            </w:r>
            <w:r>
              <w:rPr>
                <w:rFonts w:hint="default" w:ascii="Times New Roman" w:hAnsi="Times New Roman" w:eastAsia="宋体" w:cs="Times New Roman"/>
                <w:color w:val="auto"/>
                <w:sz w:val="21"/>
                <w:szCs w:val="21"/>
                <w:lang w:val="en-US" w:eastAsia="zh-CN"/>
              </w:rPr>
              <w:t>过程</w:t>
            </w:r>
          </w:p>
        </w:tc>
        <w:tc>
          <w:tcPr>
            <w:tcW w:w="613" w:type="pct"/>
            <w:noWrap w:val="0"/>
            <w:vAlign w:val="center"/>
          </w:tcPr>
          <w:p w14:paraId="60C2D8A6">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废弃的残次坚果、不合格品</w:t>
            </w:r>
          </w:p>
        </w:tc>
        <w:tc>
          <w:tcPr>
            <w:tcW w:w="2754" w:type="dxa"/>
            <w:noWrap w:val="0"/>
            <w:vAlign w:val="center"/>
          </w:tcPr>
          <w:p w14:paraId="449BEFDC">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0"/>
                <w:sz w:val="21"/>
                <w:szCs w:val="21"/>
                <w:lang w:val="en-US" w:eastAsia="zh-CN" w:bidi="ar-SA"/>
              </w:rPr>
              <w:t>外售给回收商进行加工再利用。</w:t>
            </w:r>
          </w:p>
        </w:tc>
        <w:tc>
          <w:tcPr>
            <w:tcW w:w="1078" w:type="pct"/>
            <w:vMerge w:val="continue"/>
            <w:noWrap w:val="0"/>
            <w:vAlign w:val="center"/>
          </w:tcPr>
          <w:p w14:paraId="130643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23B83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90" w:type="pct"/>
            <w:vMerge w:val="continue"/>
            <w:noWrap w:val="0"/>
            <w:vAlign w:val="center"/>
          </w:tcPr>
          <w:p w14:paraId="73DA732F">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708DE2E1">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生产</w:t>
            </w:r>
            <w:r>
              <w:rPr>
                <w:rFonts w:hint="eastAsia" w:ascii="Times New Roman" w:hAnsi="Times New Roman" w:eastAsia="宋体" w:cs="Times New Roman"/>
                <w:color w:val="auto"/>
                <w:sz w:val="21"/>
                <w:szCs w:val="21"/>
                <w:lang w:val="en-US" w:eastAsia="zh-CN"/>
              </w:rPr>
              <w:t>加工</w:t>
            </w:r>
            <w:r>
              <w:rPr>
                <w:rFonts w:hint="default" w:ascii="Times New Roman" w:hAnsi="Times New Roman" w:eastAsia="宋体" w:cs="Times New Roman"/>
                <w:color w:val="auto"/>
                <w:sz w:val="21"/>
                <w:szCs w:val="21"/>
                <w:lang w:val="en-US" w:eastAsia="zh-CN"/>
              </w:rPr>
              <w:t>过程</w:t>
            </w:r>
          </w:p>
        </w:tc>
        <w:tc>
          <w:tcPr>
            <w:tcW w:w="613" w:type="pct"/>
            <w:noWrap w:val="0"/>
            <w:vAlign w:val="center"/>
          </w:tcPr>
          <w:p w14:paraId="1BB2B56B">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ar-SA"/>
              </w:rPr>
              <w:t>果壳</w:t>
            </w:r>
          </w:p>
        </w:tc>
        <w:tc>
          <w:tcPr>
            <w:tcW w:w="2754" w:type="dxa"/>
            <w:noWrap w:val="0"/>
            <w:vAlign w:val="center"/>
          </w:tcPr>
          <w:p w14:paraId="286CB001">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1078" w:type="pct"/>
            <w:vMerge w:val="continue"/>
            <w:noWrap w:val="0"/>
            <w:vAlign w:val="center"/>
          </w:tcPr>
          <w:p w14:paraId="3CD9B0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18D08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90" w:type="pct"/>
            <w:vMerge w:val="continue"/>
            <w:noWrap w:val="0"/>
            <w:vAlign w:val="center"/>
          </w:tcPr>
          <w:p w14:paraId="2A2CE254">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63A1B6AA">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原料使用及产品</w:t>
            </w:r>
            <w:r>
              <w:rPr>
                <w:rFonts w:hint="eastAsia" w:ascii="Times New Roman" w:hAnsi="Times New Roman" w:eastAsia="宋体" w:cs="Times New Roman"/>
                <w:color w:val="auto"/>
                <w:sz w:val="21"/>
                <w:szCs w:val="21"/>
                <w:lang w:val="en-US" w:eastAsia="zh-CN"/>
              </w:rPr>
              <w:t>包装</w:t>
            </w:r>
            <w:r>
              <w:rPr>
                <w:rFonts w:hint="default" w:ascii="Times New Roman" w:hAnsi="Times New Roman" w:eastAsia="宋体" w:cs="Times New Roman"/>
                <w:color w:val="auto"/>
                <w:sz w:val="21"/>
                <w:szCs w:val="21"/>
                <w:lang w:val="en-US" w:eastAsia="zh-CN"/>
              </w:rPr>
              <w:t>过程</w:t>
            </w:r>
          </w:p>
        </w:tc>
        <w:tc>
          <w:tcPr>
            <w:tcW w:w="613" w:type="pct"/>
            <w:noWrap w:val="0"/>
            <w:vAlign w:val="center"/>
          </w:tcPr>
          <w:p w14:paraId="43BE757D">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废包装材料</w:t>
            </w:r>
          </w:p>
        </w:tc>
        <w:tc>
          <w:tcPr>
            <w:tcW w:w="2754" w:type="dxa"/>
            <w:noWrap w:val="0"/>
            <w:vAlign w:val="center"/>
          </w:tcPr>
          <w:p w14:paraId="5801FC8D">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外售给废品回收站回收综合利用</w:t>
            </w:r>
            <w:r>
              <w:rPr>
                <w:rFonts w:hint="eastAsia" w:ascii="Times New Roman" w:hAnsi="Times New Roman" w:eastAsia="宋体" w:cs="Times New Roman"/>
                <w:color w:val="auto"/>
                <w:kern w:val="0"/>
                <w:sz w:val="21"/>
                <w:szCs w:val="21"/>
                <w:lang w:val="en-US" w:eastAsia="zh-CN" w:bidi="ar-SA"/>
              </w:rPr>
              <w:t>。</w:t>
            </w:r>
          </w:p>
        </w:tc>
        <w:tc>
          <w:tcPr>
            <w:tcW w:w="1078" w:type="pct"/>
            <w:vMerge w:val="continue"/>
            <w:noWrap w:val="0"/>
            <w:vAlign w:val="center"/>
          </w:tcPr>
          <w:p w14:paraId="39F398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275B6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90" w:type="pct"/>
            <w:vMerge w:val="continue"/>
            <w:noWrap w:val="0"/>
            <w:vAlign w:val="center"/>
          </w:tcPr>
          <w:p w14:paraId="7E1EC61F">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696F521D">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布袋除尘器</w:t>
            </w:r>
          </w:p>
        </w:tc>
        <w:tc>
          <w:tcPr>
            <w:tcW w:w="613" w:type="pct"/>
            <w:noWrap w:val="0"/>
            <w:vAlign w:val="center"/>
          </w:tcPr>
          <w:p w14:paraId="0B4AA45E">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回收粉尘</w:t>
            </w:r>
          </w:p>
        </w:tc>
        <w:tc>
          <w:tcPr>
            <w:tcW w:w="2754" w:type="dxa"/>
            <w:noWrap w:val="0"/>
            <w:vAlign w:val="center"/>
          </w:tcPr>
          <w:p w14:paraId="212502A6">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统一装袋收集后</w:t>
            </w:r>
            <w:r>
              <w:rPr>
                <w:rFonts w:hint="eastAsia" w:ascii="Times New Roman" w:hAnsi="Times New Roman" w:eastAsia="宋体" w:cs="Times New Roman"/>
                <w:color w:val="auto"/>
                <w:kern w:val="0"/>
                <w:sz w:val="21"/>
                <w:szCs w:val="21"/>
                <w:lang w:val="en-US" w:eastAsia="zh-CN" w:bidi="ar-SA"/>
              </w:rPr>
              <w:t>暂存于废料堆放大棚暂存，</w:t>
            </w:r>
            <w:r>
              <w:rPr>
                <w:rFonts w:hint="default" w:ascii="Times New Roman" w:hAnsi="Times New Roman" w:eastAsia="宋体" w:cs="Times New Roman"/>
                <w:color w:val="auto"/>
                <w:kern w:val="0"/>
                <w:sz w:val="21"/>
                <w:szCs w:val="21"/>
                <w:lang w:val="en-US" w:eastAsia="zh-CN" w:bidi="ar-SA"/>
              </w:rPr>
              <w:t>作为生物质燃料的原料外售。</w:t>
            </w:r>
          </w:p>
        </w:tc>
        <w:tc>
          <w:tcPr>
            <w:tcW w:w="1078" w:type="pct"/>
            <w:vMerge w:val="continue"/>
            <w:noWrap w:val="0"/>
            <w:vAlign w:val="center"/>
          </w:tcPr>
          <w:p w14:paraId="691A46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488E7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90" w:type="pct"/>
            <w:vMerge w:val="continue"/>
            <w:noWrap w:val="0"/>
            <w:vAlign w:val="center"/>
          </w:tcPr>
          <w:p w14:paraId="1A7FBF84">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4E9F9071">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办公生活</w:t>
            </w:r>
          </w:p>
        </w:tc>
        <w:tc>
          <w:tcPr>
            <w:tcW w:w="613" w:type="pct"/>
            <w:noWrap w:val="0"/>
            <w:vAlign w:val="center"/>
          </w:tcPr>
          <w:p w14:paraId="4FD1D509">
            <w:pPr>
              <w:pStyle w:val="80"/>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rPr>
              <w:t>生活垃圾</w:t>
            </w:r>
          </w:p>
        </w:tc>
        <w:tc>
          <w:tcPr>
            <w:tcW w:w="2754" w:type="dxa"/>
            <w:noWrap w:val="0"/>
            <w:vAlign w:val="center"/>
          </w:tcPr>
          <w:p w14:paraId="7FA1C857">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设置2个环保型垃圾收集桶收集，</w:t>
            </w:r>
            <w:r>
              <w:rPr>
                <w:rFonts w:hint="eastAsia" w:ascii="Times New Roman" w:hAnsi="Times New Roman" w:eastAsia="宋体" w:cs="Times New Roman"/>
                <w:color w:val="auto"/>
                <w:kern w:val="0"/>
                <w:sz w:val="21"/>
                <w:szCs w:val="21"/>
                <w:lang w:val="en-US" w:eastAsia="zh-CN" w:bidi="ar-SA"/>
              </w:rPr>
              <w:t>定期清运至当地乡镇垃圾收集点由环卫部门定期清运集中处置</w:t>
            </w:r>
            <w:r>
              <w:rPr>
                <w:rFonts w:hint="default" w:ascii="Times New Roman" w:hAnsi="Times New Roman" w:eastAsia="宋体" w:cs="Times New Roman"/>
                <w:color w:val="auto"/>
                <w:kern w:val="0"/>
                <w:sz w:val="21"/>
                <w:szCs w:val="21"/>
                <w:lang w:val="en-US" w:eastAsia="zh-CN" w:bidi="ar-SA"/>
              </w:rPr>
              <w:t>。</w:t>
            </w:r>
          </w:p>
        </w:tc>
        <w:tc>
          <w:tcPr>
            <w:tcW w:w="1078" w:type="pct"/>
            <w:vMerge w:val="continue"/>
            <w:noWrap w:val="0"/>
            <w:vAlign w:val="center"/>
          </w:tcPr>
          <w:p w14:paraId="0FAA82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26898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90" w:type="pct"/>
            <w:vMerge w:val="continue"/>
            <w:noWrap w:val="0"/>
            <w:vAlign w:val="center"/>
          </w:tcPr>
          <w:p w14:paraId="366B8110">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7C531B4F">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、污水处理站</w:t>
            </w:r>
          </w:p>
        </w:tc>
        <w:tc>
          <w:tcPr>
            <w:tcW w:w="613" w:type="pct"/>
            <w:noWrap w:val="0"/>
            <w:vAlign w:val="center"/>
          </w:tcPr>
          <w:p w14:paraId="0DE19414">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w:t>
            </w:r>
          </w:p>
        </w:tc>
        <w:tc>
          <w:tcPr>
            <w:tcW w:w="2754" w:type="dxa"/>
            <w:noWrap w:val="0"/>
            <w:vAlign w:val="center"/>
          </w:tcPr>
          <w:p w14:paraId="3F646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定期由附近村民清掏作为农家肥使用。</w:t>
            </w:r>
          </w:p>
        </w:tc>
        <w:tc>
          <w:tcPr>
            <w:tcW w:w="1078" w:type="pct"/>
            <w:vMerge w:val="continue"/>
            <w:noWrap w:val="0"/>
            <w:vAlign w:val="center"/>
          </w:tcPr>
          <w:p w14:paraId="28CBB4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27F43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90" w:type="pct"/>
            <w:vMerge w:val="continue"/>
            <w:noWrap w:val="0"/>
            <w:vAlign w:val="center"/>
          </w:tcPr>
          <w:p w14:paraId="4D3669AE">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p>
        </w:tc>
        <w:tc>
          <w:tcPr>
            <w:tcW w:w="1197" w:type="pct"/>
            <w:noWrap w:val="0"/>
            <w:vAlign w:val="center"/>
          </w:tcPr>
          <w:p w14:paraId="6CF4EE92">
            <w:pPr>
              <w:pStyle w:val="8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隔油池</w:t>
            </w:r>
          </w:p>
        </w:tc>
        <w:tc>
          <w:tcPr>
            <w:tcW w:w="613" w:type="pct"/>
            <w:noWrap w:val="0"/>
            <w:vAlign w:val="center"/>
          </w:tcPr>
          <w:p w14:paraId="6785A83C">
            <w:pPr>
              <w:pStyle w:val="8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废油脂</w:t>
            </w:r>
          </w:p>
        </w:tc>
        <w:tc>
          <w:tcPr>
            <w:tcW w:w="2754" w:type="dxa"/>
            <w:noWrap w:val="0"/>
            <w:vAlign w:val="center"/>
          </w:tcPr>
          <w:p w14:paraId="471AD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建设单位严格按照当地相关政府部门管理要求进行处置。</w:t>
            </w:r>
          </w:p>
        </w:tc>
        <w:tc>
          <w:tcPr>
            <w:tcW w:w="1078" w:type="pct"/>
            <w:vMerge w:val="continue"/>
            <w:noWrap w:val="0"/>
            <w:vAlign w:val="center"/>
          </w:tcPr>
          <w:p w14:paraId="329BC2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p>
        </w:tc>
      </w:tr>
      <w:tr w14:paraId="09F9B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90" w:type="pct"/>
            <w:noWrap w:val="0"/>
            <w:vAlign w:val="center"/>
          </w:tcPr>
          <w:p w14:paraId="5F4F1546">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土壤及地下水</w:t>
            </w:r>
          </w:p>
          <w:p w14:paraId="25962A1A">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污染防治措施</w:t>
            </w:r>
          </w:p>
        </w:tc>
        <w:tc>
          <w:tcPr>
            <w:tcW w:w="4409" w:type="pct"/>
            <w:gridSpan w:val="4"/>
            <w:noWrap w:val="0"/>
            <w:vAlign w:val="center"/>
          </w:tcPr>
          <w:p w14:paraId="7FDE55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color w:val="auto"/>
                <w:kern w:val="0"/>
                <w:sz w:val="21"/>
                <w:szCs w:val="21"/>
                <w:highlight w:val="none"/>
                <w:lang w:val="en-US" w:eastAsia="zh-CN"/>
              </w:rPr>
              <w:t>化粪池、生产废水收集池做好重点防渗，生产车间、废料堆放大棚进行一般防渗硬化处理；在采取</w:t>
            </w:r>
            <w:r>
              <w:rPr>
                <w:rFonts w:hint="eastAsia" w:ascii="宋体" w:hAnsi="宋体" w:cs="宋体"/>
                <w:bCs/>
                <w:color w:val="auto"/>
                <w:sz w:val="21"/>
                <w:szCs w:val="21"/>
                <w:highlight w:val="none"/>
              </w:rPr>
              <w:t>防漏、防渗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防雨等</w:t>
            </w:r>
            <w:r>
              <w:rPr>
                <w:rFonts w:hint="eastAsia"/>
                <w:color w:val="auto"/>
                <w:kern w:val="0"/>
                <w:sz w:val="21"/>
                <w:szCs w:val="21"/>
                <w:highlight w:val="none"/>
                <w:lang w:val="en-US" w:eastAsia="zh-CN"/>
              </w:rPr>
              <w:t>“三防”</w:t>
            </w:r>
            <w:r>
              <w:rPr>
                <w:rFonts w:hint="eastAsia" w:ascii="宋体" w:hAnsi="宋体" w:cs="宋体"/>
                <w:bCs/>
                <w:color w:val="auto"/>
                <w:sz w:val="21"/>
                <w:szCs w:val="21"/>
                <w:highlight w:val="none"/>
              </w:rPr>
              <w:t>措施，</w:t>
            </w:r>
            <w:r>
              <w:rPr>
                <w:rFonts w:hint="eastAsia"/>
                <w:bCs/>
                <w:color w:val="auto"/>
                <w:sz w:val="21"/>
                <w:szCs w:val="21"/>
                <w:vertAlign w:val="baseline"/>
                <w:lang w:val="en-US" w:eastAsia="zh-CN"/>
              </w:rPr>
              <w:t>对易发生泄露的部位实行定期巡检制度，及时发现问题，尽快解决，并制定有效的应急防范措施，</w:t>
            </w:r>
            <w:r>
              <w:rPr>
                <w:rFonts w:hint="eastAsia" w:ascii="宋体" w:hAnsi="宋体" w:cs="宋体"/>
                <w:bCs/>
                <w:color w:val="auto"/>
                <w:sz w:val="21"/>
                <w:szCs w:val="21"/>
                <w:highlight w:val="none"/>
              </w:rPr>
              <w:t>可确保不对地下水</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土壤</w:t>
            </w:r>
            <w:r>
              <w:rPr>
                <w:rFonts w:hint="eastAsia" w:ascii="宋体" w:hAnsi="宋体" w:cs="宋体"/>
                <w:bCs/>
                <w:color w:val="auto"/>
                <w:sz w:val="21"/>
                <w:szCs w:val="21"/>
                <w:highlight w:val="none"/>
              </w:rPr>
              <w:t>环境造成污染。</w:t>
            </w:r>
          </w:p>
        </w:tc>
      </w:tr>
      <w:tr w14:paraId="1CCF8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90" w:type="pct"/>
            <w:noWrap w:val="0"/>
            <w:vAlign w:val="center"/>
          </w:tcPr>
          <w:p w14:paraId="57E7349E">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生态保护措施</w:t>
            </w:r>
          </w:p>
        </w:tc>
        <w:tc>
          <w:tcPr>
            <w:tcW w:w="4409" w:type="pct"/>
            <w:gridSpan w:val="4"/>
            <w:noWrap w:val="0"/>
            <w:vAlign w:val="center"/>
          </w:tcPr>
          <w:p w14:paraId="5DE22278">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w:t>
            </w:r>
          </w:p>
        </w:tc>
      </w:tr>
      <w:tr w14:paraId="780F0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90" w:type="pct"/>
            <w:noWrap w:val="0"/>
            <w:vAlign w:val="center"/>
          </w:tcPr>
          <w:p w14:paraId="1B8317A8">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环境风险</w:t>
            </w:r>
          </w:p>
          <w:p w14:paraId="26D00858">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防范措施</w:t>
            </w:r>
          </w:p>
        </w:tc>
        <w:tc>
          <w:tcPr>
            <w:tcW w:w="4409" w:type="pct"/>
            <w:gridSpan w:val="4"/>
            <w:noWrap w:val="0"/>
            <w:vAlign w:val="center"/>
          </w:tcPr>
          <w:p w14:paraId="2070066B">
            <w:pPr>
              <w:adjustRightInd w:val="0"/>
              <w:snapToGrid w:val="0"/>
              <w:spacing w:line="360" w:lineRule="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color w:val="auto"/>
                <w:lang w:val="en-US" w:eastAsia="zh-CN"/>
              </w:rPr>
              <w:t>严格做好风险防范措施，并</w:t>
            </w:r>
            <w:r>
              <w:rPr>
                <w:rFonts w:hint="default" w:ascii="Times New Roman" w:hAnsi="Times New Roman" w:cs="Times New Roman"/>
                <w:color w:val="auto"/>
                <w:lang w:val="en-US" w:eastAsia="zh-CN"/>
              </w:rPr>
              <w:t>编制突发环境事件应急预案</w:t>
            </w:r>
            <w:r>
              <w:rPr>
                <w:rFonts w:hint="eastAsia" w:ascii="Times New Roman" w:hAnsi="Times New Roman" w:cs="Times New Roman"/>
                <w:color w:val="auto"/>
                <w:lang w:val="en-US" w:eastAsia="zh-CN"/>
              </w:rPr>
              <w:t>并</w:t>
            </w:r>
            <w:r>
              <w:rPr>
                <w:rFonts w:hint="default" w:ascii="Times New Roman" w:hAnsi="Times New Roman" w:cs="Times New Roman"/>
                <w:color w:val="auto"/>
                <w:lang w:val="en-US" w:eastAsia="zh-CN"/>
              </w:rPr>
              <w:t>备案。</w:t>
            </w:r>
          </w:p>
        </w:tc>
      </w:tr>
      <w:tr w14:paraId="1D116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7" w:hRule="atLeast"/>
          <w:jc w:val="center"/>
        </w:trPr>
        <w:tc>
          <w:tcPr>
            <w:tcW w:w="590" w:type="pct"/>
            <w:noWrap w:val="0"/>
            <w:vAlign w:val="center"/>
          </w:tcPr>
          <w:p w14:paraId="0C69EFE6">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其他环境</w:t>
            </w:r>
          </w:p>
          <w:p w14:paraId="6B7D04EB">
            <w:pPr>
              <w:adjustRightInd w:val="0"/>
              <w:snapToGrid w:val="0"/>
              <w:spacing w:line="240" w:lineRule="auto"/>
              <w:jc w:val="center"/>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管理要求</w:t>
            </w:r>
          </w:p>
        </w:tc>
        <w:tc>
          <w:tcPr>
            <w:tcW w:w="4409" w:type="pct"/>
            <w:gridSpan w:val="4"/>
            <w:noWrap w:val="0"/>
            <w:vAlign w:val="center"/>
          </w:tcPr>
          <w:p w14:paraId="06C48E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1、建立健全生产环保规章制度，严格人员操作管理，与此同时，加强设备及各项治污措施的定期检查和维护工作。</w:t>
            </w:r>
          </w:p>
          <w:p w14:paraId="3416F1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2、企业应加强环保设施的日常管理、维护，建立健全环保设施的运行管理制度，定期检查制度、设备维护和检修制度，确保环保设施的高效、正常运转，尽量减少和避免事故排放。在当地生态环境主管部门的指导下，定期对污染源进行监测，并建立污染源管理档案，确保污染物达标排放。</w:t>
            </w:r>
          </w:p>
          <w:p w14:paraId="51EDD6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3、加强厂区环境管理，做好厂区环境卫生工作。</w:t>
            </w:r>
          </w:p>
          <w:p w14:paraId="0B07A6F1">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4、企业应加强环保宣传教育工作，强化企业的各项环境管理工作。自觉接受各级</w:t>
            </w:r>
            <w:r>
              <w:rPr>
                <w:rFonts w:hint="eastAsia" w:ascii="Times New Roman" w:hAnsi="Times New Roman" w:eastAsia="宋体" w:cs="Times New Roman"/>
                <w:b w:val="0"/>
                <w:bCs/>
                <w:color w:val="auto"/>
                <w:kern w:val="0"/>
                <w:sz w:val="21"/>
                <w:szCs w:val="21"/>
                <w:vertAlign w:val="baseline"/>
                <w:lang w:val="en-US" w:eastAsia="zh-CN" w:bidi="ar-SA"/>
              </w:rPr>
              <w:t>生态环境主管部门</w:t>
            </w:r>
            <w:r>
              <w:rPr>
                <w:rFonts w:hint="default" w:ascii="Times New Roman" w:hAnsi="Times New Roman" w:eastAsia="宋体" w:cs="Times New Roman"/>
                <w:b w:val="0"/>
                <w:bCs/>
                <w:color w:val="auto"/>
                <w:kern w:val="0"/>
                <w:sz w:val="21"/>
                <w:szCs w:val="21"/>
                <w:vertAlign w:val="baseline"/>
                <w:lang w:val="en-US" w:eastAsia="zh-CN" w:bidi="ar-SA"/>
              </w:rPr>
              <w:t>对公司环保工作的监督指导。</w:t>
            </w:r>
          </w:p>
          <w:p w14:paraId="2A4AEC99">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eastAsia="宋体" w:cs="Times New Roman"/>
                <w:b w:val="0"/>
                <w:bCs/>
                <w:color w:val="auto"/>
                <w:kern w:val="0"/>
                <w:sz w:val="21"/>
                <w:szCs w:val="21"/>
                <w:vertAlign w:val="baseline"/>
                <w:lang w:val="en-US" w:eastAsia="zh-CN" w:bidi="ar-SA"/>
              </w:rPr>
              <w:t>5、加强生产厂房建设，生产车间尽量采取密闭管理，</w:t>
            </w:r>
            <w:r>
              <w:rPr>
                <w:rFonts w:hint="eastAsia" w:ascii="Times New Roman" w:hAnsi="Times New Roman" w:eastAsia="宋体" w:cs="Times New Roman"/>
                <w:b w:val="0"/>
                <w:bCs/>
                <w:color w:val="auto"/>
                <w:kern w:val="0"/>
                <w:sz w:val="21"/>
                <w:szCs w:val="21"/>
                <w:vertAlign w:val="baseline"/>
                <w:lang w:val="en-US" w:eastAsia="zh-CN" w:bidi="ar-SA"/>
              </w:rPr>
              <w:t>加装换气通风装置，</w:t>
            </w:r>
            <w:r>
              <w:rPr>
                <w:rFonts w:hint="default" w:ascii="Times New Roman" w:hAnsi="Times New Roman" w:eastAsia="宋体" w:cs="Times New Roman"/>
                <w:b w:val="0"/>
                <w:bCs/>
                <w:color w:val="auto"/>
                <w:kern w:val="0"/>
                <w:sz w:val="21"/>
                <w:szCs w:val="21"/>
                <w:vertAlign w:val="baseline"/>
                <w:lang w:val="en-US" w:eastAsia="zh-CN" w:bidi="ar-SA"/>
              </w:rPr>
              <w:t>减少无组织废气排放到周围大气环境中。</w:t>
            </w:r>
          </w:p>
          <w:p w14:paraId="6ACAB284">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1B05A943">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7002EF85">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09961345">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797E04EE">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4BB12D8E">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2B44B62D">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25849358">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6671162D">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59D2A231">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51FDED43">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15930A7B">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03ADEA75">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2D4204CB">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6029A7C9">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66758874">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503FF087">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01D6BB16">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154EB3BA">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0BE27FEF">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5891EF63">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226A6540">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54DBCFC0">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p w14:paraId="3CD16123">
            <w:pPr>
              <w:pStyle w:val="10"/>
              <w:spacing w:line="360" w:lineRule="auto"/>
              <w:ind w:firstLine="420" w:firstLineChars="200"/>
              <w:rPr>
                <w:rFonts w:hint="default" w:ascii="Times New Roman" w:hAnsi="Times New Roman" w:eastAsia="宋体" w:cs="Times New Roman"/>
                <w:b w:val="0"/>
                <w:bCs/>
                <w:color w:val="auto"/>
                <w:kern w:val="0"/>
                <w:sz w:val="21"/>
                <w:szCs w:val="21"/>
                <w:vertAlign w:val="baseline"/>
                <w:lang w:val="en-US" w:eastAsia="zh-CN" w:bidi="ar-SA"/>
              </w:rPr>
            </w:pPr>
          </w:p>
        </w:tc>
      </w:tr>
    </w:tbl>
    <w:p w14:paraId="1FA1D633">
      <w:pPr>
        <w:pStyle w:val="29"/>
        <w:jc w:val="center"/>
        <w:outlineLvl w:val="0"/>
        <w:rPr>
          <w:rFonts w:ascii="黑体" w:hAnsi="黑体" w:eastAsia="黑体"/>
          <w:snapToGrid w:val="0"/>
          <w:color w:val="auto"/>
          <w:sz w:val="30"/>
          <w:szCs w:val="30"/>
        </w:rPr>
      </w:pPr>
      <w:r>
        <w:rPr>
          <w:rFonts w:hint="eastAsia" w:ascii="宋体" w:hAnsi="宋体" w:eastAsia="宋体" w:cs="宋体"/>
          <w:b w:val="0"/>
          <w:bCs/>
          <w:color w:val="auto"/>
          <w:kern w:val="0"/>
          <w:sz w:val="21"/>
          <w:szCs w:val="21"/>
          <w:vertAlign w:val="baseline"/>
          <w:lang w:val="en-US" w:eastAsia="zh-CN" w:bidi="ar-SA"/>
        </w:rPr>
        <w:br w:type="page"/>
      </w:r>
      <w:bookmarkStart w:id="259" w:name="_Toc12"/>
      <w:bookmarkStart w:id="260" w:name="_Toc19627"/>
      <w:bookmarkStart w:id="261" w:name="_Toc1379"/>
      <w:bookmarkStart w:id="262" w:name="_Toc25685"/>
      <w:bookmarkStart w:id="263" w:name="_Toc31905"/>
      <w:r>
        <w:rPr>
          <w:rFonts w:hint="eastAsia" w:ascii="Times New Roman" w:hAnsi="Times New Roman" w:eastAsia="黑体" w:cs="Times New Roman"/>
          <w:b/>
          <w:bCs/>
          <w:color w:val="auto"/>
          <w:kern w:val="44"/>
          <w:sz w:val="30"/>
          <w:szCs w:val="30"/>
          <w:lang w:val="en-US" w:eastAsia="zh-CN" w:bidi="ar-SA"/>
        </w:rPr>
        <w:t>六、结论</w:t>
      </w:r>
      <w:bookmarkEnd w:id="259"/>
      <w:bookmarkEnd w:id="260"/>
      <w:bookmarkEnd w:id="261"/>
      <w:bookmarkEnd w:id="262"/>
      <w:bookmarkEnd w:id="26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7E5C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DBB5928">
            <w:pPr>
              <w:spacing w:line="360" w:lineRule="auto"/>
              <w:ind w:firstLine="480"/>
              <w:jc w:val="both"/>
              <w:rPr>
                <w:color w:val="auto"/>
                <w:sz w:val="24"/>
              </w:rPr>
            </w:pPr>
            <w:r>
              <w:rPr>
                <w:color w:val="auto"/>
                <w:sz w:val="24"/>
              </w:rPr>
              <w:t>通过对该项目</w:t>
            </w:r>
            <w:r>
              <w:rPr>
                <w:rFonts w:hint="eastAsia"/>
                <w:color w:val="auto"/>
                <w:sz w:val="24"/>
                <w:lang w:val="en-US" w:eastAsia="zh-CN"/>
              </w:rPr>
              <w:t>工程</w:t>
            </w:r>
            <w:r>
              <w:rPr>
                <w:color w:val="auto"/>
                <w:sz w:val="24"/>
              </w:rPr>
              <w:t>分析和环境影响分析可得如下结论：</w:t>
            </w:r>
          </w:p>
          <w:p w14:paraId="01991C1D">
            <w:pPr>
              <w:spacing w:line="360" w:lineRule="auto"/>
              <w:ind w:firstLine="480" w:firstLineChars="200"/>
              <w:jc w:val="both"/>
              <w:rPr>
                <w:color w:val="auto"/>
              </w:rPr>
            </w:pPr>
            <w:r>
              <w:rPr>
                <w:rFonts w:hint="default" w:ascii="Times New Roman" w:hAnsi="Times New Roman" w:eastAsia="宋体" w:cs="Times New Roman"/>
                <w:b w:val="0"/>
                <w:bCs/>
                <w:color w:val="auto"/>
                <w:sz w:val="24"/>
                <w:szCs w:val="24"/>
                <w:highlight w:val="none"/>
              </w:rPr>
              <w:t>本项目建设符合国家产业政策，选址可行，</w:t>
            </w:r>
            <w:r>
              <w:rPr>
                <w:rFonts w:hint="eastAsia" w:ascii="Times New Roman" w:hAnsi="Times New Roman" w:eastAsia="宋体" w:cs="Times New Roman"/>
                <w:b w:val="0"/>
                <w:bCs/>
                <w:color w:val="auto"/>
                <w:sz w:val="24"/>
                <w:szCs w:val="24"/>
                <w:highlight w:val="none"/>
                <w:lang w:val="en-US" w:eastAsia="zh-CN"/>
              </w:rPr>
              <w:t>采取相应的环境保护对策措施后，</w:t>
            </w:r>
            <w:r>
              <w:rPr>
                <w:rFonts w:hint="eastAsia"/>
                <w:b w:val="0"/>
                <w:bCs/>
                <w:color w:val="auto"/>
                <w:sz w:val="24"/>
                <w:szCs w:val="24"/>
              </w:rPr>
              <w:t>项目可做到废水</w:t>
            </w:r>
            <w:r>
              <w:rPr>
                <w:rFonts w:hint="eastAsia"/>
                <w:b w:val="0"/>
                <w:bCs/>
                <w:color w:val="auto"/>
                <w:sz w:val="24"/>
                <w:szCs w:val="24"/>
                <w:lang w:val="en-US" w:eastAsia="zh-CN"/>
              </w:rPr>
              <w:t>不外</w:t>
            </w:r>
            <w:r>
              <w:rPr>
                <w:rFonts w:hint="eastAsia"/>
                <w:b w:val="0"/>
                <w:bCs/>
                <w:color w:val="auto"/>
                <w:sz w:val="24"/>
                <w:szCs w:val="24"/>
              </w:rPr>
              <w:t>排，</w:t>
            </w:r>
            <w:r>
              <w:rPr>
                <w:rFonts w:hint="eastAsia"/>
                <w:b w:val="0"/>
                <w:bCs/>
                <w:color w:val="auto"/>
                <w:sz w:val="24"/>
                <w:szCs w:val="24"/>
                <w:lang w:val="en-US" w:eastAsia="zh-CN"/>
              </w:rPr>
              <w:t>废气达标排放，</w:t>
            </w:r>
            <w:r>
              <w:rPr>
                <w:rFonts w:hint="eastAsia"/>
                <w:b w:val="0"/>
                <w:bCs/>
                <w:color w:val="auto"/>
                <w:sz w:val="24"/>
                <w:szCs w:val="24"/>
              </w:rPr>
              <w:t>固体废弃物合理处置，噪声</w:t>
            </w:r>
            <w:r>
              <w:rPr>
                <w:rFonts w:hint="eastAsia"/>
                <w:b w:val="0"/>
                <w:bCs/>
                <w:color w:val="auto"/>
                <w:sz w:val="24"/>
                <w:szCs w:val="24"/>
                <w:lang w:val="en-US" w:eastAsia="zh-CN"/>
              </w:rPr>
              <w:t>达标、</w:t>
            </w:r>
            <w:r>
              <w:rPr>
                <w:rFonts w:hint="eastAsia"/>
                <w:b w:val="0"/>
                <w:bCs/>
                <w:color w:val="auto"/>
                <w:sz w:val="24"/>
                <w:szCs w:val="24"/>
              </w:rPr>
              <w:t>不扰民，其营运基本不会改变周围环境的功能，</w:t>
            </w:r>
            <w:r>
              <w:rPr>
                <w:rFonts w:hint="default" w:ascii="Times New Roman" w:hAnsi="Times New Roman" w:eastAsia="宋体" w:cs="Times New Roman"/>
                <w:b w:val="0"/>
                <w:bCs/>
                <w:color w:val="auto"/>
                <w:sz w:val="24"/>
                <w:szCs w:val="24"/>
                <w:highlight w:val="none"/>
              </w:rPr>
              <w:t>对项目外环境的影响可以接受。</w:t>
            </w:r>
            <w:r>
              <w:rPr>
                <w:rFonts w:hint="eastAsia" w:ascii="Times New Roman" w:hAnsi="Times New Roman" w:eastAsia="宋体" w:cs="Times New Roman"/>
                <w:b w:val="0"/>
                <w:bCs/>
                <w:color w:val="auto"/>
                <w:sz w:val="24"/>
                <w:szCs w:val="24"/>
                <w:highlight w:val="none"/>
                <w:lang w:eastAsia="zh-CN"/>
              </w:rPr>
              <w:t>从环境保护角度，</w:t>
            </w:r>
            <w:r>
              <w:rPr>
                <w:rFonts w:hint="default" w:ascii="Times New Roman" w:hAnsi="Times New Roman" w:eastAsia="宋体" w:cs="Times New Roman"/>
                <w:b w:val="0"/>
                <w:bCs/>
                <w:color w:val="auto"/>
                <w:sz w:val="24"/>
                <w:szCs w:val="24"/>
                <w:highlight w:val="none"/>
              </w:rPr>
              <w:t>本项目的建设和运行是可行的。</w:t>
            </w:r>
          </w:p>
          <w:p w14:paraId="4E48EB5E">
            <w:pPr>
              <w:spacing w:line="360" w:lineRule="auto"/>
              <w:jc w:val="both"/>
              <w:rPr>
                <w:color w:val="auto"/>
              </w:rPr>
            </w:pPr>
          </w:p>
          <w:p w14:paraId="5D62E1E4">
            <w:pPr>
              <w:spacing w:line="360" w:lineRule="auto"/>
              <w:jc w:val="both"/>
              <w:rPr>
                <w:color w:val="auto"/>
              </w:rPr>
            </w:pPr>
          </w:p>
          <w:p w14:paraId="326B5FD3">
            <w:pPr>
              <w:spacing w:line="360" w:lineRule="auto"/>
              <w:jc w:val="both"/>
              <w:rPr>
                <w:color w:val="auto"/>
              </w:rPr>
            </w:pPr>
          </w:p>
          <w:p w14:paraId="305C5BAB">
            <w:pPr>
              <w:spacing w:line="360" w:lineRule="auto"/>
              <w:jc w:val="both"/>
              <w:rPr>
                <w:color w:val="auto"/>
              </w:rPr>
            </w:pPr>
          </w:p>
          <w:p w14:paraId="7608D4E5">
            <w:pPr>
              <w:spacing w:line="360" w:lineRule="auto"/>
              <w:jc w:val="both"/>
              <w:rPr>
                <w:color w:val="auto"/>
              </w:rPr>
            </w:pPr>
          </w:p>
          <w:p w14:paraId="0259998B">
            <w:pPr>
              <w:spacing w:line="360" w:lineRule="auto"/>
              <w:jc w:val="both"/>
              <w:rPr>
                <w:color w:val="auto"/>
              </w:rPr>
            </w:pPr>
          </w:p>
          <w:p w14:paraId="58CD5885">
            <w:pPr>
              <w:spacing w:line="360" w:lineRule="auto"/>
              <w:jc w:val="both"/>
              <w:rPr>
                <w:color w:val="auto"/>
              </w:rPr>
            </w:pPr>
          </w:p>
          <w:p w14:paraId="44B6AC38">
            <w:pPr>
              <w:pStyle w:val="116"/>
              <w:jc w:val="both"/>
              <w:rPr>
                <w:rFonts w:ascii="宋体" w:cs="宋体"/>
                <w:color w:val="auto"/>
                <w:sz w:val="24"/>
              </w:rPr>
            </w:pPr>
          </w:p>
          <w:p w14:paraId="49A91846">
            <w:pPr>
              <w:pStyle w:val="116"/>
              <w:jc w:val="both"/>
              <w:rPr>
                <w:rFonts w:ascii="宋体" w:cs="宋体"/>
                <w:color w:val="auto"/>
                <w:sz w:val="24"/>
              </w:rPr>
            </w:pPr>
          </w:p>
          <w:p w14:paraId="1AAA367F">
            <w:pPr>
              <w:pStyle w:val="116"/>
              <w:jc w:val="both"/>
              <w:rPr>
                <w:rFonts w:ascii="宋体" w:cs="宋体"/>
                <w:color w:val="auto"/>
                <w:sz w:val="24"/>
              </w:rPr>
            </w:pPr>
          </w:p>
          <w:p w14:paraId="47921A88">
            <w:pPr>
              <w:pStyle w:val="116"/>
              <w:jc w:val="both"/>
              <w:rPr>
                <w:rFonts w:ascii="宋体" w:cs="宋体"/>
                <w:color w:val="auto"/>
                <w:sz w:val="24"/>
              </w:rPr>
            </w:pPr>
          </w:p>
          <w:p w14:paraId="72F07A8A">
            <w:pPr>
              <w:pStyle w:val="116"/>
              <w:jc w:val="both"/>
              <w:rPr>
                <w:rFonts w:ascii="宋体" w:cs="宋体"/>
                <w:color w:val="auto"/>
                <w:sz w:val="24"/>
              </w:rPr>
            </w:pPr>
          </w:p>
          <w:p w14:paraId="4CAC3246">
            <w:pPr>
              <w:pStyle w:val="116"/>
              <w:jc w:val="both"/>
              <w:rPr>
                <w:rFonts w:ascii="宋体" w:cs="宋体"/>
                <w:color w:val="auto"/>
                <w:sz w:val="24"/>
              </w:rPr>
            </w:pPr>
          </w:p>
          <w:p w14:paraId="5D9AB89B">
            <w:pPr>
              <w:pStyle w:val="116"/>
              <w:jc w:val="both"/>
              <w:rPr>
                <w:rFonts w:ascii="宋体" w:cs="宋体"/>
                <w:color w:val="auto"/>
                <w:sz w:val="24"/>
              </w:rPr>
            </w:pPr>
          </w:p>
          <w:p w14:paraId="6A9A2322">
            <w:pPr>
              <w:pStyle w:val="116"/>
              <w:jc w:val="both"/>
              <w:rPr>
                <w:rFonts w:ascii="宋体" w:cs="宋体"/>
                <w:color w:val="auto"/>
                <w:sz w:val="24"/>
              </w:rPr>
            </w:pPr>
          </w:p>
          <w:p w14:paraId="3502A4FF">
            <w:pPr>
              <w:pStyle w:val="116"/>
              <w:jc w:val="both"/>
              <w:rPr>
                <w:rFonts w:ascii="宋体" w:cs="宋体"/>
                <w:color w:val="auto"/>
                <w:sz w:val="24"/>
              </w:rPr>
            </w:pPr>
          </w:p>
          <w:p w14:paraId="4F2DABD7">
            <w:pPr>
              <w:pStyle w:val="116"/>
              <w:jc w:val="both"/>
              <w:rPr>
                <w:rFonts w:ascii="宋体" w:cs="宋体"/>
                <w:color w:val="auto"/>
                <w:sz w:val="24"/>
              </w:rPr>
            </w:pPr>
          </w:p>
          <w:p w14:paraId="2314711C">
            <w:pPr>
              <w:pStyle w:val="116"/>
              <w:jc w:val="both"/>
              <w:rPr>
                <w:rFonts w:ascii="宋体" w:cs="宋体"/>
                <w:color w:val="auto"/>
                <w:sz w:val="24"/>
              </w:rPr>
            </w:pPr>
          </w:p>
          <w:p w14:paraId="2235512C">
            <w:pPr>
              <w:pStyle w:val="116"/>
              <w:jc w:val="both"/>
              <w:rPr>
                <w:rFonts w:ascii="宋体" w:cs="宋体"/>
                <w:color w:val="auto"/>
                <w:sz w:val="24"/>
              </w:rPr>
            </w:pPr>
          </w:p>
          <w:p w14:paraId="7DBA0446">
            <w:pPr>
              <w:pStyle w:val="116"/>
              <w:jc w:val="both"/>
              <w:rPr>
                <w:rFonts w:ascii="宋体" w:cs="宋体"/>
                <w:color w:val="auto"/>
                <w:sz w:val="24"/>
              </w:rPr>
            </w:pPr>
          </w:p>
          <w:p w14:paraId="64247225">
            <w:pPr>
              <w:pStyle w:val="116"/>
              <w:jc w:val="both"/>
              <w:rPr>
                <w:rFonts w:ascii="宋体" w:cs="宋体"/>
                <w:color w:val="auto"/>
                <w:sz w:val="24"/>
              </w:rPr>
            </w:pPr>
          </w:p>
        </w:tc>
      </w:tr>
    </w:tbl>
    <w:p w14:paraId="0F3C6A2B">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5D60C26">
      <w:pPr>
        <w:pStyle w:val="29"/>
        <w:adjustRightInd w:val="0"/>
        <w:snapToGrid w:val="0"/>
        <w:spacing w:before="0" w:beforeAutospacing="0" w:after="0" w:afterAutospacing="0" w:line="240" w:lineRule="auto"/>
        <w:outlineLvl w:val="0"/>
        <w:rPr>
          <w:rFonts w:ascii="黑体" w:hAnsi="黑体" w:eastAsia="黑体"/>
          <w:snapToGrid w:val="0"/>
          <w:color w:val="auto"/>
          <w:sz w:val="32"/>
          <w:szCs w:val="32"/>
        </w:rPr>
      </w:pPr>
      <w:bookmarkStart w:id="264" w:name="_Toc21019"/>
      <w:bookmarkStart w:id="265" w:name="_Toc6225"/>
      <w:r>
        <w:rPr>
          <w:rFonts w:hint="eastAsia" w:ascii="黑体" w:hAnsi="黑体" w:eastAsia="黑体"/>
          <w:snapToGrid w:val="0"/>
          <w:color w:val="auto"/>
          <w:sz w:val="32"/>
          <w:szCs w:val="32"/>
        </w:rPr>
        <w:t>附表</w:t>
      </w:r>
      <w:bookmarkEnd w:id="264"/>
      <w:bookmarkEnd w:id="265"/>
    </w:p>
    <w:p w14:paraId="5B11B702">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bookmarkStart w:id="266" w:name="_Toc28268"/>
      <w:bookmarkStart w:id="267" w:name="_Toc9551"/>
      <w:bookmarkStart w:id="268" w:name="_Toc7182"/>
      <w:bookmarkStart w:id="269" w:name="_Toc25165"/>
      <w:bookmarkStart w:id="270" w:name="_Toc10534"/>
      <w:r>
        <w:rPr>
          <w:rFonts w:hint="eastAsia" w:ascii="方正小标宋_GBK" w:hAnsi="黑体" w:eastAsia="方正小标宋_GBK"/>
          <w:snapToGrid w:val="0"/>
          <w:color w:val="auto"/>
          <w:sz w:val="38"/>
          <w:szCs w:val="38"/>
        </w:rPr>
        <w:t>建设项目污染物排放量汇总表</w:t>
      </w:r>
      <w:bookmarkEnd w:id="266"/>
      <w:bookmarkEnd w:id="267"/>
      <w:bookmarkEnd w:id="268"/>
      <w:bookmarkEnd w:id="269"/>
      <w:bookmarkEnd w:id="270"/>
    </w:p>
    <w:tbl>
      <w:tblPr>
        <w:tblStyle w:val="33"/>
        <w:tblW w:w="1384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452"/>
        <w:gridCol w:w="1170"/>
        <w:gridCol w:w="1123"/>
        <w:gridCol w:w="1701"/>
        <w:gridCol w:w="1559"/>
        <w:gridCol w:w="1761"/>
        <w:gridCol w:w="1811"/>
        <w:gridCol w:w="1028"/>
      </w:tblGrid>
      <w:tr w14:paraId="44B31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37" w:type="dxa"/>
            <w:tcBorders>
              <w:tl2br w:val="single" w:color="auto" w:sz="4" w:space="0"/>
            </w:tcBorders>
            <w:noWrap w:val="0"/>
            <w:tcMar>
              <w:left w:w="28" w:type="dxa"/>
              <w:right w:w="28" w:type="dxa"/>
            </w:tcMar>
            <w:vAlign w:val="center"/>
          </w:tcPr>
          <w:p w14:paraId="6EF09AA2">
            <w:pPr>
              <w:pStyle w:val="72"/>
              <w:keepNext w:val="0"/>
              <w:keepLines w:val="0"/>
              <w:pageBreakBefore w:val="0"/>
              <w:widowControl w:val="0"/>
              <w:kinsoku/>
              <w:wordWrap/>
              <w:overflowPunct/>
              <w:bidi w:val="0"/>
              <w:adjustRightInd w:val="0"/>
              <w:snapToGrid w:val="0"/>
              <w:spacing w:beforeLines="0" w:afterLines="0" w:line="240" w:lineRule="auto"/>
              <w:jc w:val="right"/>
              <w:textAlignment w:val="auto"/>
              <w:rPr>
                <w:rFonts w:hint="eastAsia"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项目</w:t>
            </w:r>
          </w:p>
          <w:p w14:paraId="3DA23602">
            <w:pPr>
              <w:pStyle w:val="72"/>
              <w:keepNext w:val="0"/>
              <w:keepLines w:val="0"/>
              <w:pageBreakBefore w:val="0"/>
              <w:widowControl w:val="0"/>
              <w:kinsoku/>
              <w:wordWrap/>
              <w:overflowPunct/>
              <w:bidi w:val="0"/>
              <w:adjustRightInd w:val="0"/>
              <w:snapToGrid w:val="0"/>
              <w:spacing w:beforeLines="0" w:afterLines="0" w:line="240" w:lineRule="auto"/>
              <w:jc w:val="left"/>
              <w:textAlignment w:val="auto"/>
              <w:rPr>
                <w:rFonts w:hint="eastAsia"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2452" w:type="dxa"/>
            <w:noWrap w:val="0"/>
            <w:tcMar>
              <w:left w:w="28" w:type="dxa"/>
              <w:right w:w="28" w:type="dxa"/>
            </w:tcMar>
            <w:vAlign w:val="center"/>
          </w:tcPr>
          <w:p w14:paraId="217E9297">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hint="eastAsia"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1170" w:type="dxa"/>
            <w:noWrap w:val="0"/>
            <w:tcMar>
              <w:left w:w="28" w:type="dxa"/>
              <w:right w:w="28" w:type="dxa"/>
            </w:tcMar>
            <w:vAlign w:val="center"/>
          </w:tcPr>
          <w:p w14:paraId="3EC5A2BE">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hint="eastAsia"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w:t>
            </w:r>
          </w:p>
          <w:p w14:paraId="2C88FDFA">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1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①</w:t>
            </w:r>
            <w:r>
              <w:rPr>
                <w:rFonts w:ascii="黑体" w:hAnsi="黑体" w:eastAsia="黑体"/>
                <w:snapToGrid w:val="0"/>
                <w:color w:val="auto"/>
                <w:spacing w:val="-6"/>
                <w:kern w:val="21"/>
                <w:sz w:val="21"/>
                <w:szCs w:val="21"/>
              </w:rPr>
              <w:fldChar w:fldCharType="end"/>
            </w:r>
          </w:p>
        </w:tc>
        <w:tc>
          <w:tcPr>
            <w:tcW w:w="1123" w:type="dxa"/>
            <w:noWrap w:val="0"/>
            <w:tcMar>
              <w:left w:w="28" w:type="dxa"/>
              <w:right w:w="28" w:type="dxa"/>
            </w:tcMar>
            <w:vAlign w:val="center"/>
          </w:tcPr>
          <w:p w14:paraId="34DC6C54">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w:t>
            </w:r>
          </w:p>
          <w:p w14:paraId="267065E6">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许可排放量</w:t>
            </w:r>
          </w:p>
          <w:p w14:paraId="202556A2">
            <w:pPr>
              <w:pStyle w:val="72"/>
              <w:keepNext w:val="0"/>
              <w:keepLines w:val="0"/>
              <w:pageBreakBefore w:val="0"/>
              <w:widowControl w:val="0"/>
              <w:kinsoku/>
              <w:wordWrap/>
              <w:overflowPunct/>
              <w:bidi w:val="0"/>
              <w:adjustRightInd w:val="0"/>
              <w:snapToGrid w:val="0"/>
              <w:spacing w:beforeLines="0" w:afterLines="0"/>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2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ascii="黑体" w:hAnsi="黑体" w:eastAsia="黑体"/>
                <w:snapToGrid w:val="0"/>
                <w:color w:val="auto"/>
                <w:spacing w:val="-6"/>
                <w:kern w:val="21"/>
                <w:sz w:val="21"/>
                <w:szCs w:val="21"/>
              </w:rPr>
              <w:fldChar w:fldCharType="end"/>
            </w:r>
          </w:p>
        </w:tc>
        <w:tc>
          <w:tcPr>
            <w:tcW w:w="1701" w:type="dxa"/>
            <w:noWrap w:val="0"/>
            <w:tcMar>
              <w:left w:w="28" w:type="dxa"/>
              <w:right w:w="28" w:type="dxa"/>
            </w:tcMar>
            <w:vAlign w:val="center"/>
          </w:tcPr>
          <w:p w14:paraId="0B49EE3A">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hint="eastAsia"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在建工程</w:t>
            </w:r>
          </w:p>
          <w:p w14:paraId="0FC8CE01">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3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③</w:t>
            </w:r>
            <w:r>
              <w:rPr>
                <w:rFonts w:ascii="黑体" w:hAnsi="黑体" w:eastAsia="黑体"/>
                <w:snapToGrid w:val="0"/>
                <w:color w:val="auto"/>
                <w:spacing w:val="-6"/>
                <w:kern w:val="21"/>
                <w:sz w:val="21"/>
                <w:szCs w:val="21"/>
              </w:rPr>
              <w:fldChar w:fldCharType="end"/>
            </w:r>
          </w:p>
        </w:tc>
        <w:tc>
          <w:tcPr>
            <w:tcW w:w="1559" w:type="dxa"/>
            <w:noWrap w:val="0"/>
            <w:tcMar>
              <w:left w:w="28" w:type="dxa"/>
              <w:right w:w="28" w:type="dxa"/>
            </w:tcMar>
            <w:vAlign w:val="center"/>
          </w:tcPr>
          <w:p w14:paraId="4F4A4F78">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hint="eastAsia"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本项目</w:t>
            </w:r>
          </w:p>
          <w:p w14:paraId="6F15F104">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4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④</w:t>
            </w:r>
            <w:r>
              <w:rPr>
                <w:rFonts w:ascii="黑体" w:hAnsi="黑体" w:eastAsia="黑体"/>
                <w:snapToGrid w:val="0"/>
                <w:color w:val="auto"/>
                <w:spacing w:val="-6"/>
                <w:kern w:val="21"/>
                <w:sz w:val="21"/>
                <w:szCs w:val="21"/>
              </w:rPr>
              <w:fldChar w:fldCharType="end"/>
            </w:r>
          </w:p>
        </w:tc>
        <w:tc>
          <w:tcPr>
            <w:tcW w:w="1761" w:type="dxa"/>
            <w:noWrap w:val="0"/>
            <w:tcMar>
              <w:left w:w="28" w:type="dxa"/>
              <w:right w:w="28" w:type="dxa"/>
            </w:tcMar>
            <w:vAlign w:val="center"/>
          </w:tcPr>
          <w:p w14:paraId="191B4444">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hint="eastAsia"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以新带老削减量</w:t>
            </w:r>
          </w:p>
          <w:p w14:paraId="36652A42">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（新建项目不填）</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5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⑤</w:t>
            </w:r>
            <w:r>
              <w:rPr>
                <w:rFonts w:ascii="黑体" w:hAnsi="黑体" w:eastAsia="黑体"/>
                <w:snapToGrid w:val="0"/>
                <w:color w:val="auto"/>
                <w:spacing w:val="-16"/>
                <w:kern w:val="21"/>
                <w:sz w:val="21"/>
                <w:szCs w:val="21"/>
              </w:rPr>
              <w:fldChar w:fldCharType="end"/>
            </w:r>
          </w:p>
        </w:tc>
        <w:tc>
          <w:tcPr>
            <w:tcW w:w="1811" w:type="dxa"/>
            <w:noWrap w:val="0"/>
            <w:tcMar>
              <w:left w:w="28" w:type="dxa"/>
              <w:right w:w="28" w:type="dxa"/>
            </w:tcMar>
            <w:vAlign w:val="center"/>
          </w:tcPr>
          <w:p w14:paraId="675F4B90">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hint="eastAsia"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本项目建成后</w:t>
            </w:r>
          </w:p>
          <w:p w14:paraId="2641F996">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16"/>
                <w:kern w:val="21"/>
                <w:sz w:val="21"/>
                <w:szCs w:val="21"/>
              </w:rPr>
            </w:pPr>
            <w:r>
              <w:rPr>
                <w:rFonts w:hint="eastAsia" w:ascii="黑体" w:hAnsi="黑体" w:eastAsia="黑体"/>
                <w:snapToGrid w:val="0"/>
                <w:color w:val="auto"/>
                <w:spacing w:val="-16"/>
                <w:kern w:val="21"/>
                <w:sz w:val="21"/>
                <w:szCs w:val="21"/>
              </w:rPr>
              <w:t>全厂</w:t>
            </w:r>
            <w:r>
              <w:rPr>
                <w:rFonts w:ascii="黑体" w:hAnsi="黑体" w:eastAsia="黑体"/>
                <w:snapToGrid w:val="0"/>
                <w:color w:val="auto"/>
                <w:spacing w:val="-16"/>
                <w:kern w:val="21"/>
                <w:sz w:val="21"/>
                <w:szCs w:val="21"/>
              </w:rPr>
              <w:t>排放量（固</w:t>
            </w:r>
            <w:r>
              <w:rPr>
                <w:rFonts w:hint="eastAsia" w:ascii="黑体" w:hAnsi="黑体" w:eastAsia="黑体"/>
                <w:snapToGrid w:val="0"/>
                <w:color w:val="auto"/>
                <w:spacing w:val="-16"/>
                <w:kern w:val="21"/>
                <w:sz w:val="21"/>
                <w:szCs w:val="21"/>
              </w:rPr>
              <w:t>体</w:t>
            </w:r>
            <w:r>
              <w:rPr>
                <w:rFonts w:ascii="黑体" w:hAnsi="黑体" w:eastAsia="黑体"/>
                <w:snapToGrid w:val="0"/>
                <w:color w:val="auto"/>
                <w:spacing w:val="-16"/>
                <w:kern w:val="21"/>
                <w:sz w:val="21"/>
                <w:szCs w:val="21"/>
              </w:rPr>
              <w:t>废</w:t>
            </w:r>
            <w:r>
              <w:rPr>
                <w:rFonts w:hint="eastAsia" w:ascii="黑体" w:hAnsi="黑体" w:eastAsia="黑体"/>
                <w:snapToGrid w:val="0"/>
                <w:color w:val="auto"/>
                <w:spacing w:val="-16"/>
                <w:kern w:val="21"/>
                <w:sz w:val="21"/>
                <w:szCs w:val="21"/>
              </w:rPr>
              <w:t>物</w:t>
            </w:r>
            <w:r>
              <w:rPr>
                <w:rFonts w:ascii="黑体" w:hAnsi="黑体" w:eastAsia="黑体"/>
                <w:snapToGrid w:val="0"/>
                <w:color w:val="auto"/>
                <w:spacing w:val="-16"/>
                <w:kern w:val="21"/>
                <w:sz w:val="21"/>
                <w:szCs w:val="21"/>
              </w:rPr>
              <w:t>产生量）</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6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⑥</w:t>
            </w:r>
            <w:r>
              <w:rPr>
                <w:rFonts w:ascii="黑体" w:hAnsi="黑体" w:eastAsia="黑体"/>
                <w:snapToGrid w:val="0"/>
                <w:color w:val="auto"/>
                <w:spacing w:val="-16"/>
                <w:kern w:val="21"/>
                <w:sz w:val="21"/>
                <w:szCs w:val="21"/>
              </w:rPr>
              <w:fldChar w:fldCharType="end"/>
            </w:r>
          </w:p>
        </w:tc>
        <w:tc>
          <w:tcPr>
            <w:tcW w:w="1028" w:type="dxa"/>
            <w:noWrap w:val="0"/>
            <w:tcMar>
              <w:left w:w="28" w:type="dxa"/>
              <w:right w:w="28" w:type="dxa"/>
            </w:tcMar>
            <w:vAlign w:val="center"/>
          </w:tcPr>
          <w:p w14:paraId="151BE32F">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变化量</w:t>
            </w:r>
          </w:p>
          <w:p w14:paraId="53B7E6F2">
            <w:pPr>
              <w:pStyle w:val="72"/>
              <w:keepNext w:val="0"/>
              <w:keepLines w:val="0"/>
              <w:pageBreakBefore w:val="0"/>
              <w:widowControl w:val="0"/>
              <w:kinsoku/>
              <w:wordWrap/>
              <w:overflowPunct/>
              <w:bidi w:val="0"/>
              <w:adjustRightInd w:val="0"/>
              <w:snapToGrid w:val="0"/>
              <w:spacing w:beforeLines="0" w:afterLines="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7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⑦</w:t>
            </w:r>
            <w:r>
              <w:rPr>
                <w:rFonts w:ascii="黑体" w:hAnsi="黑体" w:eastAsia="黑体"/>
                <w:snapToGrid w:val="0"/>
                <w:color w:val="auto"/>
                <w:spacing w:val="-6"/>
                <w:kern w:val="21"/>
                <w:sz w:val="21"/>
                <w:szCs w:val="21"/>
              </w:rPr>
              <w:fldChar w:fldCharType="end"/>
            </w:r>
          </w:p>
        </w:tc>
      </w:tr>
      <w:tr w14:paraId="22838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237" w:type="dxa"/>
            <w:vMerge w:val="restart"/>
            <w:noWrap w:val="0"/>
            <w:vAlign w:val="center"/>
          </w:tcPr>
          <w:p w14:paraId="152AF3A6">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废气</w:t>
            </w:r>
          </w:p>
        </w:tc>
        <w:tc>
          <w:tcPr>
            <w:tcW w:w="2452" w:type="dxa"/>
            <w:noWrap w:val="0"/>
            <w:vAlign w:val="center"/>
          </w:tcPr>
          <w:p w14:paraId="771B31D9">
            <w:pPr>
              <w:keepNext w:val="0"/>
              <w:keepLines w:val="0"/>
              <w:pageBreakBefore w:val="0"/>
              <w:widowControl w:val="0"/>
              <w:kinsoku/>
              <w:wordWrap/>
              <w:overflowPunct/>
              <w:topLinePunct/>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食堂油烟</w:t>
            </w:r>
          </w:p>
        </w:tc>
        <w:tc>
          <w:tcPr>
            <w:tcW w:w="1170" w:type="dxa"/>
            <w:noWrap w:val="0"/>
            <w:vAlign w:val="center"/>
          </w:tcPr>
          <w:p w14:paraId="288D74A3">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372B545D">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18D3180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4AD0286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00068</w:t>
            </w:r>
            <w:r>
              <w:rPr>
                <w:rFonts w:hint="default" w:ascii="Times New Roman" w:hAnsi="Times New Roman" w:eastAsia="宋体" w:cs="Times New Roman"/>
                <w:color w:val="auto"/>
                <w:sz w:val="21"/>
                <w:szCs w:val="21"/>
                <w:lang w:val="en-US" w:eastAsia="zh-CN"/>
              </w:rPr>
              <w:t>t/a</w:t>
            </w:r>
          </w:p>
        </w:tc>
        <w:tc>
          <w:tcPr>
            <w:tcW w:w="1761" w:type="dxa"/>
            <w:noWrap w:val="0"/>
            <w:vAlign w:val="center"/>
          </w:tcPr>
          <w:p w14:paraId="61847DA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11" w:type="dxa"/>
            <w:noWrap w:val="0"/>
            <w:vAlign w:val="center"/>
          </w:tcPr>
          <w:p w14:paraId="48D9A5A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00068</w:t>
            </w:r>
            <w:r>
              <w:rPr>
                <w:rFonts w:hint="default" w:ascii="Times New Roman" w:hAnsi="Times New Roman" w:eastAsia="宋体" w:cs="Times New Roman"/>
                <w:color w:val="auto"/>
                <w:sz w:val="21"/>
                <w:szCs w:val="21"/>
                <w:lang w:val="en-US" w:eastAsia="zh-CN"/>
              </w:rPr>
              <w:t>t/a</w:t>
            </w:r>
          </w:p>
        </w:tc>
        <w:tc>
          <w:tcPr>
            <w:tcW w:w="1028" w:type="dxa"/>
            <w:noWrap w:val="0"/>
            <w:vAlign w:val="center"/>
          </w:tcPr>
          <w:p w14:paraId="6F7A9563">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C40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237" w:type="dxa"/>
            <w:vMerge w:val="continue"/>
            <w:noWrap w:val="0"/>
            <w:vAlign w:val="center"/>
          </w:tcPr>
          <w:p w14:paraId="62F6826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p>
        </w:tc>
        <w:tc>
          <w:tcPr>
            <w:tcW w:w="2452" w:type="dxa"/>
            <w:noWrap w:val="0"/>
            <w:vAlign w:val="center"/>
          </w:tcPr>
          <w:p w14:paraId="632C94FC">
            <w:pPr>
              <w:keepNext w:val="0"/>
              <w:keepLines w:val="0"/>
              <w:pageBreakBefore w:val="0"/>
              <w:widowControl w:val="0"/>
              <w:kinsoku/>
              <w:wordWrap/>
              <w:overflowPunct/>
              <w:topLinePunct/>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70" w:type="dxa"/>
            <w:noWrap w:val="0"/>
            <w:vAlign w:val="center"/>
          </w:tcPr>
          <w:p w14:paraId="0D4945D6">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2CBFB33C">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4276C4AA">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4CAECC2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0.0248</w:t>
            </w:r>
            <w:r>
              <w:rPr>
                <w:rFonts w:hint="default" w:ascii="Times New Roman" w:hAnsi="Times New Roman" w:eastAsia="宋体" w:cs="Times New Roman"/>
                <w:color w:val="auto"/>
                <w:sz w:val="21"/>
                <w:szCs w:val="21"/>
                <w:lang w:val="en-US" w:eastAsia="zh-CN"/>
              </w:rPr>
              <w:t>t/a</w:t>
            </w:r>
          </w:p>
        </w:tc>
        <w:tc>
          <w:tcPr>
            <w:tcW w:w="1761" w:type="dxa"/>
            <w:noWrap w:val="0"/>
            <w:vAlign w:val="center"/>
          </w:tcPr>
          <w:p w14:paraId="1E159E11">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11" w:type="dxa"/>
            <w:noWrap w:val="0"/>
            <w:vAlign w:val="center"/>
          </w:tcPr>
          <w:p w14:paraId="32BC427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0.0248</w:t>
            </w:r>
            <w:r>
              <w:rPr>
                <w:rFonts w:hint="default" w:ascii="Times New Roman" w:hAnsi="Times New Roman" w:eastAsia="宋体" w:cs="Times New Roman"/>
                <w:color w:val="auto"/>
                <w:sz w:val="21"/>
                <w:szCs w:val="21"/>
                <w:lang w:val="en-US" w:eastAsia="zh-CN"/>
              </w:rPr>
              <w:t>t/a</w:t>
            </w:r>
          </w:p>
        </w:tc>
        <w:tc>
          <w:tcPr>
            <w:tcW w:w="1028" w:type="dxa"/>
            <w:noWrap w:val="0"/>
            <w:vAlign w:val="center"/>
          </w:tcPr>
          <w:p w14:paraId="50FB81D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F4DB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37" w:type="dxa"/>
            <w:vMerge w:val="restart"/>
            <w:noWrap w:val="0"/>
            <w:vAlign w:val="center"/>
          </w:tcPr>
          <w:p w14:paraId="0FBE85C8">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ascii="宋体" w:hAnsi="宋体" w:eastAsia="宋体" w:cs="宋体"/>
                <w:snapToGrid w:val="0"/>
                <w:color w:val="auto"/>
                <w:kern w:val="21"/>
                <w:sz w:val="21"/>
                <w:szCs w:val="21"/>
              </w:rPr>
              <w:t>废水</w:t>
            </w:r>
          </w:p>
        </w:tc>
        <w:tc>
          <w:tcPr>
            <w:tcW w:w="2452" w:type="dxa"/>
            <w:noWrap w:val="0"/>
            <w:vAlign w:val="center"/>
          </w:tcPr>
          <w:p w14:paraId="3B35165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lang w:eastAsia="zh-CN"/>
              </w:rPr>
            </w:pPr>
            <w:r>
              <w:rPr>
                <w:rFonts w:hint="eastAsia" w:hAnsi="宋体" w:eastAsia="宋体" w:cs="宋体"/>
                <w:color w:val="auto"/>
                <w:sz w:val="21"/>
                <w:szCs w:val="21"/>
                <w:lang w:eastAsia="zh-CN"/>
              </w:rPr>
              <w:t>生活污水</w:t>
            </w:r>
          </w:p>
        </w:tc>
        <w:tc>
          <w:tcPr>
            <w:tcW w:w="1170" w:type="dxa"/>
            <w:noWrap w:val="0"/>
            <w:vAlign w:val="center"/>
          </w:tcPr>
          <w:p w14:paraId="100A821D">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49A0FDD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lang w:val="en-US" w:eastAsia="zh-CN" w:bidi="ar-SA"/>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57841DB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lang w:val="en-US" w:eastAsia="zh-CN"/>
              </w:rPr>
            </w:pPr>
            <w:r>
              <w:rPr>
                <w:rFonts w:hint="eastAsia" w:ascii="宋体" w:hAnsi="宋体" w:eastAsia="宋体" w:cs="宋体"/>
                <w:snapToGrid w:val="0"/>
                <w:color w:val="auto"/>
                <w:kern w:val="21"/>
                <w:sz w:val="21"/>
                <w:szCs w:val="21"/>
                <w:lang w:val="en-US" w:eastAsia="zh-CN"/>
              </w:rPr>
              <w:t>/</w:t>
            </w:r>
          </w:p>
        </w:tc>
        <w:tc>
          <w:tcPr>
            <w:tcW w:w="1559" w:type="dxa"/>
            <w:noWrap w:val="0"/>
            <w:vAlign w:val="center"/>
          </w:tcPr>
          <w:p w14:paraId="7CB97CFD">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761" w:type="dxa"/>
            <w:noWrap w:val="0"/>
            <w:vAlign w:val="center"/>
          </w:tcPr>
          <w:p w14:paraId="0D8BF2C9">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hAnsi="宋体" w:eastAsia="宋体" w:cs="宋体"/>
                <w:snapToGrid w:val="0"/>
                <w:color w:val="auto"/>
                <w:kern w:val="21"/>
                <w:sz w:val="21"/>
                <w:szCs w:val="21"/>
                <w:lang w:val="en-US" w:eastAsia="zh-CN"/>
              </w:rPr>
              <w:t>/</w:t>
            </w:r>
          </w:p>
        </w:tc>
        <w:tc>
          <w:tcPr>
            <w:tcW w:w="1811" w:type="dxa"/>
            <w:noWrap w:val="0"/>
            <w:vAlign w:val="center"/>
          </w:tcPr>
          <w:p w14:paraId="0C7C9013">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028" w:type="dxa"/>
            <w:noWrap w:val="0"/>
            <w:vAlign w:val="center"/>
          </w:tcPr>
          <w:p w14:paraId="3CF8D0B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9795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37" w:type="dxa"/>
            <w:vMerge w:val="continue"/>
            <w:noWrap w:val="0"/>
            <w:vAlign w:val="center"/>
          </w:tcPr>
          <w:p w14:paraId="2A36E04C">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p>
        </w:tc>
        <w:tc>
          <w:tcPr>
            <w:tcW w:w="2452" w:type="dxa"/>
            <w:noWrap w:val="0"/>
            <w:vAlign w:val="center"/>
          </w:tcPr>
          <w:p w14:paraId="49CC02E3">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生产废水</w:t>
            </w:r>
          </w:p>
        </w:tc>
        <w:tc>
          <w:tcPr>
            <w:tcW w:w="1170" w:type="dxa"/>
            <w:noWrap w:val="0"/>
            <w:vAlign w:val="center"/>
          </w:tcPr>
          <w:p w14:paraId="1F2F6882">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5C40ABD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672F6FE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lang w:val="en-US" w:eastAsia="zh-CN"/>
              </w:rPr>
            </w:pPr>
            <w:r>
              <w:rPr>
                <w:rFonts w:hint="eastAsia" w:ascii="宋体" w:hAnsi="宋体" w:eastAsia="宋体" w:cs="宋体"/>
                <w:snapToGrid w:val="0"/>
                <w:color w:val="auto"/>
                <w:kern w:val="21"/>
                <w:sz w:val="21"/>
                <w:szCs w:val="21"/>
                <w:lang w:val="en-US" w:eastAsia="zh-CN"/>
              </w:rPr>
              <w:t>/</w:t>
            </w:r>
          </w:p>
        </w:tc>
        <w:tc>
          <w:tcPr>
            <w:tcW w:w="1559" w:type="dxa"/>
            <w:noWrap w:val="0"/>
            <w:vAlign w:val="center"/>
          </w:tcPr>
          <w:p w14:paraId="2F0F48E8">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761" w:type="dxa"/>
            <w:noWrap w:val="0"/>
            <w:vAlign w:val="center"/>
          </w:tcPr>
          <w:p w14:paraId="53B5414C">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hAnsi="宋体" w:eastAsia="宋体" w:cs="宋体"/>
                <w:snapToGrid w:val="0"/>
                <w:color w:val="auto"/>
                <w:kern w:val="21"/>
                <w:sz w:val="21"/>
                <w:szCs w:val="21"/>
                <w:lang w:val="en-US" w:eastAsia="zh-CN"/>
              </w:rPr>
              <w:t>/</w:t>
            </w:r>
          </w:p>
        </w:tc>
        <w:tc>
          <w:tcPr>
            <w:tcW w:w="1811" w:type="dxa"/>
            <w:noWrap w:val="0"/>
            <w:vAlign w:val="center"/>
          </w:tcPr>
          <w:p w14:paraId="64F3ADE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8" w:type="dxa"/>
            <w:noWrap w:val="0"/>
            <w:vAlign w:val="center"/>
          </w:tcPr>
          <w:p w14:paraId="553793FA">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B4CD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37" w:type="dxa"/>
            <w:vMerge w:val="restart"/>
            <w:noWrap w:val="0"/>
            <w:vAlign w:val="center"/>
          </w:tcPr>
          <w:p w14:paraId="2D8167C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ascii="宋体" w:hAnsi="宋体" w:eastAsia="宋体" w:cs="宋体"/>
                <w:snapToGrid w:val="0"/>
                <w:color w:val="auto"/>
                <w:kern w:val="21"/>
                <w:sz w:val="21"/>
                <w:szCs w:val="21"/>
              </w:rPr>
              <w:t>一般工业</w:t>
            </w:r>
          </w:p>
          <w:p w14:paraId="4BB538D9">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ascii="宋体" w:hAnsi="宋体" w:eastAsia="宋体" w:cs="宋体"/>
                <w:snapToGrid w:val="0"/>
                <w:color w:val="auto"/>
                <w:kern w:val="21"/>
                <w:sz w:val="21"/>
                <w:szCs w:val="21"/>
              </w:rPr>
              <w:t>固体废物</w:t>
            </w:r>
          </w:p>
        </w:tc>
        <w:tc>
          <w:tcPr>
            <w:tcW w:w="2452" w:type="dxa"/>
            <w:noWrap w:val="0"/>
            <w:vAlign w:val="center"/>
          </w:tcPr>
          <w:p w14:paraId="3FC2286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坚果皮</w:t>
            </w:r>
          </w:p>
        </w:tc>
        <w:tc>
          <w:tcPr>
            <w:tcW w:w="1170" w:type="dxa"/>
            <w:noWrap w:val="0"/>
            <w:vAlign w:val="center"/>
          </w:tcPr>
          <w:p w14:paraId="187C22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w:t>
            </w:r>
          </w:p>
        </w:tc>
        <w:tc>
          <w:tcPr>
            <w:tcW w:w="1123" w:type="dxa"/>
            <w:noWrap w:val="0"/>
            <w:vAlign w:val="center"/>
          </w:tcPr>
          <w:p w14:paraId="5D9181DD">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ascii="宋体" w:hAnsi="宋体" w:eastAsia="宋体" w:cs="宋体"/>
                <w:snapToGrid w:val="0"/>
                <w:color w:val="auto"/>
                <w:kern w:val="21"/>
                <w:sz w:val="21"/>
                <w:szCs w:val="21"/>
                <w:lang w:val="en-US" w:eastAsia="zh-CN"/>
              </w:rPr>
              <w:t>/</w:t>
            </w:r>
          </w:p>
        </w:tc>
        <w:tc>
          <w:tcPr>
            <w:tcW w:w="1701" w:type="dxa"/>
            <w:noWrap w:val="0"/>
            <w:vAlign w:val="center"/>
          </w:tcPr>
          <w:p w14:paraId="1D9A454C">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ascii="宋体" w:hAnsi="宋体" w:eastAsia="宋体" w:cs="宋体"/>
                <w:snapToGrid w:val="0"/>
                <w:color w:val="auto"/>
                <w:kern w:val="21"/>
                <w:sz w:val="21"/>
                <w:szCs w:val="21"/>
                <w:lang w:val="en-US" w:eastAsia="zh-CN"/>
              </w:rPr>
              <w:t>/</w:t>
            </w:r>
          </w:p>
        </w:tc>
        <w:tc>
          <w:tcPr>
            <w:tcW w:w="1559" w:type="dxa"/>
            <w:noWrap w:val="0"/>
            <w:vAlign w:val="center"/>
          </w:tcPr>
          <w:p w14:paraId="5ED4F818">
            <w:pPr>
              <w:pStyle w:val="8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2310</w:t>
            </w:r>
            <w:r>
              <w:rPr>
                <w:rFonts w:hint="default" w:ascii="Times New Roman" w:hAnsi="Times New Roman" w:eastAsia="宋体" w:cs="Times New Roman"/>
                <w:color w:val="auto"/>
                <w:sz w:val="21"/>
                <w:szCs w:val="21"/>
                <w:highlight w:val="none"/>
                <w:lang w:val="en-US" w:eastAsia="zh-CN"/>
              </w:rPr>
              <w:t>t/a</w:t>
            </w:r>
          </w:p>
        </w:tc>
        <w:tc>
          <w:tcPr>
            <w:tcW w:w="1761" w:type="dxa"/>
            <w:noWrap w:val="0"/>
            <w:vAlign w:val="center"/>
          </w:tcPr>
          <w:p w14:paraId="2019A26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11" w:type="dxa"/>
            <w:noWrap w:val="0"/>
            <w:vAlign w:val="center"/>
          </w:tcPr>
          <w:p w14:paraId="07F13776">
            <w:pPr>
              <w:pStyle w:val="8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2310</w:t>
            </w:r>
            <w:r>
              <w:rPr>
                <w:rFonts w:hint="default" w:ascii="Times New Roman" w:hAnsi="Times New Roman" w:eastAsia="宋体" w:cs="Times New Roman"/>
                <w:color w:val="auto"/>
                <w:sz w:val="21"/>
                <w:szCs w:val="21"/>
                <w:highlight w:val="none"/>
                <w:lang w:val="en-US" w:eastAsia="zh-CN"/>
              </w:rPr>
              <w:t>t/a</w:t>
            </w:r>
          </w:p>
        </w:tc>
        <w:tc>
          <w:tcPr>
            <w:tcW w:w="1028" w:type="dxa"/>
            <w:noWrap w:val="0"/>
            <w:vAlign w:val="center"/>
          </w:tcPr>
          <w:p w14:paraId="42279D6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E034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37" w:type="dxa"/>
            <w:vMerge w:val="continue"/>
            <w:noWrap w:val="0"/>
            <w:vAlign w:val="center"/>
          </w:tcPr>
          <w:p w14:paraId="7E88D3CC">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p>
        </w:tc>
        <w:tc>
          <w:tcPr>
            <w:tcW w:w="2452" w:type="dxa"/>
            <w:noWrap w:val="0"/>
            <w:vAlign w:val="center"/>
          </w:tcPr>
          <w:p w14:paraId="37D96444">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废弃的残次坚果、不合格品</w:t>
            </w:r>
          </w:p>
        </w:tc>
        <w:tc>
          <w:tcPr>
            <w:tcW w:w="1170" w:type="dxa"/>
            <w:noWrap w:val="0"/>
            <w:vAlign w:val="center"/>
          </w:tcPr>
          <w:p w14:paraId="5623C52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4A5FB36C">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4CC2D3A9">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6E80081E">
            <w:pPr>
              <w:pStyle w:val="8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highlight w:val="none"/>
                <w:lang w:val="en-US" w:eastAsia="zh-CN"/>
              </w:rPr>
              <w:t>660</w:t>
            </w:r>
            <w:r>
              <w:rPr>
                <w:rFonts w:hint="default" w:ascii="Times New Roman" w:hAnsi="Times New Roman" w:eastAsia="宋体" w:cs="Times New Roman"/>
                <w:color w:val="auto"/>
                <w:sz w:val="21"/>
                <w:szCs w:val="21"/>
                <w:highlight w:val="none"/>
                <w:lang w:val="en-US" w:eastAsia="zh-CN"/>
              </w:rPr>
              <w:t>t/a</w:t>
            </w:r>
          </w:p>
        </w:tc>
        <w:tc>
          <w:tcPr>
            <w:tcW w:w="1761" w:type="dxa"/>
            <w:noWrap w:val="0"/>
            <w:vAlign w:val="center"/>
          </w:tcPr>
          <w:p w14:paraId="7A9539D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811" w:type="dxa"/>
            <w:noWrap w:val="0"/>
            <w:vAlign w:val="center"/>
          </w:tcPr>
          <w:p w14:paraId="19E0C0F5">
            <w:pPr>
              <w:pStyle w:val="80"/>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z w:val="21"/>
                <w:szCs w:val="21"/>
                <w:highlight w:val="none"/>
                <w:lang w:val="en-US" w:eastAsia="zh-CN"/>
              </w:rPr>
              <w:t>660</w:t>
            </w:r>
            <w:r>
              <w:rPr>
                <w:rFonts w:hint="default" w:ascii="Times New Roman" w:hAnsi="Times New Roman" w:eastAsia="宋体" w:cs="Times New Roman"/>
                <w:color w:val="auto"/>
                <w:sz w:val="21"/>
                <w:szCs w:val="21"/>
                <w:highlight w:val="none"/>
                <w:lang w:val="en-US" w:eastAsia="zh-CN"/>
              </w:rPr>
              <w:t>t/a</w:t>
            </w:r>
          </w:p>
        </w:tc>
        <w:tc>
          <w:tcPr>
            <w:tcW w:w="1028" w:type="dxa"/>
            <w:noWrap w:val="0"/>
            <w:vAlign w:val="center"/>
          </w:tcPr>
          <w:p w14:paraId="02B8767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14:paraId="2921B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37" w:type="dxa"/>
            <w:vMerge w:val="continue"/>
            <w:noWrap w:val="0"/>
            <w:vAlign w:val="center"/>
          </w:tcPr>
          <w:p w14:paraId="7E16372C">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bookmarkStart w:id="271" w:name="_Toc14753"/>
            <w:bookmarkStart w:id="272" w:name="_Toc12274"/>
          </w:p>
        </w:tc>
        <w:tc>
          <w:tcPr>
            <w:tcW w:w="2452" w:type="dxa"/>
            <w:noWrap w:val="0"/>
            <w:vAlign w:val="center"/>
          </w:tcPr>
          <w:p w14:paraId="359CAF5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果壳</w:t>
            </w:r>
          </w:p>
        </w:tc>
        <w:tc>
          <w:tcPr>
            <w:tcW w:w="1170" w:type="dxa"/>
            <w:noWrap w:val="0"/>
            <w:vAlign w:val="center"/>
          </w:tcPr>
          <w:p w14:paraId="16AC29B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39E0BE15">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53D56781">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608FC55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400</w:t>
            </w:r>
            <w:r>
              <w:rPr>
                <w:rFonts w:hint="default" w:ascii="Times New Roman" w:hAnsi="Times New Roman" w:eastAsia="宋体" w:cs="Times New Roman"/>
                <w:color w:val="auto"/>
                <w:kern w:val="2"/>
                <w:sz w:val="21"/>
                <w:szCs w:val="21"/>
                <w:lang w:val="en-US" w:eastAsia="zh-CN" w:bidi="ar-SA"/>
              </w:rPr>
              <w:t>t/a</w:t>
            </w:r>
          </w:p>
        </w:tc>
        <w:tc>
          <w:tcPr>
            <w:tcW w:w="1761" w:type="dxa"/>
            <w:noWrap w:val="0"/>
            <w:vAlign w:val="center"/>
          </w:tcPr>
          <w:p w14:paraId="0293BB61">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811" w:type="dxa"/>
            <w:noWrap w:val="0"/>
            <w:vAlign w:val="center"/>
          </w:tcPr>
          <w:p w14:paraId="0B6CB89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400</w:t>
            </w:r>
            <w:r>
              <w:rPr>
                <w:rFonts w:hint="default" w:ascii="Times New Roman" w:hAnsi="Times New Roman" w:eastAsia="宋体" w:cs="Times New Roman"/>
                <w:color w:val="auto"/>
                <w:kern w:val="2"/>
                <w:sz w:val="21"/>
                <w:szCs w:val="21"/>
                <w:lang w:val="en-US" w:eastAsia="zh-CN" w:bidi="ar-SA"/>
              </w:rPr>
              <w:t>t/a</w:t>
            </w:r>
          </w:p>
        </w:tc>
        <w:tc>
          <w:tcPr>
            <w:tcW w:w="1028" w:type="dxa"/>
            <w:noWrap w:val="0"/>
            <w:vAlign w:val="center"/>
          </w:tcPr>
          <w:p w14:paraId="2316745B">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14:paraId="5A8D9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37" w:type="dxa"/>
            <w:vMerge w:val="continue"/>
            <w:noWrap w:val="0"/>
            <w:vAlign w:val="center"/>
          </w:tcPr>
          <w:p w14:paraId="0496FD9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p>
        </w:tc>
        <w:tc>
          <w:tcPr>
            <w:tcW w:w="2452" w:type="dxa"/>
            <w:noWrap w:val="0"/>
            <w:vAlign w:val="center"/>
          </w:tcPr>
          <w:p w14:paraId="5F7703D5">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废包装材料</w:t>
            </w:r>
          </w:p>
        </w:tc>
        <w:tc>
          <w:tcPr>
            <w:tcW w:w="1170" w:type="dxa"/>
            <w:noWrap w:val="0"/>
            <w:vAlign w:val="center"/>
          </w:tcPr>
          <w:p w14:paraId="2ACD19AD">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20D13223">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0174B9CD">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27AB4A32">
            <w:pPr>
              <w:pStyle w:val="80"/>
              <w:spacing w:line="36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t/a</w:t>
            </w:r>
          </w:p>
        </w:tc>
        <w:tc>
          <w:tcPr>
            <w:tcW w:w="1761" w:type="dxa"/>
            <w:noWrap w:val="0"/>
            <w:vAlign w:val="center"/>
          </w:tcPr>
          <w:p w14:paraId="1F58C482">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811" w:type="dxa"/>
            <w:noWrap w:val="0"/>
            <w:vAlign w:val="center"/>
          </w:tcPr>
          <w:p w14:paraId="4CF21DF4">
            <w:pPr>
              <w:pStyle w:val="8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t/a</w:t>
            </w:r>
          </w:p>
        </w:tc>
        <w:tc>
          <w:tcPr>
            <w:tcW w:w="1028" w:type="dxa"/>
            <w:noWrap w:val="0"/>
            <w:vAlign w:val="center"/>
          </w:tcPr>
          <w:p w14:paraId="5C26B88F">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14:paraId="2F383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37" w:type="dxa"/>
            <w:vMerge w:val="continue"/>
            <w:noWrap w:val="0"/>
            <w:vAlign w:val="center"/>
          </w:tcPr>
          <w:p w14:paraId="6558EDE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ascii="宋体" w:hAnsi="宋体" w:eastAsia="宋体" w:cs="宋体"/>
                <w:snapToGrid w:val="0"/>
                <w:color w:val="auto"/>
                <w:kern w:val="21"/>
                <w:sz w:val="21"/>
                <w:szCs w:val="21"/>
              </w:rPr>
            </w:pPr>
          </w:p>
        </w:tc>
        <w:tc>
          <w:tcPr>
            <w:tcW w:w="2452" w:type="dxa"/>
            <w:noWrap w:val="0"/>
            <w:vAlign w:val="center"/>
          </w:tcPr>
          <w:p w14:paraId="3FF94CD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回收粉尘</w:t>
            </w:r>
          </w:p>
        </w:tc>
        <w:tc>
          <w:tcPr>
            <w:tcW w:w="1170" w:type="dxa"/>
            <w:noWrap w:val="0"/>
            <w:vAlign w:val="center"/>
          </w:tcPr>
          <w:p w14:paraId="368CCB1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738E52B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54CE0B27">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79292DDE">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.2159t</w:t>
            </w:r>
            <w:r>
              <w:rPr>
                <w:rFonts w:hint="default" w:ascii="Times New Roman" w:hAnsi="Times New Roman" w:eastAsia="宋体" w:cs="Times New Roman"/>
                <w:color w:val="auto"/>
                <w:sz w:val="21"/>
                <w:szCs w:val="21"/>
                <w:lang w:val="en-US" w:eastAsia="zh-CN"/>
              </w:rPr>
              <w:t>/a</w:t>
            </w:r>
          </w:p>
        </w:tc>
        <w:tc>
          <w:tcPr>
            <w:tcW w:w="1761" w:type="dxa"/>
            <w:noWrap w:val="0"/>
            <w:vAlign w:val="center"/>
          </w:tcPr>
          <w:p w14:paraId="27CBD0B4">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811" w:type="dxa"/>
            <w:noWrap w:val="0"/>
            <w:vAlign w:val="center"/>
          </w:tcPr>
          <w:p w14:paraId="505B8D99">
            <w:pPr>
              <w:pStyle w:val="8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.2159t</w:t>
            </w:r>
            <w:r>
              <w:rPr>
                <w:rFonts w:hint="default" w:ascii="Times New Roman" w:hAnsi="Times New Roman" w:eastAsia="宋体" w:cs="Times New Roman"/>
                <w:color w:val="auto"/>
                <w:sz w:val="21"/>
                <w:szCs w:val="21"/>
                <w:lang w:val="en-US" w:eastAsia="zh-CN"/>
              </w:rPr>
              <w:t>/a</w:t>
            </w:r>
          </w:p>
        </w:tc>
        <w:tc>
          <w:tcPr>
            <w:tcW w:w="1028" w:type="dxa"/>
            <w:noWrap w:val="0"/>
            <w:vAlign w:val="center"/>
          </w:tcPr>
          <w:p w14:paraId="09A2492D">
            <w:pPr>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r>
      <w:tr w14:paraId="216E8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37" w:type="dxa"/>
            <w:vMerge w:val="restart"/>
            <w:noWrap w:val="0"/>
            <w:vAlign w:val="center"/>
          </w:tcPr>
          <w:p w14:paraId="2E77BF10">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宋体"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危险废物</w:t>
            </w:r>
          </w:p>
        </w:tc>
        <w:tc>
          <w:tcPr>
            <w:tcW w:w="2452" w:type="dxa"/>
            <w:noWrap w:val="0"/>
            <w:vAlign w:val="center"/>
          </w:tcPr>
          <w:p w14:paraId="3F585F51">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70" w:type="dxa"/>
            <w:noWrap w:val="0"/>
            <w:vAlign w:val="center"/>
          </w:tcPr>
          <w:p w14:paraId="058C53B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6496C8FF">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6979FFC5">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27DD129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hAnsi="宋体" w:eastAsia="宋体" w:cs="宋体"/>
                <w:snapToGrid w:val="0"/>
                <w:color w:val="auto"/>
                <w:kern w:val="21"/>
                <w:sz w:val="21"/>
                <w:szCs w:val="21"/>
                <w:lang w:val="en-US" w:eastAsia="zh-CN"/>
              </w:rPr>
              <w:t>/</w:t>
            </w:r>
          </w:p>
        </w:tc>
        <w:tc>
          <w:tcPr>
            <w:tcW w:w="1761" w:type="dxa"/>
            <w:noWrap w:val="0"/>
            <w:vAlign w:val="center"/>
          </w:tcPr>
          <w:p w14:paraId="4FEB4D4B">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811" w:type="dxa"/>
            <w:noWrap w:val="0"/>
            <w:vAlign w:val="center"/>
          </w:tcPr>
          <w:p w14:paraId="0D43274A">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cs="Times New Roman"/>
                <w:color w:val="auto"/>
                <w:lang w:val="en-US" w:eastAsia="zh-CN"/>
              </w:rPr>
            </w:pPr>
            <w:r>
              <w:rPr>
                <w:rFonts w:hint="eastAsia" w:hAnsi="宋体" w:eastAsia="宋体" w:cs="宋体"/>
                <w:snapToGrid w:val="0"/>
                <w:color w:val="auto"/>
                <w:kern w:val="21"/>
                <w:sz w:val="21"/>
                <w:szCs w:val="21"/>
                <w:lang w:val="en-US" w:eastAsia="zh-CN"/>
              </w:rPr>
              <w:t>/</w:t>
            </w:r>
          </w:p>
        </w:tc>
        <w:tc>
          <w:tcPr>
            <w:tcW w:w="1028" w:type="dxa"/>
            <w:noWrap w:val="0"/>
            <w:vAlign w:val="center"/>
          </w:tcPr>
          <w:p w14:paraId="302B6FDD">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r>
      <w:tr w14:paraId="10BBD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37" w:type="dxa"/>
            <w:vMerge w:val="continue"/>
            <w:noWrap w:val="0"/>
            <w:vAlign w:val="center"/>
          </w:tcPr>
          <w:p w14:paraId="243D3442">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p>
        </w:tc>
        <w:tc>
          <w:tcPr>
            <w:tcW w:w="2452" w:type="dxa"/>
            <w:noWrap w:val="0"/>
            <w:vAlign w:val="center"/>
          </w:tcPr>
          <w:p w14:paraId="44761562">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hAnsi="宋体" w:eastAsia="宋体" w:cs="宋体"/>
                <w:snapToGrid w:val="0"/>
                <w:color w:val="auto"/>
                <w:kern w:val="21"/>
                <w:sz w:val="21"/>
                <w:szCs w:val="21"/>
                <w:lang w:val="en-US" w:eastAsia="zh-CN"/>
              </w:rPr>
              <w:t>/</w:t>
            </w:r>
          </w:p>
        </w:tc>
        <w:tc>
          <w:tcPr>
            <w:tcW w:w="1170" w:type="dxa"/>
            <w:noWrap w:val="0"/>
            <w:vAlign w:val="center"/>
          </w:tcPr>
          <w:p w14:paraId="143656D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123" w:type="dxa"/>
            <w:noWrap w:val="0"/>
            <w:vAlign w:val="center"/>
          </w:tcPr>
          <w:p w14:paraId="1D755EF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701" w:type="dxa"/>
            <w:noWrap w:val="0"/>
            <w:vAlign w:val="center"/>
          </w:tcPr>
          <w:p w14:paraId="5B61B8BA">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eastAsia" w:hAnsi="宋体" w:eastAsia="宋体" w:cs="宋体"/>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559" w:type="dxa"/>
            <w:noWrap w:val="0"/>
            <w:vAlign w:val="center"/>
          </w:tcPr>
          <w:p w14:paraId="43206674">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hAnsi="宋体" w:eastAsia="宋体" w:cs="宋体"/>
                <w:snapToGrid w:val="0"/>
                <w:color w:val="auto"/>
                <w:kern w:val="21"/>
                <w:sz w:val="21"/>
                <w:szCs w:val="21"/>
                <w:lang w:val="en-US" w:eastAsia="zh-CN"/>
              </w:rPr>
              <w:t>/</w:t>
            </w:r>
          </w:p>
        </w:tc>
        <w:tc>
          <w:tcPr>
            <w:tcW w:w="1761" w:type="dxa"/>
            <w:noWrap w:val="0"/>
            <w:vAlign w:val="center"/>
          </w:tcPr>
          <w:p w14:paraId="3DA59AC1">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c>
          <w:tcPr>
            <w:tcW w:w="1811" w:type="dxa"/>
            <w:noWrap w:val="0"/>
            <w:vAlign w:val="center"/>
          </w:tcPr>
          <w:p w14:paraId="0E9A6FCE">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cs="Times New Roman"/>
                <w:color w:val="auto"/>
                <w:lang w:val="en-US" w:eastAsia="zh-CN"/>
              </w:rPr>
            </w:pPr>
            <w:r>
              <w:rPr>
                <w:rFonts w:hint="eastAsia" w:hAnsi="宋体" w:eastAsia="宋体" w:cs="宋体"/>
                <w:snapToGrid w:val="0"/>
                <w:color w:val="auto"/>
                <w:kern w:val="21"/>
                <w:sz w:val="21"/>
                <w:szCs w:val="21"/>
                <w:lang w:val="en-US" w:eastAsia="zh-CN"/>
              </w:rPr>
              <w:t>/</w:t>
            </w:r>
          </w:p>
        </w:tc>
        <w:tc>
          <w:tcPr>
            <w:tcW w:w="1028" w:type="dxa"/>
            <w:noWrap w:val="0"/>
            <w:vAlign w:val="center"/>
          </w:tcPr>
          <w:p w14:paraId="59FF863A">
            <w:pPr>
              <w:pStyle w:val="72"/>
              <w:keepNext w:val="0"/>
              <w:keepLines w:val="0"/>
              <w:pageBreakBefore w:val="0"/>
              <w:widowControl w:val="0"/>
              <w:kinsoku/>
              <w:wordWrap/>
              <w:overflowPunct/>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hAnsi="宋体" w:eastAsia="宋体" w:cs="宋体"/>
                <w:snapToGrid w:val="0"/>
                <w:color w:val="auto"/>
                <w:kern w:val="21"/>
                <w:sz w:val="21"/>
                <w:szCs w:val="21"/>
                <w:lang w:val="en-US" w:eastAsia="zh-CN"/>
              </w:rPr>
              <w:t>/</w:t>
            </w:r>
          </w:p>
        </w:tc>
      </w:tr>
    </w:tbl>
    <w:p w14:paraId="70AAB146">
      <w:pPr>
        <w:pStyle w:val="72"/>
        <w:spacing w:before="192" w:beforeLines="80" w:after="24"/>
        <w:jc w:val="left"/>
        <w:outlineLvl w:val="0"/>
        <w:rPr>
          <w:rFonts w:hint="eastAsia"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bookmarkEnd w:id="271"/>
      <w:bookmarkEnd w:id="272"/>
    </w:p>
    <w:p w14:paraId="1AA14BED">
      <w:pPr>
        <w:rPr>
          <w:rFonts w:ascii="宋体" w:hAnsi="宋体" w:eastAsia="黑体"/>
          <w:color w:val="auto"/>
        </w:rPr>
      </w:pP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18E992A-A834-4940-97AD-7C81675321BB}"/>
  </w:font>
  <w:font w:name="黑体">
    <w:panose1 w:val="02010609060101010101"/>
    <w:charset w:val="86"/>
    <w:family w:val="auto"/>
    <w:pitch w:val="default"/>
    <w:sig w:usb0="800002BF" w:usb1="38CF7CFA" w:usb2="00000016" w:usb3="00000000" w:csb0="00040001" w:csb1="00000000"/>
    <w:embedRegular r:id="rId2" w:fontKey="{1001F49A-C8C7-431C-99AB-C06D51CF2EC5}"/>
  </w:font>
  <w:font w:name="Courier New">
    <w:panose1 w:val="02070309020205020404"/>
    <w:charset w:val="01"/>
    <w:family w:val="modern"/>
    <w:pitch w:val="default"/>
    <w:sig w:usb0="E0002EFF" w:usb1="C0007843" w:usb2="00000009" w:usb3="00000000" w:csb0="400001FF" w:csb1="FFFF0000"/>
    <w:embedRegular r:id="rId3" w:fontKey="{37414FF4-9627-443F-9D83-32EE3F0752F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AC9F05C-917F-4354-A14A-26A5EDB31E54}"/>
  </w:font>
  <w:font w:name="仿宋_GB2312">
    <w:panose1 w:val="02010609030101010101"/>
    <w:charset w:val="86"/>
    <w:family w:val="modern"/>
    <w:pitch w:val="default"/>
    <w:sig w:usb0="00000001" w:usb1="080E0000" w:usb2="00000000" w:usb3="00000000" w:csb0="00040000" w:csb1="00000000"/>
    <w:embedRegular r:id="rId5" w:fontKey="{9AD400A5-29A2-40D5-BA09-DB4200E79C12}"/>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6" w:fontKey="{CBA7E138-EB2E-4EF0-9804-F706A6515D13}"/>
  </w:font>
  <w:font w:name="oúì.">
    <w:altName w:val="黑体"/>
    <w:panose1 w:val="00000000000000000000"/>
    <w:charset w:val="86"/>
    <w:family w:val="modern"/>
    <w:pitch w:val="default"/>
    <w:sig w:usb0="00000000" w:usb1="00000000" w:usb2="00000010" w:usb3="00000000" w:csb0="00040000" w:csb1="00000000"/>
    <w:embedRegular r:id="rId7" w:fontKey="{40030A78-6206-4A07-AFA8-6E1BA680643A}"/>
  </w:font>
  <w:font w:name="华文宋体">
    <w:panose1 w:val="02010600040101010101"/>
    <w:charset w:val="86"/>
    <w:family w:val="auto"/>
    <w:pitch w:val="default"/>
    <w:sig w:usb0="00000287" w:usb1="080F0000" w:usb2="00000000" w:usb3="00000000" w:csb0="0004009F" w:csb1="DFD70000"/>
    <w:embedRegular r:id="rId8" w:fontKey="{9D8C3609-3F70-4C9F-9D58-3A341EBD36C6}"/>
  </w:font>
  <w:font w:name="楷体_GB2312">
    <w:panose1 w:val="02010609030101010101"/>
    <w:charset w:val="86"/>
    <w:family w:val="auto"/>
    <w:pitch w:val="default"/>
    <w:sig w:usb0="00000001" w:usb1="080E0000" w:usb2="00000000" w:usb3="00000000" w:csb0="00040000" w:csb1="00000000"/>
    <w:embedRegular r:id="rId9" w:fontKey="{3D6DBFA9-18E9-47A6-B227-2DD586110380}"/>
  </w:font>
  <w:font w:name="华文楷体">
    <w:panose1 w:val="02010600040101010101"/>
    <w:charset w:val="86"/>
    <w:family w:val="auto"/>
    <w:pitch w:val="default"/>
    <w:sig w:usb0="00000287" w:usb1="080F0000" w:usb2="00000000" w:usb3="00000000" w:csb0="0004009F" w:csb1="DFD70000"/>
    <w:embedRegular r:id="rId10" w:fontKey="{C2D1A882-7CB0-4AAC-8E3E-7209FFE9AC87}"/>
  </w:font>
  <w:font w:name="Wingdings 2">
    <w:panose1 w:val="05020102010507070707"/>
    <w:charset w:val="02"/>
    <w:family w:val="auto"/>
    <w:pitch w:val="default"/>
    <w:sig w:usb0="00000000" w:usb1="00000000" w:usb2="00000000" w:usb3="00000000" w:csb0="80000000" w:csb1="00000000"/>
    <w:embedRegular r:id="rId11" w:fontKey="{CE8BE9CF-1DCD-4040-925F-DE8D7F9CE32E}"/>
  </w:font>
  <w:font w:name="方正仿宋_GBK">
    <w:panose1 w:val="03000509000000000000"/>
    <w:charset w:val="86"/>
    <w:family w:val="auto"/>
    <w:pitch w:val="default"/>
    <w:sig w:usb0="00000001" w:usb1="080E0000" w:usb2="00000000" w:usb3="00000000" w:csb0="00040000" w:csb1="00000000"/>
    <w:embedRegular r:id="rId12" w:fontKey="{D432E807-D137-4121-85A9-F135E36D16B2}"/>
  </w:font>
  <w:font w:name="方正小标宋_GBK">
    <w:panose1 w:val="03000509000000000000"/>
    <w:charset w:val="86"/>
    <w:family w:val="script"/>
    <w:pitch w:val="default"/>
    <w:sig w:usb0="00000001" w:usb1="080E0000" w:usb2="00000000" w:usb3="00000000" w:csb0="00040000" w:csb1="00000000"/>
    <w:embedRegular r:id="rId13" w:fontKey="{03DD869A-53E9-4B6C-84BF-EB30EC1EC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6495">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085D">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0CEA7">
    <w:pPr>
      <w:pStyle w:val="2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4841BB">
                          <w:pPr>
                            <w:pStyle w:val="21"/>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SXdJbgAQAAwgMAAA4AAAAA&#10;AAAAAQAgAAAAHgEAAGRycy9lMm9Eb2MueG1sUEsFBgAAAAAGAAYAWQEAAHAFAAAAAA==&#10;">
              <v:fill on="f" focussize="0,0"/>
              <v:stroke on="f"/>
              <v:imagedata o:title=""/>
              <o:lock v:ext="edit" aspectratio="f"/>
              <v:textbox inset="0mm,0mm,0mm,0mm" style="mso-fit-shape-to-text:t;">
                <w:txbxContent>
                  <w:p w14:paraId="304841BB">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E056E">
    <w:pPr>
      <w:pStyle w:val="2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05FC66">
                          <w:pPr>
                            <w:pStyle w:val="21"/>
                          </w:pPr>
                          <w:r>
                            <w:fldChar w:fldCharType="begin"/>
                          </w:r>
                          <w:r>
                            <w:instrText xml:space="preserve"> PAGE  \* MERGEFORMAT </w:instrText>
                          </w:r>
                          <w:r>
                            <w:fldChar w:fldCharType="separate"/>
                          </w:r>
                          <w:r>
                            <w:t>64</w:t>
                          </w:r>
                          <w:r>
                            <w:fldChar w:fldCharType="end"/>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bytI/gAQAAwgMAAA4AAAAA&#10;AAAAAQAgAAAAHgEAAGRycy9lMm9Eb2MueG1sUEsFBgAAAAAGAAYAWQEAAHAFAAAAAA==&#10;">
              <v:fill on="f" focussize="0,0"/>
              <v:stroke on="f"/>
              <v:imagedata o:title=""/>
              <o:lock v:ext="edit" aspectratio="f"/>
              <v:textbox inset="0mm,0mm,0mm,0mm" style="mso-fit-shape-to-text:t;">
                <w:txbxContent>
                  <w:p w14:paraId="1505FC66">
                    <w:pPr>
                      <w:pStyle w:val="2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9D6FC">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A30CB">
    <w:pPr>
      <w:pStyle w:val="22"/>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2A7F0">
    <w:pPr>
      <w:pStyle w:val="22"/>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64E9D"/>
    <w:multiLevelType w:val="singleLevel"/>
    <w:tmpl w:val="92664E9D"/>
    <w:lvl w:ilvl="0" w:tentative="0">
      <w:start w:val="6"/>
      <w:numFmt w:val="decimal"/>
      <w:suff w:val="nothing"/>
      <w:lvlText w:val="（%1）"/>
      <w:lvlJc w:val="left"/>
    </w:lvl>
  </w:abstractNum>
  <w:abstractNum w:abstractNumId="1">
    <w:nsid w:val="CD51BF59"/>
    <w:multiLevelType w:val="singleLevel"/>
    <w:tmpl w:val="CD51BF59"/>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
    <w:nsid w:val="F160A3C6"/>
    <w:multiLevelType w:val="singleLevel"/>
    <w:tmpl w:val="F160A3C6"/>
    <w:lvl w:ilvl="0" w:tentative="0">
      <w:start w:val="1"/>
      <w:numFmt w:val="chineseCounting"/>
      <w:suff w:val="nothing"/>
      <w:lvlText w:val="%1、"/>
      <w:lvlJc w:val="left"/>
      <w:rPr>
        <w:rFonts w:hint="eastAsia"/>
      </w:rPr>
    </w:lvl>
  </w:abstractNum>
  <w:abstractNum w:abstractNumId="3">
    <w:nsid w:val="1C6DD78A"/>
    <w:multiLevelType w:val="singleLevel"/>
    <w:tmpl w:val="1C6DD78A"/>
    <w:lvl w:ilvl="0" w:tentative="0">
      <w:start w:val="2"/>
      <w:numFmt w:val="decimal"/>
      <w:suff w:val="nothing"/>
      <w:lvlText w:val="%1、"/>
      <w:lvlJc w:val="left"/>
    </w:lvl>
  </w:abstractNum>
  <w:abstractNum w:abstractNumId="4">
    <w:nsid w:val="38F46A72"/>
    <w:multiLevelType w:val="singleLevel"/>
    <w:tmpl w:val="38F46A72"/>
    <w:lvl w:ilvl="0" w:tentative="0">
      <w:start w:val="2"/>
      <w:numFmt w:val="decimal"/>
      <w:suff w:val="nothing"/>
      <w:lvlText w:val="%1、"/>
      <w:lvlJc w:val="left"/>
    </w:lvl>
  </w:abstractNum>
  <w:abstractNum w:abstractNumId="5">
    <w:nsid w:val="38F8F3AC"/>
    <w:multiLevelType w:val="singleLevel"/>
    <w:tmpl w:val="38F8F3AC"/>
    <w:lvl w:ilvl="0" w:tentative="0">
      <w:start w:val="9"/>
      <w:numFmt w:val="decimal"/>
      <w:suff w:val="nothing"/>
      <w:lvlText w:val="（%1）"/>
      <w:lvlJc w:val="left"/>
    </w:lvl>
  </w:abstractNum>
  <w:abstractNum w:abstractNumId="6">
    <w:nsid w:val="4D8260CD"/>
    <w:multiLevelType w:val="singleLevel"/>
    <w:tmpl w:val="4D8260CD"/>
    <w:lvl w:ilvl="0" w:tentative="0">
      <w:start w:val="2"/>
      <w:numFmt w:val="decimal"/>
      <w:suff w:val="nothing"/>
      <w:lvlText w:val="（%1）"/>
      <w:lvlJc w:val="left"/>
      <w:pPr>
        <w:ind w:left="150"/>
      </w:p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0060B3"/>
    <w:rsid w:val="00041E1A"/>
    <w:rsid w:val="0004364B"/>
    <w:rsid w:val="00061B1F"/>
    <w:rsid w:val="000733C4"/>
    <w:rsid w:val="00074783"/>
    <w:rsid w:val="0008070B"/>
    <w:rsid w:val="000810AC"/>
    <w:rsid w:val="00081A02"/>
    <w:rsid w:val="00082231"/>
    <w:rsid w:val="00092D38"/>
    <w:rsid w:val="0009377B"/>
    <w:rsid w:val="000A20C9"/>
    <w:rsid w:val="000B058F"/>
    <w:rsid w:val="000B3122"/>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576D8"/>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4B9C"/>
    <w:rsid w:val="00390857"/>
    <w:rsid w:val="003A4BF3"/>
    <w:rsid w:val="003B420D"/>
    <w:rsid w:val="003C6C16"/>
    <w:rsid w:val="003D794D"/>
    <w:rsid w:val="003E3058"/>
    <w:rsid w:val="003E76A9"/>
    <w:rsid w:val="003F0809"/>
    <w:rsid w:val="003F6A8C"/>
    <w:rsid w:val="003F755C"/>
    <w:rsid w:val="00406F01"/>
    <w:rsid w:val="00416146"/>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0B57"/>
    <w:rsid w:val="00494670"/>
    <w:rsid w:val="004A3823"/>
    <w:rsid w:val="004E6946"/>
    <w:rsid w:val="004F1AD8"/>
    <w:rsid w:val="004F343C"/>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E0AA6"/>
    <w:rsid w:val="00617CC3"/>
    <w:rsid w:val="00635D57"/>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8F6EB2"/>
    <w:rsid w:val="00902727"/>
    <w:rsid w:val="0090312B"/>
    <w:rsid w:val="009040B4"/>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254CE"/>
    <w:rsid w:val="00A32A83"/>
    <w:rsid w:val="00A368DB"/>
    <w:rsid w:val="00A423AA"/>
    <w:rsid w:val="00A51BED"/>
    <w:rsid w:val="00A53EC6"/>
    <w:rsid w:val="00A55C0F"/>
    <w:rsid w:val="00A65FA9"/>
    <w:rsid w:val="00A8713F"/>
    <w:rsid w:val="00A90BA1"/>
    <w:rsid w:val="00A97A9A"/>
    <w:rsid w:val="00AA0671"/>
    <w:rsid w:val="00AA2531"/>
    <w:rsid w:val="00AB1E09"/>
    <w:rsid w:val="00AB5330"/>
    <w:rsid w:val="00AB7747"/>
    <w:rsid w:val="00AC14CE"/>
    <w:rsid w:val="00AC2A56"/>
    <w:rsid w:val="00AD055E"/>
    <w:rsid w:val="00AD47A7"/>
    <w:rsid w:val="00AE6AC1"/>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2416"/>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026"/>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4F67"/>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120F2"/>
    <w:rsid w:val="01037E54"/>
    <w:rsid w:val="01290F7E"/>
    <w:rsid w:val="012B4817"/>
    <w:rsid w:val="012C2953"/>
    <w:rsid w:val="012F2443"/>
    <w:rsid w:val="01362509"/>
    <w:rsid w:val="01396E1E"/>
    <w:rsid w:val="013A5556"/>
    <w:rsid w:val="01483505"/>
    <w:rsid w:val="01567086"/>
    <w:rsid w:val="015679D0"/>
    <w:rsid w:val="015D1E09"/>
    <w:rsid w:val="016E0FC7"/>
    <w:rsid w:val="017B6447"/>
    <w:rsid w:val="01830099"/>
    <w:rsid w:val="01A1165D"/>
    <w:rsid w:val="01A22C15"/>
    <w:rsid w:val="01AF70E0"/>
    <w:rsid w:val="01BD17FD"/>
    <w:rsid w:val="01C06EC1"/>
    <w:rsid w:val="01D07BFB"/>
    <w:rsid w:val="01E1433C"/>
    <w:rsid w:val="01EE19B6"/>
    <w:rsid w:val="020B4831"/>
    <w:rsid w:val="021536F0"/>
    <w:rsid w:val="02251150"/>
    <w:rsid w:val="022A49B8"/>
    <w:rsid w:val="022C6982"/>
    <w:rsid w:val="02317AF5"/>
    <w:rsid w:val="02525476"/>
    <w:rsid w:val="02697903"/>
    <w:rsid w:val="02714395"/>
    <w:rsid w:val="0277722F"/>
    <w:rsid w:val="02847795"/>
    <w:rsid w:val="029A6B36"/>
    <w:rsid w:val="02B70DD7"/>
    <w:rsid w:val="02B7624C"/>
    <w:rsid w:val="02C1356F"/>
    <w:rsid w:val="02C267C4"/>
    <w:rsid w:val="02D73907"/>
    <w:rsid w:val="02DA018C"/>
    <w:rsid w:val="02DC20F9"/>
    <w:rsid w:val="02F60A14"/>
    <w:rsid w:val="02F96569"/>
    <w:rsid w:val="02FD735E"/>
    <w:rsid w:val="03011BBD"/>
    <w:rsid w:val="0301396B"/>
    <w:rsid w:val="030A0E29"/>
    <w:rsid w:val="0325501D"/>
    <w:rsid w:val="032836B5"/>
    <w:rsid w:val="033B50CF"/>
    <w:rsid w:val="034B02F4"/>
    <w:rsid w:val="034D095E"/>
    <w:rsid w:val="03651F51"/>
    <w:rsid w:val="036D2DAF"/>
    <w:rsid w:val="036D3AFB"/>
    <w:rsid w:val="03724869"/>
    <w:rsid w:val="038E228A"/>
    <w:rsid w:val="03967815"/>
    <w:rsid w:val="03A03E99"/>
    <w:rsid w:val="03B130A7"/>
    <w:rsid w:val="03BD0807"/>
    <w:rsid w:val="03CC19D6"/>
    <w:rsid w:val="03DA5004"/>
    <w:rsid w:val="03EA7B21"/>
    <w:rsid w:val="03ED614B"/>
    <w:rsid w:val="03F25E61"/>
    <w:rsid w:val="03F438F6"/>
    <w:rsid w:val="03F90AE6"/>
    <w:rsid w:val="04003C23"/>
    <w:rsid w:val="04041965"/>
    <w:rsid w:val="04231C87"/>
    <w:rsid w:val="04390EE3"/>
    <w:rsid w:val="044F0706"/>
    <w:rsid w:val="046B64A7"/>
    <w:rsid w:val="046B6FC4"/>
    <w:rsid w:val="047D6E02"/>
    <w:rsid w:val="04812515"/>
    <w:rsid w:val="04812FB5"/>
    <w:rsid w:val="04860065"/>
    <w:rsid w:val="048760F2"/>
    <w:rsid w:val="049820AD"/>
    <w:rsid w:val="04A86794"/>
    <w:rsid w:val="04B10222"/>
    <w:rsid w:val="04B71174"/>
    <w:rsid w:val="04DC4690"/>
    <w:rsid w:val="04DF7CDC"/>
    <w:rsid w:val="04E90B5B"/>
    <w:rsid w:val="04FE63B4"/>
    <w:rsid w:val="05111798"/>
    <w:rsid w:val="05120CA5"/>
    <w:rsid w:val="053E0A25"/>
    <w:rsid w:val="0541363E"/>
    <w:rsid w:val="05445D91"/>
    <w:rsid w:val="05502988"/>
    <w:rsid w:val="055C757F"/>
    <w:rsid w:val="056A57F8"/>
    <w:rsid w:val="05855B18"/>
    <w:rsid w:val="05856AD5"/>
    <w:rsid w:val="0589006E"/>
    <w:rsid w:val="059655E2"/>
    <w:rsid w:val="059F3FB7"/>
    <w:rsid w:val="05B045A0"/>
    <w:rsid w:val="05CB0BE3"/>
    <w:rsid w:val="05D215EF"/>
    <w:rsid w:val="05EF2B74"/>
    <w:rsid w:val="05F83EAE"/>
    <w:rsid w:val="05F872A7"/>
    <w:rsid w:val="060519C4"/>
    <w:rsid w:val="061816F7"/>
    <w:rsid w:val="061B4A68"/>
    <w:rsid w:val="06260551"/>
    <w:rsid w:val="062707D8"/>
    <w:rsid w:val="062E0B71"/>
    <w:rsid w:val="063E28E3"/>
    <w:rsid w:val="063E7D85"/>
    <w:rsid w:val="064860D7"/>
    <w:rsid w:val="066039E3"/>
    <w:rsid w:val="06664272"/>
    <w:rsid w:val="0667442D"/>
    <w:rsid w:val="06750379"/>
    <w:rsid w:val="06752A0B"/>
    <w:rsid w:val="06767952"/>
    <w:rsid w:val="068417B2"/>
    <w:rsid w:val="068866F7"/>
    <w:rsid w:val="069331B4"/>
    <w:rsid w:val="06935222"/>
    <w:rsid w:val="06A91817"/>
    <w:rsid w:val="06B51BE0"/>
    <w:rsid w:val="06C62F02"/>
    <w:rsid w:val="06CB0518"/>
    <w:rsid w:val="06D07F12"/>
    <w:rsid w:val="06D53145"/>
    <w:rsid w:val="070752C8"/>
    <w:rsid w:val="07091040"/>
    <w:rsid w:val="070E6657"/>
    <w:rsid w:val="0713475C"/>
    <w:rsid w:val="071E0F8F"/>
    <w:rsid w:val="072461A6"/>
    <w:rsid w:val="07261BF2"/>
    <w:rsid w:val="07293586"/>
    <w:rsid w:val="07295285"/>
    <w:rsid w:val="07312383"/>
    <w:rsid w:val="07360A80"/>
    <w:rsid w:val="073836D3"/>
    <w:rsid w:val="0748600C"/>
    <w:rsid w:val="074F0542"/>
    <w:rsid w:val="07510E8B"/>
    <w:rsid w:val="07574600"/>
    <w:rsid w:val="07625388"/>
    <w:rsid w:val="07636392"/>
    <w:rsid w:val="07770C56"/>
    <w:rsid w:val="078211D9"/>
    <w:rsid w:val="078A54A3"/>
    <w:rsid w:val="07984718"/>
    <w:rsid w:val="07B12A7C"/>
    <w:rsid w:val="07B76CEE"/>
    <w:rsid w:val="07E757DD"/>
    <w:rsid w:val="07E9590E"/>
    <w:rsid w:val="07F36E2C"/>
    <w:rsid w:val="08104E7C"/>
    <w:rsid w:val="08206641"/>
    <w:rsid w:val="08345A2B"/>
    <w:rsid w:val="08516964"/>
    <w:rsid w:val="08547E3E"/>
    <w:rsid w:val="08623D02"/>
    <w:rsid w:val="08634780"/>
    <w:rsid w:val="088506A2"/>
    <w:rsid w:val="088968DD"/>
    <w:rsid w:val="08907C6B"/>
    <w:rsid w:val="089112ED"/>
    <w:rsid w:val="089B7A6A"/>
    <w:rsid w:val="08A52FEB"/>
    <w:rsid w:val="08A96637"/>
    <w:rsid w:val="08AA23AF"/>
    <w:rsid w:val="08AE1E9F"/>
    <w:rsid w:val="08B11F5E"/>
    <w:rsid w:val="08BD1AAC"/>
    <w:rsid w:val="08D334D7"/>
    <w:rsid w:val="08D37B58"/>
    <w:rsid w:val="08D827B2"/>
    <w:rsid w:val="08E24A78"/>
    <w:rsid w:val="08F103F3"/>
    <w:rsid w:val="08F54BC3"/>
    <w:rsid w:val="091F726F"/>
    <w:rsid w:val="092217DD"/>
    <w:rsid w:val="09254B58"/>
    <w:rsid w:val="092B3787"/>
    <w:rsid w:val="093714A4"/>
    <w:rsid w:val="093A7294"/>
    <w:rsid w:val="094B3DA8"/>
    <w:rsid w:val="096D58B6"/>
    <w:rsid w:val="0971533F"/>
    <w:rsid w:val="09B240EA"/>
    <w:rsid w:val="09B96E21"/>
    <w:rsid w:val="09BA2AC6"/>
    <w:rsid w:val="09E0617C"/>
    <w:rsid w:val="09F07C2F"/>
    <w:rsid w:val="09FD2627"/>
    <w:rsid w:val="0A133D28"/>
    <w:rsid w:val="0A263993"/>
    <w:rsid w:val="0A2D3AC2"/>
    <w:rsid w:val="0A3C34DB"/>
    <w:rsid w:val="0A426D43"/>
    <w:rsid w:val="0A4A3E4A"/>
    <w:rsid w:val="0A4E5664"/>
    <w:rsid w:val="0A5B6057"/>
    <w:rsid w:val="0A621930"/>
    <w:rsid w:val="0A623937"/>
    <w:rsid w:val="0A6E7E69"/>
    <w:rsid w:val="0A7676D8"/>
    <w:rsid w:val="0A802119"/>
    <w:rsid w:val="0A822207"/>
    <w:rsid w:val="0AA06432"/>
    <w:rsid w:val="0AA755DF"/>
    <w:rsid w:val="0AB37C41"/>
    <w:rsid w:val="0ADB2CF4"/>
    <w:rsid w:val="0AE63AD5"/>
    <w:rsid w:val="0AF04184"/>
    <w:rsid w:val="0AFD2309"/>
    <w:rsid w:val="0B0C080F"/>
    <w:rsid w:val="0B120D44"/>
    <w:rsid w:val="0B1526A9"/>
    <w:rsid w:val="0B1E7B30"/>
    <w:rsid w:val="0B260413"/>
    <w:rsid w:val="0B272B1D"/>
    <w:rsid w:val="0B3034E2"/>
    <w:rsid w:val="0B3C0DD3"/>
    <w:rsid w:val="0B3E02C4"/>
    <w:rsid w:val="0B41524D"/>
    <w:rsid w:val="0B4C25AD"/>
    <w:rsid w:val="0B501603"/>
    <w:rsid w:val="0B615CC0"/>
    <w:rsid w:val="0B64718D"/>
    <w:rsid w:val="0B6A660E"/>
    <w:rsid w:val="0B6C726E"/>
    <w:rsid w:val="0B713612"/>
    <w:rsid w:val="0B771619"/>
    <w:rsid w:val="0B792C38"/>
    <w:rsid w:val="0B8D04BD"/>
    <w:rsid w:val="0B8D3AC6"/>
    <w:rsid w:val="0B980BE5"/>
    <w:rsid w:val="0BA3440E"/>
    <w:rsid w:val="0BAB47CE"/>
    <w:rsid w:val="0BC2201E"/>
    <w:rsid w:val="0BC914E5"/>
    <w:rsid w:val="0BCA2139"/>
    <w:rsid w:val="0BD27BF6"/>
    <w:rsid w:val="0BD43248"/>
    <w:rsid w:val="0BD60D00"/>
    <w:rsid w:val="0BD776CE"/>
    <w:rsid w:val="0BE63350"/>
    <w:rsid w:val="0BE92B1B"/>
    <w:rsid w:val="0BED5B04"/>
    <w:rsid w:val="0BFE0CD7"/>
    <w:rsid w:val="0BFF2A12"/>
    <w:rsid w:val="0C026DB4"/>
    <w:rsid w:val="0C122745"/>
    <w:rsid w:val="0C1B3CF0"/>
    <w:rsid w:val="0C2056B1"/>
    <w:rsid w:val="0C2B0F63"/>
    <w:rsid w:val="0C3B3C7D"/>
    <w:rsid w:val="0C4548C9"/>
    <w:rsid w:val="0C461EF6"/>
    <w:rsid w:val="0C491FE7"/>
    <w:rsid w:val="0C5A3EC3"/>
    <w:rsid w:val="0C5E7CEE"/>
    <w:rsid w:val="0C72430D"/>
    <w:rsid w:val="0C8345AE"/>
    <w:rsid w:val="0C84781C"/>
    <w:rsid w:val="0C871A36"/>
    <w:rsid w:val="0C873133"/>
    <w:rsid w:val="0C995F9F"/>
    <w:rsid w:val="0C9C64B3"/>
    <w:rsid w:val="0CA37D18"/>
    <w:rsid w:val="0CA70471"/>
    <w:rsid w:val="0CA72E63"/>
    <w:rsid w:val="0CAB2EAE"/>
    <w:rsid w:val="0CB92806"/>
    <w:rsid w:val="0CC47449"/>
    <w:rsid w:val="0CC90801"/>
    <w:rsid w:val="0CCE2B10"/>
    <w:rsid w:val="0CD43B24"/>
    <w:rsid w:val="0CDF2F6F"/>
    <w:rsid w:val="0CE265BB"/>
    <w:rsid w:val="0CE868CA"/>
    <w:rsid w:val="0D033A93"/>
    <w:rsid w:val="0D1878DA"/>
    <w:rsid w:val="0D207A75"/>
    <w:rsid w:val="0D2B308E"/>
    <w:rsid w:val="0D2B4730"/>
    <w:rsid w:val="0D336E17"/>
    <w:rsid w:val="0D3465C3"/>
    <w:rsid w:val="0D466B4A"/>
    <w:rsid w:val="0D474670"/>
    <w:rsid w:val="0D5D2D1A"/>
    <w:rsid w:val="0D621C7D"/>
    <w:rsid w:val="0D6671EC"/>
    <w:rsid w:val="0D690B64"/>
    <w:rsid w:val="0D6E4B8E"/>
    <w:rsid w:val="0D702415"/>
    <w:rsid w:val="0D95362E"/>
    <w:rsid w:val="0D9553DC"/>
    <w:rsid w:val="0DA25D4B"/>
    <w:rsid w:val="0DAE649D"/>
    <w:rsid w:val="0DB5782C"/>
    <w:rsid w:val="0DBE422D"/>
    <w:rsid w:val="0DCB62A7"/>
    <w:rsid w:val="0DD04E76"/>
    <w:rsid w:val="0DEB14A0"/>
    <w:rsid w:val="0DF5231E"/>
    <w:rsid w:val="0DFC18FF"/>
    <w:rsid w:val="0E0A09A8"/>
    <w:rsid w:val="0E121122"/>
    <w:rsid w:val="0E146288"/>
    <w:rsid w:val="0E26658D"/>
    <w:rsid w:val="0E2A3543"/>
    <w:rsid w:val="0E2F3824"/>
    <w:rsid w:val="0E3D4506"/>
    <w:rsid w:val="0E5128B5"/>
    <w:rsid w:val="0E546A61"/>
    <w:rsid w:val="0E572FD9"/>
    <w:rsid w:val="0E584FE6"/>
    <w:rsid w:val="0E5E0B2E"/>
    <w:rsid w:val="0E73034D"/>
    <w:rsid w:val="0E84623D"/>
    <w:rsid w:val="0E884CAA"/>
    <w:rsid w:val="0EA22D55"/>
    <w:rsid w:val="0EB14497"/>
    <w:rsid w:val="0EC35F79"/>
    <w:rsid w:val="0EC4543D"/>
    <w:rsid w:val="0EDB59B8"/>
    <w:rsid w:val="0EDF4CBD"/>
    <w:rsid w:val="0F0F11BE"/>
    <w:rsid w:val="0F13775A"/>
    <w:rsid w:val="0F1B5DB5"/>
    <w:rsid w:val="0F234968"/>
    <w:rsid w:val="0F2A5FF8"/>
    <w:rsid w:val="0F466783"/>
    <w:rsid w:val="0F4918D1"/>
    <w:rsid w:val="0F583529"/>
    <w:rsid w:val="0F5C08FD"/>
    <w:rsid w:val="0F5F45FE"/>
    <w:rsid w:val="0F6F5A3E"/>
    <w:rsid w:val="0F7F6343"/>
    <w:rsid w:val="0F9242C9"/>
    <w:rsid w:val="0F982DF4"/>
    <w:rsid w:val="0F9A112B"/>
    <w:rsid w:val="0FAB3A5D"/>
    <w:rsid w:val="0FAB4A64"/>
    <w:rsid w:val="0FC10D7E"/>
    <w:rsid w:val="0FCD3A94"/>
    <w:rsid w:val="0FD23CA9"/>
    <w:rsid w:val="0FD96E22"/>
    <w:rsid w:val="0FEC4DA6"/>
    <w:rsid w:val="0FFF4D55"/>
    <w:rsid w:val="10006C25"/>
    <w:rsid w:val="100954BB"/>
    <w:rsid w:val="100B407B"/>
    <w:rsid w:val="101271B8"/>
    <w:rsid w:val="101567C2"/>
    <w:rsid w:val="102139A6"/>
    <w:rsid w:val="102D4262"/>
    <w:rsid w:val="10356DF2"/>
    <w:rsid w:val="1036516C"/>
    <w:rsid w:val="103E38A9"/>
    <w:rsid w:val="10427991"/>
    <w:rsid w:val="10437371"/>
    <w:rsid w:val="1049255B"/>
    <w:rsid w:val="104E47FD"/>
    <w:rsid w:val="10507CE0"/>
    <w:rsid w:val="105570A4"/>
    <w:rsid w:val="10637A13"/>
    <w:rsid w:val="106D2F64"/>
    <w:rsid w:val="107D057F"/>
    <w:rsid w:val="10B63710"/>
    <w:rsid w:val="10C415BC"/>
    <w:rsid w:val="10CB2E91"/>
    <w:rsid w:val="10CC0989"/>
    <w:rsid w:val="10D63294"/>
    <w:rsid w:val="10EB3896"/>
    <w:rsid w:val="10F10820"/>
    <w:rsid w:val="10FE598E"/>
    <w:rsid w:val="1103725E"/>
    <w:rsid w:val="110A4333"/>
    <w:rsid w:val="110C1E59"/>
    <w:rsid w:val="11131C36"/>
    <w:rsid w:val="111950A5"/>
    <w:rsid w:val="111C2F7A"/>
    <w:rsid w:val="11211478"/>
    <w:rsid w:val="11311380"/>
    <w:rsid w:val="11462D7D"/>
    <w:rsid w:val="11616673"/>
    <w:rsid w:val="11665CA1"/>
    <w:rsid w:val="116E6670"/>
    <w:rsid w:val="118D1AA1"/>
    <w:rsid w:val="118E4DC7"/>
    <w:rsid w:val="11917965"/>
    <w:rsid w:val="11930C69"/>
    <w:rsid w:val="119A39BB"/>
    <w:rsid w:val="119F4EA7"/>
    <w:rsid w:val="11A71B81"/>
    <w:rsid w:val="11AB1672"/>
    <w:rsid w:val="11B147AE"/>
    <w:rsid w:val="11C400D5"/>
    <w:rsid w:val="11CA5D2B"/>
    <w:rsid w:val="11CE710E"/>
    <w:rsid w:val="11D25B29"/>
    <w:rsid w:val="11DA1F57"/>
    <w:rsid w:val="11DF0333"/>
    <w:rsid w:val="11E00B45"/>
    <w:rsid w:val="11F16553"/>
    <w:rsid w:val="12076542"/>
    <w:rsid w:val="120B2680"/>
    <w:rsid w:val="120D40DA"/>
    <w:rsid w:val="1227672E"/>
    <w:rsid w:val="12301B77"/>
    <w:rsid w:val="123229A8"/>
    <w:rsid w:val="1239138A"/>
    <w:rsid w:val="124473D0"/>
    <w:rsid w:val="1253262C"/>
    <w:rsid w:val="126C38B0"/>
    <w:rsid w:val="12782FFC"/>
    <w:rsid w:val="12995CB9"/>
    <w:rsid w:val="129C0FBA"/>
    <w:rsid w:val="12AC38F3"/>
    <w:rsid w:val="12C7072D"/>
    <w:rsid w:val="12CB5D46"/>
    <w:rsid w:val="12DA01FB"/>
    <w:rsid w:val="12EE4E50"/>
    <w:rsid w:val="12F86B39"/>
    <w:rsid w:val="13076D7C"/>
    <w:rsid w:val="131274CE"/>
    <w:rsid w:val="131735D2"/>
    <w:rsid w:val="131C53CB"/>
    <w:rsid w:val="132F62D2"/>
    <w:rsid w:val="134623CD"/>
    <w:rsid w:val="134D7990"/>
    <w:rsid w:val="13511DA5"/>
    <w:rsid w:val="1360648C"/>
    <w:rsid w:val="1361685C"/>
    <w:rsid w:val="13651CF4"/>
    <w:rsid w:val="136A10B9"/>
    <w:rsid w:val="136C3083"/>
    <w:rsid w:val="138335E8"/>
    <w:rsid w:val="13951726"/>
    <w:rsid w:val="13976C6F"/>
    <w:rsid w:val="13983E78"/>
    <w:rsid w:val="13A20852"/>
    <w:rsid w:val="13AA53E8"/>
    <w:rsid w:val="13BB36C2"/>
    <w:rsid w:val="13C61013"/>
    <w:rsid w:val="13CC1D73"/>
    <w:rsid w:val="13E01317"/>
    <w:rsid w:val="13E50F0A"/>
    <w:rsid w:val="13E64BE3"/>
    <w:rsid w:val="13F866C4"/>
    <w:rsid w:val="13FA770E"/>
    <w:rsid w:val="140E0D46"/>
    <w:rsid w:val="14147FC7"/>
    <w:rsid w:val="142075D1"/>
    <w:rsid w:val="1430510A"/>
    <w:rsid w:val="143376FC"/>
    <w:rsid w:val="1437543F"/>
    <w:rsid w:val="14396509"/>
    <w:rsid w:val="14500F72"/>
    <w:rsid w:val="14522278"/>
    <w:rsid w:val="14597272"/>
    <w:rsid w:val="145F55B7"/>
    <w:rsid w:val="14917570"/>
    <w:rsid w:val="14975EDD"/>
    <w:rsid w:val="14A405FA"/>
    <w:rsid w:val="14AE3227"/>
    <w:rsid w:val="14AF6C39"/>
    <w:rsid w:val="14C21BD9"/>
    <w:rsid w:val="14C946DB"/>
    <w:rsid w:val="14D42C8D"/>
    <w:rsid w:val="14DC7D94"/>
    <w:rsid w:val="14DD2C3C"/>
    <w:rsid w:val="14DD2FA6"/>
    <w:rsid w:val="14F33B08"/>
    <w:rsid w:val="14F4735F"/>
    <w:rsid w:val="14FC0436"/>
    <w:rsid w:val="1502023C"/>
    <w:rsid w:val="15193D23"/>
    <w:rsid w:val="1528575D"/>
    <w:rsid w:val="15436065"/>
    <w:rsid w:val="1544671B"/>
    <w:rsid w:val="15475B55"/>
    <w:rsid w:val="154827ED"/>
    <w:rsid w:val="1558049B"/>
    <w:rsid w:val="15663E44"/>
    <w:rsid w:val="1570351D"/>
    <w:rsid w:val="1573694A"/>
    <w:rsid w:val="15877D00"/>
    <w:rsid w:val="159100E4"/>
    <w:rsid w:val="159B361E"/>
    <w:rsid w:val="159B37AB"/>
    <w:rsid w:val="159E253B"/>
    <w:rsid w:val="15A11CCF"/>
    <w:rsid w:val="15A5462A"/>
    <w:rsid w:val="15C34F0C"/>
    <w:rsid w:val="15DE18EA"/>
    <w:rsid w:val="15E66711"/>
    <w:rsid w:val="15E84452"/>
    <w:rsid w:val="15F35296"/>
    <w:rsid w:val="15F6695F"/>
    <w:rsid w:val="15FD7FC2"/>
    <w:rsid w:val="15FE6CCA"/>
    <w:rsid w:val="16087E1D"/>
    <w:rsid w:val="160B68BD"/>
    <w:rsid w:val="1630656D"/>
    <w:rsid w:val="16331C36"/>
    <w:rsid w:val="16426309"/>
    <w:rsid w:val="16515DB4"/>
    <w:rsid w:val="1653052A"/>
    <w:rsid w:val="16534086"/>
    <w:rsid w:val="16600530"/>
    <w:rsid w:val="166F3B94"/>
    <w:rsid w:val="16863F40"/>
    <w:rsid w:val="169F72CB"/>
    <w:rsid w:val="16A47CE2"/>
    <w:rsid w:val="16A53ACF"/>
    <w:rsid w:val="16AE7001"/>
    <w:rsid w:val="16DA7FE7"/>
    <w:rsid w:val="16E36DD7"/>
    <w:rsid w:val="16E70A77"/>
    <w:rsid w:val="16EC1374"/>
    <w:rsid w:val="16F2389F"/>
    <w:rsid w:val="17005B55"/>
    <w:rsid w:val="1721149D"/>
    <w:rsid w:val="17256345"/>
    <w:rsid w:val="173914CE"/>
    <w:rsid w:val="173A4B59"/>
    <w:rsid w:val="1740460A"/>
    <w:rsid w:val="176E0897"/>
    <w:rsid w:val="17701D14"/>
    <w:rsid w:val="17735226"/>
    <w:rsid w:val="17961192"/>
    <w:rsid w:val="179B5CE4"/>
    <w:rsid w:val="179F46EE"/>
    <w:rsid w:val="17B8222B"/>
    <w:rsid w:val="17BF7774"/>
    <w:rsid w:val="17CC6997"/>
    <w:rsid w:val="17CF1E32"/>
    <w:rsid w:val="17DE31AA"/>
    <w:rsid w:val="17E614E6"/>
    <w:rsid w:val="17FB1F68"/>
    <w:rsid w:val="18233C2E"/>
    <w:rsid w:val="182B5FDF"/>
    <w:rsid w:val="18414ADE"/>
    <w:rsid w:val="185925E9"/>
    <w:rsid w:val="185C678E"/>
    <w:rsid w:val="186D0E50"/>
    <w:rsid w:val="18736C61"/>
    <w:rsid w:val="18807365"/>
    <w:rsid w:val="18864252"/>
    <w:rsid w:val="188D1AD1"/>
    <w:rsid w:val="188D7D23"/>
    <w:rsid w:val="189F624C"/>
    <w:rsid w:val="18A6180E"/>
    <w:rsid w:val="18AB1F57"/>
    <w:rsid w:val="18AC5CCF"/>
    <w:rsid w:val="18B40EAB"/>
    <w:rsid w:val="18C9062F"/>
    <w:rsid w:val="18D20415"/>
    <w:rsid w:val="18D55E0D"/>
    <w:rsid w:val="18D74074"/>
    <w:rsid w:val="18DF459A"/>
    <w:rsid w:val="18F032FE"/>
    <w:rsid w:val="18F71640"/>
    <w:rsid w:val="195645B9"/>
    <w:rsid w:val="19665215"/>
    <w:rsid w:val="197265E1"/>
    <w:rsid w:val="19742DDA"/>
    <w:rsid w:val="197C44E7"/>
    <w:rsid w:val="197E58BE"/>
    <w:rsid w:val="198033E4"/>
    <w:rsid w:val="19943558"/>
    <w:rsid w:val="19A075E2"/>
    <w:rsid w:val="19A1335A"/>
    <w:rsid w:val="19B1359D"/>
    <w:rsid w:val="19B15862"/>
    <w:rsid w:val="19B943A0"/>
    <w:rsid w:val="19C77265"/>
    <w:rsid w:val="19CA465F"/>
    <w:rsid w:val="19CF09F3"/>
    <w:rsid w:val="19D2205F"/>
    <w:rsid w:val="19D80E4A"/>
    <w:rsid w:val="1A005A58"/>
    <w:rsid w:val="1A0A0EFF"/>
    <w:rsid w:val="1A117560"/>
    <w:rsid w:val="1A144048"/>
    <w:rsid w:val="1A1B75E3"/>
    <w:rsid w:val="1A1C66C0"/>
    <w:rsid w:val="1A2D3A92"/>
    <w:rsid w:val="1A3B730B"/>
    <w:rsid w:val="1A42393B"/>
    <w:rsid w:val="1A474091"/>
    <w:rsid w:val="1A4C32C6"/>
    <w:rsid w:val="1A55661F"/>
    <w:rsid w:val="1A5F467C"/>
    <w:rsid w:val="1A6C321B"/>
    <w:rsid w:val="1A71350F"/>
    <w:rsid w:val="1A747DDE"/>
    <w:rsid w:val="1A872550"/>
    <w:rsid w:val="1A8D71B0"/>
    <w:rsid w:val="1A8E7D82"/>
    <w:rsid w:val="1A9B02D8"/>
    <w:rsid w:val="1AAD45DE"/>
    <w:rsid w:val="1AB377E9"/>
    <w:rsid w:val="1AB83522"/>
    <w:rsid w:val="1AD11A1D"/>
    <w:rsid w:val="1AD31C39"/>
    <w:rsid w:val="1ADC5523"/>
    <w:rsid w:val="1ADF238C"/>
    <w:rsid w:val="1AE600F4"/>
    <w:rsid w:val="1AF62802"/>
    <w:rsid w:val="1B033248"/>
    <w:rsid w:val="1B046F80"/>
    <w:rsid w:val="1B0751C3"/>
    <w:rsid w:val="1B301B16"/>
    <w:rsid w:val="1B3267B5"/>
    <w:rsid w:val="1B3274A2"/>
    <w:rsid w:val="1B3447A1"/>
    <w:rsid w:val="1B397CEE"/>
    <w:rsid w:val="1B40161D"/>
    <w:rsid w:val="1B441859"/>
    <w:rsid w:val="1B5543FC"/>
    <w:rsid w:val="1B63154D"/>
    <w:rsid w:val="1B6606B1"/>
    <w:rsid w:val="1B6F1AEC"/>
    <w:rsid w:val="1B9B4505"/>
    <w:rsid w:val="1B9E4F95"/>
    <w:rsid w:val="1BA64AF5"/>
    <w:rsid w:val="1BAB6CC1"/>
    <w:rsid w:val="1BB63C84"/>
    <w:rsid w:val="1BB94BA6"/>
    <w:rsid w:val="1BD4712F"/>
    <w:rsid w:val="1BD96D9B"/>
    <w:rsid w:val="1BDE035A"/>
    <w:rsid w:val="1BE62785"/>
    <w:rsid w:val="1BE834C2"/>
    <w:rsid w:val="1BF95844"/>
    <w:rsid w:val="1C0135E9"/>
    <w:rsid w:val="1C196551"/>
    <w:rsid w:val="1C31495D"/>
    <w:rsid w:val="1C346F2B"/>
    <w:rsid w:val="1C4A1A87"/>
    <w:rsid w:val="1C4E28C6"/>
    <w:rsid w:val="1C5365F7"/>
    <w:rsid w:val="1C5B3C94"/>
    <w:rsid w:val="1C5E7925"/>
    <w:rsid w:val="1C6568C1"/>
    <w:rsid w:val="1C946233"/>
    <w:rsid w:val="1CAC629E"/>
    <w:rsid w:val="1CB73102"/>
    <w:rsid w:val="1CB73E9D"/>
    <w:rsid w:val="1CBA4E5F"/>
    <w:rsid w:val="1CC932F4"/>
    <w:rsid w:val="1CCE090A"/>
    <w:rsid w:val="1CD35F20"/>
    <w:rsid w:val="1CF245F9"/>
    <w:rsid w:val="1CF85F1D"/>
    <w:rsid w:val="1CFD070F"/>
    <w:rsid w:val="1D097B94"/>
    <w:rsid w:val="1D13456F"/>
    <w:rsid w:val="1D152675"/>
    <w:rsid w:val="1D1A1BB5"/>
    <w:rsid w:val="1D1D30D1"/>
    <w:rsid w:val="1D2F4B38"/>
    <w:rsid w:val="1D3249F5"/>
    <w:rsid w:val="1D350989"/>
    <w:rsid w:val="1D355DA9"/>
    <w:rsid w:val="1D3605DD"/>
    <w:rsid w:val="1D3E15EC"/>
    <w:rsid w:val="1D5133EF"/>
    <w:rsid w:val="1D5D2147"/>
    <w:rsid w:val="1D5F6196"/>
    <w:rsid w:val="1D5F7E8A"/>
    <w:rsid w:val="1D6132A5"/>
    <w:rsid w:val="1D75522D"/>
    <w:rsid w:val="1D7C0366"/>
    <w:rsid w:val="1D7C41B4"/>
    <w:rsid w:val="1D7F39B2"/>
    <w:rsid w:val="1D85546D"/>
    <w:rsid w:val="1D8E56D5"/>
    <w:rsid w:val="1D911A63"/>
    <w:rsid w:val="1D950DDB"/>
    <w:rsid w:val="1DA63635"/>
    <w:rsid w:val="1DAB6341"/>
    <w:rsid w:val="1DAE7CE8"/>
    <w:rsid w:val="1DD2153D"/>
    <w:rsid w:val="1DD824FB"/>
    <w:rsid w:val="1DEE4994"/>
    <w:rsid w:val="1E03571A"/>
    <w:rsid w:val="1E0B23C5"/>
    <w:rsid w:val="1E0F0870"/>
    <w:rsid w:val="1E116D00"/>
    <w:rsid w:val="1E264E0D"/>
    <w:rsid w:val="1E495640"/>
    <w:rsid w:val="1E4C1AE7"/>
    <w:rsid w:val="1E5D0198"/>
    <w:rsid w:val="1E67343F"/>
    <w:rsid w:val="1E674B72"/>
    <w:rsid w:val="1E687678"/>
    <w:rsid w:val="1E7954AA"/>
    <w:rsid w:val="1E7A43DA"/>
    <w:rsid w:val="1E8330F4"/>
    <w:rsid w:val="1E877ADC"/>
    <w:rsid w:val="1E8C3914"/>
    <w:rsid w:val="1E9752EB"/>
    <w:rsid w:val="1E9D7ED7"/>
    <w:rsid w:val="1EA27958"/>
    <w:rsid w:val="1EA37747"/>
    <w:rsid w:val="1EA56717"/>
    <w:rsid w:val="1EA903F7"/>
    <w:rsid w:val="1EB95CAB"/>
    <w:rsid w:val="1F010344"/>
    <w:rsid w:val="1F016D75"/>
    <w:rsid w:val="1F026649"/>
    <w:rsid w:val="1F071FBD"/>
    <w:rsid w:val="1F083707"/>
    <w:rsid w:val="1F094816"/>
    <w:rsid w:val="1F0B3750"/>
    <w:rsid w:val="1F257205"/>
    <w:rsid w:val="1F707404"/>
    <w:rsid w:val="1F841754"/>
    <w:rsid w:val="1F845C8A"/>
    <w:rsid w:val="1F881244"/>
    <w:rsid w:val="1F9351C2"/>
    <w:rsid w:val="1F9B6A8A"/>
    <w:rsid w:val="1FA31BDA"/>
    <w:rsid w:val="1FB06AD3"/>
    <w:rsid w:val="1FB57B5F"/>
    <w:rsid w:val="1FDD1291"/>
    <w:rsid w:val="1FE7539E"/>
    <w:rsid w:val="1FF35406"/>
    <w:rsid w:val="1FFA34DA"/>
    <w:rsid w:val="20052895"/>
    <w:rsid w:val="200678F0"/>
    <w:rsid w:val="200D467F"/>
    <w:rsid w:val="200F54C2"/>
    <w:rsid w:val="20136D63"/>
    <w:rsid w:val="201C373B"/>
    <w:rsid w:val="20285373"/>
    <w:rsid w:val="205E1553"/>
    <w:rsid w:val="20633ABD"/>
    <w:rsid w:val="20671BE0"/>
    <w:rsid w:val="206C6470"/>
    <w:rsid w:val="20827A42"/>
    <w:rsid w:val="20832263"/>
    <w:rsid w:val="20963CB8"/>
    <w:rsid w:val="2097538A"/>
    <w:rsid w:val="20A81A1B"/>
    <w:rsid w:val="20B07FB6"/>
    <w:rsid w:val="20B120D5"/>
    <w:rsid w:val="20B646FB"/>
    <w:rsid w:val="20EA3839"/>
    <w:rsid w:val="20F2441F"/>
    <w:rsid w:val="20F43638"/>
    <w:rsid w:val="210E1527"/>
    <w:rsid w:val="213B74B1"/>
    <w:rsid w:val="214144C0"/>
    <w:rsid w:val="21467027"/>
    <w:rsid w:val="215A2310"/>
    <w:rsid w:val="215A276C"/>
    <w:rsid w:val="21635664"/>
    <w:rsid w:val="216D6944"/>
    <w:rsid w:val="218B398E"/>
    <w:rsid w:val="21A954A2"/>
    <w:rsid w:val="21AA199B"/>
    <w:rsid w:val="21BC3427"/>
    <w:rsid w:val="21C63847"/>
    <w:rsid w:val="21DE318A"/>
    <w:rsid w:val="21EF5B80"/>
    <w:rsid w:val="22327245"/>
    <w:rsid w:val="223416FE"/>
    <w:rsid w:val="22460F43"/>
    <w:rsid w:val="224D0523"/>
    <w:rsid w:val="22576990"/>
    <w:rsid w:val="226414AF"/>
    <w:rsid w:val="22655FB2"/>
    <w:rsid w:val="2275230A"/>
    <w:rsid w:val="228C4BA7"/>
    <w:rsid w:val="228E5708"/>
    <w:rsid w:val="22D40417"/>
    <w:rsid w:val="22E840E4"/>
    <w:rsid w:val="22F47480"/>
    <w:rsid w:val="2311552B"/>
    <w:rsid w:val="231C24B4"/>
    <w:rsid w:val="23220D5D"/>
    <w:rsid w:val="23243032"/>
    <w:rsid w:val="23244DE0"/>
    <w:rsid w:val="233B65CE"/>
    <w:rsid w:val="233D40F4"/>
    <w:rsid w:val="234B5F40"/>
    <w:rsid w:val="23666CA6"/>
    <w:rsid w:val="2369313B"/>
    <w:rsid w:val="237E6F42"/>
    <w:rsid w:val="239161EE"/>
    <w:rsid w:val="239D4B92"/>
    <w:rsid w:val="23A7418D"/>
    <w:rsid w:val="23B533E8"/>
    <w:rsid w:val="23C12F77"/>
    <w:rsid w:val="23C465C3"/>
    <w:rsid w:val="23CF394C"/>
    <w:rsid w:val="23D96090"/>
    <w:rsid w:val="23DA1526"/>
    <w:rsid w:val="23DC2775"/>
    <w:rsid w:val="23DE1C48"/>
    <w:rsid w:val="23E43019"/>
    <w:rsid w:val="240210CD"/>
    <w:rsid w:val="242710AB"/>
    <w:rsid w:val="24276381"/>
    <w:rsid w:val="242E2910"/>
    <w:rsid w:val="24424C36"/>
    <w:rsid w:val="244B2840"/>
    <w:rsid w:val="24546CC5"/>
    <w:rsid w:val="24567B1A"/>
    <w:rsid w:val="24594F5D"/>
    <w:rsid w:val="245E2574"/>
    <w:rsid w:val="24635C90"/>
    <w:rsid w:val="246C64B0"/>
    <w:rsid w:val="247C278F"/>
    <w:rsid w:val="248E0E22"/>
    <w:rsid w:val="24915D3F"/>
    <w:rsid w:val="2492046F"/>
    <w:rsid w:val="24BF09F7"/>
    <w:rsid w:val="24C40EB2"/>
    <w:rsid w:val="24C60F4F"/>
    <w:rsid w:val="24C8549B"/>
    <w:rsid w:val="24CC572F"/>
    <w:rsid w:val="24CE79E3"/>
    <w:rsid w:val="24D35E18"/>
    <w:rsid w:val="24D42983"/>
    <w:rsid w:val="24DB0BDE"/>
    <w:rsid w:val="24F829C8"/>
    <w:rsid w:val="24FE1FA1"/>
    <w:rsid w:val="25290DD3"/>
    <w:rsid w:val="252C0DB5"/>
    <w:rsid w:val="252D53FE"/>
    <w:rsid w:val="252E5528"/>
    <w:rsid w:val="25331EDA"/>
    <w:rsid w:val="254035D1"/>
    <w:rsid w:val="254B7B64"/>
    <w:rsid w:val="254C061E"/>
    <w:rsid w:val="254D5B23"/>
    <w:rsid w:val="2551148A"/>
    <w:rsid w:val="2572698B"/>
    <w:rsid w:val="257D2ECD"/>
    <w:rsid w:val="259326F1"/>
    <w:rsid w:val="259C15A5"/>
    <w:rsid w:val="259C77F7"/>
    <w:rsid w:val="259E0B74"/>
    <w:rsid w:val="25A84D2F"/>
    <w:rsid w:val="25BE492E"/>
    <w:rsid w:val="25C66635"/>
    <w:rsid w:val="25C97EC1"/>
    <w:rsid w:val="25CA1509"/>
    <w:rsid w:val="25D32AED"/>
    <w:rsid w:val="25E25090"/>
    <w:rsid w:val="25EC2D81"/>
    <w:rsid w:val="260B04D9"/>
    <w:rsid w:val="261D34C0"/>
    <w:rsid w:val="262A379C"/>
    <w:rsid w:val="26304519"/>
    <w:rsid w:val="263B559E"/>
    <w:rsid w:val="26551C3B"/>
    <w:rsid w:val="266D4CF0"/>
    <w:rsid w:val="267173EF"/>
    <w:rsid w:val="268C25D9"/>
    <w:rsid w:val="269941F0"/>
    <w:rsid w:val="26A411A7"/>
    <w:rsid w:val="26AA5F44"/>
    <w:rsid w:val="26B00779"/>
    <w:rsid w:val="26B96E33"/>
    <w:rsid w:val="26BE72FA"/>
    <w:rsid w:val="26BE7F8D"/>
    <w:rsid w:val="26CC23FB"/>
    <w:rsid w:val="26D52F58"/>
    <w:rsid w:val="26D905D7"/>
    <w:rsid w:val="26FB5985"/>
    <w:rsid w:val="27165388"/>
    <w:rsid w:val="271E40D2"/>
    <w:rsid w:val="27371802"/>
    <w:rsid w:val="27473793"/>
    <w:rsid w:val="274A6DDF"/>
    <w:rsid w:val="27561E47"/>
    <w:rsid w:val="276A72FF"/>
    <w:rsid w:val="276A7481"/>
    <w:rsid w:val="277057A2"/>
    <w:rsid w:val="277F2F2D"/>
    <w:rsid w:val="278152D4"/>
    <w:rsid w:val="278542BB"/>
    <w:rsid w:val="2785441B"/>
    <w:rsid w:val="27A209C9"/>
    <w:rsid w:val="27A243AF"/>
    <w:rsid w:val="27A44741"/>
    <w:rsid w:val="27C923FA"/>
    <w:rsid w:val="27CD0D41"/>
    <w:rsid w:val="27F07987"/>
    <w:rsid w:val="280671AA"/>
    <w:rsid w:val="28094EEC"/>
    <w:rsid w:val="280B1EFE"/>
    <w:rsid w:val="280E0D94"/>
    <w:rsid w:val="281318C7"/>
    <w:rsid w:val="281938E4"/>
    <w:rsid w:val="281C4C20"/>
    <w:rsid w:val="28543BFB"/>
    <w:rsid w:val="286A47AF"/>
    <w:rsid w:val="286F09B3"/>
    <w:rsid w:val="287002F3"/>
    <w:rsid w:val="28735AC2"/>
    <w:rsid w:val="287C121A"/>
    <w:rsid w:val="2884748F"/>
    <w:rsid w:val="288E3C10"/>
    <w:rsid w:val="289169D5"/>
    <w:rsid w:val="2898044C"/>
    <w:rsid w:val="289E3886"/>
    <w:rsid w:val="28AE5ECE"/>
    <w:rsid w:val="28B409B4"/>
    <w:rsid w:val="28B91BB5"/>
    <w:rsid w:val="28B9421C"/>
    <w:rsid w:val="28CC03F4"/>
    <w:rsid w:val="28D76EDE"/>
    <w:rsid w:val="28EF5E90"/>
    <w:rsid w:val="28F33347"/>
    <w:rsid w:val="290D4568"/>
    <w:rsid w:val="29177ADF"/>
    <w:rsid w:val="29206EB8"/>
    <w:rsid w:val="29220014"/>
    <w:rsid w:val="2929475C"/>
    <w:rsid w:val="29331879"/>
    <w:rsid w:val="293F7D49"/>
    <w:rsid w:val="29534671"/>
    <w:rsid w:val="29595666"/>
    <w:rsid w:val="295F1A6F"/>
    <w:rsid w:val="29627985"/>
    <w:rsid w:val="29631FAF"/>
    <w:rsid w:val="29673C78"/>
    <w:rsid w:val="296A19BB"/>
    <w:rsid w:val="29874881"/>
    <w:rsid w:val="2988222F"/>
    <w:rsid w:val="298E5679"/>
    <w:rsid w:val="29A0653B"/>
    <w:rsid w:val="29CA2459"/>
    <w:rsid w:val="29D15596"/>
    <w:rsid w:val="29E325E0"/>
    <w:rsid w:val="29E4176D"/>
    <w:rsid w:val="29E95EEE"/>
    <w:rsid w:val="29F90019"/>
    <w:rsid w:val="2A0665D2"/>
    <w:rsid w:val="2A070BCB"/>
    <w:rsid w:val="2A0C5906"/>
    <w:rsid w:val="2A1F2DF3"/>
    <w:rsid w:val="2A452503"/>
    <w:rsid w:val="2A4C2E6E"/>
    <w:rsid w:val="2A515957"/>
    <w:rsid w:val="2A7C19A5"/>
    <w:rsid w:val="2A7F0917"/>
    <w:rsid w:val="2A873C37"/>
    <w:rsid w:val="2A8940C2"/>
    <w:rsid w:val="2A8B7E3A"/>
    <w:rsid w:val="2A8C3054"/>
    <w:rsid w:val="2A92411A"/>
    <w:rsid w:val="2A9641F1"/>
    <w:rsid w:val="2A9A1E2C"/>
    <w:rsid w:val="2A9C3DF6"/>
    <w:rsid w:val="2AA87DBA"/>
    <w:rsid w:val="2AB14B11"/>
    <w:rsid w:val="2ABD3B87"/>
    <w:rsid w:val="2AC1385C"/>
    <w:rsid w:val="2AC34750"/>
    <w:rsid w:val="2AC46EA9"/>
    <w:rsid w:val="2AD9598E"/>
    <w:rsid w:val="2AF53506"/>
    <w:rsid w:val="2AF5566A"/>
    <w:rsid w:val="2AFA2F42"/>
    <w:rsid w:val="2B0674C1"/>
    <w:rsid w:val="2B10671B"/>
    <w:rsid w:val="2B2067D5"/>
    <w:rsid w:val="2B260D1A"/>
    <w:rsid w:val="2B3C25FF"/>
    <w:rsid w:val="2B3D2A28"/>
    <w:rsid w:val="2B4324C3"/>
    <w:rsid w:val="2B465B0F"/>
    <w:rsid w:val="2B4F0E68"/>
    <w:rsid w:val="2B5E72FD"/>
    <w:rsid w:val="2B7B3A0B"/>
    <w:rsid w:val="2B87600F"/>
    <w:rsid w:val="2B88087C"/>
    <w:rsid w:val="2B8D5F61"/>
    <w:rsid w:val="2BA936A8"/>
    <w:rsid w:val="2BAA0794"/>
    <w:rsid w:val="2BAB10C1"/>
    <w:rsid w:val="2BAC7613"/>
    <w:rsid w:val="2BB32AB7"/>
    <w:rsid w:val="2BDA3255"/>
    <w:rsid w:val="2BDF21EC"/>
    <w:rsid w:val="2BF90CD0"/>
    <w:rsid w:val="2BFA6425"/>
    <w:rsid w:val="2BFC5992"/>
    <w:rsid w:val="2C20594C"/>
    <w:rsid w:val="2C2C2F57"/>
    <w:rsid w:val="2C315A5A"/>
    <w:rsid w:val="2C333CFA"/>
    <w:rsid w:val="2C365B84"/>
    <w:rsid w:val="2C370A09"/>
    <w:rsid w:val="2C46158D"/>
    <w:rsid w:val="2C477D91"/>
    <w:rsid w:val="2C4958B7"/>
    <w:rsid w:val="2C4B1C25"/>
    <w:rsid w:val="2C5524AE"/>
    <w:rsid w:val="2C5C05F3"/>
    <w:rsid w:val="2C626979"/>
    <w:rsid w:val="2C6E17C2"/>
    <w:rsid w:val="2C764E47"/>
    <w:rsid w:val="2CB371D5"/>
    <w:rsid w:val="2CC219F3"/>
    <w:rsid w:val="2CC261E5"/>
    <w:rsid w:val="2CC47270"/>
    <w:rsid w:val="2CCD367C"/>
    <w:rsid w:val="2CE12C47"/>
    <w:rsid w:val="2CE84DA9"/>
    <w:rsid w:val="2CFE7AE5"/>
    <w:rsid w:val="2CFF3E4D"/>
    <w:rsid w:val="2D067C4C"/>
    <w:rsid w:val="2D22469E"/>
    <w:rsid w:val="2D4B0349"/>
    <w:rsid w:val="2D4C3759"/>
    <w:rsid w:val="2D517135"/>
    <w:rsid w:val="2D546C0A"/>
    <w:rsid w:val="2D706DA3"/>
    <w:rsid w:val="2D79446D"/>
    <w:rsid w:val="2D7B02FC"/>
    <w:rsid w:val="2D7C1CBC"/>
    <w:rsid w:val="2D815A96"/>
    <w:rsid w:val="2D9409A5"/>
    <w:rsid w:val="2D945258"/>
    <w:rsid w:val="2D9E56F5"/>
    <w:rsid w:val="2DA059AB"/>
    <w:rsid w:val="2DAE0D3B"/>
    <w:rsid w:val="2DB521FC"/>
    <w:rsid w:val="2DB90362"/>
    <w:rsid w:val="2DC31699"/>
    <w:rsid w:val="2DC47634"/>
    <w:rsid w:val="2DEC6E97"/>
    <w:rsid w:val="2DEF5763"/>
    <w:rsid w:val="2E045F3A"/>
    <w:rsid w:val="2E1A575D"/>
    <w:rsid w:val="2E1B3283"/>
    <w:rsid w:val="2E1B4C9C"/>
    <w:rsid w:val="2E263C66"/>
    <w:rsid w:val="2E2871E9"/>
    <w:rsid w:val="2E3E6A4B"/>
    <w:rsid w:val="2E4049B1"/>
    <w:rsid w:val="2E42465D"/>
    <w:rsid w:val="2E426A62"/>
    <w:rsid w:val="2E4515AE"/>
    <w:rsid w:val="2E4A3561"/>
    <w:rsid w:val="2E4A5917"/>
    <w:rsid w:val="2E5D4E73"/>
    <w:rsid w:val="2E5F3521"/>
    <w:rsid w:val="2E65348C"/>
    <w:rsid w:val="2E667F96"/>
    <w:rsid w:val="2E67471B"/>
    <w:rsid w:val="2E680D39"/>
    <w:rsid w:val="2E69146C"/>
    <w:rsid w:val="2E735AF0"/>
    <w:rsid w:val="2E8226AB"/>
    <w:rsid w:val="2E880678"/>
    <w:rsid w:val="2E996976"/>
    <w:rsid w:val="2E9B6A19"/>
    <w:rsid w:val="2ECA2C92"/>
    <w:rsid w:val="2EDD450F"/>
    <w:rsid w:val="2EDF2B64"/>
    <w:rsid w:val="2EE8585B"/>
    <w:rsid w:val="2EEA0214"/>
    <w:rsid w:val="2EF04E07"/>
    <w:rsid w:val="2EF66733"/>
    <w:rsid w:val="2EFC30B5"/>
    <w:rsid w:val="2EFF6701"/>
    <w:rsid w:val="2F063E0E"/>
    <w:rsid w:val="2F064873"/>
    <w:rsid w:val="2F083808"/>
    <w:rsid w:val="2F0F5287"/>
    <w:rsid w:val="2F1228D8"/>
    <w:rsid w:val="2F1A353B"/>
    <w:rsid w:val="2F34636C"/>
    <w:rsid w:val="2F415D8C"/>
    <w:rsid w:val="2F4805A1"/>
    <w:rsid w:val="2F5D55AC"/>
    <w:rsid w:val="2F5D750B"/>
    <w:rsid w:val="2F5E0F40"/>
    <w:rsid w:val="2F894B33"/>
    <w:rsid w:val="2F963509"/>
    <w:rsid w:val="2F9D1F30"/>
    <w:rsid w:val="2FAB0637"/>
    <w:rsid w:val="2FB27C17"/>
    <w:rsid w:val="2FB56E05"/>
    <w:rsid w:val="2FB62CE3"/>
    <w:rsid w:val="2FBE036A"/>
    <w:rsid w:val="2FC02334"/>
    <w:rsid w:val="2FD065E6"/>
    <w:rsid w:val="2FD96870"/>
    <w:rsid w:val="2FDB1BCC"/>
    <w:rsid w:val="2FDB2CCA"/>
    <w:rsid w:val="2FDC533D"/>
    <w:rsid w:val="2FEE50F3"/>
    <w:rsid w:val="2FF63FA8"/>
    <w:rsid w:val="300F6E18"/>
    <w:rsid w:val="301A5130"/>
    <w:rsid w:val="30321F63"/>
    <w:rsid w:val="30360848"/>
    <w:rsid w:val="30362174"/>
    <w:rsid w:val="303F1290"/>
    <w:rsid w:val="30580BC9"/>
    <w:rsid w:val="3059605C"/>
    <w:rsid w:val="305E30F2"/>
    <w:rsid w:val="306058C5"/>
    <w:rsid w:val="30732E4E"/>
    <w:rsid w:val="30766E97"/>
    <w:rsid w:val="30775779"/>
    <w:rsid w:val="307B44AD"/>
    <w:rsid w:val="307D39D5"/>
    <w:rsid w:val="307E51BC"/>
    <w:rsid w:val="307F3F9D"/>
    <w:rsid w:val="30847806"/>
    <w:rsid w:val="30B43E60"/>
    <w:rsid w:val="30BC0D4E"/>
    <w:rsid w:val="30C23E8A"/>
    <w:rsid w:val="30C419B0"/>
    <w:rsid w:val="30C95EEF"/>
    <w:rsid w:val="30D140CD"/>
    <w:rsid w:val="30D65820"/>
    <w:rsid w:val="30DC4046"/>
    <w:rsid w:val="30DD17B8"/>
    <w:rsid w:val="30ED7159"/>
    <w:rsid w:val="30F72910"/>
    <w:rsid w:val="31097D0B"/>
    <w:rsid w:val="310E0E94"/>
    <w:rsid w:val="311E2ED7"/>
    <w:rsid w:val="31244B45"/>
    <w:rsid w:val="3129637A"/>
    <w:rsid w:val="313B4368"/>
    <w:rsid w:val="31497979"/>
    <w:rsid w:val="315619EE"/>
    <w:rsid w:val="315C449C"/>
    <w:rsid w:val="31921AAF"/>
    <w:rsid w:val="319475D5"/>
    <w:rsid w:val="31B548F8"/>
    <w:rsid w:val="31B82709"/>
    <w:rsid w:val="31BE3E65"/>
    <w:rsid w:val="31CF2D03"/>
    <w:rsid w:val="31D05482"/>
    <w:rsid w:val="31D245A1"/>
    <w:rsid w:val="31D64091"/>
    <w:rsid w:val="31DB5204"/>
    <w:rsid w:val="31DB75A5"/>
    <w:rsid w:val="320D7BF4"/>
    <w:rsid w:val="32163693"/>
    <w:rsid w:val="321712DB"/>
    <w:rsid w:val="322070BA"/>
    <w:rsid w:val="32313075"/>
    <w:rsid w:val="323255A3"/>
    <w:rsid w:val="32384404"/>
    <w:rsid w:val="32400B34"/>
    <w:rsid w:val="324C7EAF"/>
    <w:rsid w:val="32544FB6"/>
    <w:rsid w:val="32743B1F"/>
    <w:rsid w:val="32755658"/>
    <w:rsid w:val="32934090"/>
    <w:rsid w:val="329E6876"/>
    <w:rsid w:val="32A0644D"/>
    <w:rsid w:val="32C63264"/>
    <w:rsid w:val="32C97752"/>
    <w:rsid w:val="32CC37EA"/>
    <w:rsid w:val="32D67ACE"/>
    <w:rsid w:val="32E8472D"/>
    <w:rsid w:val="32EE42CA"/>
    <w:rsid w:val="32F83B93"/>
    <w:rsid w:val="33022AE5"/>
    <w:rsid w:val="330C0EA0"/>
    <w:rsid w:val="33244988"/>
    <w:rsid w:val="33267F08"/>
    <w:rsid w:val="33294694"/>
    <w:rsid w:val="333015F2"/>
    <w:rsid w:val="334B6320"/>
    <w:rsid w:val="33576B0C"/>
    <w:rsid w:val="33764F9F"/>
    <w:rsid w:val="337A6C9E"/>
    <w:rsid w:val="337B5F81"/>
    <w:rsid w:val="33835B1B"/>
    <w:rsid w:val="33840D14"/>
    <w:rsid w:val="338811CE"/>
    <w:rsid w:val="338D235B"/>
    <w:rsid w:val="33941B0E"/>
    <w:rsid w:val="3397160C"/>
    <w:rsid w:val="33997993"/>
    <w:rsid w:val="33AD7074"/>
    <w:rsid w:val="33B85625"/>
    <w:rsid w:val="33B90522"/>
    <w:rsid w:val="33D934D4"/>
    <w:rsid w:val="33E35973"/>
    <w:rsid w:val="33FE2F6A"/>
    <w:rsid w:val="340479D1"/>
    <w:rsid w:val="340E07E5"/>
    <w:rsid w:val="340E3AB6"/>
    <w:rsid w:val="3415388E"/>
    <w:rsid w:val="3420079E"/>
    <w:rsid w:val="34235BF7"/>
    <w:rsid w:val="34272982"/>
    <w:rsid w:val="342C61EA"/>
    <w:rsid w:val="34387664"/>
    <w:rsid w:val="344556A3"/>
    <w:rsid w:val="3452337A"/>
    <w:rsid w:val="345D63A4"/>
    <w:rsid w:val="34667669"/>
    <w:rsid w:val="34727724"/>
    <w:rsid w:val="347D1304"/>
    <w:rsid w:val="348C23A2"/>
    <w:rsid w:val="34963664"/>
    <w:rsid w:val="34A61E64"/>
    <w:rsid w:val="34A853E1"/>
    <w:rsid w:val="34AA5361"/>
    <w:rsid w:val="34AB35B3"/>
    <w:rsid w:val="34B1147F"/>
    <w:rsid w:val="34BF705E"/>
    <w:rsid w:val="34D4418C"/>
    <w:rsid w:val="34F5512B"/>
    <w:rsid w:val="34F565DC"/>
    <w:rsid w:val="34F82570"/>
    <w:rsid w:val="35034473"/>
    <w:rsid w:val="350C1B78"/>
    <w:rsid w:val="3510683D"/>
    <w:rsid w:val="351647A5"/>
    <w:rsid w:val="352049C4"/>
    <w:rsid w:val="35301D0A"/>
    <w:rsid w:val="353A0493"/>
    <w:rsid w:val="353F7706"/>
    <w:rsid w:val="355359F9"/>
    <w:rsid w:val="355765DC"/>
    <w:rsid w:val="355B16ED"/>
    <w:rsid w:val="355B7A6B"/>
    <w:rsid w:val="355E2212"/>
    <w:rsid w:val="356B3FEC"/>
    <w:rsid w:val="358C5FA8"/>
    <w:rsid w:val="358D4284"/>
    <w:rsid w:val="359432C0"/>
    <w:rsid w:val="359C114E"/>
    <w:rsid w:val="35B14FF9"/>
    <w:rsid w:val="35C15DF1"/>
    <w:rsid w:val="35DF103A"/>
    <w:rsid w:val="35EB7715"/>
    <w:rsid w:val="35F251B8"/>
    <w:rsid w:val="35F76384"/>
    <w:rsid w:val="36074A7F"/>
    <w:rsid w:val="360D7A74"/>
    <w:rsid w:val="362D7FF8"/>
    <w:rsid w:val="363362C0"/>
    <w:rsid w:val="36387836"/>
    <w:rsid w:val="36394BEF"/>
    <w:rsid w:val="36401AD9"/>
    <w:rsid w:val="364C3284"/>
    <w:rsid w:val="364C66D0"/>
    <w:rsid w:val="365C70D5"/>
    <w:rsid w:val="366142EC"/>
    <w:rsid w:val="36631C6B"/>
    <w:rsid w:val="366A28C6"/>
    <w:rsid w:val="367A37AC"/>
    <w:rsid w:val="367C3B63"/>
    <w:rsid w:val="367D02C4"/>
    <w:rsid w:val="36923549"/>
    <w:rsid w:val="3694797A"/>
    <w:rsid w:val="369F726C"/>
    <w:rsid w:val="36B75FBF"/>
    <w:rsid w:val="36B97ADD"/>
    <w:rsid w:val="36BD0C45"/>
    <w:rsid w:val="36C77693"/>
    <w:rsid w:val="36C941C4"/>
    <w:rsid w:val="36D44917"/>
    <w:rsid w:val="36DA00E9"/>
    <w:rsid w:val="36DE28C5"/>
    <w:rsid w:val="36DF5796"/>
    <w:rsid w:val="36EC7EB3"/>
    <w:rsid w:val="36F079A3"/>
    <w:rsid w:val="37043732"/>
    <w:rsid w:val="370F76FD"/>
    <w:rsid w:val="371D1E1A"/>
    <w:rsid w:val="372C6488"/>
    <w:rsid w:val="37355B62"/>
    <w:rsid w:val="375B2943"/>
    <w:rsid w:val="37637A8B"/>
    <w:rsid w:val="376F1BFE"/>
    <w:rsid w:val="376F22D0"/>
    <w:rsid w:val="37985945"/>
    <w:rsid w:val="37B40081"/>
    <w:rsid w:val="37B8224B"/>
    <w:rsid w:val="37D72373"/>
    <w:rsid w:val="37E00298"/>
    <w:rsid w:val="37E24541"/>
    <w:rsid w:val="37EB14DB"/>
    <w:rsid w:val="37F0752F"/>
    <w:rsid w:val="37FD214D"/>
    <w:rsid w:val="380A05F1"/>
    <w:rsid w:val="380B2E71"/>
    <w:rsid w:val="38107BD1"/>
    <w:rsid w:val="38171F13"/>
    <w:rsid w:val="38282DD7"/>
    <w:rsid w:val="38392409"/>
    <w:rsid w:val="38405590"/>
    <w:rsid w:val="3864557E"/>
    <w:rsid w:val="38655E67"/>
    <w:rsid w:val="38933234"/>
    <w:rsid w:val="389D76B7"/>
    <w:rsid w:val="389E342F"/>
    <w:rsid w:val="38A8379D"/>
    <w:rsid w:val="38A87E0A"/>
    <w:rsid w:val="38AD78D7"/>
    <w:rsid w:val="38B302F9"/>
    <w:rsid w:val="38B32DD8"/>
    <w:rsid w:val="38C904AC"/>
    <w:rsid w:val="38E2156D"/>
    <w:rsid w:val="38E7266A"/>
    <w:rsid w:val="38F12CD3"/>
    <w:rsid w:val="38F652DE"/>
    <w:rsid w:val="38F94775"/>
    <w:rsid w:val="390C2146"/>
    <w:rsid w:val="39101FB2"/>
    <w:rsid w:val="39111E53"/>
    <w:rsid w:val="39202482"/>
    <w:rsid w:val="392971ED"/>
    <w:rsid w:val="39325651"/>
    <w:rsid w:val="39333E6B"/>
    <w:rsid w:val="39382F3B"/>
    <w:rsid w:val="393D0552"/>
    <w:rsid w:val="39411159"/>
    <w:rsid w:val="39494F8C"/>
    <w:rsid w:val="39890444"/>
    <w:rsid w:val="398F45BE"/>
    <w:rsid w:val="39946BC9"/>
    <w:rsid w:val="399A1E48"/>
    <w:rsid w:val="39AD1758"/>
    <w:rsid w:val="39B00D7C"/>
    <w:rsid w:val="39B2467D"/>
    <w:rsid w:val="39C26CA9"/>
    <w:rsid w:val="39C40F8E"/>
    <w:rsid w:val="39D4013E"/>
    <w:rsid w:val="39EE4A6F"/>
    <w:rsid w:val="39F7198C"/>
    <w:rsid w:val="3A0447A0"/>
    <w:rsid w:val="3A07396C"/>
    <w:rsid w:val="3A184C7C"/>
    <w:rsid w:val="3A2B42E1"/>
    <w:rsid w:val="3A2D05C6"/>
    <w:rsid w:val="3A3951BD"/>
    <w:rsid w:val="3A484BDE"/>
    <w:rsid w:val="3A5B557F"/>
    <w:rsid w:val="3A715710"/>
    <w:rsid w:val="3A872856"/>
    <w:rsid w:val="3A9306E5"/>
    <w:rsid w:val="3A9C3576"/>
    <w:rsid w:val="3A9C74FA"/>
    <w:rsid w:val="3AC0768C"/>
    <w:rsid w:val="3AC72C51"/>
    <w:rsid w:val="3AE113B1"/>
    <w:rsid w:val="3AE247D4"/>
    <w:rsid w:val="3AF2691A"/>
    <w:rsid w:val="3AFA0DF0"/>
    <w:rsid w:val="3B1162B8"/>
    <w:rsid w:val="3B1822A5"/>
    <w:rsid w:val="3B1E2711"/>
    <w:rsid w:val="3B2A3493"/>
    <w:rsid w:val="3B3763D1"/>
    <w:rsid w:val="3B3957E3"/>
    <w:rsid w:val="3B3A411D"/>
    <w:rsid w:val="3B471B5C"/>
    <w:rsid w:val="3B4D7764"/>
    <w:rsid w:val="3B4E6A3A"/>
    <w:rsid w:val="3B6049CB"/>
    <w:rsid w:val="3B6444BC"/>
    <w:rsid w:val="3B6D7BDC"/>
    <w:rsid w:val="3B7256AA"/>
    <w:rsid w:val="3B893F22"/>
    <w:rsid w:val="3B8A19B9"/>
    <w:rsid w:val="3B926D54"/>
    <w:rsid w:val="3BB645EB"/>
    <w:rsid w:val="3BBA6AE1"/>
    <w:rsid w:val="3BCB34B8"/>
    <w:rsid w:val="3BF726F1"/>
    <w:rsid w:val="3C123207"/>
    <w:rsid w:val="3C1A4E7D"/>
    <w:rsid w:val="3C2F6E1E"/>
    <w:rsid w:val="3C4034B4"/>
    <w:rsid w:val="3C4C2EF6"/>
    <w:rsid w:val="3C4F64BA"/>
    <w:rsid w:val="3C5D2392"/>
    <w:rsid w:val="3C666191"/>
    <w:rsid w:val="3C7A7945"/>
    <w:rsid w:val="3C893A7B"/>
    <w:rsid w:val="3C956DB4"/>
    <w:rsid w:val="3CC27FBE"/>
    <w:rsid w:val="3CC80A7A"/>
    <w:rsid w:val="3CCA6B71"/>
    <w:rsid w:val="3CCB3597"/>
    <w:rsid w:val="3CDA245A"/>
    <w:rsid w:val="3CF47560"/>
    <w:rsid w:val="3CFE5DBA"/>
    <w:rsid w:val="3D0E2C71"/>
    <w:rsid w:val="3D1E06B7"/>
    <w:rsid w:val="3D2A4C9E"/>
    <w:rsid w:val="3D2E30BF"/>
    <w:rsid w:val="3D361536"/>
    <w:rsid w:val="3D3D6D72"/>
    <w:rsid w:val="3D6407A3"/>
    <w:rsid w:val="3D7B3D3F"/>
    <w:rsid w:val="3D8D5E05"/>
    <w:rsid w:val="3D910BE0"/>
    <w:rsid w:val="3D94095C"/>
    <w:rsid w:val="3D94779E"/>
    <w:rsid w:val="3DA435E0"/>
    <w:rsid w:val="3DC84042"/>
    <w:rsid w:val="3DC96858"/>
    <w:rsid w:val="3DDA2813"/>
    <w:rsid w:val="3E0B50C2"/>
    <w:rsid w:val="3E10092B"/>
    <w:rsid w:val="3E171CB9"/>
    <w:rsid w:val="3E1743F9"/>
    <w:rsid w:val="3E1B0F86"/>
    <w:rsid w:val="3E2226C0"/>
    <w:rsid w:val="3E2972F7"/>
    <w:rsid w:val="3E32264F"/>
    <w:rsid w:val="3E3B684A"/>
    <w:rsid w:val="3E4B1963"/>
    <w:rsid w:val="3E522CF1"/>
    <w:rsid w:val="3E573E64"/>
    <w:rsid w:val="3E6F1691"/>
    <w:rsid w:val="3E7A06CA"/>
    <w:rsid w:val="3E886713"/>
    <w:rsid w:val="3E916C1F"/>
    <w:rsid w:val="3E954AEE"/>
    <w:rsid w:val="3EAB3250"/>
    <w:rsid w:val="3EBB2F87"/>
    <w:rsid w:val="3EBF055E"/>
    <w:rsid w:val="3EC15781"/>
    <w:rsid w:val="3ED35DB0"/>
    <w:rsid w:val="3EDA0523"/>
    <w:rsid w:val="3EE23CCC"/>
    <w:rsid w:val="3EE33949"/>
    <w:rsid w:val="3EE601C4"/>
    <w:rsid w:val="3EE93A9D"/>
    <w:rsid w:val="3EF050CE"/>
    <w:rsid w:val="3EF6766E"/>
    <w:rsid w:val="3EFF05EB"/>
    <w:rsid w:val="3F0110D6"/>
    <w:rsid w:val="3F141D55"/>
    <w:rsid w:val="3F1D32FF"/>
    <w:rsid w:val="3F22037A"/>
    <w:rsid w:val="3F2C52F0"/>
    <w:rsid w:val="3F513AF2"/>
    <w:rsid w:val="3F524B5C"/>
    <w:rsid w:val="3F5D67A4"/>
    <w:rsid w:val="3F827606"/>
    <w:rsid w:val="3F8A418A"/>
    <w:rsid w:val="3F9577B3"/>
    <w:rsid w:val="3F966C0E"/>
    <w:rsid w:val="3F967264"/>
    <w:rsid w:val="3F9C1755"/>
    <w:rsid w:val="3FAE03FB"/>
    <w:rsid w:val="3FAE3F57"/>
    <w:rsid w:val="3FBA0950"/>
    <w:rsid w:val="3FD5399A"/>
    <w:rsid w:val="3FEE6EC2"/>
    <w:rsid w:val="400973E0"/>
    <w:rsid w:val="401C3F12"/>
    <w:rsid w:val="402B1A4C"/>
    <w:rsid w:val="40416B7A"/>
    <w:rsid w:val="40506C30"/>
    <w:rsid w:val="4057639D"/>
    <w:rsid w:val="40582115"/>
    <w:rsid w:val="40662A84"/>
    <w:rsid w:val="40676B45"/>
    <w:rsid w:val="40736F4F"/>
    <w:rsid w:val="40775859"/>
    <w:rsid w:val="407A6407"/>
    <w:rsid w:val="407F58F4"/>
    <w:rsid w:val="409F7D44"/>
    <w:rsid w:val="40A305B7"/>
    <w:rsid w:val="40B526DA"/>
    <w:rsid w:val="40C909BD"/>
    <w:rsid w:val="40C96C52"/>
    <w:rsid w:val="40D03DD8"/>
    <w:rsid w:val="411275D7"/>
    <w:rsid w:val="412871E3"/>
    <w:rsid w:val="412A5920"/>
    <w:rsid w:val="412C0B3C"/>
    <w:rsid w:val="413C5593"/>
    <w:rsid w:val="414601C0"/>
    <w:rsid w:val="41525DA7"/>
    <w:rsid w:val="415B010F"/>
    <w:rsid w:val="4169017F"/>
    <w:rsid w:val="41735459"/>
    <w:rsid w:val="417852D3"/>
    <w:rsid w:val="4185518C"/>
    <w:rsid w:val="41890A29"/>
    <w:rsid w:val="418D5DEE"/>
    <w:rsid w:val="41A970CC"/>
    <w:rsid w:val="41D852BC"/>
    <w:rsid w:val="41DC1C92"/>
    <w:rsid w:val="41E574F2"/>
    <w:rsid w:val="41E6605A"/>
    <w:rsid w:val="41E9571B"/>
    <w:rsid w:val="41EC520B"/>
    <w:rsid w:val="4200449D"/>
    <w:rsid w:val="420E6F2F"/>
    <w:rsid w:val="421309EA"/>
    <w:rsid w:val="421502BE"/>
    <w:rsid w:val="42164858"/>
    <w:rsid w:val="42246267"/>
    <w:rsid w:val="4226071D"/>
    <w:rsid w:val="4236648B"/>
    <w:rsid w:val="42383FAC"/>
    <w:rsid w:val="423A3BCC"/>
    <w:rsid w:val="424E57D2"/>
    <w:rsid w:val="425A03C6"/>
    <w:rsid w:val="425B5376"/>
    <w:rsid w:val="426E02A5"/>
    <w:rsid w:val="42732EBE"/>
    <w:rsid w:val="42845443"/>
    <w:rsid w:val="428611BC"/>
    <w:rsid w:val="428A5779"/>
    <w:rsid w:val="428E62C2"/>
    <w:rsid w:val="42B1476A"/>
    <w:rsid w:val="42B26C49"/>
    <w:rsid w:val="42BB6749"/>
    <w:rsid w:val="42C13FA2"/>
    <w:rsid w:val="42CA18B1"/>
    <w:rsid w:val="42D316B2"/>
    <w:rsid w:val="42DB765F"/>
    <w:rsid w:val="42EB1824"/>
    <w:rsid w:val="43013F3D"/>
    <w:rsid w:val="430C3BE0"/>
    <w:rsid w:val="43100D9D"/>
    <w:rsid w:val="43144A19"/>
    <w:rsid w:val="43167BF2"/>
    <w:rsid w:val="432A5FEB"/>
    <w:rsid w:val="432D4967"/>
    <w:rsid w:val="43312301"/>
    <w:rsid w:val="433511FA"/>
    <w:rsid w:val="43371494"/>
    <w:rsid w:val="433A3D54"/>
    <w:rsid w:val="433A6FE6"/>
    <w:rsid w:val="43480868"/>
    <w:rsid w:val="4350713C"/>
    <w:rsid w:val="4358551B"/>
    <w:rsid w:val="435E0755"/>
    <w:rsid w:val="436653E0"/>
    <w:rsid w:val="43672D9B"/>
    <w:rsid w:val="436B1094"/>
    <w:rsid w:val="437065D8"/>
    <w:rsid w:val="43724992"/>
    <w:rsid w:val="439677BC"/>
    <w:rsid w:val="43A538C3"/>
    <w:rsid w:val="43B34232"/>
    <w:rsid w:val="43C01BC9"/>
    <w:rsid w:val="43C35AA1"/>
    <w:rsid w:val="43C4431A"/>
    <w:rsid w:val="43C4750D"/>
    <w:rsid w:val="43C50D7C"/>
    <w:rsid w:val="43CF23E0"/>
    <w:rsid w:val="43D441A9"/>
    <w:rsid w:val="43E066A9"/>
    <w:rsid w:val="43E55752"/>
    <w:rsid w:val="43EA146E"/>
    <w:rsid w:val="43FB1735"/>
    <w:rsid w:val="44052D30"/>
    <w:rsid w:val="440C71D0"/>
    <w:rsid w:val="440F51E1"/>
    <w:rsid w:val="44172597"/>
    <w:rsid w:val="44231E17"/>
    <w:rsid w:val="442E2384"/>
    <w:rsid w:val="443C1FE2"/>
    <w:rsid w:val="445175A7"/>
    <w:rsid w:val="445306F5"/>
    <w:rsid w:val="445856E0"/>
    <w:rsid w:val="44667F65"/>
    <w:rsid w:val="447E2FEF"/>
    <w:rsid w:val="448636F5"/>
    <w:rsid w:val="449556E6"/>
    <w:rsid w:val="44AB4F09"/>
    <w:rsid w:val="44B951CC"/>
    <w:rsid w:val="44C67F95"/>
    <w:rsid w:val="44CD14E0"/>
    <w:rsid w:val="44F20B0B"/>
    <w:rsid w:val="44F87A23"/>
    <w:rsid w:val="44F92119"/>
    <w:rsid w:val="45020C94"/>
    <w:rsid w:val="450677C9"/>
    <w:rsid w:val="45081C0F"/>
    <w:rsid w:val="45106103"/>
    <w:rsid w:val="45196FCF"/>
    <w:rsid w:val="451D2A15"/>
    <w:rsid w:val="452B1BA6"/>
    <w:rsid w:val="452E5F4C"/>
    <w:rsid w:val="453D456C"/>
    <w:rsid w:val="45444F0A"/>
    <w:rsid w:val="455C3F84"/>
    <w:rsid w:val="45612018"/>
    <w:rsid w:val="456A4DC4"/>
    <w:rsid w:val="45717F01"/>
    <w:rsid w:val="45827944"/>
    <w:rsid w:val="45877724"/>
    <w:rsid w:val="458946E9"/>
    <w:rsid w:val="458E3CFF"/>
    <w:rsid w:val="45911BCF"/>
    <w:rsid w:val="45A35BE1"/>
    <w:rsid w:val="45A47C0E"/>
    <w:rsid w:val="45A858ED"/>
    <w:rsid w:val="45AD5F44"/>
    <w:rsid w:val="45AF7437"/>
    <w:rsid w:val="45B60DFA"/>
    <w:rsid w:val="45B95404"/>
    <w:rsid w:val="45FD79E7"/>
    <w:rsid w:val="45FE20DC"/>
    <w:rsid w:val="45FE550D"/>
    <w:rsid w:val="46002FDA"/>
    <w:rsid w:val="46251A2F"/>
    <w:rsid w:val="462A4554"/>
    <w:rsid w:val="463615FB"/>
    <w:rsid w:val="463D1AE9"/>
    <w:rsid w:val="463F7FFF"/>
    <w:rsid w:val="464C0581"/>
    <w:rsid w:val="46577FD6"/>
    <w:rsid w:val="467F664E"/>
    <w:rsid w:val="46916381"/>
    <w:rsid w:val="469F284C"/>
    <w:rsid w:val="46A36E68"/>
    <w:rsid w:val="46C95B1B"/>
    <w:rsid w:val="46D36999"/>
    <w:rsid w:val="46D74A8B"/>
    <w:rsid w:val="46D955A7"/>
    <w:rsid w:val="46E22739"/>
    <w:rsid w:val="46E26BDC"/>
    <w:rsid w:val="46EC6D4C"/>
    <w:rsid w:val="4705591A"/>
    <w:rsid w:val="470E3769"/>
    <w:rsid w:val="470F4BB1"/>
    <w:rsid w:val="47133957"/>
    <w:rsid w:val="471C192A"/>
    <w:rsid w:val="471D0E83"/>
    <w:rsid w:val="472341D4"/>
    <w:rsid w:val="47262F6D"/>
    <w:rsid w:val="47280EFE"/>
    <w:rsid w:val="47296C50"/>
    <w:rsid w:val="472D3CCE"/>
    <w:rsid w:val="474124D7"/>
    <w:rsid w:val="475F1FDB"/>
    <w:rsid w:val="475F64AA"/>
    <w:rsid w:val="476B0980"/>
    <w:rsid w:val="47852FB4"/>
    <w:rsid w:val="478F0B12"/>
    <w:rsid w:val="479954ED"/>
    <w:rsid w:val="47A07E0C"/>
    <w:rsid w:val="47AF2F63"/>
    <w:rsid w:val="47B51E55"/>
    <w:rsid w:val="47BD04C0"/>
    <w:rsid w:val="47C208AC"/>
    <w:rsid w:val="47C36A0E"/>
    <w:rsid w:val="47C501CF"/>
    <w:rsid w:val="47D11BB3"/>
    <w:rsid w:val="47D209FF"/>
    <w:rsid w:val="47EA7AF7"/>
    <w:rsid w:val="47EC7D13"/>
    <w:rsid w:val="47FE35A2"/>
    <w:rsid w:val="4813395B"/>
    <w:rsid w:val="48146E6D"/>
    <w:rsid w:val="4817771F"/>
    <w:rsid w:val="484F3DFE"/>
    <w:rsid w:val="4852470B"/>
    <w:rsid w:val="486E2CFB"/>
    <w:rsid w:val="4870272E"/>
    <w:rsid w:val="487F752C"/>
    <w:rsid w:val="48831CF9"/>
    <w:rsid w:val="48864CC8"/>
    <w:rsid w:val="48977D08"/>
    <w:rsid w:val="48A04659"/>
    <w:rsid w:val="48BF2D31"/>
    <w:rsid w:val="48E250D6"/>
    <w:rsid w:val="48EC1B7F"/>
    <w:rsid w:val="48EE6F2F"/>
    <w:rsid w:val="4901159C"/>
    <w:rsid w:val="4905004E"/>
    <w:rsid w:val="490F6A60"/>
    <w:rsid w:val="49180694"/>
    <w:rsid w:val="491D17C1"/>
    <w:rsid w:val="491E7400"/>
    <w:rsid w:val="49207E02"/>
    <w:rsid w:val="4941408E"/>
    <w:rsid w:val="494B19B3"/>
    <w:rsid w:val="4957740E"/>
    <w:rsid w:val="495F62C2"/>
    <w:rsid w:val="496438D9"/>
    <w:rsid w:val="49667706"/>
    <w:rsid w:val="49667B62"/>
    <w:rsid w:val="496F29A9"/>
    <w:rsid w:val="49786991"/>
    <w:rsid w:val="498A526C"/>
    <w:rsid w:val="49951CE4"/>
    <w:rsid w:val="499B00C4"/>
    <w:rsid w:val="49B303BC"/>
    <w:rsid w:val="49B77D1F"/>
    <w:rsid w:val="49BE56DF"/>
    <w:rsid w:val="49DC7715"/>
    <w:rsid w:val="4A023139"/>
    <w:rsid w:val="4A050C18"/>
    <w:rsid w:val="4A0F74E4"/>
    <w:rsid w:val="4A1301B8"/>
    <w:rsid w:val="4A1C41B3"/>
    <w:rsid w:val="4A1D0657"/>
    <w:rsid w:val="4A382B66"/>
    <w:rsid w:val="4A3F5968"/>
    <w:rsid w:val="4A4F78A7"/>
    <w:rsid w:val="4A5D44C6"/>
    <w:rsid w:val="4A670BD3"/>
    <w:rsid w:val="4A7B576F"/>
    <w:rsid w:val="4A7F50FE"/>
    <w:rsid w:val="4A8C1339"/>
    <w:rsid w:val="4AA77F21"/>
    <w:rsid w:val="4AAE23BB"/>
    <w:rsid w:val="4AB56AE2"/>
    <w:rsid w:val="4ABA40F8"/>
    <w:rsid w:val="4ACE451E"/>
    <w:rsid w:val="4ACE5372"/>
    <w:rsid w:val="4ACF29A5"/>
    <w:rsid w:val="4ADF7799"/>
    <w:rsid w:val="4AE178D7"/>
    <w:rsid w:val="4AEC66DD"/>
    <w:rsid w:val="4AEF1D6F"/>
    <w:rsid w:val="4AF561A9"/>
    <w:rsid w:val="4B0233A9"/>
    <w:rsid w:val="4B066F9C"/>
    <w:rsid w:val="4B37439A"/>
    <w:rsid w:val="4B5B7EAD"/>
    <w:rsid w:val="4B5E0F27"/>
    <w:rsid w:val="4B6D2F19"/>
    <w:rsid w:val="4B7621FE"/>
    <w:rsid w:val="4B7C7600"/>
    <w:rsid w:val="4BB5041C"/>
    <w:rsid w:val="4BCA7356"/>
    <w:rsid w:val="4BCC1255"/>
    <w:rsid w:val="4BCE772F"/>
    <w:rsid w:val="4BD016F9"/>
    <w:rsid w:val="4BD37B4D"/>
    <w:rsid w:val="4BF858A3"/>
    <w:rsid w:val="4BFF5B3B"/>
    <w:rsid w:val="4C07336D"/>
    <w:rsid w:val="4C146C9F"/>
    <w:rsid w:val="4C2B54A1"/>
    <w:rsid w:val="4C39729F"/>
    <w:rsid w:val="4C3E48B5"/>
    <w:rsid w:val="4C3F53C5"/>
    <w:rsid w:val="4C404189"/>
    <w:rsid w:val="4C4A0649"/>
    <w:rsid w:val="4C675BBA"/>
    <w:rsid w:val="4C6A4F0E"/>
    <w:rsid w:val="4C6B4F7E"/>
    <w:rsid w:val="4C7173F5"/>
    <w:rsid w:val="4C7327B1"/>
    <w:rsid w:val="4C771D15"/>
    <w:rsid w:val="4C7E5ECA"/>
    <w:rsid w:val="4C8322A8"/>
    <w:rsid w:val="4C876AA5"/>
    <w:rsid w:val="4C892779"/>
    <w:rsid w:val="4C8B0CEB"/>
    <w:rsid w:val="4CA23096"/>
    <w:rsid w:val="4CA30BBC"/>
    <w:rsid w:val="4CA7375E"/>
    <w:rsid w:val="4CB45EE5"/>
    <w:rsid w:val="4CCC3C6F"/>
    <w:rsid w:val="4CCC5064"/>
    <w:rsid w:val="4CE35D2E"/>
    <w:rsid w:val="4CEA67EB"/>
    <w:rsid w:val="4CEB20B7"/>
    <w:rsid w:val="4CFA5248"/>
    <w:rsid w:val="4CFE7E38"/>
    <w:rsid w:val="4D0A4797"/>
    <w:rsid w:val="4D0E00FB"/>
    <w:rsid w:val="4D176606"/>
    <w:rsid w:val="4D1C1E4E"/>
    <w:rsid w:val="4D4C66AB"/>
    <w:rsid w:val="4D4E62F6"/>
    <w:rsid w:val="4D5067F2"/>
    <w:rsid w:val="4D537EEC"/>
    <w:rsid w:val="4D5D32C9"/>
    <w:rsid w:val="4D724C16"/>
    <w:rsid w:val="4D815253"/>
    <w:rsid w:val="4D8938DE"/>
    <w:rsid w:val="4D9549A9"/>
    <w:rsid w:val="4DAB5F7A"/>
    <w:rsid w:val="4DAE4795"/>
    <w:rsid w:val="4DAE7802"/>
    <w:rsid w:val="4DB36BDD"/>
    <w:rsid w:val="4DBA440F"/>
    <w:rsid w:val="4DBB439C"/>
    <w:rsid w:val="4DC34EEC"/>
    <w:rsid w:val="4DC42B98"/>
    <w:rsid w:val="4DDC30E3"/>
    <w:rsid w:val="4DDF79D2"/>
    <w:rsid w:val="4DEC4FB0"/>
    <w:rsid w:val="4DF5084B"/>
    <w:rsid w:val="4DFA43ED"/>
    <w:rsid w:val="4E01203E"/>
    <w:rsid w:val="4E061402"/>
    <w:rsid w:val="4E075D8A"/>
    <w:rsid w:val="4E092CA1"/>
    <w:rsid w:val="4E114011"/>
    <w:rsid w:val="4E150E45"/>
    <w:rsid w:val="4E163CFD"/>
    <w:rsid w:val="4E244DD6"/>
    <w:rsid w:val="4E257ADB"/>
    <w:rsid w:val="4E84068B"/>
    <w:rsid w:val="4E944954"/>
    <w:rsid w:val="4E964534"/>
    <w:rsid w:val="4E9D72B1"/>
    <w:rsid w:val="4EA124CD"/>
    <w:rsid w:val="4EA12ED9"/>
    <w:rsid w:val="4EB10BBF"/>
    <w:rsid w:val="4EC00FAD"/>
    <w:rsid w:val="4EC4266E"/>
    <w:rsid w:val="4ECB7B47"/>
    <w:rsid w:val="4ECF2856"/>
    <w:rsid w:val="4EE74261"/>
    <w:rsid w:val="4F144667"/>
    <w:rsid w:val="4F18319B"/>
    <w:rsid w:val="4F224D09"/>
    <w:rsid w:val="4F23127C"/>
    <w:rsid w:val="4F26189D"/>
    <w:rsid w:val="4F2C6C47"/>
    <w:rsid w:val="4F2D498E"/>
    <w:rsid w:val="4F3143EF"/>
    <w:rsid w:val="4F335731"/>
    <w:rsid w:val="4F347F44"/>
    <w:rsid w:val="4F42290E"/>
    <w:rsid w:val="4F440ECB"/>
    <w:rsid w:val="4F52428A"/>
    <w:rsid w:val="4F5A1231"/>
    <w:rsid w:val="4F626B0C"/>
    <w:rsid w:val="4F732AC8"/>
    <w:rsid w:val="4F7F321A"/>
    <w:rsid w:val="4F806F93"/>
    <w:rsid w:val="4F9843DC"/>
    <w:rsid w:val="4F9A2E05"/>
    <w:rsid w:val="4F9D6A43"/>
    <w:rsid w:val="4FC60E49"/>
    <w:rsid w:val="4FC62A8C"/>
    <w:rsid w:val="4FC77446"/>
    <w:rsid w:val="4FC83647"/>
    <w:rsid w:val="4FD01CC8"/>
    <w:rsid w:val="4FDD3FBA"/>
    <w:rsid w:val="4FE20F0D"/>
    <w:rsid w:val="4FE51552"/>
    <w:rsid w:val="4FF45186"/>
    <w:rsid w:val="4FFD4BCF"/>
    <w:rsid w:val="502618E8"/>
    <w:rsid w:val="502F2E92"/>
    <w:rsid w:val="503A6C96"/>
    <w:rsid w:val="503C26CC"/>
    <w:rsid w:val="503E2640"/>
    <w:rsid w:val="503F0BFC"/>
    <w:rsid w:val="50411629"/>
    <w:rsid w:val="5043522F"/>
    <w:rsid w:val="50504C4B"/>
    <w:rsid w:val="50516E75"/>
    <w:rsid w:val="50594449"/>
    <w:rsid w:val="50596360"/>
    <w:rsid w:val="50661429"/>
    <w:rsid w:val="50697A27"/>
    <w:rsid w:val="508810DF"/>
    <w:rsid w:val="509251CF"/>
    <w:rsid w:val="50962F12"/>
    <w:rsid w:val="509C6E7C"/>
    <w:rsid w:val="50AB003F"/>
    <w:rsid w:val="50B44BF5"/>
    <w:rsid w:val="50BB3F1A"/>
    <w:rsid w:val="50BE29F6"/>
    <w:rsid w:val="50D55155"/>
    <w:rsid w:val="50E62C1A"/>
    <w:rsid w:val="50E772C9"/>
    <w:rsid w:val="50E83041"/>
    <w:rsid w:val="50EE4E2A"/>
    <w:rsid w:val="50F32112"/>
    <w:rsid w:val="50F6750C"/>
    <w:rsid w:val="510B22DA"/>
    <w:rsid w:val="51113F85"/>
    <w:rsid w:val="51225ED2"/>
    <w:rsid w:val="512569EC"/>
    <w:rsid w:val="512953B4"/>
    <w:rsid w:val="513E0AF8"/>
    <w:rsid w:val="5162104E"/>
    <w:rsid w:val="51673775"/>
    <w:rsid w:val="51673FAC"/>
    <w:rsid w:val="5167665C"/>
    <w:rsid w:val="516D759F"/>
    <w:rsid w:val="518221EB"/>
    <w:rsid w:val="51823496"/>
    <w:rsid w:val="51842D6A"/>
    <w:rsid w:val="51890380"/>
    <w:rsid w:val="51905BB3"/>
    <w:rsid w:val="519B0CBA"/>
    <w:rsid w:val="51AD3F06"/>
    <w:rsid w:val="51B9038F"/>
    <w:rsid w:val="51C94C21"/>
    <w:rsid w:val="51CC64BF"/>
    <w:rsid w:val="51D04201"/>
    <w:rsid w:val="51DA687F"/>
    <w:rsid w:val="51E11F6A"/>
    <w:rsid w:val="51E77C7B"/>
    <w:rsid w:val="51ED3830"/>
    <w:rsid w:val="51F06CF2"/>
    <w:rsid w:val="51F779E0"/>
    <w:rsid w:val="51FD2EF3"/>
    <w:rsid w:val="51FD3642"/>
    <w:rsid w:val="520774F7"/>
    <w:rsid w:val="52081BED"/>
    <w:rsid w:val="520823C9"/>
    <w:rsid w:val="52160136"/>
    <w:rsid w:val="52161EEB"/>
    <w:rsid w:val="522D1654"/>
    <w:rsid w:val="52342D13"/>
    <w:rsid w:val="523A1C81"/>
    <w:rsid w:val="52482F5C"/>
    <w:rsid w:val="52595FA5"/>
    <w:rsid w:val="525A1E5F"/>
    <w:rsid w:val="52646386"/>
    <w:rsid w:val="526A6404"/>
    <w:rsid w:val="52846F1A"/>
    <w:rsid w:val="528B1ED6"/>
    <w:rsid w:val="528C45CC"/>
    <w:rsid w:val="528C7B5A"/>
    <w:rsid w:val="52A16F1E"/>
    <w:rsid w:val="52D8458D"/>
    <w:rsid w:val="52E87329"/>
    <w:rsid w:val="52F54830"/>
    <w:rsid w:val="530F0D59"/>
    <w:rsid w:val="53202F66"/>
    <w:rsid w:val="532C5B18"/>
    <w:rsid w:val="533A6F8F"/>
    <w:rsid w:val="53495F9A"/>
    <w:rsid w:val="534F73A8"/>
    <w:rsid w:val="535350EA"/>
    <w:rsid w:val="53620E89"/>
    <w:rsid w:val="53764AC5"/>
    <w:rsid w:val="5377424C"/>
    <w:rsid w:val="538C23AA"/>
    <w:rsid w:val="538C4158"/>
    <w:rsid w:val="53A029E1"/>
    <w:rsid w:val="53A039CC"/>
    <w:rsid w:val="53A1505A"/>
    <w:rsid w:val="53A61646"/>
    <w:rsid w:val="53AC65A8"/>
    <w:rsid w:val="53BB4A3D"/>
    <w:rsid w:val="53D004E8"/>
    <w:rsid w:val="53D01C2A"/>
    <w:rsid w:val="53DB6230"/>
    <w:rsid w:val="53DD2C05"/>
    <w:rsid w:val="53DF1262"/>
    <w:rsid w:val="53EF16E0"/>
    <w:rsid w:val="540208BE"/>
    <w:rsid w:val="54063E08"/>
    <w:rsid w:val="54082EF6"/>
    <w:rsid w:val="541008E5"/>
    <w:rsid w:val="541740F1"/>
    <w:rsid w:val="54176117"/>
    <w:rsid w:val="542E5EFD"/>
    <w:rsid w:val="54336CC9"/>
    <w:rsid w:val="543437E8"/>
    <w:rsid w:val="543F11CA"/>
    <w:rsid w:val="5451375A"/>
    <w:rsid w:val="54603A8D"/>
    <w:rsid w:val="54841126"/>
    <w:rsid w:val="548F19DF"/>
    <w:rsid w:val="54907C78"/>
    <w:rsid w:val="5495703C"/>
    <w:rsid w:val="54A03316"/>
    <w:rsid w:val="54B27BEE"/>
    <w:rsid w:val="54B3189D"/>
    <w:rsid w:val="54B41BB8"/>
    <w:rsid w:val="54B8411D"/>
    <w:rsid w:val="54BB2F47"/>
    <w:rsid w:val="54D2203E"/>
    <w:rsid w:val="54E74950"/>
    <w:rsid w:val="54ED0C26"/>
    <w:rsid w:val="54F45ACF"/>
    <w:rsid w:val="54F73313"/>
    <w:rsid w:val="54F80955"/>
    <w:rsid w:val="55045875"/>
    <w:rsid w:val="55050666"/>
    <w:rsid w:val="550974BE"/>
    <w:rsid w:val="55313209"/>
    <w:rsid w:val="55343865"/>
    <w:rsid w:val="553A1DC1"/>
    <w:rsid w:val="55452498"/>
    <w:rsid w:val="554A42CB"/>
    <w:rsid w:val="554C3B9F"/>
    <w:rsid w:val="555170A7"/>
    <w:rsid w:val="55582AEC"/>
    <w:rsid w:val="556C5FEF"/>
    <w:rsid w:val="55705AC0"/>
    <w:rsid w:val="55764835"/>
    <w:rsid w:val="558116B6"/>
    <w:rsid w:val="55825812"/>
    <w:rsid w:val="55872E29"/>
    <w:rsid w:val="5587536D"/>
    <w:rsid w:val="559579BF"/>
    <w:rsid w:val="559B174B"/>
    <w:rsid w:val="559F41C4"/>
    <w:rsid w:val="55A11EF0"/>
    <w:rsid w:val="55A94079"/>
    <w:rsid w:val="55AA64BF"/>
    <w:rsid w:val="55B57893"/>
    <w:rsid w:val="55B73FAA"/>
    <w:rsid w:val="55BD4A9D"/>
    <w:rsid w:val="55CD3169"/>
    <w:rsid w:val="55CE0CF4"/>
    <w:rsid w:val="55DA73FC"/>
    <w:rsid w:val="55DD6EED"/>
    <w:rsid w:val="55E2428A"/>
    <w:rsid w:val="55EC3947"/>
    <w:rsid w:val="55F77517"/>
    <w:rsid w:val="55FC37F8"/>
    <w:rsid w:val="560501F2"/>
    <w:rsid w:val="560A5D0B"/>
    <w:rsid w:val="560C107C"/>
    <w:rsid w:val="561641E9"/>
    <w:rsid w:val="56206DD9"/>
    <w:rsid w:val="56284744"/>
    <w:rsid w:val="56354D75"/>
    <w:rsid w:val="56473590"/>
    <w:rsid w:val="56500155"/>
    <w:rsid w:val="56593949"/>
    <w:rsid w:val="567A5AC5"/>
    <w:rsid w:val="567C6706"/>
    <w:rsid w:val="56807276"/>
    <w:rsid w:val="56812378"/>
    <w:rsid w:val="56815ACA"/>
    <w:rsid w:val="56B22A9C"/>
    <w:rsid w:val="56C836F9"/>
    <w:rsid w:val="56D86A87"/>
    <w:rsid w:val="56D93B58"/>
    <w:rsid w:val="56E362BF"/>
    <w:rsid w:val="56ED73CC"/>
    <w:rsid w:val="56F20776"/>
    <w:rsid w:val="56FA762A"/>
    <w:rsid w:val="5706343C"/>
    <w:rsid w:val="57100BA5"/>
    <w:rsid w:val="57120115"/>
    <w:rsid w:val="57200078"/>
    <w:rsid w:val="57390153"/>
    <w:rsid w:val="573B2625"/>
    <w:rsid w:val="575C0DE2"/>
    <w:rsid w:val="576862FD"/>
    <w:rsid w:val="576D0FBC"/>
    <w:rsid w:val="57802226"/>
    <w:rsid w:val="578C1268"/>
    <w:rsid w:val="57B72A76"/>
    <w:rsid w:val="57C3426C"/>
    <w:rsid w:val="57C45ABF"/>
    <w:rsid w:val="57C706EB"/>
    <w:rsid w:val="57C86EE9"/>
    <w:rsid w:val="57CA0E9B"/>
    <w:rsid w:val="57CE1F93"/>
    <w:rsid w:val="57D71884"/>
    <w:rsid w:val="57D91936"/>
    <w:rsid w:val="57E37B04"/>
    <w:rsid w:val="57E722A5"/>
    <w:rsid w:val="57F06242"/>
    <w:rsid w:val="57F14ED1"/>
    <w:rsid w:val="57F8000E"/>
    <w:rsid w:val="57F86260"/>
    <w:rsid w:val="5813309A"/>
    <w:rsid w:val="581754FA"/>
    <w:rsid w:val="581B3414"/>
    <w:rsid w:val="582D1B3B"/>
    <w:rsid w:val="582E3223"/>
    <w:rsid w:val="583B2604"/>
    <w:rsid w:val="58836223"/>
    <w:rsid w:val="588743D1"/>
    <w:rsid w:val="5887701A"/>
    <w:rsid w:val="589E57A4"/>
    <w:rsid w:val="58BB03A9"/>
    <w:rsid w:val="58BF28DA"/>
    <w:rsid w:val="58C7455D"/>
    <w:rsid w:val="58C8794A"/>
    <w:rsid w:val="58D13F78"/>
    <w:rsid w:val="58D33DD7"/>
    <w:rsid w:val="58D36385"/>
    <w:rsid w:val="58E7231E"/>
    <w:rsid w:val="58F834CE"/>
    <w:rsid w:val="58F85A13"/>
    <w:rsid w:val="590069BA"/>
    <w:rsid w:val="59017396"/>
    <w:rsid w:val="591744C4"/>
    <w:rsid w:val="591E0962"/>
    <w:rsid w:val="5926042E"/>
    <w:rsid w:val="592A020C"/>
    <w:rsid w:val="592A716F"/>
    <w:rsid w:val="592B453A"/>
    <w:rsid w:val="592D018B"/>
    <w:rsid w:val="59350DEE"/>
    <w:rsid w:val="5936689E"/>
    <w:rsid w:val="59413C36"/>
    <w:rsid w:val="59461CCD"/>
    <w:rsid w:val="59464DA9"/>
    <w:rsid w:val="5947124D"/>
    <w:rsid w:val="595C45CC"/>
    <w:rsid w:val="59701139"/>
    <w:rsid w:val="59701BF3"/>
    <w:rsid w:val="597E069A"/>
    <w:rsid w:val="59842826"/>
    <w:rsid w:val="598F6750"/>
    <w:rsid w:val="5991071A"/>
    <w:rsid w:val="59B72A0A"/>
    <w:rsid w:val="59B937CD"/>
    <w:rsid w:val="59BE7035"/>
    <w:rsid w:val="59C0439F"/>
    <w:rsid w:val="59C363FA"/>
    <w:rsid w:val="59C94A35"/>
    <w:rsid w:val="59D54497"/>
    <w:rsid w:val="59DB4792"/>
    <w:rsid w:val="59E148D8"/>
    <w:rsid w:val="59F174B7"/>
    <w:rsid w:val="59F60A8F"/>
    <w:rsid w:val="59F831A1"/>
    <w:rsid w:val="5A0010FF"/>
    <w:rsid w:val="5A07131D"/>
    <w:rsid w:val="5A2450EA"/>
    <w:rsid w:val="5A287271"/>
    <w:rsid w:val="5A380F91"/>
    <w:rsid w:val="5A475D76"/>
    <w:rsid w:val="5A530F2B"/>
    <w:rsid w:val="5A584D94"/>
    <w:rsid w:val="5A61155D"/>
    <w:rsid w:val="5A647BDD"/>
    <w:rsid w:val="5A675F28"/>
    <w:rsid w:val="5A755246"/>
    <w:rsid w:val="5A85726F"/>
    <w:rsid w:val="5A900E23"/>
    <w:rsid w:val="5A9A2BCD"/>
    <w:rsid w:val="5A9D507E"/>
    <w:rsid w:val="5A9F34BF"/>
    <w:rsid w:val="5AA1673B"/>
    <w:rsid w:val="5ABA5A4E"/>
    <w:rsid w:val="5ABE2233"/>
    <w:rsid w:val="5AC10B8B"/>
    <w:rsid w:val="5AC33BFA"/>
    <w:rsid w:val="5ACD5782"/>
    <w:rsid w:val="5AD55E31"/>
    <w:rsid w:val="5AD83EAE"/>
    <w:rsid w:val="5AE06553"/>
    <w:rsid w:val="5AEB5C08"/>
    <w:rsid w:val="5AF820D3"/>
    <w:rsid w:val="5B0371F6"/>
    <w:rsid w:val="5B063AC2"/>
    <w:rsid w:val="5B0A1A76"/>
    <w:rsid w:val="5B1A32EB"/>
    <w:rsid w:val="5B266C40"/>
    <w:rsid w:val="5B420D49"/>
    <w:rsid w:val="5B5002AF"/>
    <w:rsid w:val="5B557242"/>
    <w:rsid w:val="5B5714EF"/>
    <w:rsid w:val="5B6D2FE5"/>
    <w:rsid w:val="5B6D6A7F"/>
    <w:rsid w:val="5B6F4A8B"/>
    <w:rsid w:val="5B735406"/>
    <w:rsid w:val="5B756546"/>
    <w:rsid w:val="5B806E76"/>
    <w:rsid w:val="5B81656C"/>
    <w:rsid w:val="5B8904E1"/>
    <w:rsid w:val="5B8C5172"/>
    <w:rsid w:val="5B917492"/>
    <w:rsid w:val="5B925F1E"/>
    <w:rsid w:val="5B9757BE"/>
    <w:rsid w:val="5BA204BF"/>
    <w:rsid w:val="5BAA161F"/>
    <w:rsid w:val="5BBC1352"/>
    <w:rsid w:val="5BC96C3D"/>
    <w:rsid w:val="5BD06FCD"/>
    <w:rsid w:val="5BD5371F"/>
    <w:rsid w:val="5BDB6DFA"/>
    <w:rsid w:val="5BDF21B7"/>
    <w:rsid w:val="5BDF5D95"/>
    <w:rsid w:val="5BE07737"/>
    <w:rsid w:val="5BE10DB9"/>
    <w:rsid w:val="5BE76E90"/>
    <w:rsid w:val="5BEC60DC"/>
    <w:rsid w:val="5BFE7528"/>
    <w:rsid w:val="5C213D89"/>
    <w:rsid w:val="5C250103"/>
    <w:rsid w:val="5C341831"/>
    <w:rsid w:val="5C451151"/>
    <w:rsid w:val="5C474FBB"/>
    <w:rsid w:val="5C4C6B7A"/>
    <w:rsid w:val="5C5070B3"/>
    <w:rsid w:val="5C554A75"/>
    <w:rsid w:val="5C5B500F"/>
    <w:rsid w:val="5C5C70AB"/>
    <w:rsid w:val="5C5E382C"/>
    <w:rsid w:val="5C6412F6"/>
    <w:rsid w:val="5C6A7F35"/>
    <w:rsid w:val="5C761E49"/>
    <w:rsid w:val="5C7E485A"/>
    <w:rsid w:val="5C8130B9"/>
    <w:rsid w:val="5CA3089B"/>
    <w:rsid w:val="5CAE541B"/>
    <w:rsid w:val="5CB32755"/>
    <w:rsid w:val="5CB3284C"/>
    <w:rsid w:val="5CBD529C"/>
    <w:rsid w:val="5CC44962"/>
    <w:rsid w:val="5CD103B1"/>
    <w:rsid w:val="5CF50FC0"/>
    <w:rsid w:val="5CFB2539"/>
    <w:rsid w:val="5CFF3D86"/>
    <w:rsid w:val="5D0C00B7"/>
    <w:rsid w:val="5D271E00"/>
    <w:rsid w:val="5D2B63E9"/>
    <w:rsid w:val="5D304022"/>
    <w:rsid w:val="5D335C4A"/>
    <w:rsid w:val="5D391002"/>
    <w:rsid w:val="5D3B59D3"/>
    <w:rsid w:val="5D4E653C"/>
    <w:rsid w:val="5D54435F"/>
    <w:rsid w:val="5D57066A"/>
    <w:rsid w:val="5D610B53"/>
    <w:rsid w:val="5D6A7394"/>
    <w:rsid w:val="5D7719D5"/>
    <w:rsid w:val="5D7A3273"/>
    <w:rsid w:val="5D7F6ADB"/>
    <w:rsid w:val="5D8A15D3"/>
    <w:rsid w:val="5D8E64B9"/>
    <w:rsid w:val="5DA64068"/>
    <w:rsid w:val="5DB70023"/>
    <w:rsid w:val="5DC42740"/>
    <w:rsid w:val="5DD94DBE"/>
    <w:rsid w:val="5DEC4171"/>
    <w:rsid w:val="5DF67521"/>
    <w:rsid w:val="5DFE3EA4"/>
    <w:rsid w:val="5DFE5C52"/>
    <w:rsid w:val="5E063EF5"/>
    <w:rsid w:val="5E0B2C50"/>
    <w:rsid w:val="5E0D0017"/>
    <w:rsid w:val="5E145476"/>
    <w:rsid w:val="5E2467F1"/>
    <w:rsid w:val="5E3625D0"/>
    <w:rsid w:val="5E482D09"/>
    <w:rsid w:val="5E6A32E8"/>
    <w:rsid w:val="5E714676"/>
    <w:rsid w:val="5E7C4502"/>
    <w:rsid w:val="5E856373"/>
    <w:rsid w:val="5E8C345B"/>
    <w:rsid w:val="5E8D4770"/>
    <w:rsid w:val="5EAE1426"/>
    <w:rsid w:val="5EBC2DED"/>
    <w:rsid w:val="5EBE53E1"/>
    <w:rsid w:val="5EC5465E"/>
    <w:rsid w:val="5EC74ABA"/>
    <w:rsid w:val="5ECC7AFE"/>
    <w:rsid w:val="5ED261FA"/>
    <w:rsid w:val="5EDD6FBF"/>
    <w:rsid w:val="5EE4544A"/>
    <w:rsid w:val="5EFA2867"/>
    <w:rsid w:val="5F0E6393"/>
    <w:rsid w:val="5F110BA8"/>
    <w:rsid w:val="5F1817C2"/>
    <w:rsid w:val="5F1A2B43"/>
    <w:rsid w:val="5F28567D"/>
    <w:rsid w:val="5F2A6CEF"/>
    <w:rsid w:val="5F3329BF"/>
    <w:rsid w:val="5F35797D"/>
    <w:rsid w:val="5F3B6A32"/>
    <w:rsid w:val="5F457370"/>
    <w:rsid w:val="5F5A7800"/>
    <w:rsid w:val="5F622211"/>
    <w:rsid w:val="5F702B80"/>
    <w:rsid w:val="5F726E1A"/>
    <w:rsid w:val="5F7E529D"/>
    <w:rsid w:val="5F7F2DC3"/>
    <w:rsid w:val="5F89044A"/>
    <w:rsid w:val="5F8B0E29"/>
    <w:rsid w:val="5F90741F"/>
    <w:rsid w:val="5F9E01C8"/>
    <w:rsid w:val="5FA56CCD"/>
    <w:rsid w:val="5FAA672A"/>
    <w:rsid w:val="5FB837BB"/>
    <w:rsid w:val="5FCD3B2E"/>
    <w:rsid w:val="5FD462A7"/>
    <w:rsid w:val="5FDB0D64"/>
    <w:rsid w:val="5FDC17D8"/>
    <w:rsid w:val="5FDE3F8D"/>
    <w:rsid w:val="5FE01AB3"/>
    <w:rsid w:val="5FF153A6"/>
    <w:rsid w:val="60053EE5"/>
    <w:rsid w:val="601A0B8F"/>
    <w:rsid w:val="601E25DC"/>
    <w:rsid w:val="602C74C0"/>
    <w:rsid w:val="60432042"/>
    <w:rsid w:val="60462E5B"/>
    <w:rsid w:val="604875D5"/>
    <w:rsid w:val="606049A2"/>
    <w:rsid w:val="60695D4F"/>
    <w:rsid w:val="606E72D4"/>
    <w:rsid w:val="606F7F2D"/>
    <w:rsid w:val="60771CEC"/>
    <w:rsid w:val="607D1779"/>
    <w:rsid w:val="608215A7"/>
    <w:rsid w:val="60A51ED5"/>
    <w:rsid w:val="60AA27D0"/>
    <w:rsid w:val="60BB42CE"/>
    <w:rsid w:val="60C11476"/>
    <w:rsid w:val="60CC405A"/>
    <w:rsid w:val="60D629F4"/>
    <w:rsid w:val="60D64C64"/>
    <w:rsid w:val="60E455D3"/>
    <w:rsid w:val="60E81900"/>
    <w:rsid w:val="612F1B77"/>
    <w:rsid w:val="61354D34"/>
    <w:rsid w:val="61381995"/>
    <w:rsid w:val="613876CD"/>
    <w:rsid w:val="6154025E"/>
    <w:rsid w:val="61617BEB"/>
    <w:rsid w:val="616B1851"/>
    <w:rsid w:val="616D66E5"/>
    <w:rsid w:val="61735223"/>
    <w:rsid w:val="617526CF"/>
    <w:rsid w:val="61776C5C"/>
    <w:rsid w:val="61817AC3"/>
    <w:rsid w:val="61A41D50"/>
    <w:rsid w:val="61A91582"/>
    <w:rsid w:val="61B73D77"/>
    <w:rsid w:val="61BC75F8"/>
    <w:rsid w:val="61C93E90"/>
    <w:rsid w:val="61C96577"/>
    <w:rsid w:val="61D75E96"/>
    <w:rsid w:val="61E215D8"/>
    <w:rsid w:val="61E215E3"/>
    <w:rsid w:val="61E9294D"/>
    <w:rsid w:val="61F10441"/>
    <w:rsid w:val="61F50DA2"/>
    <w:rsid w:val="61FB6ADC"/>
    <w:rsid w:val="62000D73"/>
    <w:rsid w:val="620636AE"/>
    <w:rsid w:val="62084339"/>
    <w:rsid w:val="62120077"/>
    <w:rsid w:val="621517BC"/>
    <w:rsid w:val="621A21BD"/>
    <w:rsid w:val="621B3775"/>
    <w:rsid w:val="62261804"/>
    <w:rsid w:val="62364782"/>
    <w:rsid w:val="623954AB"/>
    <w:rsid w:val="62452FB4"/>
    <w:rsid w:val="62483940"/>
    <w:rsid w:val="62616E44"/>
    <w:rsid w:val="62791D4B"/>
    <w:rsid w:val="62976675"/>
    <w:rsid w:val="62A83892"/>
    <w:rsid w:val="62AC4335"/>
    <w:rsid w:val="62B40FD5"/>
    <w:rsid w:val="62BE18A5"/>
    <w:rsid w:val="62C90822"/>
    <w:rsid w:val="62CC4571"/>
    <w:rsid w:val="62D71AA5"/>
    <w:rsid w:val="62D81AB9"/>
    <w:rsid w:val="62FB4E56"/>
    <w:rsid w:val="630871D8"/>
    <w:rsid w:val="630930CF"/>
    <w:rsid w:val="630D3424"/>
    <w:rsid w:val="631758E7"/>
    <w:rsid w:val="631D301E"/>
    <w:rsid w:val="63236EA6"/>
    <w:rsid w:val="63247F09"/>
    <w:rsid w:val="63341EA7"/>
    <w:rsid w:val="633B4E4F"/>
    <w:rsid w:val="633F11E7"/>
    <w:rsid w:val="634265E1"/>
    <w:rsid w:val="634F3A0A"/>
    <w:rsid w:val="6364585D"/>
    <w:rsid w:val="63716EC6"/>
    <w:rsid w:val="637707DC"/>
    <w:rsid w:val="637818CA"/>
    <w:rsid w:val="63870498"/>
    <w:rsid w:val="6394356A"/>
    <w:rsid w:val="639A27E1"/>
    <w:rsid w:val="63B079EF"/>
    <w:rsid w:val="63B23767"/>
    <w:rsid w:val="63B67C20"/>
    <w:rsid w:val="63C11BFC"/>
    <w:rsid w:val="63C61B2C"/>
    <w:rsid w:val="63D3125A"/>
    <w:rsid w:val="63D40BE9"/>
    <w:rsid w:val="63D536A2"/>
    <w:rsid w:val="63DA65A2"/>
    <w:rsid w:val="63FF44D2"/>
    <w:rsid w:val="64010501"/>
    <w:rsid w:val="640C6737"/>
    <w:rsid w:val="640D31CD"/>
    <w:rsid w:val="640D6BEF"/>
    <w:rsid w:val="64102431"/>
    <w:rsid w:val="64175CC0"/>
    <w:rsid w:val="64196E0D"/>
    <w:rsid w:val="641C32D6"/>
    <w:rsid w:val="641F372B"/>
    <w:rsid w:val="64281C7B"/>
    <w:rsid w:val="6429559B"/>
    <w:rsid w:val="642A1C4A"/>
    <w:rsid w:val="643F7DF7"/>
    <w:rsid w:val="64402ABE"/>
    <w:rsid w:val="64506860"/>
    <w:rsid w:val="6459539A"/>
    <w:rsid w:val="645962D8"/>
    <w:rsid w:val="64676364"/>
    <w:rsid w:val="646A2293"/>
    <w:rsid w:val="64774B5E"/>
    <w:rsid w:val="64790728"/>
    <w:rsid w:val="648275DD"/>
    <w:rsid w:val="64850331"/>
    <w:rsid w:val="64874BF3"/>
    <w:rsid w:val="648F3AA8"/>
    <w:rsid w:val="6491350D"/>
    <w:rsid w:val="64992B79"/>
    <w:rsid w:val="64A5243A"/>
    <w:rsid w:val="64AA08E2"/>
    <w:rsid w:val="64B133BB"/>
    <w:rsid w:val="64BD5DC6"/>
    <w:rsid w:val="64EA0C11"/>
    <w:rsid w:val="64F23B83"/>
    <w:rsid w:val="64F25DE5"/>
    <w:rsid w:val="64F47D8A"/>
    <w:rsid w:val="64F531DE"/>
    <w:rsid w:val="65043F81"/>
    <w:rsid w:val="650D2FCB"/>
    <w:rsid w:val="65103702"/>
    <w:rsid w:val="65260833"/>
    <w:rsid w:val="652E2FEC"/>
    <w:rsid w:val="65373578"/>
    <w:rsid w:val="653C78FD"/>
    <w:rsid w:val="655B1BDC"/>
    <w:rsid w:val="655F6CD4"/>
    <w:rsid w:val="65644E50"/>
    <w:rsid w:val="656A0921"/>
    <w:rsid w:val="6571571F"/>
    <w:rsid w:val="657C6993"/>
    <w:rsid w:val="657D326A"/>
    <w:rsid w:val="65817895"/>
    <w:rsid w:val="65956E9C"/>
    <w:rsid w:val="659B0466"/>
    <w:rsid w:val="659C46CE"/>
    <w:rsid w:val="65A34141"/>
    <w:rsid w:val="65A76BC3"/>
    <w:rsid w:val="65B512EC"/>
    <w:rsid w:val="65C854C3"/>
    <w:rsid w:val="65F31E15"/>
    <w:rsid w:val="65F32465"/>
    <w:rsid w:val="65F8567D"/>
    <w:rsid w:val="65FF2789"/>
    <w:rsid w:val="65FF2831"/>
    <w:rsid w:val="660D1128"/>
    <w:rsid w:val="660D7782"/>
    <w:rsid w:val="661F3E9D"/>
    <w:rsid w:val="66253329"/>
    <w:rsid w:val="662621EA"/>
    <w:rsid w:val="662F72F1"/>
    <w:rsid w:val="66383CCB"/>
    <w:rsid w:val="663E626D"/>
    <w:rsid w:val="66496037"/>
    <w:rsid w:val="666A0329"/>
    <w:rsid w:val="666A657B"/>
    <w:rsid w:val="667512A3"/>
    <w:rsid w:val="66756CCD"/>
    <w:rsid w:val="66815672"/>
    <w:rsid w:val="66942285"/>
    <w:rsid w:val="66A17AC3"/>
    <w:rsid w:val="66AB26EF"/>
    <w:rsid w:val="66CB4B3F"/>
    <w:rsid w:val="66D6776C"/>
    <w:rsid w:val="66E53142"/>
    <w:rsid w:val="671F124A"/>
    <w:rsid w:val="672158FA"/>
    <w:rsid w:val="672D48D1"/>
    <w:rsid w:val="673351A5"/>
    <w:rsid w:val="6740552D"/>
    <w:rsid w:val="67504167"/>
    <w:rsid w:val="675C2233"/>
    <w:rsid w:val="6760797E"/>
    <w:rsid w:val="676E3D3C"/>
    <w:rsid w:val="67773AA7"/>
    <w:rsid w:val="67790D6D"/>
    <w:rsid w:val="677A33C6"/>
    <w:rsid w:val="678D3F54"/>
    <w:rsid w:val="67982C74"/>
    <w:rsid w:val="67A07363"/>
    <w:rsid w:val="67A535E2"/>
    <w:rsid w:val="67AC6379"/>
    <w:rsid w:val="67AC7944"/>
    <w:rsid w:val="67B11F87"/>
    <w:rsid w:val="67B850C4"/>
    <w:rsid w:val="67C24194"/>
    <w:rsid w:val="67C63C85"/>
    <w:rsid w:val="67D0107E"/>
    <w:rsid w:val="67D16874"/>
    <w:rsid w:val="67E325C5"/>
    <w:rsid w:val="67E91721"/>
    <w:rsid w:val="67EB25D0"/>
    <w:rsid w:val="67F87665"/>
    <w:rsid w:val="68133F70"/>
    <w:rsid w:val="681A5D7E"/>
    <w:rsid w:val="681F6961"/>
    <w:rsid w:val="68292EB7"/>
    <w:rsid w:val="683F7593"/>
    <w:rsid w:val="684276EC"/>
    <w:rsid w:val="68442DFB"/>
    <w:rsid w:val="684F3C7A"/>
    <w:rsid w:val="685309F9"/>
    <w:rsid w:val="68557B8E"/>
    <w:rsid w:val="68610A2F"/>
    <w:rsid w:val="68680898"/>
    <w:rsid w:val="687C7C77"/>
    <w:rsid w:val="687E73EC"/>
    <w:rsid w:val="68805514"/>
    <w:rsid w:val="688475C7"/>
    <w:rsid w:val="688B2A68"/>
    <w:rsid w:val="689B2969"/>
    <w:rsid w:val="689C37AD"/>
    <w:rsid w:val="68A07D43"/>
    <w:rsid w:val="68A51AEC"/>
    <w:rsid w:val="68BC3B8B"/>
    <w:rsid w:val="68C06926"/>
    <w:rsid w:val="68C331B9"/>
    <w:rsid w:val="68C47EF5"/>
    <w:rsid w:val="68C6476A"/>
    <w:rsid w:val="68CD0798"/>
    <w:rsid w:val="68D916C6"/>
    <w:rsid w:val="68DE3EB3"/>
    <w:rsid w:val="68DE6E02"/>
    <w:rsid w:val="68E17335"/>
    <w:rsid w:val="690127F7"/>
    <w:rsid w:val="690665A4"/>
    <w:rsid w:val="69117181"/>
    <w:rsid w:val="6912487F"/>
    <w:rsid w:val="691D59CA"/>
    <w:rsid w:val="6923363D"/>
    <w:rsid w:val="69312F0A"/>
    <w:rsid w:val="69316E2F"/>
    <w:rsid w:val="69442D63"/>
    <w:rsid w:val="6946743A"/>
    <w:rsid w:val="694E2071"/>
    <w:rsid w:val="69575EFC"/>
    <w:rsid w:val="695D4175"/>
    <w:rsid w:val="69674FEA"/>
    <w:rsid w:val="696B3119"/>
    <w:rsid w:val="69766163"/>
    <w:rsid w:val="69796AD5"/>
    <w:rsid w:val="697A3B33"/>
    <w:rsid w:val="699F653B"/>
    <w:rsid w:val="69AC57EE"/>
    <w:rsid w:val="69B1626F"/>
    <w:rsid w:val="69BA63BB"/>
    <w:rsid w:val="69D44760"/>
    <w:rsid w:val="69DA7573"/>
    <w:rsid w:val="69DB67C6"/>
    <w:rsid w:val="69EC54F9"/>
    <w:rsid w:val="69EF20DD"/>
    <w:rsid w:val="69F03A17"/>
    <w:rsid w:val="69FA7C16"/>
    <w:rsid w:val="6A036A5F"/>
    <w:rsid w:val="6A064BFF"/>
    <w:rsid w:val="6A0E546F"/>
    <w:rsid w:val="6A10568B"/>
    <w:rsid w:val="6A246A40"/>
    <w:rsid w:val="6A2D1FE6"/>
    <w:rsid w:val="6A4C04DE"/>
    <w:rsid w:val="6A520EC7"/>
    <w:rsid w:val="6A632297"/>
    <w:rsid w:val="6A6A709E"/>
    <w:rsid w:val="6A7829BE"/>
    <w:rsid w:val="6A7A067B"/>
    <w:rsid w:val="6A8722C1"/>
    <w:rsid w:val="6A8749CC"/>
    <w:rsid w:val="6A8906C7"/>
    <w:rsid w:val="6A937C87"/>
    <w:rsid w:val="6A9C6F1F"/>
    <w:rsid w:val="6AC02379"/>
    <w:rsid w:val="6ACB7804"/>
    <w:rsid w:val="6ACD5017"/>
    <w:rsid w:val="6AD04785"/>
    <w:rsid w:val="6ADB7A47"/>
    <w:rsid w:val="6ADE12E5"/>
    <w:rsid w:val="6AF87E20"/>
    <w:rsid w:val="6AFA3279"/>
    <w:rsid w:val="6AFE69AF"/>
    <w:rsid w:val="6AFF300A"/>
    <w:rsid w:val="6B1A07D8"/>
    <w:rsid w:val="6B2C07CD"/>
    <w:rsid w:val="6B322639"/>
    <w:rsid w:val="6B451364"/>
    <w:rsid w:val="6B481F36"/>
    <w:rsid w:val="6B4C44A1"/>
    <w:rsid w:val="6B570BD3"/>
    <w:rsid w:val="6B67752D"/>
    <w:rsid w:val="6B7B2FD8"/>
    <w:rsid w:val="6B890C10"/>
    <w:rsid w:val="6B982F47"/>
    <w:rsid w:val="6B9B71D6"/>
    <w:rsid w:val="6B9E1C42"/>
    <w:rsid w:val="6BA51E03"/>
    <w:rsid w:val="6BC009EB"/>
    <w:rsid w:val="6BC40410"/>
    <w:rsid w:val="6BC4769E"/>
    <w:rsid w:val="6BE02E3B"/>
    <w:rsid w:val="6BE91CF0"/>
    <w:rsid w:val="6BF32227"/>
    <w:rsid w:val="6BF6440D"/>
    <w:rsid w:val="6BFD39ED"/>
    <w:rsid w:val="6C1828AC"/>
    <w:rsid w:val="6C31322C"/>
    <w:rsid w:val="6C3D2A9F"/>
    <w:rsid w:val="6C3E7F12"/>
    <w:rsid w:val="6C4074B6"/>
    <w:rsid w:val="6C4A1B6B"/>
    <w:rsid w:val="6C4D0604"/>
    <w:rsid w:val="6C4E19BD"/>
    <w:rsid w:val="6C5C5F78"/>
    <w:rsid w:val="6C5F6456"/>
    <w:rsid w:val="6C636971"/>
    <w:rsid w:val="6C636C38"/>
    <w:rsid w:val="6C723F76"/>
    <w:rsid w:val="6C8A7C72"/>
    <w:rsid w:val="6C937EAD"/>
    <w:rsid w:val="6C961432"/>
    <w:rsid w:val="6C9C6D62"/>
    <w:rsid w:val="6CA83959"/>
    <w:rsid w:val="6CB22A29"/>
    <w:rsid w:val="6CB322FE"/>
    <w:rsid w:val="6CD625BD"/>
    <w:rsid w:val="6CF73A5A"/>
    <w:rsid w:val="6D033285"/>
    <w:rsid w:val="6D0D6E80"/>
    <w:rsid w:val="6D1159A2"/>
    <w:rsid w:val="6D1D3A4F"/>
    <w:rsid w:val="6D2658C2"/>
    <w:rsid w:val="6D2B458A"/>
    <w:rsid w:val="6D301BA0"/>
    <w:rsid w:val="6D3451EC"/>
    <w:rsid w:val="6D394EF9"/>
    <w:rsid w:val="6D3F259C"/>
    <w:rsid w:val="6D4463BC"/>
    <w:rsid w:val="6D481AD4"/>
    <w:rsid w:val="6D4B79CD"/>
    <w:rsid w:val="6D53688E"/>
    <w:rsid w:val="6D694950"/>
    <w:rsid w:val="6D6D1EA6"/>
    <w:rsid w:val="6D763696"/>
    <w:rsid w:val="6D765D47"/>
    <w:rsid w:val="6D7D3561"/>
    <w:rsid w:val="6D812EEB"/>
    <w:rsid w:val="6D8617C0"/>
    <w:rsid w:val="6DB34098"/>
    <w:rsid w:val="6DB545B6"/>
    <w:rsid w:val="6DC6176E"/>
    <w:rsid w:val="6DCA78FF"/>
    <w:rsid w:val="6DE02FB4"/>
    <w:rsid w:val="6DE910E4"/>
    <w:rsid w:val="6DF57072"/>
    <w:rsid w:val="6E0B0643"/>
    <w:rsid w:val="6E103DD8"/>
    <w:rsid w:val="6E3631E6"/>
    <w:rsid w:val="6E4F1847"/>
    <w:rsid w:val="6E514CED"/>
    <w:rsid w:val="6E5B49FB"/>
    <w:rsid w:val="6E816B1A"/>
    <w:rsid w:val="6E9248C1"/>
    <w:rsid w:val="6EA939B8"/>
    <w:rsid w:val="6EB171BB"/>
    <w:rsid w:val="6EB34837"/>
    <w:rsid w:val="6EB563D5"/>
    <w:rsid w:val="6EC67CAE"/>
    <w:rsid w:val="6ECC7ED6"/>
    <w:rsid w:val="6ED92677"/>
    <w:rsid w:val="6EDE1B66"/>
    <w:rsid w:val="6EE13152"/>
    <w:rsid w:val="6EE56639"/>
    <w:rsid w:val="6EEE548E"/>
    <w:rsid w:val="6F046E40"/>
    <w:rsid w:val="6F225983"/>
    <w:rsid w:val="6F280D81"/>
    <w:rsid w:val="6F4C6E5A"/>
    <w:rsid w:val="6F554A60"/>
    <w:rsid w:val="6F616041"/>
    <w:rsid w:val="6F73529A"/>
    <w:rsid w:val="6F8E323F"/>
    <w:rsid w:val="6F920725"/>
    <w:rsid w:val="6FB9044D"/>
    <w:rsid w:val="6FBF33C1"/>
    <w:rsid w:val="6FC40116"/>
    <w:rsid w:val="6FCA4A24"/>
    <w:rsid w:val="6FD64C81"/>
    <w:rsid w:val="6FDA0B02"/>
    <w:rsid w:val="6FDD600F"/>
    <w:rsid w:val="6FE0165C"/>
    <w:rsid w:val="6FF3138F"/>
    <w:rsid w:val="6FF82586"/>
    <w:rsid w:val="6FFC5590"/>
    <w:rsid w:val="6FFE5FBD"/>
    <w:rsid w:val="70216592"/>
    <w:rsid w:val="702611AE"/>
    <w:rsid w:val="702C48A1"/>
    <w:rsid w:val="702C4F4D"/>
    <w:rsid w:val="7049606D"/>
    <w:rsid w:val="70587444"/>
    <w:rsid w:val="706202C3"/>
    <w:rsid w:val="70634B48"/>
    <w:rsid w:val="70656318"/>
    <w:rsid w:val="70685B09"/>
    <w:rsid w:val="706D1DD0"/>
    <w:rsid w:val="70856B87"/>
    <w:rsid w:val="70891CF3"/>
    <w:rsid w:val="709F43C4"/>
    <w:rsid w:val="70A26911"/>
    <w:rsid w:val="70A73F27"/>
    <w:rsid w:val="70B07280"/>
    <w:rsid w:val="70BD26DA"/>
    <w:rsid w:val="70D527EE"/>
    <w:rsid w:val="70E707C8"/>
    <w:rsid w:val="70FF1FB5"/>
    <w:rsid w:val="71025602"/>
    <w:rsid w:val="710F5797"/>
    <w:rsid w:val="711A0B9D"/>
    <w:rsid w:val="713A4D9B"/>
    <w:rsid w:val="714221E6"/>
    <w:rsid w:val="714D5533"/>
    <w:rsid w:val="714F59D8"/>
    <w:rsid w:val="714F6A99"/>
    <w:rsid w:val="715B5300"/>
    <w:rsid w:val="715E0A8A"/>
    <w:rsid w:val="715F29DF"/>
    <w:rsid w:val="716F713B"/>
    <w:rsid w:val="71780D06"/>
    <w:rsid w:val="717C0D74"/>
    <w:rsid w:val="71924110"/>
    <w:rsid w:val="71931A28"/>
    <w:rsid w:val="719C7E4D"/>
    <w:rsid w:val="71B10CF4"/>
    <w:rsid w:val="71B37E2C"/>
    <w:rsid w:val="71BB6A84"/>
    <w:rsid w:val="71BC1C54"/>
    <w:rsid w:val="71BC3A02"/>
    <w:rsid w:val="71BE50E2"/>
    <w:rsid w:val="71C823A7"/>
    <w:rsid w:val="71CB1E97"/>
    <w:rsid w:val="71D27F8A"/>
    <w:rsid w:val="72036FFB"/>
    <w:rsid w:val="72043280"/>
    <w:rsid w:val="72086C48"/>
    <w:rsid w:val="72255A4C"/>
    <w:rsid w:val="722F133F"/>
    <w:rsid w:val="723527EE"/>
    <w:rsid w:val="72361A07"/>
    <w:rsid w:val="724A77F4"/>
    <w:rsid w:val="72553024"/>
    <w:rsid w:val="725F6B9E"/>
    <w:rsid w:val="7278201F"/>
    <w:rsid w:val="727E696E"/>
    <w:rsid w:val="727E6B0B"/>
    <w:rsid w:val="72842772"/>
    <w:rsid w:val="728C1627"/>
    <w:rsid w:val="729606F7"/>
    <w:rsid w:val="729717A3"/>
    <w:rsid w:val="729F6DEF"/>
    <w:rsid w:val="72A23709"/>
    <w:rsid w:val="72A24F12"/>
    <w:rsid w:val="72BB313D"/>
    <w:rsid w:val="72C26A5D"/>
    <w:rsid w:val="72CC68B8"/>
    <w:rsid w:val="72DB435C"/>
    <w:rsid w:val="72E041B6"/>
    <w:rsid w:val="72FA591B"/>
    <w:rsid w:val="72FC5CE0"/>
    <w:rsid w:val="73012015"/>
    <w:rsid w:val="730833A3"/>
    <w:rsid w:val="73122968"/>
    <w:rsid w:val="73133AF6"/>
    <w:rsid w:val="73191978"/>
    <w:rsid w:val="731F5D5E"/>
    <w:rsid w:val="73214465"/>
    <w:rsid w:val="73221F8B"/>
    <w:rsid w:val="732767A1"/>
    <w:rsid w:val="732C6966"/>
    <w:rsid w:val="733221CE"/>
    <w:rsid w:val="736C44D5"/>
    <w:rsid w:val="73762EA5"/>
    <w:rsid w:val="73821A74"/>
    <w:rsid w:val="73835CCC"/>
    <w:rsid w:val="73840550"/>
    <w:rsid w:val="739E5AB6"/>
    <w:rsid w:val="73A66718"/>
    <w:rsid w:val="73B4223E"/>
    <w:rsid w:val="73C51AD5"/>
    <w:rsid w:val="73CF3EC1"/>
    <w:rsid w:val="73D72D76"/>
    <w:rsid w:val="73DB79C4"/>
    <w:rsid w:val="73DE5EB2"/>
    <w:rsid w:val="73EB41D4"/>
    <w:rsid w:val="73F02068"/>
    <w:rsid w:val="73F52DEA"/>
    <w:rsid w:val="73F751C6"/>
    <w:rsid w:val="74117593"/>
    <w:rsid w:val="741528DE"/>
    <w:rsid w:val="741B0EB4"/>
    <w:rsid w:val="741E793C"/>
    <w:rsid w:val="74214F7B"/>
    <w:rsid w:val="742F670E"/>
    <w:rsid w:val="743A14E8"/>
    <w:rsid w:val="744E1D52"/>
    <w:rsid w:val="74500899"/>
    <w:rsid w:val="74597C2E"/>
    <w:rsid w:val="745C7C0F"/>
    <w:rsid w:val="745E3944"/>
    <w:rsid w:val="746565D3"/>
    <w:rsid w:val="746F59A9"/>
    <w:rsid w:val="747075A6"/>
    <w:rsid w:val="74942A15"/>
    <w:rsid w:val="749F4FD0"/>
    <w:rsid w:val="74A54C22"/>
    <w:rsid w:val="74A76ACE"/>
    <w:rsid w:val="74A964C0"/>
    <w:rsid w:val="74B064C6"/>
    <w:rsid w:val="74B310ED"/>
    <w:rsid w:val="74E42CAB"/>
    <w:rsid w:val="74ED7152"/>
    <w:rsid w:val="74EE65C9"/>
    <w:rsid w:val="74F11C15"/>
    <w:rsid w:val="74F160B9"/>
    <w:rsid w:val="74F83C35"/>
    <w:rsid w:val="750B717B"/>
    <w:rsid w:val="750D3EA9"/>
    <w:rsid w:val="75231611"/>
    <w:rsid w:val="752F0523"/>
    <w:rsid w:val="7541494A"/>
    <w:rsid w:val="754F4BE7"/>
    <w:rsid w:val="755A3C5E"/>
    <w:rsid w:val="7569395D"/>
    <w:rsid w:val="75754AC5"/>
    <w:rsid w:val="758F184B"/>
    <w:rsid w:val="75956A44"/>
    <w:rsid w:val="759A22AD"/>
    <w:rsid w:val="759C4066"/>
    <w:rsid w:val="75A153E9"/>
    <w:rsid w:val="75A66E6C"/>
    <w:rsid w:val="75AB6268"/>
    <w:rsid w:val="75B23A9A"/>
    <w:rsid w:val="75B6497C"/>
    <w:rsid w:val="75BA294F"/>
    <w:rsid w:val="75C612F4"/>
    <w:rsid w:val="75D04BC2"/>
    <w:rsid w:val="75F95225"/>
    <w:rsid w:val="75FB71EF"/>
    <w:rsid w:val="76064A7E"/>
    <w:rsid w:val="761175D4"/>
    <w:rsid w:val="761B7672"/>
    <w:rsid w:val="761D59E6"/>
    <w:rsid w:val="762F2C91"/>
    <w:rsid w:val="76347B4C"/>
    <w:rsid w:val="7635099D"/>
    <w:rsid w:val="763E0E8A"/>
    <w:rsid w:val="76402E54"/>
    <w:rsid w:val="76416A05"/>
    <w:rsid w:val="765875E8"/>
    <w:rsid w:val="765926B3"/>
    <w:rsid w:val="76616DDD"/>
    <w:rsid w:val="76726D86"/>
    <w:rsid w:val="76747344"/>
    <w:rsid w:val="76843CF4"/>
    <w:rsid w:val="76AC426F"/>
    <w:rsid w:val="76AD312F"/>
    <w:rsid w:val="76BE21EB"/>
    <w:rsid w:val="76DB0DCF"/>
    <w:rsid w:val="76FB4305"/>
    <w:rsid w:val="770E2F52"/>
    <w:rsid w:val="772B434D"/>
    <w:rsid w:val="772B58B2"/>
    <w:rsid w:val="773341A1"/>
    <w:rsid w:val="7735049D"/>
    <w:rsid w:val="77356731"/>
    <w:rsid w:val="77397FC2"/>
    <w:rsid w:val="773A335F"/>
    <w:rsid w:val="773A3D47"/>
    <w:rsid w:val="77400C6E"/>
    <w:rsid w:val="7760452D"/>
    <w:rsid w:val="77761C41"/>
    <w:rsid w:val="77762421"/>
    <w:rsid w:val="77802CF2"/>
    <w:rsid w:val="77866F8C"/>
    <w:rsid w:val="778A3B87"/>
    <w:rsid w:val="77AE3DED"/>
    <w:rsid w:val="77B56B1F"/>
    <w:rsid w:val="77BC110D"/>
    <w:rsid w:val="77BE5727"/>
    <w:rsid w:val="77D41D96"/>
    <w:rsid w:val="77DC0AB5"/>
    <w:rsid w:val="77E82EEE"/>
    <w:rsid w:val="77EF7B61"/>
    <w:rsid w:val="780E49AA"/>
    <w:rsid w:val="780F09F4"/>
    <w:rsid w:val="7815269F"/>
    <w:rsid w:val="78252301"/>
    <w:rsid w:val="78342545"/>
    <w:rsid w:val="78434E7D"/>
    <w:rsid w:val="785B3F75"/>
    <w:rsid w:val="785E0762"/>
    <w:rsid w:val="786646C8"/>
    <w:rsid w:val="78746CD6"/>
    <w:rsid w:val="78903365"/>
    <w:rsid w:val="78933E2E"/>
    <w:rsid w:val="78A90480"/>
    <w:rsid w:val="78B131AA"/>
    <w:rsid w:val="78B74F24"/>
    <w:rsid w:val="78D45AD6"/>
    <w:rsid w:val="78D855C6"/>
    <w:rsid w:val="78DD64F6"/>
    <w:rsid w:val="78DE10C5"/>
    <w:rsid w:val="78F00C3A"/>
    <w:rsid w:val="78F11514"/>
    <w:rsid w:val="78F6278A"/>
    <w:rsid w:val="7906039E"/>
    <w:rsid w:val="79211360"/>
    <w:rsid w:val="79394F0F"/>
    <w:rsid w:val="793A1DDD"/>
    <w:rsid w:val="79470C6D"/>
    <w:rsid w:val="7959184D"/>
    <w:rsid w:val="797F3C93"/>
    <w:rsid w:val="799E630B"/>
    <w:rsid w:val="79A6682F"/>
    <w:rsid w:val="79CC2C61"/>
    <w:rsid w:val="79E007A3"/>
    <w:rsid w:val="79EF706B"/>
    <w:rsid w:val="79FA1D25"/>
    <w:rsid w:val="79FA1E83"/>
    <w:rsid w:val="79FC3536"/>
    <w:rsid w:val="7A081EDB"/>
    <w:rsid w:val="7A1C1F98"/>
    <w:rsid w:val="7A1E7523"/>
    <w:rsid w:val="7A364017"/>
    <w:rsid w:val="7A4A3FF1"/>
    <w:rsid w:val="7A626316"/>
    <w:rsid w:val="7A6A66F1"/>
    <w:rsid w:val="7A6F5AB6"/>
    <w:rsid w:val="7A7C4677"/>
    <w:rsid w:val="7A8265E1"/>
    <w:rsid w:val="7A9E639B"/>
    <w:rsid w:val="7AD731D2"/>
    <w:rsid w:val="7AD96222"/>
    <w:rsid w:val="7ADF225F"/>
    <w:rsid w:val="7B0B7697"/>
    <w:rsid w:val="7B134BFB"/>
    <w:rsid w:val="7B201891"/>
    <w:rsid w:val="7B237D02"/>
    <w:rsid w:val="7B313AE9"/>
    <w:rsid w:val="7B3737FD"/>
    <w:rsid w:val="7B577D51"/>
    <w:rsid w:val="7B686D42"/>
    <w:rsid w:val="7B6C3521"/>
    <w:rsid w:val="7B7004A0"/>
    <w:rsid w:val="7B724561"/>
    <w:rsid w:val="7B7361E2"/>
    <w:rsid w:val="7B7E37AE"/>
    <w:rsid w:val="7B841746"/>
    <w:rsid w:val="7B983D40"/>
    <w:rsid w:val="7B9B0279"/>
    <w:rsid w:val="7BAB3F3D"/>
    <w:rsid w:val="7BAC1E48"/>
    <w:rsid w:val="7BAE0860"/>
    <w:rsid w:val="7BAF6AA4"/>
    <w:rsid w:val="7BC736D0"/>
    <w:rsid w:val="7BD209F2"/>
    <w:rsid w:val="7BD3007F"/>
    <w:rsid w:val="7BD81D81"/>
    <w:rsid w:val="7BDF41CE"/>
    <w:rsid w:val="7BE02A9E"/>
    <w:rsid w:val="7BE137AC"/>
    <w:rsid w:val="7BE81FC4"/>
    <w:rsid w:val="7C0B180E"/>
    <w:rsid w:val="7C196B8F"/>
    <w:rsid w:val="7C2A214D"/>
    <w:rsid w:val="7C43544C"/>
    <w:rsid w:val="7C5E4034"/>
    <w:rsid w:val="7C6C5AC7"/>
    <w:rsid w:val="7C943EFA"/>
    <w:rsid w:val="7C984102"/>
    <w:rsid w:val="7C9F77F6"/>
    <w:rsid w:val="7CA4672B"/>
    <w:rsid w:val="7CA852AF"/>
    <w:rsid w:val="7CBA3CC2"/>
    <w:rsid w:val="7CBF5C8E"/>
    <w:rsid w:val="7CC0538D"/>
    <w:rsid w:val="7CC6544B"/>
    <w:rsid w:val="7CF635EE"/>
    <w:rsid w:val="7CF67332"/>
    <w:rsid w:val="7CFE50B3"/>
    <w:rsid w:val="7D020E63"/>
    <w:rsid w:val="7D0239FF"/>
    <w:rsid w:val="7D0B583E"/>
    <w:rsid w:val="7D0E2D9A"/>
    <w:rsid w:val="7D124E1E"/>
    <w:rsid w:val="7D154658"/>
    <w:rsid w:val="7D2961B3"/>
    <w:rsid w:val="7D2E5047"/>
    <w:rsid w:val="7D335CDC"/>
    <w:rsid w:val="7D494CE4"/>
    <w:rsid w:val="7D5B0BAF"/>
    <w:rsid w:val="7D5E40CD"/>
    <w:rsid w:val="7D6F401F"/>
    <w:rsid w:val="7D725CC6"/>
    <w:rsid w:val="7D877278"/>
    <w:rsid w:val="7DA01635"/>
    <w:rsid w:val="7DA129F8"/>
    <w:rsid w:val="7DB27DF8"/>
    <w:rsid w:val="7DB3215D"/>
    <w:rsid w:val="7DB36601"/>
    <w:rsid w:val="7DB617DD"/>
    <w:rsid w:val="7DC17B69"/>
    <w:rsid w:val="7DCD56F2"/>
    <w:rsid w:val="7DE947A3"/>
    <w:rsid w:val="7DF5428B"/>
    <w:rsid w:val="7E136716"/>
    <w:rsid w:val="7E141FC9"/>
    <w:rsid w:val="7E374081"/>
    <w:rsid w:val="7E464D80"/>
    <w:rsid w:val="7E682105"/>
    <w:rsid w:val="7E6F2929"/>
    <w:rsid w:val="7E751B09"/>
    <w:rsid w:val="7E7C6500"/>
    <w:rsid w:val="7E7F017C"/>
    <w:rsid w:val="7E914B0A"/>
    <w:rsid w:val="7E97382D"/>
    <w:rsid w:val="7E9B156F"/>
    <w:rsid w:val="7E9C0C05"/>
    <w:rsid w:val="7EA816A6"/>
    <w:rsid w:val="7EB23874"/>
    <w:rsid w:val="7EB919F5"/>
    <w:rsid w:val="7EB96510"/>
    <w:rsid w:val="7EBF5E13"/>
    <w:rsid w:val="7ECB114E"/>
    <w:rsid w:val="7ED24865"/>
    <w:rsid w:val="7ED60500"/>
    <w:rsid w:val="7EDF1B28"/>
    <w:rsid w:val="7EF02F3D"/>
    <w:rsid w:val="7EF7614D"/>
    <w:rsid w:val="7F001CE7"/>
    <w:rsid w:val="7F054C3B"/>
    <w:rsid w:val="7F0F5AB9"/>
    <w:rsid w:val="7F4531DA"/>
    <w:rsid w:val="7F4A3439"/>
    <w:rsid w:val="7F4A4D43"/>
    <w:rsid w:val="7F5134D0"/>
    <w:rsid w:val="7F515AED"/>
    <w:rsid w:val="7F597951"/>
    <w:rsid w:val="7F606315"/>
    <w:rsid w:val="7F7110E5"/>
    <w:rsid w:val="7F7206E8"/>
    <w:rsid w:val="7F773202"/>
    <w:rsid w:val="7F806E79"/>
    <w:rsid w:val="7F82628B"/>
    <w:rsid w:val="7F8627EF"/>
    <w:rsid w:val="7F945834"/>
    <w:rsid w:val="7F9E0BEB"/>
    <w:rsid w:val="7FA12A9D"/>
    <w:rsid w:val="7FAB3666"/>
    <w:rsid w:val="7FCB7F71"/>
    <w:rsid w:val="7FCC5758"/>
    <w:rsid w:val="7FD43A8F"/>
    <w:rsid w:val="7FE04A77"/>
    <w:rsid w:val="7FE2455A"/>
    <w:rsid w:val="7FE24F7C"/>
    <w:rsid w:val="7FE47E50"/>
    <w:rsid w:val="7FF058E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1902"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locked/>
    <w:uiPriority w:val="0"/>
    <w:pPr>
      <w:keepNext/>
      <w:keepLines/>
      <w:spacing w:before="260" w:beforeLines="0" w:after="260" w:afterLines="0" w:line="413" w:lineRule="auto"/>
      <w:outlineLvl w:val="2"/>
    </w:pPr>
    <w:rPr>
      <w:rFonts w:eastAsia="宋体"/>
      <w:b/>
      <w:bCs/>
      <w:kern w:val="2"/>
      <w:sz w:val="32"/>
      <w:szCs w:val="32"/>
      <w:lang w:val="en-US" w:eastAsia="zh-CN" w:bidi="ar-SA"/>
    </w:rPr>
  </w:style>
  <w:style w:type="paragraph" w:styleId="6">
    <w:name w:val="heading 4"/>
    <w:basedOn w:val="1"/>
    <w:next w:val="1"/>
    <w:qFormat/>
    <w:locked/>
    <w:uiPriority w:val="1"/>
    <w:pPr>
      <w:ind w:left="1242" w:hanging="541"/>
      <w:outlineLvl w:val="3"/>
    </w:pPr>
    <w:rPr>
      <w:rFonts w:ascii="宋体" w:hAnsi="宋体" w:eastAsia="宋体" w:cs="宋体"/>
      <w:b/>
      <w:bCs/>
      <w:sz w:val="24"/>
      <w:szCs w:val="24"/>
      <w:lang w:val="en-US" w:eastAsia="zh-CN" w:bidi="ar-SA"/>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locked/>
    <w:uiPriority w:val="0"/>
    <w:pPr>
      <w:spacing w:before="60" w:beforeLines="0" w:after="60" w:afterLines="0" w:line="400" w:lineRule="exact"/>
      <w:ind w:firstLine="420" w:firstLineChars="200"/>
    </w:pPr>
    <w:rPr>
      <w:sz w:val="24"/>
      <w:szCs w:val="20"/>
    </w:rPr>
  </w:style>
  <w:style w:type="paragraph" w:styleId="7">
    <w:name w:val="List 3"/>
    <w:basedOn w:val="1"/>
    <w:qFormat/>
    <w:locked/>
    <w:uiPriority w:val="0"/>
    <w:pPr>
      <w:ind w:left="100" w:leftChars="400" w:hanging="200" w:hangingChars="200"/>
    </w:pPr>
  </w:style>
  <w:style w:type="paragraph" w:styleId="8">
    <w:name w:val="table of authorities"/>
    <w:basedOn w:val="1"/>
    <w:next w:val="1"/>
    <w:semiHidden/>
    <w:qFormat/>
    <w:locked/>
    <w:uiPriority w:val="1902"/>
    <w:pPr>
      <w:ind w:left="420" w:leftChars="200"/>
    </w:pPr>
  </w:style>
  <w:style w:type="paragraph" w:styleId="9">
    <w:name w:val="caption"/>
    <w:basedOn w:val="1"/>
    <w:next w:val="1"/>
    <w:unhideWhenUsed/>
    <w:qFormat/>
    <w:locked/>
    <w:uiPriority w:val="35"/>
    <w:rPr>
      <w:rFonts w:ascii="Arial" w:hAnsi="Arial" w:eastAsia="黑体"/>
      <w:sz w:val="20"/>
    </w:rPr>
  </w:style>
  <w:style w:type="paragraph" w:styleId="10">
    <w:name w:val="annotation text"/>
    <w:basedOn w:val="1"/>
    <w:link w:val="43"/>
    <w:semiHidden/>
    <w:qFormat/>
    <w:uiPriority w:val="0"/>
    <w:pPr>
      <w:jc w:val="left"/>
    </w:pPr>
    <w:rPr>
      <w:kern w:val="0"/>
      <w:sz w:val="24"/>
      <w:szCs w:val="20"/>
    </w:rPr>
  </w:style>
  <w:style w:type="paragraph" w:styleId="11">
    <w:name w:val="Salutation"/>
    <w:basedOn w:val="1"/>
    <w:next w:val="1"/>
    <w:qFormat/>
    <w:locked/>
    <w:uiPriority w:val="0"/>
    <w:pPr>
      <w:spacing w:line="240" w:lineRule="auto"/>
    </w:pPr>
    <w:rPr>
      <w:b/>
      <w:bCs/>
    </w:rPr>
  </w:style>
  <w:style w:type="paragraph" w:styleId="12">
    <w:name w:val="Body Text 3"/>
    <w:basedOn w:val="1"/>
    <w:qFormat/>
    <w:locked/>
    <w:uiPriority w:val="0"/>
    <w:pPr>
      <w:jc w:val="center"/>
    </w:pPr>
    <w:rPr>
      <w:rFonts w:ascii="Times New Roman" w:hAnsi="Times New Roman" w:eastAsia="宋体" w:cs="Times New Roman"/>
      <w:sz w:val="18"/>
      <w:szCs w:val="24"/>
    </w:rPr>
  </w:style>
  <w:style w:type="paragraph" w:styleId="13">
    <w:name w:val="Body Text"/>
    <w:basedOn w:val="1"/>
    <w:next w:val="1"/>
    <w:link w:val="44"/>
    <w:qFormat/>
    <w:uiPriority w:val="0"/>
    <w:pPr>
      <w:widowControl/>
      <w:snapToGrid w:val="0"/>
      <w:spacing w:before="60" w:after="160" w:line="259" w:lineRule="auto"/>
      <w:ind w:right="113"/>
    </w:pPr>
    <w:rPr>
      <w:kern w:val="0"/>
      <w:sz w:val="18"/>
      <w:szCs w:val="20"/>
    </w:rPr>
  </w:style>
  <w:style w:type="paragraph" w:styleId="14">
    <w:name w:val="Body Text Indent"/>
    <w:basedOn w:val="1"/>
    <w:next w:val="1"/>
    <w:link w:val="45"/>
    <w:qFormat/>
    <w:uiPriority w:val="0"/>
    <w:pPr>
      <w:spacing w:after="120"/>
      <w:ind w:left="420" w:leftChars="200"/>
    </w:pPr>
    <w:rPr>
      <w:kern w:val="0"/>
      <w:sz w:val="24"/>
      <w:szCs w:val="20"/>
    </w:rPr>
  </w:style>
  <w:style w:type="paragraph" w:styleId="15">
    <w:name w:val="Block Text"/>
    <w:basedOn w:val="1"/>
    <w:qFormat/>
    <w:locked/>
    <w:uiPriority w:val="0"/>
    <w:pPr>
      <w:spacing w:after="120"/>
      <w:ind w:left="1440" w:leftChars="700" w:rightChars="700"/>
    </w:pPr>
  </w:style>
  <w:style w:type="paragraph" w:styleId="16">
    <w:name w:val="Plain Text"/>
    <w:basedOn w:val="1"/>
    <w:next w:val="1"/>
    <w:qFormat/>
    <w:locked/>
    <w:uiPriority w:val="0"/>
    <w:rPr>
      <w:rFonts w:hAnsi="Courier New" w:eastAsia="仿宋_GB2312"/>
      <w:kern w:val="2"/>
      <w:sz w:val="28"/>
      <w:szCs w:val="24"/>
    </w:rPr>
  </w:style>
  <w:style w:type="paragraph" w:styleId="17">
    <w:name w:val="List Bullet 5"/>
    <w:basedOn w:val="1"/>
    <w:qFormat/>
    <w:locked/>
    <w:uiPriority w:val="0"/>
    <w:pPr>
      <w:numPr>
        <w:ilvl w:val="0"/>
        <w:numId w:val="1"/>
      </w:numPr>
    </w:pPr>
  </w:style>
  <w:style w:type="paragraph" w:styleId="18">
    <w:name w:val="Date"/>
    <w:basedOn w:val="1"/>
    <w:next w:val="1"/>
    <w:link w:val="46"/>
    <w:qFormat/>
    <w:uiPriority w:val="0"/>
    <w:pPr>
      <w:ind w:left="100" w:leftChars="2500"/>
    </w:pPr>
    <w:rPr>
      <w:kern w:val="0"/>
      <w:sz w:val="24"/>
      <w:szCs w:val="20"/>
    </w:rPr>
  </w:style>
  <w:style w:type="paragraph" w:styleId="19">
    <w:name w:val="Body Text Indent 2"/>
    <w:basedOn w:val="1"/>
    <w:next w:val="1"/>
    <w:qFormat/>
    <w:locked/>
    <w:uiPriority w:val="0"/>
    <w:pPr>
      <w:ind w:firstLine="570"/>
    </w:pPr>
    <w:rPr>
      <w:sz w:val="28"/>
    </w:rPr>
  </w:style>
  <w:style w:type="paragraph" w:styleId="20">
    <w:name w:val="Balloon Text"/>
    <w:basedOn w:val="1"/>
    <w:link w:val="47"/>
    <w:semiHidden/>
    <w:qFormat/>
    <w:uiPriority w:val="0"/>
    <w:rPr>
      <w:kern w:val="0"/>
      <w:sz w:val="18"/>
      <w:szCs w:val="20"/>
    </w:rPr>
  </w:style>
  <w:style w:type="paragraph" w:styleId="21">
    <w:name w:val="footer"/>
    <w:basedOn w:val="1"/>
    <w:link w:val="48"/>
    <w:qFormat/>
    <w:uiPriority w:val="99"/>
    <w:pPr>
      <w:tabs>
        <w:tab w:val="center" w:pos="4153"/>
        <w:tab w:val="right" w:pos="8306"/>
      </w:tabs>
      <w:snapToGrid w:val="0"/>
      <w:jc w:val="left"/>
    </w:pPr>
    <w:rPr>
      <w:kern w:val="0"/>
      <w:sz w:val="18"/>
      <w:szCs w:val="20"/>
    </w:rPr>
  </w:style>
  <w:style w:type="paragraph" w:styleId="22">
    <w:name w:val="header"/>
    <w:basedOn w:val="1"/>
    <w:next w:val="23"/>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index heading"/>
    <w:basedOn w:val="1"/>
    <w:next w:val="24"/>
    <w:qFormat/>
    <w:locked/>
    <w:uiPriority w:val="0"/>
    <w:rPr>
      <w:szCs w:val="20"/>
    </w:rPr>
  </w:style>
  <w:style w:type="paragraph" w:styleId="24">
    <w:name w:val="index 1"/>
    <w:basedOn w:val="1"/>
    <w:next w:val="1"/>
    <w:unhideWhenUsed/>
    <w:qFormat/>
    <w:locked/>
    <w:uiPriority w:val="0"/>
    <w:pPr>
      <w:spacing w:line="240" w:lineRule="auto"/>
      <w:ind w:firstLine="0" w:firstLineChars="0"/>
      <w:jc w:val="center"/>
    </w:pPr>
    <w:rPr>
      <w:sz w:val="21"/>
    </w:rPr>
  </w:style>
  <w:style w:type="paragraph" w:styleId="25">
    <w:name w:val="List"/>
    <w:basedOn w:val="1"/>
    <w:qFormat/>
    <w:locked/>
    <w:uiPriority w:val="0"/>
    <w:pPr>
      <w:spacing w:before="20" w:after="20"/>
      <w:jc w:val="center"/>
      <w:textAlignment w:val="baseline"/>
    </w:pPr>
    <w:rPr>
      <w:kern w:val="0"/>
      <w:sz w:val="24"/>
    </w:rPr>
  </w:style>
  <w:style w:type="paragraph" w:styleId="26">
    <w:name w:val="Body Text Indent 3"/>
    <w:basedOn w:val="1"/>
    <w:qFormat/>
    <w:locked/>
    <w:uiPriority w:val="0"/>
    <w:pPr>
      <w:spacing w:line="520" w:lineRule="exact"/>
      <w:ind w:left="540"/>
    </w:pPr>
    <w:rPr>
      <w:rFonts w:ascii="仿宋_GB2312"/>
      <w:sz w:val="28"/>
    </w:rPr>
  </w:style>
  <w:style w:type="paragraph" w:styleId="27">
    <w:name w:val="Body Text 2"/>
    <w:basedOn w:val="1"/>
    <w:qFormat/>
    <w:locked/>
    <w:uiPriority w:val="0"/>
    <w:pPr>
      <w:spacing w:before="240" w:beforeLines="0" w:after="240" w:afterLines="0"/>
    </w:pPr>
    <w:rPr>
      <w:sz w:val="28"/>
      <w:szCs w:val="20"/>
    </w:rPr>
  </w:style>
  <w:style w:type="paragraph" w:styleId="28">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9">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0"/>
    <w:next w:val="10"/>
    <w:link w:val="51"/>
    <w:semiHidden/>
    <w:qFormat/>
    <w:uiPriority w:val="0"/>
    <w:rPr>
      <w:b/>
      <w:sz w:val="24"/>
      <w:szCs w:val="20"/>
    </w:rPr>
  </w:style>
  <w:style w:type="paragraph" w:styleId="31">
    <w:name w:val="Body Text First Indent"/>
    <w:basedOn w:val="13"/>
    <w:next w:val="1"/>
    <w:qFormat/>
    <w:locked/>
    <w:uiPriority w:val="0"/>
    <w:pPr>
      <w:spacing w:after="120" w:afterLines="0"/>
      <w:ind w:firstLine="420" w:firstLineChars="100"/>
    </w:pPr>
    <w:rPr>
      <w:sz w:val="21"/>
    </w:rPr>
  </w:style>
  <w:style w:type="paragraph" w:styleId="32">
    <w:name w:val="Body Text First Indent 2"/>
    <w:basedOn w:val="1"/>
    <w:next w:val="31"/>
    <w:qFormat/>
    <w:locked/>
    <w:uiPriority w:val="0"/>
    <w:pPr>
      <w:ind w:firstLine="420" w:firstLineChars="200"/>
    </w:p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locked/>
    <w:uiPriority w:val="0"/>
    <w:rPr>
      <w:b/>
      <w:bCs/>
    </w:rPr>
  </w:style>
  <w:style w:type="character" w:styleId="37">
    <w:name w:val="page number"/>
    <w:basedOn w:val="35"/>
    <w:qFormat/>
    <w:locked/>
    <w:uiPriority w:val="0"/>
  </w:style>
  <w:style w:type="character" w:styleId="38">
    <w:name w:val="FollowedHyperlink"/>
    <w:basedOn w:val="35"/>
    <w:qFormat/>
    <w:locked/>
    <w:uiPriority w:val="0"/>
    <w:rPr>
      <w:color w:val="000000"/>
      <w:u w:val="none"/>
    </w:rPr>
  </w:style>
  <w:style w:type="character" w:styleId="39">
    <w:name w:val="Emphasis"/>
    <w:basedOn w:val="35"/>
    <w:qFormat/>
    <w:locked/>
    <w:uiPriority w:val="0"/>
  </w:style>
  <w:style w:type="character" w:styleId="40">
    <w:name w:val="Hyperlink"/>
    <w:basedOn w:val="35"/>
    <w:qFormat/>
    <w:locked/>
    <w:uiPriority w:val="0"/>
    <w:rPr>
      <w:color w:val="000000"/>
      <w:u w:val="none"/>
    </w:rPr>
  </w:style>
  <w:style w:type="character" w:styleId="41">
    <w:name w:val="annotation reference"/>
    <w:semiHidden/>
    <w:qFormat/>
    <w:uiPriority w:val="0"/>
    <w:rPr>
      <w:sz w:val="21"/>
    </w:rPr>
  </w:style>
  <w:style w:type="character" w:styleId="42">
    <w:name w:val="HTML Sample"/>
    <w:basedOn w:val="35"/>
    <w:qFormat/>
    <w:locked/>
    <w:uiPriority w:val="0"/>
    <w:rPr>
      <w:rFonts w:ascii="Courier New" w:hAnsi="Courier New"/>
    </w:rPr>
  </w:style>
  <w:style w:type="character" w:customStyle="1" w:styleId="43">
    <w:name w:val="批注文字 Char"/>
    <w:link w:val="10"/>
    <w:qFormat/>
    <w:locked/>
    <w:uiPriority w:val="0"/>
    <w:rPr>
      <w:rFonts w:ascii="Times New Roman" w:hAnsi="Times New Roman" w:eastAsia="宋体"/>
      <w:sz w:val="24"/>
    </w:rPr>
  </w:style>
  <w:style w:type="character" w:customStyle="1" w:styleId="44">
    <w:name w:val="正文文本 Char"/>
    <w:link w:val="13"/>
    <w:qFormat/>
    <w:locked/>
    <w:uiPriority w:val="0"/>
    <w:rPr>
      <w:sz w:val="18"/>
    </w:rPr>
  </w:style>
  <w:style w:type="character" w:customStyle="1" w:styleId="45">
    <w:name w:val="正文文本缩进 Char"/>
    <w:link w:val="14"/>
    <w:semiHidden/>
    <w:qFormat/>
    <w:locked/>
    <w:uiPriority w:val="0"/>
    <w:rPr>
      <w:rFonts w:ascii="Times New Roman" w:hAnsi="Times New Roman" w:eastAsia="宋体"/>
      <w:sz w:val="24"/>
    </w:rPr>
  </w:style>
  <w:style w:type="character" w:customStyle="1" w:styleId="46">
    <w:name w:val="日期 Char"/>
    <w:link w:val="18"/>
    <w:qFormat/>
    <w:locked/>
    <w:uiPriority w:val="0"/>
    <w:rPr>
      <w:rFonts w:ascii="Times New Roman" w:hAnsi="Times New Roman" w:eastAsia="宋体"/>
      <w:sz w:val="24"/>
    </w:rPr>
  </w:style>
  <w:style w:type="character" w:customStyle="1" w:styleId="47">
    <w:name w:val="批注框文本 Char"/>
    <w:link w:val="20"/>
    <w:semiHidden/>
    <w:qFormat/>
    <w:locked/>
    <w:uiPriority w:val="0"/>
    <w:rPr>
      <w:rFonts w:ascii="Times New Roman" w:hAnsi="Times New Roman" w:eastAsia="宋体"/>
      <w:sz w:val="18"/>
    </w:rPr>
  </w:style>
  <w:style w:type="character" w:customStyle="1" w:styleId="48">
    <w:name w:val="页脚 Char"/>
    <w:link w:val="21"/>
    <w:qFormat/>
    <w:locked/>
    <w:uiPriority w:val="99"/>
    <w:rPr>
      <w:sz w:val="18"/>
    </w:rPr>
  </w:style>
  <w:style w:type="character" w:customStyle="1" w:styleId="49">
    <w:name w:val="页眉 Char"/>
    <w:link w:val="22"/>
    <w:qFormat/>
    <w:locked/>
    <w:uiPriority w:val="0"/>
    <w:rPr>
      <w:sz w:val="18"/>
    </w:rPr>
  </w:style>
  <w:style w:type="character" w:customStyle="1" w:styleId="50">
    <w:name w:val="普通(网站) Char"/>
    <w:link w:val="29"/>
    <w:qFormat/>
    <w:locked/>
    <w:uiPriority w:val="0"/>
    <w:rPr>
      <w:rFonts w:ascii="宋体" w:hAnsi="宋体" w:eastAsia="宋体"/>
      <w:sz w:val="24"/>
    </w:rPr>
  </w:style>
  <w:style w:type="character" w:customStyle="1" w:styleId="51">
    <w:name w:val="批注主题 Char"/>
    <w:link w:val="30"/>
    <w:semiHidden/>
    <w:qFormat/>
    <w:locked/>
    <w:uiPriority w:val="0"/>
    <w:rPr>
      <w:rFonts w:ascii="Times New Roman" w:hAnsi="Times New Roman" w:eastAsia="宋体"/>
      <w:b/>
      <w:kern w:val="2"/>
      <w:sz w:val="24"/>
    </w:rPr>
  </w:style>
  <w:style w:type="paragraph" w:customStyle="1" w:styleId="52">
    <w:name w:val="正文首行缩进2个字 Char"/>
    <w:basedOn w:val="1"/>
    <w:qFormat/>
    <w:uiPriority w:val="0"/>
    <w:pPr>
      <w:ind w:firstLine="480" w:firstLineChars="200"/>
    </w:pPr>
    <w:rPr>
      <w:rFonts w:eastAsia="楷体"/>
      <w:sz w:val="24"/>
      <w:szCs w:val="24"/>
    </w:rPr>
  </w:style>
  <w:style w:type="character" w:customStyle="1" w:styleId="53">
    <w:name w:val="lishishuju"/>
    <w:basedOn w:val="35"/>
    <w:qFormat/>
    <w:uiPriority w:val="0"/>
    <w:rPr>
      <w:b/>
      <w:bCs/>
      <w:color w:val="000052"/>
      <w:sz w:val="24"/>
      <w:szCs w:val="24"/>
      <w:bdr w:val="single" w:color="E3E3E3" w:sz="6" w:space="0"/>
    </w:rPr>
  </w:style>
  <w:style w:type="character" w:customStyle="1" w:styleId="54">
    <w:name w:val="页脚 字符"/>
    <w:basedOn w:val="35"/>
    <w:qFormat/>
    <w:uiPriority w:val="99"/>
  </w:style>
  <w:style w:type="character" w:customStyle="1" w:styleId="55">
    <w:name w:val="fontstyle01"/>
    <w:qFormat/>
    <w:uiPriority w:val="0"/>
    <w:rPr>
      <w:rFonts w:hint="eastAsia" w:ascii="宋体" w:hAnsi="宋体" w:eastAsia="宋体"/>
      <w:color w:val="000000"/>
      <w:sz w:val="24"/>
      <w:szCs w:val="24"/>
    </w:rPr>
  </w:style>
  <w:style w:type="character" w:customStyle="1" w:styleId="56">
    <w:name w:val="cur2"/>
    <w:basedOn w:val="35"/>
    <w:qFormat/>
    <w:uiPriority w:val="0"/>
    <w:rPr>
      <w:color w:val="FFFFFF"/>
      <w:shd w:val="clear" w:color="auto" w:fill="2F6B98"/>
    </w:rPr>
  </w:style>
  <w:style w:type="character" w:customStyle="1" w:styleId="57">
    <w:name w:val="正文文本_"/>
    <w:qFormat/>
    <w:uiPriority w:val="0"/>
    <w:rPr>
      <w:rFonts w:ascii="宋体" w:eastAsia="宋体" w:cs="宋体"/>
      <w:sz w:val="22"/>
      <w:szCs w:val="22"/>
      <w:u w:val="none"/>
    </w:rPr>
  </w:style>
  <w:style w:type="character" w:customStyle="1" w:styleId="58">
    <w:name w:val="正文文本 (2)_"/>
    <w:link w:val="59"/>
    <w:qFormat/>
    <w:uiPriority w:val="0"/>
    <w:rPr>
      <w:rFonts w:ascii="宋体"/>
      <w:kern w:val="0"/>
      <w:sz w:val="22"/>
      <w:szCs w:val="22"/>
    </w:rPr>
  </w:style>
  <w:style w:type="paragraph" w:customStyle="1" w:styleId="59">
    <w:name w:val="正文文本 (2)1"/>
    <w:basedOn w:val="1"/>
    <w:link w:val="58"/>
    <w:qFormat/>
    <w:uiPriority w:val="0"/>
    <w:pPr>
      <w:shd w:val="clear" w:color="auto" w:fill="FFFFFF"/>
      <w:spacing w:line="470" w:lineRule="exact"/>
      <w:jc w:val="distribute"/>
    </w:pPr>
    <w:rPr>
      <w:rFonts w:ascii="宋体"/>
      <w:kern w:val="0"/>
      <w:sz w:val="22"/>
      <w:szCs w:val="22"/>
    </w:rPr>
  </w:style>
  <w:style w:type="character" w:customStyle="1" w:styleId="60">
    <w:name w:val="radio-btn2"/>
    <w:basedOn w:val="35"/>
    <w:qFormat/>
    <w:uiPriority w:val="0"/>
    <w:rPr>
      <w:sz w:val="24"/>
      <w:szCs w:val="24"/>
    </w:rPr>
  </w:style>
  <w:style w:type="character" w:customStyle="1" w:styleId="61">
    <w:name w:val="disabled"/>
    <w:basedOn w:val="35"/>
    <w:qFormat/>
    <w:uiPriority w:val="0"/>
    <w:rPr>
      <w:vanish/>
    </w:rPr>
  </w:style>
  <w:style w:type="character" w:customStyle="1" w:styleId="62">
    <w:name w:val="lable"/>
    <w:basedOn w:val="35"/>
    <w:qFormat/>
    <w:uiPriority w:val="0"/>
    <w:rPr>
      <w:sz w:val="24"/>
      <w:szCs w:val="24"/>
    </w:rPr>
  </w:style>
  <w:style w:type="character" w:customStyle="1" w:styleId="63">
    <w:name w:val="radio-btn1"/>
    <w:basedOn w:val="35"/>
    <w:qFormat/>
    <w:uiPriority w:val="0"/>
    <w:rPr>
      <w:sz w:val="24"/>
      <w:szCs w:val="24"/>
    </w:rPr>
  </w:style>
  <w:style w:type="character" w:customStyle="1" w:styleId="64">
    <w:name w:val="font21"/>
    <w:basedOn w:val="35"/>
    <w:qFormat/>
    <w:uiPriority w:val="0"/>
    <w:rPr>
      <w:rFonts w:hint="eastAsia" w:ascii="宋体" w:hAnsi="宋体" w:eastAsia="宋体" w:cs="宋体"/>
      <w:color w:val="000000"/>
      <w:sz w:val="21"/>
      <w:szCs w:val="21"/>
      <w:u w:val="none"/>
    </w:rPr>
  </w:style>
  <w:style w:type="character" w:customStyle="1" w:styleId="65">
    <w:name w:val="cur"/>
    <w:basedOn w:val="35"/>
    <w:qFormat/>
    <w:uiPriority w:val="0"/>
    <w:rPr>
      <w:color w:val="FFFFFF"/>
      <w:shd w:val="clear" w:color="auto" w:fill="2F6B98"/>
    </w:rPr>
  </w:style>
  <w:style w:type="character" w:customStyle="1" w:styleId="66">
    <w:name w:val="znspantitle"/>
    <w:basedOn w:val="35"/>
    <w:uiPriority w:val="0"/>
    <w:rPr>
      <w:b/>
      <w:bCs/>
      <w:color w:val="333333"/>
    </w:rPr>
  </w:style>
  <w:style w:type="character" w:customStyle="1" w:styleId="67">
    <w:name w:val=" Char Char3"/>
    <w:basedOn w:val="35"/>
    <w:qFormat/>
    <w:locked/>
    <w:uiPriority w:val="0"/>
    <w:rPr>
      <w:rFonts w:eastAsia="宋体"/>
      <w:kern w:val="2"/>
      <w:sz w:val="28"/>
      <w:szCs w:val="24"/>
      <w:lang w:val="en-US" w:eastAsia="zh-CN" w:bidi="ar-SA"/>
    </w:rPr>
  </w:style>
  <w:style w:type="character" w:customStyle="1" w:styleId="68">
    <w:name w:val="radio-btn"/>
    <w:basedOn w:val="35"/>
    <w:qFormat/>
    <w:uiPriority w:val="0"/>
    <w:rPr>
      <w:sz w:val="21"/>
      <w:szCs w:val="21"/>
    </w:rPr>
  </w:style>
  <w:style w:type="character" w:customStyle="1" w:styleId="69">
    <w:name w:val="批注文字 字符1"/>
    <w:semiHidden/>
    <w:qFormat/>
    <w:uiPriority w:val="0"/>
    <w:rPr>
      <w:rFonts w:ascii="Times New Roman" w:hAnsi="Times New Roman" w:eastAsia="宋体"/>
      <w:sz w:val="24"/>
    </w:rPr>
  </w:style>
  <w:style w:type="character" w:customStyle="1" w:styleId="70">
    <w:name w:val="p141"/>
    <w:qFormat/>
    <w:uiPriority w:val="0"/>
    <w:rPr>
      <w:color w:val="333333"/>
      <w:sz w:val="21"/>
      <w:szCs w:val="21"/>
    </w:rPr>
  </w:style>
  <w:style w:type="character" w:customStyle="1" w:styleId="71">
    <w:name w:val="表格 Char"/>
    <w:link w:val="72"/>
    <w:qFormat/>
    <w:locked/>
    <w:uiPriority w:val="0"/>
    <w:rPr>
      <w:rFonts w:ascii="宋体"/>
      <w:sz w:val="21"/>
    </w:rPr>
  </w:style>
  <w:style w:type="paragraph" w:customStyle="1" w:styleId="72">
    <w:name w:val="表格"/>
    <w:basedOn w:val="1"/>
    <w:next w:val="1"/>
    <w:link w:val="71"/>
    <w:qFormat/>
    <w:uiPriority w:val="0"/>
    <w:pPr>
      <w:adjustRightInd w:val="0"/>
      <w:snapToGrid w:val="0"/>
      <w:spacing w:beforeLines="10" w:afterLines="10" w:line="259" w:lineRule="auto"/>
      <w:jc w:val="center"/>
    </w:pPr>
    <w:rPr>
      <w:rFonts w:ascii="宋体"/>
      <w:kern w:val="0"/>
      <w:szCs w:val="20"/>
    </w:rPr>
  </w:style>
  <w:style w:type="character" w:customStyle="1" w:styleId="73">
    <w:name w:val="日期 字符"/>
    <w:semiHidden/>
    <w:qFormat/>
    <w:uiPriority w:val="0"/>
    <w:rPr>
      <w:rFonts w:ascii="Times New Roman" w:hAnsi="Times New Roman" w:eastAsia="宋体"/>
      <w:sz w:val="24"/>
    </w:rPr>
  </w:style>
  <w:style w:type="character" w:customStyle="1" w:styleId="74">
    <w:name w:val="正文文本 字符1"/>
    <w:semiHidden/>
    <w:qFormat/>
    <w:uiPriority w:val="0"/>
    <w:rPr>
      <w:rFonts w:ascii="Times New Roman" w:hAnsi="Times New Roman" w:eastAsia="宋体"/>
      <w:sz w:val="24"/>
    </w:rPr>
  </w:style>
  <w:style w:type="paragraph" w:customStyle="1" w:styleId="7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6">
    <w:name w:val=" Char Char Char Char Char Char Char Char Char Char"/>
    <w:basedOn w:val="1"/>
    <w:qFormat/>
    <w:uiPriority w:val="0"/>
    <w:pPr>
      <w:widowControl/>
      <w:spacing w:after="160" w:line="240" w:lineRule="exact"/>
      <w:jc w:val="left"/>
    </w:pPr>
    <w:rPr>
      <w:sz w:val="21"/>
      <w:szCs w:val="24"/>
    </w:rPr>
  </w:style>
  <w:style w:type="paragraph" w:customStyle="1" w:styleId="77">
    <w:name w:val="表标题1"/>
    <w:basedOn w:val="1"/>
    <w:qFormat/>
    <w:uiPriority w:val="0"/>
    <w:pPr>
      <w:adjustRightInd w:val="0"/>
      <w:snapToGrid w:val="0"/>
      <w:spacing w:before="156" w:beforeLines="50" w:line="240" w:lineRule="auto"/>
      <w:jc w:val="center"/>
    </w:pPr>
    <w:rPr>
      <w:b/>
      <w:kern w:val="0"/>
      <w:lang w:val="en-TT"/>
    </w:rPr>
  </w:style>
  <w:style w:type="paragraph" w:customStyle="1" w:styleId="78">
    <w:name w:val="正文1"/>
    <w:basedOn w:val="1"/>
    <w:qFormat/>
    <w:uiPriority w:val="0"/>
    <w:pPr>
      <w:adjustRightInd w:val="0"/>
      <w:snapToGrid w:val="0"/>
      <w:spacing w:line="360" w:lineRule="auto"/>
      <w:ind w:firstLine="482"/>
    </w:pPr>
    <w:rPr>
      <w:rFonts w:ascii="宋体" w:hAnsi="宋体"/>
      <w:snapToGrid w:val="0"/>
      <w:kern w:val="0"/>
      <w:sz w:val="24"/>
    </w:rPr>
  </w:style>
  <w:style w:type="paragraph" w:customStyle="1" w:styleId="79">
    <w:name w:val="标题2"/>
    <w:unhideWhenUsed/>
    <w:qFormat/>
    <w:uiPriority w:val="2"/>
    <w:pPr>
      <w:outlineLvl w:val="2"/>
    </w:pPr>
    <w:rPr>
      <w:rFonts w:ascii="Calibri" w:hAnsi="Calibri" w:eastAsia="宋体" w:cs="Times New Roman"/>
      <w:kern w:val="2"/>
      <w:sz w:val="21"/>
      <w:szCs w:val="22"/>
      <w:lang w:val="en-US" w:eastAsia="zh-CN" w:bidi="ar-SA"/>
    </w:rPr>
  </w:style>
  <w:style w:type="paragraph" w:customStyle="1" w:styleId="80">
    <w:name w:val="报告表格"/>
    <w:basedOn w:val="1"/>
    <w:next w:val="1"/>
    <w:qFormat/>
    <w:uiPriority w:val="0"/>
    <w:pPr>
      <w:autoSpaceDE w:val="0"/>
      <w:autoSpaceDN w:val="0"/>
      <w:adjustRightInd w:val="0"/>
      <w:spacing w:line="318" w:lineRule="atLeast"/>
      <w:jc w:val="center"/>
      <w:textAlignment w:val="bottom"/>
    </w:pPr>
    <w:rPr>
      <w:kern w:val="0"/>
      <w:szCs w:val="20"/>
    </w:rPr>
  </w:style>
  <w:style w:type="paragraph" w:customStyle="1" w:styleId="81">
    <w:name w:val="列出段落1"/>
    <w:basedOn w:val="1"/>
    <w:qFormat/>
    <w:uiPriority w:val="0"/>
    <w:pPr>
      <w:ind w:firstLine="420" w:firstLineChars="200"/>
    </w:pPr>
    <w:rPr>
      <w:rFonts w:eastAsia="宋体"/>
    </w:rPr>
  </w:style>
  <w:style w:type="paragraph" w:customStyle="1" w:styleId="82">
    <w:name w:val="表图"/>
    <w:basedOn w:val="1"/>
    <w:qFormat/>
    <w:uiPriority w:val="0"/>
    <w:pPr>
      <w:spacing w:line="320" w:lineRule="exact"/>
      <w:jc w:val="center"/>
    </w:pPr>
    <w:rPr>
      <w:sz w:val="21"/>
      <w:szCs w:val="20"/>
    </w:rPr>
  </w:style>
  <w:style w:type="paragraph" w:customStyle="1" w:styleId="83">
    <w:name w:val="样式 正文文本缩进 + 行距: 1.5 倍行距"/>
    <w:basedOn w:val="14"/>
    <w:qFormat/>
    <w:uiPriority w:val="0"/>
    <w:pPr>
      <w:spacing w:line="360" w:lineRule="auto"/>
      <w:ind w:left="0" w:leftChars="0" w:firstLine="560" w:firstLineChars="200"/>
    </w:pPr>
    <w:rPr>
      <w:rFonts w:cs="宋体"/>
      <w:b/>
      <w:bCs/>
      <w:sz w:val="28"/>
      <w:szCs w:val="20"/>
    </w:rPr>
  </w:style>
  <w:style w:type="paragraph" w:customStyle="1" w:styleId="84">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85">
    <w:name w:val="纯文本1"/>
    <w:basedOn w:val="1"/>
    <w:qFormat/>
    <w:uiPriority w:val="0"/>
    <w:pPr>
      <w:adjustRightInd w:val="0"/>
    </w:pPr>
    <w:rPr>
      <w:rFonts w:ascii="宋体" w:hAnsi="Courier New"/>
    </w:rPr>
  </w:style>
  <w:style w:type="paragraph" w:customStyle="1" w:styleId="86">
    <w:name w:val="样式 宋体 四号 左侧:  0 厘米 行距: 1.5 倍行距"/>
    <w:basedOn w:val="1"/>
    <w:qFormat/>
    <w:uiPriority w:val="0"/>
    <w:pPr>
      <w:spacing w:line="360" w:lineRule="auto"/>
      <w:ind w:firstLine="560" w:firstLineChars="200"/>
      <w:jc w:val="left"/>
    </w:pPr>
    <w:rPr>
      <w:rFonts w:ascii="宋体" w:hAnsi="宋体" w:cs="宋体"/>
      <w:color w:val="FF0000"/>
      <w:sz w:val="28"/>
      <w:szCs w:val="28"/>
    </w:rPr>
  </w:style>
  <w:style w:type="paragraph" w:customStyle="1" w:styleId="87">
    <w:name w:val="表格式"/>
    <w:basedOn w:val="25"/>
    <w:qFormat/>
    <w:uiPriority w:val="0"/>
    <w:pPr>
      <w:autoSpaceDE w:val="0"/>
      <w:autoSpaceDN w:val="0"/>
      <w:spacing w:line="360" w:lineRule="auto"/>
      <w:jc w:val="center"/>
      <w:textAlignment w:val="bottom"/>
    </w:pPr>
    <w:rPr>
      <w:sz w:val="21"/>
      <w:szCs w:val="21"/>
    </w:rPr>
  </w:style>
  <w:style w:type="paragraph" w:customStyle="1" w:styleId="88">
    <w:name w:val="表头文字"/>
    <w:basedOn w:val="89"/>
    <w:qFormat/>
    <w:uiPriority w:val="0"/>
    <w:pPr>
      <w:spacing w:line="240" w:lineRule="auto"/>
      <w:ind w:firstLine="0" w:firstLineChars="0"/>
      <w:jc w:val="center"/>
    </w:pPr>
    <w:rPr>
      <w:rFonts w:ascii="Times New Roman" w:hAnsi="Times New Roman"/>
      <w:b/>
      <w:sz w:val="21"/>
      <w:szCs w:val="22"/>
    </w:rPr>
  </w:style>
  <w:style w:type="paragraph" w:customStyle="1" w:styleId="89">
    <w:name w:val="表文字"/>
    <w:basedOn w:val="1"/>
    <w:qFormat/>
    <w:uiPriority w:val="0"/>
    <w:pPr>
      <w:adjustRightInd w:val="0"/>
      <w:snapToGrid w:val="0"/>
      <w:jc w:val="center"/>
    </w:pPr>
    <w:rPr>
      <w:szCs w:val="20"/>
    </w:rPr>
  </w:style>
  <w:style w:type="paragraph" w:styleId="90">
    <w:name w:val="List Paragraph"/>
    <w:basedOn w:val="1"/>
    <w:qFormat/>
    <w:uiPriority w:val="0"/>
    <w:pPr>
      <w:ind w:firstLine="420" w:firstLineChars="200"/>
    </w:pPr>
    <w:rPr>
      <w:rFonts w:ascii="Calibri" w:hAnsi="Calibri"/>
      <w:szCs w:val="22"/>
    </w:rPr>
  </w:style>
  <w:style w:type="paragraph" w:customStyle="1" w:styleId="91">
    <w:name w:val="Table Paragraph"/>
    <w:basedOn w:val="1"/>
    <w:qFormat/>
    <w:uiPriority w:val="1"/>
  </w:style>
  <w:style w:type="paragraph" w:customStyle="1" w:styleId="92">
    <w:name w:val="文章正文"/>
    <w:basedOn w:val="1"/>
    <w:qFormat/>
    <w:uiPriority w:val="0"/>
    <w:pPr>
      <w:shd w:val="clear" w:color="auto" w:fill="FFFFFF"/>
      <w:tabs>
        <w:tab w:val="left" w:pos="1981"/>
        <w:tab w:val="left" w:pos="2264"/>
      </w:tabs>
      <w:adjustRightInd w:val="0"/>
      <w:snapToGrid w:val="0"/>
      <w:spacing w:line="360" w:lineRule="auto"/>
      <w:ind w:firstLine="420" w:firstLineChars="200"/>
      <w:jc w:val="left"/>
    </w:pPr>
    <w:rPr>
      <w:rFonts w:eastAsia="宋体"/>
      <w:spacing w:val="-2"/>
      <w:sz w:val="24"/>
      <w:szCs w:val="28"/>
    </w:rPr>
  </w:style>
  <w:style w:type="paragraph" w:customStyle="1" w:styleId="93">
    <w:name w:val="1正文"/>
    <w:basedOn w:val="1"/>
    <w:qFormat/>
    <w:uiPriority w:val="0"/>
    <w:pPr>
      <w:spacing w:line="360" w:lineRule="auto"/>
      <w:ind w:firstLine="200" w:firstLineChars="200"/>
    </w:pPr>
    <w:rPr>
      <w:sz w:val="24"/>
    </w:rPr>
  </w:style>
  <w:style w:type="paragraph" w:customStyle="1" w:styleId="94">
    <w:name w:val="表格内容"/>
    <w:basedOn w:val="1"/>
    <w:next w:val="3"/>
    <w:qFormat/>
    <w:uiPriority w:val="0"/>
    <w:pPr>
      <w:widowControl/>
      <w:adjustRightInd w:val="0"/>
      <w:spacing w:before="60" w:after="60"/>
      <w:jc w:val="center"/>
    </w:pPr>
    <w:rPr>
      <w:rFonts w:cs="Courier New"/>
      <w:kern w:val="0"/>
      <w:szCs w:val="21"/>
    </w:rPr>
  </w:style>
  <w:style w:type="paragraph" w:customStyle="1" w:styleId="95">
    <w:name w:val="表"/>
    <w:basedOn w:val="1"/>
    <w:qFormat/>
    <w:uiPriority w:val="0"/>
    <w:pPr>
      <w:jc w:val="center"/>
      <w:outlineLvl w:val="3"/>
    </w:pPr>
    <w:rPr>
      <w:rFonts w:eastAsia="仿宋_GB2312"/>
      <w:kern w:val="0"/>
      <w:szCs w:val="21"/>
    </w:rPr>
  </w:style>
  <w:style w:type="paragraph" w:customStyle="1" w:styleId="96">
    <w:name w:val="正文格式"/>
    <w:qFormat/>
    <w:uiPriority w:val="0"/>
    <w:pPr>
      <w:widowControl w:val="0"/>
      <w:spacing w:line="360" w:lineRule="auto"/>
      <w:ind w:firstLine="482"/>
      <w:jc w:val="both"/>
    </w:pPr>
    <w:rPr>
      <w:rFonts w:ascii="宋体" w:hAnsi="宋体" w:eastAsia="宋体" w:cs="Times New Roman"/>
      <w:kern w:val="2"/>
      <w:sz w:val="24"/>
      <w:szCs w:val="24"/>
      <w:lang w:val="en-US" w:eastAsia="zh-CN" w:bidi="ar-SA"/>
    </w:rPr>
  </w:style>
  <w:style w:type="paragraph" w:customStyle="1" w:styleId="97">
    <w:name w:val="0"/>
    <w:basedOn w:val="1"/>
    <w:qFormat/>
    <w:uiPriority w:val="0"/>
    <w:pPr>
      <w:widowControl/>
      <w:snapToGrid w:val="0"/>
    </w:pPr>
    <w:rPr>
      <w:kern w:val="0"/>
    </w:rPr>
  </w:style>
  <w:style w:type="paragraph" w:customStyle="1" w:styleId="98">
    <w:name w:val="表格标题"/>
    <w:basedOn w:val="1"/>
    <w:qFormat/>
    <w:uiPriority w:val="0"/>
    <w:pPr>
      <w:tabs>
        <w:tab w:val="left" w:pos="7590"/>
      </w:tabs>
      <w:snapToGrid w:val="0"/>
      <w:jc w:val="center"/>
    </w:pPr>
    <w:rPr>
      <w:rFonts w:ascii="Times New Roman" w:hAnsi="Times New Roman"/>
      <w:sz w:val="28"/>
    </w:rPr>
  </w:style>
  <w:style w:type="paragraph" w:customStyle="1" w:styleId="99">
    <w:name w:val="p0"/>
    <w:basedOn w:val="1"/>
    <w:qFormat/>
    <w:uiPriority w:val="0"/>
    <w:pPr>
      <w:widowControl/>
      <w:jc w:val="left"/>
    </w:pPr>
    <w:rPr>
      <w:kern w:val="0"/>
      <w:sz w:val="20"/>
    </w:rPr>
  </w:style>
  <w:style w:type="paragraph" w:customStyle="1" w:styleId="100">
    <w:name w:val="表标题"/>
    <w:basedOn w:val="1"/>
    <w:next w:val="1"/>
    <w:qFormat/>
    <w:uiPriority w:val="0"/>
    <w:pPr>
      <w:spacing w:line="240" w:lineRule="auto"/>
      <w:ind w:firstLine="0" w:firstLineChars="0"/>
      <w:jc w:val="center"/>
    </w:pPr>
    <w:rPr>
      <w:rFonts w:cs="Times New Roman"/>
      <w:b/>
      <w:sz w:val="24"/>
      <w:szCs w:val="21"/>
    </w:rPr>
  </w:style>
  <w:style w:type="paragraph" w:customStyle="1" w:styleId="101">
    <w:name w:val="表格文字"/>
    <w:basedOn w:val="102"/>
    <w:next w:val="1"/>
    <w:qFormat/>
    <w:uiPriority w:val="0"/>
    <w:pPr>
      <w:spacing w:line="240" w:lineRule="auto"/>
      <w:ind w:firstLine="0" w:firstLineChars="0"/>
      <w:jc w:val="center"/>
    </w:pPr>
    <w:rPr>
      <w:rFonts w:hint="eastAsia" w:cs="Times New Roman"/>
      <w:color w:val="auto"/>
      <w:sz w:val="21"/>
    </w:rPr>
  </w:style>
  <w:style w:type="paragraph" w:customStyle="1" w:styleId="102">
    <w:name w:val="样式1"/>
    <w:basedOn w:val="1"/>
    <w:qFormat/>
    <w:uiPriority w:val="0"/>
    <w:pPr>
      <w:spacing w:line="360" w:lineRule="auto"/>
      <w:ind w:firstLine="510"/>
    </w:pPr>
    <w:rPr>
      <w:rFonts w:ascii="Times New Roman" w:hAnsi="Times New Roman"/>
      <w:sz w:val="24"/>
      <w:szCs w:val="20"/>
    </w:rPr>
  </w:style>
  <w:style w:type="paragraph" w:customStyle="1" w:styleId="103">
    <w:name w:val="报告正文"/>
    <w:basedOn w:val="1"/>
    <w:qFormat/>
    <w:uiPriority w:val="0"/>
    <w:pPr>
      <w:spacing w:line="360" w:lineRule="auto"/>
      <w:ind w:firstLine="200" w:firstLineChars="200"/>
      <w:jc w:val="left"/>
    </w:pPr>
    <w:rPr>
      <w:sz w:val="24"/>
      <w:szCs w:val="24"/>
    </w:rPr>
  </w:style>
  <w:style w:type="paragraph" w:customStyle="1" w:styleId="104">
    <w:name w:val="样式5"/>
    <w:basedOn w:val="103"/>
    <w:qFormat/>
    <w:uiPriority w:val="0"/>
    <w:pPr>
      <w:numPr>
        <w:ilvl w:val="0"/>
        <w:numId w:val="0"/>
      </w:numPr>
      <w:tabs>
        <w:tab w:val="left" w:pos="851"/>
      </w:tabs>
      <w:spacing w:before="120" w:after="120" w:line="360" w:lineRule="auto"/>
      <w:jc w:val="left"/>
    </w:pPr>
    <w:rPr>
      <w:rFonts w:ascii="Times New Roman" w:hAnsi="Times New Roman" w:eastAsia="黑体"/>
    </w:rPr>
  </w:style>
  <w:style w:type="paragraph" w:customStyle="1" w:styleId="105">
    <w:name w:val="表题"/>
    <w:basedOn w:val="1"/>
    <w:qFormat/>
    <w:uiPriority w:val="0"/>
    <w:pPr>
      <w:adjustRightInd w:val="0"/>
      <w:snapToGrid w:val="0"/>
      <w:spacing w:before="312" w:beforeLines="100" w:line="360" w:lineRule="auto"/>
      <w:ind w:firstLine="480" w:firstLineChars="200"/>
      <w:jc w:val="center"/>
    </w:pPr>
    <w:rPr>
      <w:rFonts w:ascii="宋体" w:hAnsi="宋体"/>
      <w:sz w:val="24"/>
    </w:rPr>
  </w:style>
  <w:style w:type="paragraph" w:customStyle="1" w:styleId="106">
    <w:name w:val="文章文字"/>
    <w:basedOn w:val="1"/>
    <w:qFormat/>
    <w:uiPriority w:val="0"/>
    <w:pPr>
      <w:spacing w:line="540" w:lineRule="atLeast"/>
      <w:ind w:firstLine="592" w:firstLineChars="200"/>
    </w:pPr>
    <w:rPr>
      <w:spacing w:val="8"/>
      <w:sz w:val="28"/>
    </w:rPr>
  </w:style>
  <w:style w:type="paragraph" w:customStyle="1" w:styleId="107">
    <w:name w:val="xl24"/>
    <w:basedOn w:val="1"/>
    <w:qFormat/>
    <w:uiPriority w:val="3"/>
    <w:pPr>
      <w:widowControl/>
      <w:pBdr>
        <w:bottom w:val="double" w:color="auto" w:sz="6" w:space="0"/>
      </w:pBdr>
      <w:adjustRightInd w:val="0"/>
      <w:snapToGrid w:val="0"/>
      <w:spacing w:before="100" w:beforeAutospacing="1" w:after="100" w:afterAutospacing="1" w:line="360" w:lineRule="auto"/>
      <w:jc w:val="center"/>
      <w:textAlignment w:val="center"/>
    </w:pPr>
    <w:rPr>
      <w:rFonts w:ascii="宋体" w:hAnsi="宋体"/>
      <w:kern w:val="0"/>
      <w:sz w:val="24"/>
    </w:rPr>
  </w:style>
  <w:style w:type="paragraph" w:customStyle="1" w:styleId="108">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无间隔"/>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110">
    <w:name w:val="方案正文样式"/>
    <w:basedOn w:val="1"/>
    <w:qFormat/>
    <w:uiPriority w:val="0"/>
    <w:pPr>
      <w:adjustRightInd w:val="0"/>
      <w:snapToGrid w:val="0"/>
      <w:spacing w:line="360" w:lineRule="auto"/>
      <w:ind w:firstLine="454"/>
      <w:textAlignment w:val="baseline"/>
    </w:pPr>
    <w:rPr>
      <w:snapToGrid w:val="0"/>
      <w:kern w:val="0"/>
      <w:sz w:val="24"/>
      <w:szCs w:val="24"/>
    </w:rPr>
  </w:style>
  <w:style w:type="paragraph" w:customStyle="1" w:styleId="111">
    <w:name w:val="_Style 2"/>
    <w:basedOn w:val="1"/>
    <w:qFormat/>
    <w:uiPriority w:val="34"/>
    <w:pPr>
      <w:spacing w:after="100" w:afterLines="0" w:afterAutospacing="1"/>
      <w:ind w:firstLine="420" w:firstLineChars="200"/>
      <w:jc w:val="left"/>
    </w:pPr>
    <w:rPr>
      <w:rFonts w:ascii="Calibri" w:hAnsi="Calibri"/>
      <w:szCs w:val="22"/>
    </w:rPr>
  </w:style>
  <w:style w:type="paragraph" w:customStyle="1" w:styleId="112">
    <w:name w:val="—1—"/>
    <w:basedOn w:val="1"/>
    <w:qFormat/>
    <w:uiPriority w:val="0"/>
    <w:pPr>
      <w:spacing w:line="440" w:lineRule="exact"/>
    </w:pPr>
    <w:rPr>
      <w:rFonts w:eastAsia="仿宋"/>
      <w:sz w:val="24"/>
      <w:szCs w:val="20"/>
    </w:rPr>
  </w:style>
  <w:style w:type="paragraph" w:customStyle="1" w:styleId="113">
    <w:name w:val="正文(首行缩进)"/>
    <w:basedOn w:val="1"/>
    <w:qFormat/>
    <w:uiPriority w:val="0"/>
    <w:pPr>
      <w:tabs>
        <w:tab w:val="left" w:pos="6678"/>
      </w:tabs>
      <w:jc w:val="center"/>
    </w:pPr>
    <w:rPr>
      <w:rFonts w:ascii="宋体" w:hAnsi="宋体" w:cs="宋体"/>
      <w:snapToGrid w:val="0"/>
      <w:szCs w:val="21"/>
    </w:rPr>
  </w:style>
  <w:style w:type="paragraph" w:customStyle="1" w:styleId="114">
    <w:name w:val="样式2"/>
    <w:basedOn w:val="1"/>
    <w:qFormat/>
    <w:uiPriority w:val="3"/>
  </w:style>
  <w:style w:type="paragraph" w:customStyle="1" w:styleId="11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
    <w:name w:val="Default"/>
    <w:basedOn w:val="85"/>
    <w:next w:val="7"/>
    <w:qFormat/>
    <w:uiPriority w:val="99"/>
    <w:pPr>
      <w:widowControl w:val="0"/>
      <w:autoSpaceDE w:val="0"/>
      <w:autoSpaceDN w:val="0"/>
      <w:adjustRightInd w:val="0"/>
    </w:pPr>
    <w:rPr>
      <w:rFonts w:ascii="oúì." w:hAnsi="Times New Roman" w:eastAsia="oúì." w:cs="oúì."/>
      <w:color w:val="000000"/>
      <w:sz w:val="24"/>
      <w:szCs w:val="24"/>
      <w:lang w:val="en-US" w:eastAsia="zh-CN" w:bidi="ar-SA"/>
    </w:rPr>
  </w:style>
  <w:style w:type="paragraph" w:customStyle="1" w:styleId="117">
    <w:name w:val="正文仿宋小四"/>
    <w:basedOn w:val="1"/>
    <w:qFormat/>
    <w:uiPriority w:val="0"/>
    <w:pPr>
      <w:adjustRightInd w:val="0"/>
      <w:snapToGrid w:val="0"/>
      <w:spacing w:line="360" w:lineRule="auto"/>
      <w:ind w:firstLine="480" w:firstLineChars="200"/>
    </w:pPr>
    <w:rPr>
      <w:rFonts w:eastAsia="仿宋_GB2312"/>
      <w:sz w:val="24"/>
    </w:rPr>
  </w:style>
  <w:style w:type="paragraph" w:customStyle="1" w:styleId="118">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119">
    <w:name w:val="文本正文"/>
    <w:basedOn w:val="1"/>
    <w:qFormat/>
    <w:uiPriority w:val="0"/>
    <w:pPr>
      <w:snapToGrid w:val="0"/>
      <w:spacing w:line="360" w:lineRule="auto"/>
      <w:ind w:firstLine="510"/>
      <w:jc w:val="left"/>
    </w:pPr>
    <w:rPr>
      <w:kern w:val="0"/>
      <w:sz w:val="24"/>
      <w:lang w:val="zh-CN"/>
    </w:rPr>
  </w:style>
  <w:style w:type="paragraph" w:customStyle="1" w:styleId="120">
    <w:name w:val="正文（首行缩进两字）m"/>
    <w:basedOn w:val="2"/>
    <w:qFormat/>
    <w:uiPriority w:val="0"/>
    <w:pPr>
      <w:tabs>
        <w:tab w:val="left" w:pos="1848"/>
        <w:tab w:val="left" w:pos="6061"/>
        <w:tab w:val="left" w:pos="8665"/>
      </w:tabs>
      <w:adjustRightInd w:val="0"/>
      <w:snapToGrid w:val="0"/>
      <w:spacing w:before="156" w:beforeLines="50" w:line="460" w:lineRule="exact"/>
      <w:ind w:firstLine="480"/>
    </w:pPr>
    <w:rPr>
      <w:rFonts w:ascii="Times New Roman" w:hAnsi="Times New Roman"/>
      <w:color w:val="339966"/>
      <w:sz w:val="24"/>
      <w:szCs w:val="20"/>
    </w:rPr>
  </w:style>
  <w:style w:type="paragraph" w:customStyle="1" w:styleId="121">
    <w:name w:val="WPSOffice手动目录 1"/>
    <w:qFormat/>
    <w:uiPriority w:val="0"/>
    <w:pPr>
      <w:ind w:leftChars="0"/>
    </w:pPr>
    <w:rPr>
      <w:rFonts w:ascii="Times New Roman" w:hAnsi="Times New Roman" w:eastAsia="宋体" w:cs="Times New Roman"/>
      <w:sz w:val="20"/>
      <w:szCs w:val="20"/>
    </w:rPr>
  </w:style>
  <w:style w:type="paragraph" w:customStyle="1" w:styleId="122">
    <w:name w:val="表头"/>
    <w:basedOn w:val="7"/>
    <w:next w:val="1"/>
    <w:qFormat/>
    <w:uiPriority w:val="0"/>
    <w:pPr>
      <w:tabs>
        <w:tab w:val="left" w:pos="3480"/>
      </w:tabs>
      <w:autoSpaceDE w:val="0"/>
      <w:autoSpaceDN w:val="0"/>
      <w:adjustRightInd w:val="0"/>
      <w:spacing w:line="360" w:lineRule="auto"/>
      <w:ind w:left="-359" w:leftChars="-171" w:firstLine="359" w:firstLineChars="149"/>
      <w:jc w:val="center"/>
      <w:textAlignment w:val="baseline"/>
    </w:pPr>
    <w:rPr>
      <w:b/>
      <w:color w:val="3333FF"/>
      <w:kern w:val="0"/>
      <w:sz w:val="24"/>
      <w:szCs w:val="20"/>
    </w:rPr>
  </w:style>
  <w:style w:type="paragraph" w:customStyle="1" w:styleId="12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样式 标题 1 + 四号 段前: 0 磅 段后: 0 磅 行距: 1.5 倍行距"/>
    <w:basedOn w:val="3"/>
    <w:next w:val="119"/>
    <w:qFormat/>
    <w:uiPriority w:val="0"/>
    <w:pPr>
      <w:spacing w:line="360" w:lineRule="auto"/>
      <w:jc w:val="center"/>
    </w:pPr>
  </w:style>
  <w:style w:type="table" w:customStyle="1" w:styleId="125">
    <w:name w:val="Table Normal"/>
    <w:unhideWhenUsed/>
    <w:qFormat/>
    <w:uiPriority w:val="0"/>
    <w:tblPr>
      <w:tblCellMar>
        <w:top w:w="0" w:type="dxa"/>
        <w:left w:w="0" w:type="dxa"/>
        <w:bottom w:w="0" w:type="dxa"/>
        <w:right w:w="0" w:type="dxa"/>
      </w:tblCellMar>
    </w:tblPr>
  </w:style>
  <w:style w:type="table" w:customStyle="1" w:styleId="126">
    <w:name w:val="我的表格"/>
    <w:qFormat/>
    <w:uiPriority w:val="99"/>
    <w:pPr>
      <w:adjustRightInd w:val="0"/>
      <w:snapToGrid w:val="0"/>
    </w:pPr>
    <w:tblPr>
      <w:tblBorders>
        <w:top w:val="double" w:color="auto" w:sz="4" w:space="0"/>
        <w:bottom w:val="double" w:color="auto" w:sz="4" w:space="0"/>
        <w:insideH w:val="single" w:color="auto" w:sz="4" w:space="0"/>
        <w:insideV w:val="single" w:color="auto" w:sz="4" w:space="0"/>
      </w:tblBorders>
    </w:tblPr>
    <w:tcPr>
      <w:shd w:val="clear" w:color="auto" w:fill="auto"/>
    </w:tcPr>
    <w:tblStylePr w:type="firstRow">
      <w:rPr>
        <w:rFonts w:eastAsia="宋体"/>
        <w:sz w:val="21"/>
      </w:rPr>
      <w:tcPr>
        <w:shd w:val="clear" w:color="auto" w:fill="D8D8D8"/>
      </w:tcPr>
    </w:tblStylePr>
  </w:style>
  <w:style w:type="table" w:customStyle="1" w:styleId="127">
    <w:name w:val="标准表格"/>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Symbol"/>
        <w:sz w:val="18"/>
      </w:rPr>
      <w:tblPr/>
      <w:trPr>
        <w:tblHeader/>
      </w:trPr>
    </w:tblStylePr>
    <w:tblStylePr w:type="firstCol">
      <w:pPr>
        <w:jc w:val="center"/>
      </w:pPr>
    </w:tblStylePr>
  </w:style>
  <w:style w:type="character" w:customStyle="1" w:styleId="128">
    <w:name w:val="font11"/>
    <w:basedOn w:val="35"/>
    <w:qFormat/>
    <w:uiPriority w:val="0"/>
    <w:rPr>
      <w:rFonts w:hint="eastAsia" w:ascii="宋体" w:hAnsi="宋体" w:eastAsia="宋体"/>
      <w:color w:val="000000"/>
      <w:sz w:val="32"/>
      <w:szCs w:val="32"/>
      <w:u w:val="none"/>
    </w:rPr>
  </w:style>
  <w:style w:type="paragraph" w:customStyle="1" w:styleId="129">
    <w:name w:val="正缩1"/>
    <w:basedOn w:val="1"/>
    <w:qFormat/>
    <w:uiPriority w:val="0"/>
    <w:pPr>
      <w:adjustRightInd w:val="0"/>
      <w:snapToGrid w:val="0"/>
      <w:spacing w:line="500" w:lineRule="exact"/>
      <w:ind w:firstLine="567"/>
    </w:pPr>
    <w:rPr>
      <w:rFonts w:eastAsia="仿宋_GB2312"/>
      <w:color w:val="000000"/>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82</Pages>
  <Words>40837</Words>
  <Characters>48743</Characters>
  <Lines>13</Lines>
  <Paragraphs>3</Paragraphs>
  <TotalTime>14</TotalTime>
  <ScaleCrop>false</ScaleCrop>
  <LinksUpToDate>false</LinksUpToDate>
  <CharactersWithSpaces>49200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刘变香</cp:lastModifiedBy>
  <cp:lastPrinted>2023-04-07T00:25:00Z</cp:lastPrinted>
  <dcterms:modified xsi:type="dcterms:W3CDTF">2024-11-17T11:47:36Z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19108978C6DC4F519AEEE96073E52EB0</vt:lpwstr>
  </property>
</Properties>
</file>