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400762">
      <w:pPr>
        <w:jc w:val="center"/>
        <w:rPr>
          <w:rFonts w:hint="eastAsia" w:ascii="宋体" w:hAnsi="宋体" w:eastAsia="宋体" w:cs="宋体"/>
          <w:b/>
          <w:bCs/>
          <w:sz w:val="72"/>
          <w:szCs w:val="72"/>
          <w:lang w:val="en-US" w:eastAsia="zh-CN"/>
        </w:rPr>
      </w:pPr>
      <w:r>
        <w:rPr>
          <w:rFonts w:hint="eastAsia" w:ascii="宋体" w:hAnsi="宋体" w:eastAsia="宋体" w:cs="宋体"/>
          <w:b/>
          <w:bCs/>
          <w:sz w:val="72"/>
          <w:szCs w:val="72"/>
          <w:lang w:val="en-US" w:eastAsia="zh-CN"/>
        </w:rPr>
        <w:t>建设项目环境影响报告表</w:t>
      </w:r>
    </w:p>
    <w:p w14:paraId="68B37E95">
      <w:pPr>
        <w:jc w:val="center"/>
        <w:rPr>
          <w:rFonts w:hint="eastAsia" w:ascii="宋体" w:hAnsi="宋体" w:eastAsia="宋体" w:cs="宋体"/>
          <w:b/>
          <w:bCs/>
          <w:sz w:val="28"/>
          <w:szCs w:val="28"/>
          <w:lang w:val="en-US" w:eastAsia="zh-CN"/>
        </w:rPr>
      </w:pPr>
    </w:p>
    <w:p w14:paraId="3163253F">
      <w:pPr>
        <w:jc w:val="center"/>
        <w:rPr>
          <w:rFonts w:hint="eastAsia"/>
          <w:lang w:val="en-US" w:eastAsia="zh-CN"/>
        </w:rPr>
      </w:pPr>
      <w:r>
        <w:rPr>
          <w:rFonts w:hint="eastAsia" w:ascii="宋体" w:hAnsi="宋体" w:eastAsia="宋体" w:cs="宋体"/>
          <w:b/>
          <w:bCs/>
          <w:sz w:val="32"/>
          <w:szCs w:val="32"/>
          <w:lang w:val="en-US" w:eastAsia="zh-CN"/>
        </w:rPr>
        <w:t>（</w:t>
      </w:r>
      <w:r>
        <w:rPr>
          <w:rFonts w:hint="eastAsia" w:ascii="宋体" w:hAnsi="宋体" w:cs="宋体"/>
          <w:b/>
          <w:bCs/>
          <w:sz w:val="32"/>
          <w:szCs w:val="32"/>
          <w:lang w:val="en-US" w:eastAsia="zh-CN"/>
        </w:rPr>
        <w:t>报批</w:t>
      </w:r>
      <w:r>
        <w:rPr>
          <w:rFonts w:hint="eastAsia" w:ascii="宋体" w:hAnsi="宋体" w:eastAsia="宋体" w:cs="宋体"/>
          <w:b/>
          <w:bCs/>
          <w:sz w:val="32"/>
          <w:szCs w:val="32"/>
          <w:lang w:val="en-US" w:eastAsia="zh-CN"/>
        </w:rPr>
        <w:t>稿）</w:t>
      </w:r>
    </w:p>
    <w:p w14:paraId="61AB0B03">
      <w:pPr>
        <w:rPr>
          <w:rFonts w:hint="eastAsia"/>
          <w:lang w:val="en-US" w:eastAsia="zh-CN"/>
        </w:rPr>
      </w:pPr>
    </w:p>
    <w:p w14:paraId="76C7A7A3">
      <w:pPr>
        <w:rPr>
          <w:rFonts w:hint="eastAsia"/>
          <w:lang w:val="en-US" w:eastAsia="zh-CN"/>
        </w:rPr>
      </w:pPr>
    </w:p>
    <w:p w14:paraId="7AFF31FC">
      <w:pPr>
        <w:rPr>
          <w:rFonts w:hint="eastAsia"/>
          <w:lang w:val="en-US" w:eastAsia="zh-CN"/>
        </w:rPr>
      </w:pPr>
    </w:p>
    <w:p w14:paraId="6AE6C96C">
      <w:pPr>
        <w:rPr>
          <w:rFonts w:hint="eastAsia"/>
          <w:lang w:val="en-US" w:eastAsia="zh-CN"/>
        </w:rPr>
      </w:pPr>
    </w:p>
    <w:p w14:paraId="2C81C377">
      <w:pPr>
        <w:rPr>
          <w:rFonts w:hint="eastAsia"/>
          <w:lang w:val="en-US" w:eastAsia="zh-CN"/>
        </w:rPr>
      </w:pPr>
    </w:p>
    <w:p w14:paraId="7844F6EB">
      <w:pPr>
        <w:ind w:firstLine="1124" w:firstLineChars="400"/>
        <w:rPr>
          <w:rFonts w:hint="default" w:ascii="宋体" w:hAnsi="宋体" w:eastAsia="宋体" w:cs="宋体"/>
          <w:b/>
          <w:bCs/>
          <w:sz w:val="28"/>
          <w:szCs w:val="28"/>
          <w:u w:val="single"/>
          <w:lang w:val="en-US" w:eastAsia="zh-CN"/>
        </w:rPr>
      </w:pPr>
      <w:r>
        <w:rPr>
          <w:rFonts w:hint="eastAsia" w:ascii="宋体" w:hAnsi="宋体" w:eastAsia="宋体" w:cs="宋体"/>
          <w:b/>
          <w:bCs/>
          <w:sz w:val="28"/>
          <w:szCs w:val="28"/>
          <w:lang w:val="en-US" w:eastAsia="zh-CN"/>
        </w:rPr>
        <w:t>项目名称：</w:t>
      </w:r>
      <w:r>
        <w:rPr>
          <w:rFonts w:hint="eastAsia" w:ascii="宋体" w:hAnsi="宋体" w:eastAsia="宋体" w:cs="宋体"/>
          <w:b/>
          <w:bCs/>
          <w:sz w:val="28"/>
          <w:szCs w:val="28"/>
          <w:u w:val="single"/>
          <w:lang w:val="en-US" w:eastAsia="zh-CN"/>
        </w:rPr>
        <w:t>芒市中心城区综合管廊PPP一期建设项目</w:t>
      </w:r>
      <w:r>
        <w:rPr>
          <w:rFonts w:hint="eastAsia" w:ascii="宋体" w:hAnsi="宋体" w:cs="宋体"/>
          <w:b/>
          <w:bCs/>
          <w:sz w:val="28"/>
          <w:szCs w:val="28"/>
          <w:u w:val="single"/>
          <w:lang w:val="en-US" w:eastAsia="zh-CN"/>
        </w:rPr>
        <w:t xml:space="preserve"> </w:t>
      </w:r>
    </w:p>
    <w:p w14:paraId="2526A573">
      <w:pPr>
        <w:ind w:firstLine="1124" w:firstLineChars="400"/>
        <w:rPr>
          <w:rFonts w:hint="eastAsia" w:ascii="宋体" w:hAnsi="宋体" w:eastAsia="宋体" w:cs="宋体"/>
          <w:b/>
          <w:bCs/>
          <w:sz w:val="28"/>
          <w:szCs w:val="28"/>
          <w:u w:val="none"/>
          <w:lang w:val="en-US" w:eastAsia="zh-CN"/>
        </w:rPr>
      </w:pPr>
    </w:p>
    <w:p w14:paraId="78A5B5C9">
      <w:pPr>
        <w:ind w:firstLine="1124" w:firstLineChars="400"/>
        <w:rPr>
          <w:rFonts w:hint="default" w:ascii="宋体" w:hAnsi="宋体" w:eastAsia="宋体" w:cs="宋体"/>
          <w:b/>
          <w:bCs/>
          <w:sz w:val="28"/>
          <w:szCs w:val="28"/>
          <w:u w:val="single"/>
          <w:lang w:val="en-US" w:eastAsia="zh-CN"/>
        </w:rPr>
      </w:pPr>
      <w:r>
        <w:rPr>
          <w:rFonts w:hint="eastAsia" w:ascii="宋体" w:hAnsi="宋体" w:eastAsia="宋体" w:cs="宋体"/>
          <w:b/>
          <w:bCs/>
          <w:sz w:val="28"/>
          <w:szCs w:val="28"/>
          <w:u w:val="none"/>
          <w:lang w:val="en-US" w:eastAsia="zh-CN"/>
        </w:rPr>
        <w:t>建设单位：</w:t>
      </w:r>
      <w:r>
        <w:rPr>
          <w:rFonts w:hint="eastAsia" w:ascii="宋体" w:hAnsi="宋体" w:cs="宋体"/>
          <w:b/>
          <w:bCs/>
          <w:sz w:val="28"/>
          <w:szCs w:val="28"/>
          <w:u w:val="single"/>
          <w:lang w:val="en-US" w:eastAsia="zh-CN"/>
        </w:rPr>
        <w:t xml:space="preserve">  </w:t>
      </w:r>
      <w:r>
        <w:rPr>
          <w:rFonts w:hint="eastAsia" w:ascii="宋体" w:hAnsi="宋体" w:eastAsia="宋体" w:cs="宋体"/>
          <w:b/>
          <w:bCs/>
          <w:sz w:val="28"/>
          <w:szCs w:val="28"/>
          <w:u w:val="single"/>
          <w:lang w:val="en-US" w:eastAsia="zh-CN"/>
        </w:rPr>
        <w:t>芒市综合管廊投资开发有限公司</w:t>
      </w:r>
      <w:r>
        <w:rPr>
          <w:rFonts w:hint="eastAsia" w:ascii="宋体" w:hAnsi="宋体" w:cs="宋体"/>
          <w:b/>
          <w:bCs/>
          <w:sz w:val="28"/>
          <w:szCs w:val="28"/>
          <w:u w:val="single"/>
          <w:lang w:val="en-US" w:eastAsia="zh-CN"/>
        </w:rPr>
        <w:t xml:space="preserve">  </w:t>
      </w:r>
    </w:p>
    <w:p w14:paraId="623031F0">
      <w:pPr>
        <w:rPr>
          <w:rFonts w:hint="eastAsia"/>
          <w:u w:val="single"/>
          <w:lang w:val="en-US" w:eastAsia="zh-CN"/>
        </w:rPr>
      </w:pPr>
    </w:p>
    <w:p w14:paraId="18261943">
      <w:pPr>
        <w:rPr>
          <w:rFonts w:hint="eastAsia"/>
          <w:u w:val="single"/>
          <w:lang w:val="en-US" w:eastAsia="zh-CN"/>
        </w:rPr>
      </w:pPr>
    </w:p>
    <w:p w14:paraId="449D1F3D">
      <w:pPr>
        <w:rPr>
          <w:rFonts w:hint="eastAsia"/>
          <w:u w:val="single"/>
          <w:lang w:val="en-US" w:eastAsia="zh-CN"/>
        </w:rPr>
      </w:pPr>
    </w:p>
    <w:p w14:paraId="07C299AE">
      <w:pPr>
        <w:rPr>
          <w:rFonts w:hint="eastAsia"/>
          <w:u w:val="single"/>
          <w:lang w:val="en-US" w:eastAsia="zh-CN"/>
        </w:rPr>
      </w:pPr>
    </w:p>
    <w:p w14:paraId="5DEA461E">
      <w:pPr>
        <w:rPr>
          <w:rFonts w:hint="eastAsia"/>
          <w:u w:val="single"/>
          <w:lang w:val="en-US" w:eastAsia="zh-CN"/>
        </w:rPr>
      </w:pPr>
    </w:p>
    <w:p w14:paraId="771FAF9E">
      <w:pPr>
        <w:rPr>
          <w:rFonts w:hint="eastAsia"/>
          <w:u w:val="single"/>
          <w:lang w:val="en-US" w:eastAsia="zh-CN"/>
        </w:rPr>
      </w:pPr>
    </w:p>
    <w:p w14:paraId="3860AD7D">
      <w:pPr>
        <w:rPr>
          <w:rFonts w:hint="eastAsia"/>
          <w:u w:val="single"/>
          <w:lang w:val="en-US" w:eastAsia="zh-CN"/>
        </w:rPr>
      </w:pPr>
    </w:p>
    <w:p w14:paraId="1816F614">
      <w:pPr>
        <w:rPr>
          <w:rFonts w:hint="eastAsia"/>
          <w:u w:val="single"/>
          <w:lang w:val="en-US" w:eastAsia="zh-CN"/>
        </w:rPr>
      </w:pPr>
    </w:p>
    <w:p w14:paraId="3EC687F5">
      <w:pPr>
        <w:jc w:val="center"/>
        <w:rPr>
          <w:rFonts w:hint="eastAsia" w:ascii="宋体" w:hAnsi="宋体" w:eastAsia="宋体" w:cs="宋体"/>
          <w:b/>
          <w:bCs/>
          <w:sz w:val="28"/>
          <w:szCs w:val="28"/>
          <w:u w:val="none"/>
          <w:lang w:val="en-US" w:eastAsia="zh-CN"/>
        </w:rPr>
      </w:pPr>
    </w:p>
    <w:p w14:paraId="43965C09">
      <w:pPr>
        <w:jc w:val="center"/>
        <w:rPr>
          <w:rFonts w:hint="eastAsia" w:ascii="宋体" w:hAnsi="宋体" w:eastAsia="宋体" w:cs="宋体"/>
          <w:b/>
          <w:bCs/>
          <w:sz w:val="28"/>
          <w:szCs w:val="28"/>
          <w:u w:val="none"/>
          <w:lang w:val="en-US" w:eastAsia="zh-CN"/>
        </w:rPr>
      </w:pPr>
    </w:p>
    <w:p w14:paraId="4A99DD5D">
      <w:pPr>
        <w:jc w:val="center"/>
        <w:rPr>
          <w:rFonts w:hint="eastAsia" w:ascii="宋体" w:hAnsi="宋体" w:eastAsia="宋体" w:cs="宋体"/>
          <w:b/>
          <w:bCs/>
          <w:sz w:val="28"/>
          <w:szCs w:val="28"/>
          <w:u w:val="none"/>
          <w:lang w:val="en-US" w:eastAsia="zh-CN"/>
        </w:rPr>
      </w:pPr>
    </w:p>
    <w:p w14:paraId="01CA4968">
      <w:pPr>
        <w:jc w:val="center"/>
        <w:rPr>
          <w:rFonts w:hint="eastAsia" w:ascii="宋体" w:hAnsi="宋体" w:eastAsia="宋体" w:cs="宋体"/>
          <w:b/>
          <w:bCs/>
          <w:sz w:val="28"/>
          <w:szCs w:val="28"/>
          <w:u w:val="none"/>
          <w:lang w:val="en-US" w:eastAsia="zh-CN"/>
        </w:rPr>
      </w:pPr>
      <w:r>
        <w:rPr>
          <w:rFonts w:hint="eastAsia" w:ascii="宋体" w:hAnsi="宋体" w:eastAsia="宋体" w:cs="宋体"/>
          <w:b/>
          <w:bCs/>
          <w:sz w:val="28"/>
          <w:szCs w:val="28"/>
          <w:u w:val="none"/>
          <w:lang w:val="en-US" w:eastAsia="zh-CN"/>
        </w:rPr>
        <w:t>编制单位：云南禹含环保科技有限公司</w:t>
      </w:r>
    </w:p>
    <w:p w14:paraId="66B38CB3">
      <w:pPr>
        <w:jc w:val="center"/>
        <w:rPr>
          <w:rFonts w:hint="eastAsia" w:ascii="宋体" w:hAnsi="宋体" w:eastAsia="宋体" w:cs="宋体"/>
          <w:b/>
          <w:bCs/>
          <w:sz w:val="28"/>
          <w:szCs w:val="28"/>
          <w:u w:val="none"/>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b/>
          <w:bCs/>
          <w:sz w:val="28"/>
          <w:szCs w:val="28"/>
          <w:u w:val="none"/>
          <w:lang w:val="en-US" w:eastAsia="zh-CN"/>
        </w:rPr>
        <w:t>编制日期：2020年</w:t>
      </w:r>
      <w:r>
        <w:rPr>
          <w:rFonts w:hint="eastAsia" w:ascii="宋体" w:hAnsi="宋体" w:cs="宋体"/>
          <w:b/>
          <w:bCs/>
          <w:sz w:val="28"/>
          <w:szCs w:val="28"/>
          <w:u w:val="none"/>
          <w:lang w:val="en-US" w:eastAsia="zh-CN"/>
        </w:rPr>
        <w:t>7</w:t>
      </w:r>
      <w:r>
        <w:rPr>
          <w:rFonts w:hint="eastAsia" w:ascii="宋体" w:hAnsi="宋体" w:eastAsia="宋体" w:cs="宋体"/>
          <w:b/>
          <w:bCs/>
          <w:sz w:val="28"/>
          <w:szCs w:val="28"/>
          <w:u w:val="none"/>
          <w:lang w:val="en-US" w:eastAsia="zh-CN"/>
        </w:rPr>
        <w:t>月</w:t>
      </w:r>
    </w:p>
    <w:tbl>
      <w:tblPr>
        <w:tblStyle w:val="1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1"/>
        <w:gridCol w:w="3991"/>
      </w:tblGrid>
      <w:tr w14:paraId="70242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3" w:hRule="atLeast"/>
        </w:trPr>
        <w:tc>
          <w:tcPr>
            <w:tcW w:w="4531" w:type="dxa"/>
            <w:vAlign w:val="center"/>
          </w:tcPr>
          <w:p w14:paraId="4B603F0F">
            <w:pPr>
              <w:jc w:val="center"/>
              <w:rPr>
                <w:rFonts w:hint="eastAsia" w:ascii="宋体" w:hAnsi="宋体" w:eastAsia="宋体" w:cs="宋体"/>
                <w:b/>
                <w:bCs/>
                <w:sz w:val="28"/>
                <w:szCs w:val="28"/>
                <w:u w:val="none"/>
                <w:vertAlign w:val="baseline"/>
                <w:lang w:val="en-US" w:eastAsia="zh-CN"/>
              </w:rPr>
            </w:pPr>
            <w:r>
              <w:rPr>
                <w:rFonts w:hint="eastAsia" w:ascii="宋体" w:hAnsi="宋体" w:eastAsia="宋体" w:cs="宋体"/>
                <w:b/>
                <w:bCs/>
                <w:sz w:val="28"/>
                <w:szCs w:val="28"/>
                <w:u w:val="none"/>
                <w:vertAlign w:val="baseline"/>
                <w:lang w:val="en-US" w:eastAsia="zh-CN"/>
              </w:rPr>
              <w:drawing>
                <wp:inline distT="0" distB="0" distL="114300" distR="114300">
                  <wp:extent cx="2742565" cy="2466340"/>
                  <wp:effectExtent l="0" t="0" r="635" b="10160"/>
                  <wp:docPr id="48" name="图片 48" descr="西二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西二环2"/>
                          <pic:cNvPicPr>
                            <a:picLocks noChangeAspect="1"/>
                          </pic:cNvPicPr>
                        </pic:nvPicPr>
                        <pic:blipFill>
                          <a:blip r:embed="rId7"/>
                          <a:stretch>
                            <a:fillRect/>
                          </a:stretch>
                        </pic:blipFill>
                        <pic:spPr>
                          <a:xfrm>
                            <a:off x="0" y="0"/>
                            <a:ext cx="2742565" cy="2466340"/>
                          </a:xfrm>
                          <a:prstGeom prst="rect">
                            <a:avLst/>
                          </a:prstGeom>
                        </pic:spPr>
                      </pic:pic>
                    </a:graphicData>
                  </a:graphic>
                </wp:inline>
              </w:drawing>
            </w:r>
          </w:p>
        </w:tc>
        <w:tc>
          <w:tcPr>
            <w:tcW w:w="3991" w:type="dxa"/>
            <w:vAlign w:val="center"/>
          </w:tcPr>
          <w:p w14:paraId="7DEBDBF5">
            <w:pPr>
              <w:jc w:val="center"/>
              <w:rPr>
                <w:rFonts w:hint="eastAsia" w:ascii="宋体" w:hAnsi="宋体" w:eastAsia="宋体" w:cs="宋体"/>
                <w:b/>
                <w:bCs/>
                <w:sz w:val="28"/>
                <w:szCs w:val="28"/>
                <w:u w:val="none"/>
                <w:vertAlign w:val="baseline"/>
                <w:lang w:val="en-US" w:eastAsia="zh-CN"/>
              </w:rPr>
            </w:pPr>
            <w:r>
              <w:rPr>
                <w:rFonts w:hint="eastAsia" w:ascii="宋体" w:hAnsi="宋体" w:eastAsia="宋体" w:cs="宋体"/>
                <w:b/>
                <w:bCs/>
                <w:sz w:val="28"/>
                <w:szCs w:val="28"/>
                <w:u w:val="none"/>
                <w:vertAlign w:val="baseline"/>
                <w:lang w:val="en-US" w:eastAsia="zh-CN"/>
              </w:rPr>
              <w:drawing>
                <wp:inline distT="0" distB="0" distL="114300" distR="114300">
                  <wp:extent cx="2361565" cy="2420620"/>
                  <wp:effectExtent l="0" t="0" r="635" b="17780"/>
                  <wp:docPr id="49" name="图片 49" descr="C:/DOCUME~1/ADMINI~1/LOCALS~1/Temp/picturescale_20200728164141/output_20200728164143.jpgoutput_2020072816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DOCUME~1/ADMINI~1/LOCALS~1/Temp/picturescale_20200728164141/output_20200728164143.jpgoutput_20200728164143"/>
                          <pic:cNvPicPr>
                            <a:picLocks noChangeAspect="1"/>
                          </pic:cNvPicPr>
                        </pic:nvPicPr>
                        <pic:blipFill>
                          <a:blip r:embed="rId8"/>
                          <a:stretch>
                            <a:fillRect/>
                          </a:stretch>
                        </pic:blipFill>
                        <pic:spPr>
                          <a:xfrm>
                            <a:off x="0" y="0"/>
                            <a:ext cx="2361565" cy="2420620"/>
                          </a:xfrm>
                          <a:prstGeom prst="rect">
                            <a:avLst/>
                          </a:prstGeom>
                        </pic:spPr>
                      </pic:pic>
                    </a:graphicData>
                  </a:graphic>
                </wp:inline>
              </w:drawing>
            </w:r>
          </w:p>
        </w:tc>
      </w:tr>
      <w:tr w14:paraId="53C7F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gridSpan w:val="2"/>
            <w:vAlign w:val="center"/>
          </w:tcPr>
          <w:p w14:paraId="0C3E0148">
            <w:pPr>
              <w:jc w:val="center"/>
              <w:rPr>
                <w:rFonts w:hint="default" w:ascii="宋体" w:hAnsi="宋体" w:eastAsia="宋体" w:cs="宋体"/>
                <w:b/>
                <w:bCs/>
                <w:sz w:val="28"/>
                <w:szCs w:val="28"/>
                <w:u w:val="none"/>
                <w:vertAlign w:val="baseline"/>
                <w:lang w:val="en-US" w:eastAsia="zh-CN"/>
              </w:rPr>
            </w:pPr>
            <w:r>
              <w:rPr>
                <w:rFonts w:hint="eastAsia" w:ascii="宋体" w:hAnsi="宋体" w:cs="宋体"/>
                <w:b w:val="0"/>
                <w:bCs w:val="0"/>
                <w:sz w:val="24"/>
                <w:szCs w:val="24"/>
                <w:u w:val="none"/>
                <w:vertAlign w:val="baseline"/>
                <w:lang w:val="en-US" w:eastAsia="zh-CN"/>
              </w:rPr>
              <w:t>西二环段现状</w:t>
            </w:r>
          </w:p>
        </w:tc>
      </w:tr>
      <w:tr w14:paraId="22F5D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vAlign w:val="center"/>
          </w:tcPr>
          <w:p w14:paraId="48FAA974">
            <w:pPr>
              <w:jc w:val="center"/>
              <w:rPr>
                <w:rFonts w:hint="eastAsia" w:ascii="宋体" w:hAnsi="宋体" w:eastAsia="宋体" w:cs="宋体"/>
                <w:b/>
                <w:bCs/>
                <w:sz w:val="28"/>
                <w:szCs w:val="28"/>
                <w:u w:val="none"/>
                <w:vertAlign w:val="baseline"/>
                <w:lang w:val="en-US" w:eastAsia="zh-CN"/>
              </w:rPr>
            </w:pPr>
            <w:r>
              <w:rPr>
                <w:rFonts w:hint="eastAsia" w:ascii="宋体" w:hAnsi="宋体" w:eastAsia="宋体" w:cs="宋体"/>
                <w:b/>
                <w:bCs/>
                <w:sz w:val="28"/>
                <w:szCs w:val="28"/>
                <w:u w:val="none"/>
                <w:vertAlign w:val="baseline"/>
                <w:lang w:val="en-US" w:eastAsia="zh-CN"/>
              </w:rPr>
              <w:drawing>
                <wp:inline distT="0" distB="0" distL="114300" distR="114300">
                  <wp:extent cx="2743200" cy="2057400"/>
                  <wp:effectExtent l="0" t="0" r="0" b="0"/>
                  <wp:docPr id="50" name="图片 50" descr="胞波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胞波路"/>
                          <pic:cNvPicPr>
                            <a:picLocks noChangeAspect="1"/>
                          </pic:cNvPicPr>
                        </pic:nvPicPr>
                        <pic:blipFill>
                          <a:blip r:embed="rId9"/>
                          <a:stretch>
                            <a:fillRect/>
                          </a:stretch>
                        </pic:blipFill>
                        <pic:spPr>
                          <a:xfrm>
                            <a:off x="0" y="0"/>
                            <a:ext cx="2743200" cy="2057400"/>
                          </a:xfrm>
                          <a:prstGeom prst="rect">
                            <a:avLst/>
                          </a:prstGeom>
                        </pic:spPr>
                      </pic:pic>
                    </a:graphicData>
                  </a:graphic>
                </wp:inline>
              </w:drawing>
            </w:r>
          </w:p>
        </w:tc>
        <w:tc>
          <w:tcPr>
            <w:tcW w:w="3991" w:type="dxa"/>
            <w:vAlign w:val="center"/>
          </w:tcPr>
          <w:p w14:paraId="5083F4F2">
            <w:pPr>
              <w:jc w:val="center"/>
              <w:rPr>
                <w:rFonts w:hint="eastAsia" w:ascii="宋体" w:hAnsi="宋体" w:eastAsia="宋体" w:cs="宋体"/>
                <w:b/>
                <w:bCs/>
                <w:sz w:val="28"/>
                <w:szCs w:val="28"/>
                <w:u w:val="none"/>
                <w:vertAlign w:val="baseline"/>
                <w:lang w:val="en-US" w:eastAsia="zh-CN"/>
              </w:rPr>
            </w:pPr>
            <w:r>
              <w:rPr>
                <w:rFonts w:hint="eastAsia" w:ascii="宋体" w:hAnsi="宋体" w:eastAsia="宋体" w:cs="宋体"/>
                <w:b/>
                <w:bCs/>
                <w:sz w:val="28"/>
                <w:szCs w:val="28"/>
                <w:u w:val="none"/>
                <w:vertAlign w:val="baseline"/>
                <w:lang w:val="en-US" w:eastAsia="zh-CN"/>
              </w:rPr>
              <w:drawing>
                <wp:inline distT="0" distB="0" distL="114300" distR="114300">
                  <wp:extent cx="2387600" cy="1971040"/>
                  <wp:effectExtent l="0" t="0" r="12700" b="10160"/>
                  <wp:docPr id="51" name="图片 51" descr="芒市大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芒市大街"/>
                          <pic:cNvPicPr>
                            <a:picLocks noChangeAspect="1"/>
                          </pic:cNvPicPr>
                        </pic:nvPicPr>
                        <pic:blipFill>
                          <a:blip r:embed="rId10"/>
                          <a:stretch>
                            <a:fillRect/>
                          </a:stretch>
                        </pic:blipFill>
                        <pic:spPr>
                          <a:xfrm>
                            <a:off x="0" y="0"/>
                            <a:ext cx="2387600" cy="1971040"/>
                          </a:xfrm>
                          <a:prstGeom prst="rect">
                            <a:avLst/>
                          </a:prstGeom>
                        </pic:spPr>
                      </pic:pic>
                    </a:graphicData>
                  </a:graphic>
                </wp:inline>
              </w:drawing>
            </w:r>
          </w:p>
        </w:tc>
      </w:tr>
      <w:tr w14:paraId="6C50D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vAlign w:val="center"/>
          </w:tcPr>
          <w:p w14:paraId="0C7D6C82">
            <w:pPr>
              <w:jc w:val="center"/>
              <w:rPr>
                <w:rFonts w:hint="default" w:ascii="宋体" w:hAnsi="宋体" w:eastAsia="宋体" w:cs="宋体"/>
                <w:b w:val="0"/>
                <w:bCs w:val="0"/>
                <w:sz w:val="24"/>
                <w:szCs w:val="24"/>
                <w:u w:val="none"/>
                <w:vertAlign w:val="baseline"/>
                <w:lang w:val="en-US" w:eastAsia="zh-CN"/>
              </w:rPr>
            </w:pPr>
            <w:r>
              <w:rPr>
                <w:rFonts w:hint="eastAsia" w:ascii="宋体" w:hAnsi="宋体" w:cs="宋体"/>
                <w:b w:val="0"/>
                <w:bCs w:val="0"/>
                <w:sz w:val="24"/>
                <w:szCs w:val="24"/>
                <w:u w:val="none"/>
                <w:vertAlign w:val="baseline"/>
                <w:lang w:val="en-US" w:eastAsia="zh-CN"/>
              </w:rPr>
              <w:t>胞波路段现状</w:t>
            </w:r>
          </w:p>
        </w:tc>
        <w:tc>
          <w:tcPr>
            <w:tcW w:w="3991" w:type="dxa"/>
            <w:vAlign w:val="center"/>
          </w:tcPr>
          <w:p w14:paraId="2AD39CC2">
            <w:pPr>
              <w:jc w:val="center"/>
              <w:rPr>
                <w:rFonts w:hint="default" w:ascii="宋体" w:hAnsi="宋体" w:eastAsia="宋体" w:cs="宋体"/>
                <w:b w:val="0"/>
                <w:bCs w:val="0"/>
                <w:sz w:val="24"/>
                <w:szCs w:val="24"/>
                <w:u w:val="none"/>
                <w:vertAlign w:val="baseline"/>
                <w:lang w:val="en-US" w:eastAsia="zh-CN"/>
              </w:rPr>
            </w:pPr>
            <w:r>
              <w:rPr>
                <w:rFonts w:hint="eastAsia" w:ascii="宋体" w:hAnsi="宋体" w:cs="宋体"/>
                <w:b w:val="0"/>
                <w:bCs w:val="0"/>
                <w:sz w:val="24"/>
                <w:szCs w:val="24"/>
                <w:u w:val="none"/>
                <w:vertAlign w:val="baseline"/>
                <w:lang w:val="en-US" w:eastAsia="zh-CN"/>
              </w:rPr>
              <w:t>芒市大街现状</w:t>
            </w:r>
          </w:p>
        </w:tc>
      </w:tr>
      <w:tr w14:paraId="41586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vAlign w:val="center"/>
          </w:tcPr>
          <w:p w14:paraId="03F68D6F">
            <w:pPr>
              <w:jc w:val="center"/>
              <w:rPr>
                <w:rFonts w:hint="eastAsia" w:ascii="宋体" w:hAnsi="宋体" w:eastAsia="宋体" w:cs="宋体"/>
                <w:b/>
                <w:bCs/>
                <w:sz w:val="28"/>
                <w:szCs w:val="28"/>
                <w:u w:val="none"/>
                <w:vertAlign w:val="baseline"/>
                <w:lang w:val="en-US" w:eastAsia="zh-CN"/>
              </w:rPr>
            </w:pPr>
            <w:r>
              <w:rPr>
                <w:rFonts w:hint="eastAsia" w:ascii="宋体" w:hAnsi="宋体" w:eastAsia="宋体" w:cs="宋体"/>
                <w:b/>
                <w:bCs/>
                <w:sz w:val="28"/>
                <w:szCs w:val="28"/>
                <w:u w:val="none"/>
                <w:vertAlign w:val="baseline"/>
                <w:lang w:val="en-US" w:eastAsia="zh-CN"/>
              </w:rPr>
              <w:drawing>
                <wp:inline distT="0" distB="0" distL="114300" distR="114300">
                  <wp:extent cx="2736850" cy="2186305"/>
                  <wp:effectExtent l="0" t="0" r="6350" b="4445"/>
                  <wp:docPr id="52" name="图片 52" descr="敏感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敏感点"/>
                          <pic:cNvPicPr>
                            <a:picLocks noChangeAspect="1"/>
                          </pic:cNvPicPr>
                        </pic:nvPicPr>
                        <pic:blipFill>
                          <a:blip r:embed="rId11"/>
                          <a:stretch>
                            <a:fillRect/>
                          </a:stretch>
                        </pic:blipFill>
                        <pic:spPr>
                          <a:xfrm>
                            <a:off x="0" y="0"/>
                            <a:ext cx="2736850" cy="2186305"/>
                          </a:xfrm>
                          <a:prstGeom prst="rect">
                            <a:avLst/>
                          </a:prstGeom>
                        </pic:spPr>
                      </pic:pic>
                    </a:graphicData>
                  </a:graphic>
                </wp:inline>
              </w:drawing>
            </w:r>
          </w:p>
        </w:tc>
        <w:tc>
          <w:tcPr>
            <w:tcW w:w="3991" w:type="dxa"/>
            <w:vAlign w:val="center"/>
          </w:tcPr>
          <w:p w14:paraId="29C49302">
            <w:pPr>
              <w:jc w:val="center"/>
              <w:rPr>
                <w:rFonts w:hint="eastAsia" w:ascii="宋体" w:hAnsi="宋体" w:eastAsia="宋体" w:cs="宋体"/>
                <w:b/>
                <w:bCs/>
                <w:sz w:val="28"/>
                <w:szCs w:val="28"/>
                <w:u w:val="none"/>
                <w:vertAlign w:val="baseline"/>
                <w:lang w:val="en-US" w:eastAsia="zh-CN"/>
              </w:rPr>
            </w:pPr>
            <w:r>
              <w:rPr>
                <w:rFonts w:hint="eastAsia" w:ascii="宋体" w:hAnsi="宋体" w:eastAsia="宋体" w:cs="宋体"/>
                <w:b/>
                <w:bCs/>
                <w:sz w:val="28"/>
                <w:szCs w:val="28"/>
                <w:u w:val="none"/>
                <w:vertAlign w:val="baseline"/>
                <w:lang w:val="en-US" w:eastAsia="zh-CN"/>
              </w:rPr>
              <w:drawing>
                <wp:inline distT="0" distB="0" distL="114300" distR="114300">
                  <wp:extent cx="2395855" cy="2272665"/>
                  <wp:effectExtent l="0" t="0" r="4445" b="13335"/>
                  <wp:docPr id="54" name="图片 54" descr="289c9c1443c1ed4add9790a7a12d0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89c9c1443c1ed4add9790a7a12d09e"/>
                          <pic:cNvPicPr>
                            <a:picLocks noChangeAspect="1"/>
                          </pic:cNvPicPr>
                        </pic:nvPicPr>
                        <pic:blipFill>
                          <a:blip r:embed="rId12"/>
                          <a:stretch>
                            <a:fillRect/>
                          </a:stretch>
                        </pic:blipFill>
                        <pic:spPr>
                          <a:xfrm>
                            <a:off x="0" y="0"/>
                            <a:ext cx="2395855" cy="2272665"/>
                          </a:xfrm>
                          <a:prstGeom prst="rect">
                            <a:avLst/>
                          </a:prstGeom>
                        </pic:spPr>
                      </pic:pic>
                    </a:graphicData>
                  </a:graphic>
                </wp:inline>
              </w:drawing>
            </w:r>
          </w:p>
        </w:tc>
      </w:tr>
      <w:tr w14:paraId="7BBA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1" w:type="dxa"/>
            <w:vAlign w:val="center"/>
          </w:tcPr>
          <w:p w14:paraId="32C1324C">
            <w:pPr>
              <w:jc w:val="center"/>
              <w:rPr>
                <w:rFonts w:hint="eastAsia" w:ascii="宋体" w:hAnsi="宋体" w:eastAsia="宋体" w:cs="宋体"/>
                <w:b/>
                <w:bCs/>
                <w:sz w:val="28"/>
                <w:szCs w:val="28"/>
                <w:u w:val="none"/>
                <w:vertAlign w:val="baseline"/>
                <w:lang w:val="en-US" w:eastAsia="zh-CN"/>
              </w:rPr>
            </w:pPr>
            <w:r>
              <w:rPr>
                <w:rFonts w:hint="eastAsia" w:ascii="宋体" w:hAnsi="宋体" w:cs="宋体"/>
                <w:b w:val="0"/>
                <w:bCs w:val="0"/>
                <w:sz w:val="24"/>
                <w:szCs w:val="24"/>
                <w:u w:val="none"/>
                <w:vertAlign w:val="baseline"/>
                <w:lang w:val="en-US" w:eastAsia="zh-CN"/>
              </w:rPr>
              <w:t>敏感点</w:t>
            </w:r>
          </w:p>
        </w:tc>
        <w:tc>
          <w:tcPr>
            <w:tcW w:w="3991" w:type="dxa"/>
            <w:vAlign w:val="center"/>
          </w:tcPr>
          <w:p w14:paraId="1BC2186E">
            <w:pPr>
              <w:jc w:val="center"/>
              <w:rPr>
                <w:rFonts w:hint="eastAsia" w:ascii="宋体" w:hAnsi="宋体" w:eastAsia="宋体" w:cs="宋体"/>
                <w:b/>
                <w:bCs/>
                <w:sz w:val="28"/>
                <w:szCs w:val="28"/>
                <w:u w:val="none"/>
                <w:vertAlign w:val="baseline"/>
                <w:lang w:val="en-US" w:eastAsia="zh-CN"/>
              </w:rPr>
            </w:pPr>
            <w:r>
              <w:rPr>
                <w:rFonts w:hint="eastAsia" w:ascii="宋体" w:hAnsi="宋体" w:cs="宋体"/>
                <w:b w:val="0"/>
                <w:bCs w:val="0"/>
                <w:sz w:val="24"/>
                <w:szCs w:val="24"/>
                <w:u w:val="none"/>
                <w:vertAlign w:val="baseline"/>
                <w:lang w:val="en-US" w:eastAsia="zh-CN"/>
              </w:rPr>
              <w:t>敏感点</w:t>
            </w:r>
          </w:p>
        </w:tc>
      </w:tr>
    </w:tbl>
    <w:p w14:paraId="399208C2">
      <w:pPr>
        <w:rPr>
          <w:rFonts w:hint="eastAsia" w:ascii="宋体" w:hAnsi="宋体" w:eastAsia="宋体" w:cs="宋体"/>
          <w:b/>
          <w:bCs/>
          <w:sz w:val="28"/>
          <w:szCs w:val="28"/>
          <w:u w:val="none"/>
          <w:lang w:val="en-US" w:eastAsia="zh-CN"/>
        </w:rPr>
        <w:sectPr>
          <w:pgSz w:w="11906" w:h="16838"/>
          <w:pgMar w:top="1440" w:right="1800" w:bottom="1440" w:left="1800" w:header="851" w:footer="992" w:gutter="0"/>
          <w:cols w:space="425" w:num="1"/>
          <w:docGrid w:type="lines" w:linePitch="312" w:charSpace="0"/>
        </w:sectPr>
      </w:pPr>
    </w:p>
    <w:p w14:paraId="44A233EC">
      <w:pPr>
        <w:rPr>
          <w:rFonts w:hint="eastAsia" w:ascii="宋体" w:hAnsi="宋体" w:eastAsia="宋体" w:cs="宋体"/>
          <w:b/>
          <w:bCs/>
          <w:sz w:val="28"/>
          <w:szCs w:val="28"/>
          <w:u w:val="none"/>
          <w:lang w:val="en-US" w:eastAsia="zh-CN"/>
        </w:rPr>
      </w:pPr>
    </w:p>
    <w:p w14:paraId="7D22567D">
      <w:pPr>
        <w:pStyle w:val="4"/>
        <w:snapToGrid w:val="0"/>
        <w:spacing w:line="360" w:lineRule="auto"/>
        <w:jc w:val="center"/>
        <w:rPr>
          <w:rFonts w:ascii="Times New Roman" w:hAnsi="Times New Roman"/>
          <w:b/>
          <w:sz w:val="30"/>
        </w:rPr>
      </w:pPr>
      <w:r>
        <w:rPr>
          <w:rFonts w:ascii="Times New Roman" w:hAnsi="Times New Roman"/>
          <w:b/>
          <w:sz w:val="30"/>
        </w:rPr>
        <w:t>《建设项目环境影响报告表》编制说明</w:t>
      </w:r>
    </w:p>
    <w:p w14:paraId="2A624FBD">
      <w:pPr>
        <w:pStyle w:val="4"/>
        <w:snapToGrid w:val="0"/>
        <w:spacing w:line="360" w:lineRule="auto"/>
        <w:ind w:firstLine="560" w:firstLineChars="200"/>
        <w:rPr>
          <w:rFonts w:ascii="Times New Roman" w:hAnsi="Times New Roman"/>
          <w:sz w:val="28"/>
          <w:szCs w:val="28"/>
        </w:rPr>
      </w:pPr>
      <w:r>
        <w:rPr>
          <w:rFonts w:ascii="Times New Roman" w:hAnsi="Times New Roman"/>
          <w:sz w:val="28"/>
          <w:szCs w:val="28"/>
        </w:rPr>
        <w:t>《建设项目环境影响报告表》由具有从事环境影响评价工作资质的单位编制。</w:t>
      </w:r>
    </w:p>
    <w:p w14:paraId="6003677F">
      <w:pPr>
        <w:pStyle w:val="4"/>
        <w:snapToGrid w:val="0"/>
        <w:spacing w:line="360" w:lineRule="auto"/>
        <w:ind w:firstLine="560" w:firstLineChars="200"/>
        <w:rPr>
          <w:rFonts w:ascii="Times New Roman" w:hAnsi="Times New Roman"/>
          <w:sz w:val="28"/>
          <w:szCs w:val="28"/>
        </w:rPr>
      </w:pPr>
      <w:r>
        <w:rPr>
          <w:rFonts w:ascii="Times New Roman" w:hAnsi="Times New Roman"/>
          <w:sz w:val="28"/>
          <w:szCs w:val="28"/>
        </w:rPr>
        <w:t>1.项目名称——指项目立项批复时的名称，应不超过30个字(两个英文字段作一个汉字)。</w:t>
      </w:r>
    </w:p>
    <w:p w14:paraId="43D87490">
      <w:pPr>
        <w:pStyle w:val="4"/>
        <w:snapToGrid w:val="0"/>
        <w:spacing w:line="360" w:lineRule="auto"/>
        <w:ind w:firstLine="560" w:firstLineChars="200"/>
        <w:rPr>
          <w:rFonts w:ascii="Times New Roman" w:hAnsi="Times New Roman"/>
          <w:sz w:val="28"/>
          <w:szCs w:val="28"/>
        </w:rPr>
      </w:pPr>
      <w:r>
        <w:rPr>
          <w:rFonts w:ascii="Times New Roman" w:hAnsi="Times New Roman"/>
          <w:sz w:val="28"/>
          <w:szCs w:val="28"/>
        </w:rPr>
        <w:t>2.建设地点——指项目所在地详细地址，公路、铁路应填写起止地点。</w:t>
      </w:r>
    </w:p>
    <w:p w14:paraId="19C87A0F">
      <w:pPr>
        <w:pStyle w:val="4"/>
        <w:snapToGrid w:val="0"/>
        <w:spacing w:line="360" w:lineRule="auto"/>
        <w:ind w:firstLine="560" w:firstLineChars="200"/>
        <w:rPr>
          <w:rFonts w:ascii="Times New Roman" w:hAnsi="Times New Roman"/>
          <w:sz w:val="28"/>
          <w:szCs w:val="28"/>
        </w:rPr>
      </w:pPr>
      <w:r>
        <w:rPr>
          <w:rFonts w:ascii="Times New Roman" w:hAnsi="Times New Roman"/>
          <w:sz w:val="28"/>
          <w:szCs w:val="28"/>
        </w:rPr>
        <w:t>3.行业类别——按国标填写。</w:t>
      </w:r>
    </w:p>
    <w:p w14:paraId="0C5F6791">
      <w:pPr>
        <w:pStyle w:val="4"/>
        <w:snapToGrid w:val="0"/>
        <w:spacing w:line="360" w:lineRule="auto"/>
        <w:ind w:firstLine="560" w:firstLineChars="200"/>
        <w:rPr>
          <w:rFonts w:ascii="Times New Roman" w:hAnsi="Times New Roman"/>
          <w:sz w:val="28"/>
          <w:szCs w:val="28"/>
        </w:rPr>
      </w:pPr>
      <w:r>
        <w:rPr>
          <w:rFonts w:ascii="Times New Roman" w:hAnsi="Times New Roman"/>
          <w:sz w:val="28"/>
          <w:szCs w:val="28"/>
        </w:rPr>
        <w:t>4.总投资——指项目投资总额。</w:t>
      </w:r>
    </w:p>
    <w:p w14:paraId="7ECE0660">
      <w:pPr>
        <w:pStyle w:val="4"/>
        <w:snapToGrid w:val="0"/>
        <w:spacing w:line="360" w:lineRule="auto"/>
        <w:ind w:firstLine="560" w:firstLineChars="200"/>
        <w:rPr>
          <w:rFonts w:ascii="Times New Roman" w:hAnsi="Times New Roman"/>
          <w:sz w:val="28"/>
          <w:szCs w:val="28"/>
        </w:rPr>
      </w:pPr>
      <w:r>
        <w:rPr>
          <w:rFonts w:ascii="Times New Roman" w:hAnsi="Times New Roman"/>
          <w:sz w:val="28"/>
          <w:szCs w:val="28"/>
        </w:rPr>
        <w:t>5.主要环境保护目标——指项目区周围一定范围内集中居民住宅区、学校、医院、保护文物、风景名胜区、水源地和生态敏感点等，应尽可能给出保护目标、性质、规模和距厂界距离等。</w:t>
      </w:r>
    </w:p>
    <w:p w14:paraId="63F57F73">
      <w:pPr>
        <w:pStyle w:val="4"/>
        <w:snapToGrid w:val="0"/>
        <w:spacing w:line="360" w:lineRule="auto"/>
        <w:ind w:firstLine="560" w:firstLineChars="200"/>
        <w:rPr>
          <w:rFonts w:ascii="Times New Roman" w:hAnsi="Times New Roman"/>
          <w:sz w:val="28"/>
          <w:szCs w:val="28"/>
        </w:rPr>
      </w:pPr>
      <w:r>
        <w:rPr>
          <w:rFonts w:ascii="Times New Roman" w:hAnsi="Times New Roman"/>
          <w:sz w:val="28"/>
          <w:szCs w:val="28"/>
        </w:rPr>
        <w:t>6.结论与建议——给出本项目清洁生产、达标排放总量控制的分析结论，确定污染防治措施的有效性，说明本项目对环境造成的影响，给出建设项目环境可行性的明确结论。同时提出减少环境影响的其他建议。</w:t>
      </w:r>
    </w:p>
    <w:p w14:paraId="275D500D">
      <w:pPr>
        <w:pStyle w:val="4"/>
        <w:snapToGrid w:val="0"/>
        <w:spacing w:line="360" w:lineRule="auto"/>
        <w:ind w:firstLine="560" w:firstLineChars="200"/>
        <w:rPr>
          <w:rFonts w:ascii="Times New Roman" w:hAnsi="Times New Roman"/>
          <w:sz w:val="28"/>
          <w:szCs w:val="28"/>
        </w:rPr>
      </w:pPr>
      <w:r>
        <w:rPr>
          <w:rFonts w:ascii="Times New Roman" w:hAnsi="Times New Roman"/>
          <w:sz w:val="28"/>
          <w:szCs w:val="28"/>
        </w:rPr>
        <w:t>7.预审意见——由行业主管部门填写答复意见，无主管部门项目，可不填。</w:t>
      </w:r>
    </w:p>
    <w:p w14:paraId="6E2E4EF2">
      <w:pPr>
        <w:ind w:firstLine="560" w:firstLineChars="200"/>
        <w:rPr>
          <w:rFonts w:ascii="Times New Roman" w:hAnsi="Times New Roman"/>
          <w:sz w:val="28"/>
          <w:szCs w:val="28"/>
        </w:rPr>
      </w:pPr>
      <w:r>
        <w:rPr>
          <w:rFonts w:ascii="Times New Roman" w:hAnsi="Times New Roman"/>
          <w:sz w:val="28"/>
          <w:szCs w:val="28"/>
        </w:rPr>
        <w:t>8.审批意见——由负责审批该项目的环境保护行政主管部门批复。</w:t>
      </w:r>
    </w:p>
    <w:p w14:paraId="7F720E1E">
      <w:pPr>
        <w:rPr>
          <w:rFonts w:hint="eastAsia" w:ascii="宋体" w:hAnsi="宋体" w:eastAsia="宋体" w:cs="宋体"/>
          <w:b/>
          <w:bCs/>
          <w:sz w:val="28"/>
          <w:szCs w:val="28"/>
          <w:u w:val="none"/>
          <w:lang w:val="en-US" w:eastAsia="zh-CN"/>
        </w:rPr>
      </w:pPr>
      <w:r>
        <w:rPr>
          <w:rFonts w:hint="eastAsia" w:ascii="宋体" w:hAnsi="宋体" w:eastAsia="宋体" w:cs="宋体"/>
          <w:b/>
          <w:bCs/>
          <w:sz w:val="28"/>
          <w:szCs w:val="28"/>
          <w:u w:val="none"/>
          <w:lang w:val="en-US" w:eastAsia="zh-CN"/>
        </w:rPr>
        <w:br w:type="page"/>
      </w:r>
    </w:p>
    <w:p w14:paraId="3B6181D2">
      <w:pPr>
        <w:spacing w:line="360" w:lineRule="auto"/>
        <w:jc w:val="center"/>
        <w:rPr>
          <w:rFonts w:ascii="Times New Roman" w:hAnsi="Times New Roman"/>
          <w:b/>
          <w:sz w:val="24"/>
          <w:szCs w:val="24"/>
        </w:rPr>
      </w:pPr>
      <w:r>
        <w:rPr>
          <w:rFonts w:ascii="Times New Roman" w:hAnsi="Times New Roman"/>
          <w:b/>
          <w:sz w:val="24"/>
          <w:szCs w:val="24"/>
        </w:rPr>
        <w:t>目录</w:t>
      </w:r>
    </w:p>
    <w:p w14:paraId="35897C18">
      <w:pPr>
        <w:pStyle w:val="7"/>
        <w:tabs>
          <w:tab w:val="right" w:leader="dot" w:pos="8306"/>
        </w:tabs>
        <w:snapToGrid w:val="0"/>
        <w:spacing w:line="360" w:lineRule="auto"/>
        <w:rPr>
          <w:color w:val="auto"/>
          <w:sz w:val="24"/>
          <w:highlight w:val="none"/>
        </w:rPr>
      </w:pPr>
      <w:r>
        <w:rPr>
          <w:color w:val="auto"/>
          <w:sz w:val="24"/>
          <w:highlight w:val="none"/>
        </w:rPr>
        <w:fldChar w:fldCharType="begin"/>
      </w:r>
      <w:r>
        <w:rPr>
          <w:color w:val="auto"/>
          <w:sz w:val="24"/>
          <w:highlight w:val="none"/>
        </w:rPr>
        <w:instrText xml:space="preserve">TOC \o "1-3" \t "" \h \z \u </w:instrText>
      </w:r>
      <w:r>
        <w:rPr>
          <w:color w:val="auto"/>
          <w:sz w:val="24"/>
          <w:highlight w:val="none"/>
        </w:rPr>
        <w:fldChar w:fldCharType="separate"/>
      </w:r>
      <w:r>
        <w:rPr>
          <w:color w:val="auto"/>
          <w:sz w:val="24"/>
          <w:highlight w:val="none"/>
        </w:rPr>
        <w:fldChar w:fldCharType="begin"/>
      </w:r>
      <w:r>
        <w:rPr>
          <w:color w:val="auto"/>
          <w:sz w:val="24"/>
          <w:highlight w:val="none"/>
        </w:rPr>
        <w:instrText xml:space="preserve"> HYPERLINK \l _Toc7461 </w:instrText>
      </w:r>
      <w:r>
        <w:rPr>
          <w:color w:val="auto"/>
          <w:sz w:val="24"/>
          <w:highlight w:val="none"/>
        </w:rPr>
        <w:fldChar w:fldCharType="separate"/>
      </w:r>
      <w:r>
        <w:rPr>
          <w:bCs/>
          <w:color w:val="auto"/>
          <w:sz w:val="24"/>
          <w:highlight w:val="none"/>
        </w:rPr>
        <w:t>表一、建设项目基本情况</w:t>
      </w:r>
      <w:r>
        <w:rPr>
          <w:color w:val="auto"/>
          <w:sz w:val="24"/>
          <w:highlight w:val="none"/>
        </w:rPr>
        <w:tab/>
      </w:r>
      <w:r>
        <w:rPr>
          <w:rFonts w:hint="eastAsia"/>
          <w:color w:val="auto"/>
          <w:sz w:val="24"/>
          <w:highlight w:val="none"/>
          <w:lang w:val="en-US" w:eastAsia="zh-CN"/>
        </w:rPr>
        <w:t>1</w:t>
      </w:r>
      <w:r>
        <w:rPr>
          <w:color w:val="auto"/>
          <w:sz w:val="24"/>
          <w:highlight w:val="none"/>
        </w:rPr>
        <w:fldChar w:fldCharType="end"/>
      </w:r>
    </w:p>
    <w:p w14:paraId="19098A35">
      <w:pPr>
        <w:pStyle w:val="7"/>
        <w:tabs>
          <w:tab w:val="right" w:leader="dot" w:pos="8306"/>
        </w:tabs>
        <w:snapToGrid w:val="0"/>
        <w:spacing w:line="360" w:lineRule="auto"/>
        <w:rPr>
          <w:rFonts w:hint="eastAsia" w:eastAsia="宋体"/>
          <w:color w:val="auto"/>
          <w:sz w:val="24"/>
          <w:highlight w:val="none"/>
          <w:lang w:val="en-US" w:eastAsia="zh-CN"/>
        </w:rPr>
      </w:pPr>
      <w:r>
        <w:rPr>
          <w:color w:val="auto"/>
          <w:sz w:val="24"/>
          <w:highlight w:val="none"/>
        </w:rPr>
        <w:fldChar w:fldCharType="begin"/>
      </w:r>
      <w:r>
        <w:rPr>
          <w:color w:val="auto"/>
          <w:sz w:val="24"/>
          <w:highlight w:val="none"/>
        </w:rPr>
        <w:instrText xml:space="preserve"> HYPERLINK \l _Toc27248 </w:instrText>
      </w:r>
      <w:r>
        <w:rPr>
          <w:color w:val="auto"/>
          <w:sz w:val="24"/>
          <w:highlight w:val="none"/>
        </w:rPr>
        <w:fldChar w:fldCharType="separate"/>
      </w:r>
      <w:r>
        <w:rPr>
          <w:bCs/>
          <w:color w:val="auto"/>
          <w:sz w:val="24"/>
          <w:highlight w:val="none"/>
        </w:rPr>
        <w:t>表二、建设项目所在地自然环境社会环境简况</w:t>
      </w:r>
      <w:r>
        <w:rPr>
          <w:color w:val="auto"/>
          <w:sz w:val="24"/>
          <w:highlight w:val="none"/>
        </w:rPr>
        <w:tab/>
      </w:r>
      <w:r>
        <w:rPr>
          <w:rFonts w:hint="eastAsia"/>
          <w:color w:val="auto"/>
          <w:sz w:val="24"/>
          <w:highlight w:val="none"/>
          <w:lang w:val="en-US" w:eastAsia="zh-CN"/>
        </w:rPr>
        <w:t>2</w:t>
      </w:r>
      <w:r>
        <w:rPr>
          <w:color w:val="auto"/>
          <w:sz w:val="24"/>
          <w:highlight w:val="none"/>
        </w:rPr>
        <w:fldChar w:fldCharType="end"/>
      </w:r>
      <w:r>
        <w:rPr>
          <w:rFonts w:hint="eastAsia"/>
          <w:color w:val="auto"/>
          <w:sz w:val="24"/>
          <w:highlight w:val="none"/>
          <w:lang w:val="en-US" w:eastAsia="zh-CN"/>
        </w:rPr>
        <w:t>8</w:t>
      </w:r>
    </w:p>
    <w:p w14:paraId="4ED9C1A7">
      <w:pPr>
        <w:pStyle w:val="7"/>
        <w:tabs>
          <w:tab w:val="right" w:leader="dot" w:pos="8306"/>
        </w:tabs>
        <w:snapToGrid w:val="0"/>
        <w:spacing w:line="360" w:lineRule="auto"/>
        <w:rPr>
          <w:rFonts w:hint="eastAsia" w:eastAsia="宋体"/>
          <w:color w:val="auto"/>
          <w:sz w:val="24"/>
          <w:highlight w:val="none"/>
          <w:lang w:val="en-US" w:eastAsia="zh-CN"/>
        </w:rPr>
      </w:pPr>
      <w:r>
        <w:rPr>
          <w:color w:val="auto"/>
          <w:sz w:val="24"/>
          <w:highlight w:val="none"/>
        </w:rPr>
        <w:fldChar w:fldCharType="begin"/>
      </w:r>
      <w:r>
        <w:rPr>
          <w:color w:val="auto"/>
          <w:sz w:val="24"/>
          <w:highlight w:val="none"/>
        </w:rPr>
        <w:instrText xml:space="preserve"> HYPERLINK \l _Toc15943 </w:instrText>
      </w:r>
      <w:r>
        <w:rPr>
          <w:color w:val="auto"/>
          <w:sz w:val="24"/>
          <w:highlight w:val="none"/>
        </w:rPr>
        <w:fldChar w:fldCharType="separate"/>
      </w:r>
      <w:r>
        <w:rPr>
          <w:bCs/>
          <w:color w:val="auto"/>
          <w:sz w:val="24"/>
          <w:highlight w:val="none"/>
        </w:rPr>
        <w:t>表三、环境质量状况</w:t>
      </w:r>
      <w:r>
        <w:rPr>
          <w:color w:val="auto"/>
          <w:sz w:val="24"/>
          <w:highlight w:val="none"/>
        </w:rPr>
        <w:tab/>
      </w:r>
      <w:r>
        <w:rPr>
          <w:rFonts w:hint="eastAsia"/>
          <w:color w:val="auto"/>
          <w:sz w:val="24"/>
          <w:highlight w:val="none"/>
          <w:lang w:val="en-US" w:eastAsia="zh-CN"/>
        </w:rPr>
        <w:t>3</w:t>
      </w:r>
      <w:r>
        <w:rPr>
          <w:color w:val="auto"/>
          <w:sz w:val="24"/>
          <w:highlight w:val="none"/>
        </w:rPr>
        <w:fldChar w:fldCharType="end"/>
      </w:r>
      <w:r>
        <w:rPr>
          <w:rFonts w:hint="eastAsia"/>
          <w:color w:val="auto"/>
          <w:sz w:val="24"/>
          <w:highlight w:val="none"/>
          <w:lang w:val="en-US" w:eastAsia="zh-CN"/>
        </w:rPr>
        <w:t>1</w:t>
      </w:r>
    </w:p>
    <w:p w14:paraId="534DDF15">
      <w:pPr>
        <w:pStyle w:val="7"/>
        <w:tabs>
          <w:tab w:val="right" w:leader="dot" w:pos="8306"/>
        </w:tabs>
        <w:snapToGrid w:val="0"/>
        <w:spacing w:line="360" w:lineRule="auto"/>
        <w:rPr>
          <w:rFonts w:hint="eastAsia" w:eastAsia="宋体"/>
          <w:color w:val="auto"/>
          <w:sz w:val="24"/>
          <w:highlight w:val="none"/>
          <w:lang w:val="en-US" w:eastAsia="zh-CN"/>
        </w:rPr>
      </w:pPr>
      <w:r>
        <w:rPr>
          <w:color w:val="auto"/>
          <w:sz w:val="24"/>
          <w:highlight w:val="none"/>
        </w:rPr>
        <w:fldChar w:fldCharType="begin"/>
      </w:r>
      <w:r>
        <w:rPr>
          <w:color w:val="auto"/>
          <w:sz w:val="24"/>
          <w:highlight w:val="none"/>
        </w:rPr>
        <w:instrText xml:space="preserve"> HYPERLINK \l _Toc10508 </w:instrText>
      </w:r>
      <w:r>
        <w:rPr>
          <w:color w:val="auto"/>
          <w:sz w:val="24"/>
          <w:highlight w:val="none"/>
        </w:rPr>
        <w:fldChar w:fldCharType="separate"/>
      </w:r>
      <w:r>
        <w:rPr>
          <w:color w:val="auto"/>
          <w:sz w:val="24"/>
          <w:highlight w:val="none"/>
        </w:rPr>
        <w:t>表四、评价适用标准</w:t>
      </w:r>
      <w:r>
        <w:rPr>
          <w:color w:val="auto"/>
          <w:sz w:val="24"/>
          <w:highlight w:val="none"/>
        </w:rPr>
        <w:tab/>
      </w:r>
      <w:r>
        <w:rPr>
          <w:rFonts w:hint="eastAsia"/>
          <w:color w:val="auto"/>
          <w:sz w:val="24"/>
          <w:highlight w:val="none"/>
          <w:lang w:val="en-US" w:eastAsia="zh-CN"/>
        </w:rPr>
        <w:t>3</w:t>
      </w:r>
      <w:r>
        <w:rPr>
          <w:color w:val="auto"/>
          <w:sz w:val="24"/>
          <w:highlight w:val="none"/>
        </w:rPr>
        <w:fldChar w:fldCharType="end"/>
      </w:r>
      <w:r>
        <w:rPr>
          <w:rFonts w:hint="eastAsia"/>
          <w:color w:val="auto"/>
          <w:sz w:val="24"/>
          <w:highlight w:val="none"/>
          <w:lang w:val="en-US" w:eastAsia="zh-CN"/>
        </w:rPr>
        <w:t>5</w:t>
      </w:r>
    </w:p>
    <w:p w14:paraId="36C9D0EC">
      <w:pPr>
        <w:pStyle w:val="7"/>
        <w:tabs>
          <w:tab w:val="right" w:leader="dot" w:pos="8306"/>
        </w:tabs>
        <w:snapToGrid w:val="0"/>
        <w:spacing w:line="360" w:lineRule="auto"/>
        <w:rPr>
          <w:rFonts w:hint="eastAsia" w:eastAsia="宋体"/>
          <w:color w:val="auto"/>
          <w:sz w:val="24"/>
          <w:highlight w:val="none"/>
          <w:lang w:val="en-US" w:eastAsia="zh-CN"/>
        </w:rPr>
      </w:pPr>
      <w:r>
        <w:rPr>
          <w:color w:val="auto"/>
          <w:sz w:val="24"/>
          <w:highlight w:val="none"/>
        </w:rPr>
        <w:fldChar w:fldCharType="begin"/>
      </w:r>
      <w:r>
        <w:rPr>
          <w:color w:val="auto"/>
          <w:sz w:val="24"/>
          <w:highlight w:val="none"/>
        </w:rPr>
        <w:instrText xml:space="preserve"> HYPERLINK \l _Toc10642 </w:instrText>
      </w:r>
      <w:r>
        <w:rPr>
          <w:color w:val="auto"/>
          <w:sz w:val="24"/>
          <w:highlight w:val="none"/>
        </w:rPr>
        <w:fldChar w:fldCharType="separate"/>
      </w:r>
      <w:r>
        <w:rPr>
          <w:bCs/>
          <w:color w:val="auto"/>
          <w:sz w:val="24"/>
          <w:highlight w:val="none"/>
        </w:rPr>
        <w:t>表五、建设项</w:t>
      </w:r>
      <w:r>
        <w:rPr>
          <w:color w:val="auto"/>
          <w:sz w:val="24"/>
          <w:highlight w:val="none"/>
        </w:rPr>
        <w:t>目工程分析</w:t>
      </w:r>
      <w:r>
        <w:rPr>
          <w:color w:val="auto"/>
          <w:sz w:val="24"/>
          <w:highlight w:val="none"/>
        </w:rPr>
        <w:tab/>
      </w:r>
      <w:r>
        <w:rPr>
          <w:rFonts w:hint="eastAsia"/>
          <w:color w:val="auto"/>
          <w:sz w:val="24"/>
          <w:highlight w:val="none"/>
          <w:lang w:val="en-US" w:eastAsia="zh-CN"/>
        </w:rPr>
        <w:t>3</w:t>
      </w:r>
      <w:r>
        <w:rPr>
          <w:color w:val="auto"/>
          <w:sz w:val="24"/>
          <w:highlight w:val="none"/>
        </w:rPr>
        <w:fldChar w:fldCharType="end"/>
      </w:r>
      <w:r>
        <w:rPr>
          <w:rFonts w:hint="eastAsia"/>
          <w:color w:val="auto"/>
          <w:sz w:val="24"/>
          <w:highlight w:val="none"/>
          <w:lang w:val="en-US" w:eastAsia="zh-CN"/>
        </w:rPr>
        <w:t>7</w:t>
      </w:r>
    </w:p>
    <w:p w14:paraId="3FF20A0D">
      <w:pPr>
        <w:pStyle w:val="7"/>
        <w:tabs>
          <w:tab w:val="right" w:leader="dot" w:pos="8306"/>
        </w:tabs>
        <w:snapToGrid w:val="0"/>
        <w:spacing w:line="360" w:lineRule="auto"/>
        <w:rPr>
          <w:rFonts w:hint="eastAsia" w:eastAsia="宋体"/>
          <w:color w:val="auto"/>
          <w:sz w:val="24"/>
          <w:highlight w:val="none"/>
          <w:lang w:val="en-US" w:eastAsia="zh-CN"/>
        </w:rPr>
      </w:pPr>
      <w:r>
        <w:rPr>
          <w:color w:val="auto"/>
          <w:sz w:val="24"/>
          <w:highlight w:val="none"/>
        </w:rPr>
        <w:fldChar w:fldCharType="begin"/>
      </w:r>
      <w:r>
        <w:rPr>
          <w:color w:val="auto"/>
          <w:sz w:val="24"/>
          <w:highlight w:val="none"/>
        </w:rPr>
        <w:instrText xml:space="preserve"> HYPERLINK \l _Toc19058 </w:instrText>
      </w:r>
      <w:r>
        <w:rPr>
          <w:color w:val="auto"/>
          <w:sz w:val="24"/>
          <w:highlight w:val="none"/>
        </w:rPr>
        <w:fldChar w:fldCharType="separate"/>
      </w:r>
      <w:r>
        <w:rPr>
          <w:bCs/>
          <w:color w:val="auto"/>
          <w:sz w:val="24"/>
          <w:highlight w:val="none"/>
        </w:rPr>
        <w:t>表六、项目主要污染物产生及预计排放情况</w:t>
      </w:r>
      <w:r>
        <w:rPr>
          <w:color w:val="auto"/>
          <w:sz w:val="24"/>
          <w:highlight w:val="none"/>
        </w:rPr>
        <w:tab/>
      </w:r>
      <w:r>
        <w:rPr>
          <w:rFonts w:hint="eastAsia"/>
          <w:color w:val="auto"/>
          <w:sz w:val="24"/>
          <w:highlight w:val="none"/>
          <w:lang w:val="en-US" w:eastAsia="zh-CN"/>
        </w:rPr>
        <w:t>4</w:t>
      </w:r>
      <w:r>
        <w:rPr>
          <w:color w:val="auto"/>
          <w:sz w:val="24"/>
          <w:highlight w:val="none"/>
        </w:rPr>
        <w:fldChar w:fldCharType="end"/>
      </w:r>
      <w:r>
        <w:rPr>
          <w:rFonts w:hint="eastAsia"/>
          <w:color w:val="auto"/>
          <w:sz w:val="24"/>
          <w:highlight w:val="none"/>
          <w:lang w:val="en-US" w:eastAsia="zh-CN"/>
        </w:rPr>
        <w:t>2</w:t>
      </w:r>
    </w:p>
    <w:p w14:paraId="271E8749">
      <w:pPr>
        <w:pStyle w:val="7"/>
        <w:tabs>
          <w:tab w:val="right" w:leader="dot" w:pos="8306"/>
        </w:tabs>
        <w:snapToGrid w:val="0"/>
        <w:spacing w:line="360" w:lineRule="auto"/>
        <w:rPr>
          <w:rFonts w:hint="eastAsia" w:eastAsia="宋体"/>
          <w:color w:val="auto"/>
          <w:sz w:val="24"/>
          <w:highlight w:val="none"/>
          <w:lang w:val="en-US" w:eastAsia="zh-CN"/>
        </w:rPr>
      </w:pPr>
      <w:r>
        <w:rPr>
          <w:color w:val="auto"/>
          <w:sz w:val="24"/>
          <w:highlight w:val="none"/>
        </w:rPr>
        <w:fldChar w:fldCharType="begin"/>
      </w:r>
      <w:r>
        <w:rPr>
          <w:color w:val="auto"/>
          <w:sz w:val="24"/>
          <w:highlight w:val="none"/>
        </w:rPr>
        <w:instrText xml:space="preserve"> HYPERLINK \l _Toc4521 </w:instrText>
      </w:r>
      <w:r>
        <w:rPr>
          <w:color w:val="auto"/>
          <w:sz w:val="24"/>
          <w:highlight w:val="none"/>
        </w:rPr>
        <w:fldChar w:fldCharType="separate"/>
      </w:r>
      <w:r>
        <w:rPr>
          <w:bCs/>
          <w:color w:val="auto"/>
          <w:sz w:val="24"/>
          <w:highlight w:val="none"/>
        </w:rPr>
        <w:t>表七、环</w:t>
      </w:r>
      <w:r>
        <w:rPr>
          <w:color w:val="auto"/>
          <w:sz w:val="24"/>
          <w:highlight w:val="none"/>
        </w:rPr>
        <w:t>境影响分析</w:t>
      </w:r>
      <w:r>
        <w:rPr>
          <w:color w:val="auto"/>
          <w:sz w:val="24"/>
          <w:highlight w:val="none"/>
        </w:rPr>
        <w:tab/>
      </w:r>
      <w:r>
        <w:rPr>
          <w:rFonts w:hint="eastAsia"/>
          <w:color w:val="auto"/>
          <w:sz w:val="24"/>
          <w:highlight w:val="none"/>
          <w:lang w:val="en-US" w:eastAsia="zh-CN"/>
        </w:rPr>
        <w:t>4</w:t>
      </w:r>
      <w:r>
        <w:rPr>
          <w:color w:val="auto"/>
          <w:sz w:val="24"/>
          <w:highlight w:val="none"/>
        </w:rPr>
        <w:fldChar w:fldCharType="end"/>
      </w:r>
      <w:r>
        <w:rPr>
          <w:rFonts w:hint="eastAsia"/>
          <w:color w:val="auto"/>
          <w:sz w:val="24"/>
          <w:highlight w:val="none"/>
          <w:lang w:val="en-US" w:eastAsia="zh-CN"/>
        </w:rPr>
        <w:t>4</w:t>
      </w:r>
    </w:p>
    <w:p w14:paraId="637A1637">
      <w:pPr>
        <w:pStyle w:val="7"/>
        <w:tabs>
          <w:tab w:val="right" w:leader="dot" w:pos="8306"/>
        </w:tabs>
        <w:snapToGrid w:val="0"/>
        <w:spacing w:line="360" w:lineRule="auto"/>
        <w:rPr>
          <w:rFonts w:hint="eastAsia" w:eastAsia="宋体"/>
          <w:color w:val="auto"/>
          <w:sz w:val="24"/>
          <w:highlight w:val="none"/>
          <w:lang w:val="en-US" w:eastAsia="zh-CN"/>
        </w:rPr>
      </w:pPr>
      <w:r>
        <w:rPr>
          <w:color w:val="auto"/>
          <w:sz w:val="24"/>
          <w:highlight w:val="none"/>
        </w:rPr>
        <w:fldChar w:fldCharType="begin"/>
      </w:r>
      <w:r>
        <w:rPr>
          <w:color w:val="auto"/>
          <w:sz w:val="24"/>
          <w:highlight w:val="none"/>
        </w:rPr>
        <w:instrText xml:space="preserve"> HYPERLINK \l _Toc19180 </w:instrText>
      </w:r>
      <w:r>
        <w:rPr>
          <w:color w:val="auto"/>
          <w:sz w:val="24"/>
          <w:highlight w:val="none"/>
        </w:rPr>
        <w:fldChar w:fldCharType="separate"/>
      </w:r>
      <w:r>
        <w:rPr>
          <w:color w:val="auto"/>
          <w:sz w:val="24"/>
          <w:highlight w:val="none"/>
        </w:rPr>
        <w:t>表八、建设项目拟采取的防治措施及预期治理效果</w:t>
      </w:r>
      <w:r>
        <w:rPr>
          <w:color w:val="auto"/>
          <w:sz w:val="24"/>
          <w:highlight w:val="none"/>
        </w:rPr>
        <w:tab/>
      </w:r>
      <w:r>
        <w:rPr>
          <w:rFonts w:hint="eastAsia"/>
          <w:color w:val="auto"/>
          <w:sz w:val="24"/>
          <w:highlight w:val="none"/>
          <w:lang w:val="en-US" w:eastAsia="zh-CN"/>
        </w:rPr>
        <w:t>5</w:t>
      </w:r>
      <w:r>
        <w:rPr>
          <w:color w:val="auto"/>
          <w:sz w:val="24"/>
          <w:highlight w:val="none"/>
        </w:rPr>
        <w:fldChar w:fldCharType="end"/>
      </w:r>
      <w:r>
        <w:rPr>
          <w:rFonts w:hint="eastAsia"/>
          <w:color w:val="auto"/>
          <w:sz w:val="24"/>
          <w:highlight w:val="none"/>
          <w:lang w:val="en-US" w:eastAsia="zh-CN"/>
        </w:rPr>
        <w:t>2</w:t>
      </w:r>
    </w:p>
    <w:p w14:paraId="242486CC">
      <w:pPr>
        <w:pStyle w:val="7"/>
        <w:tabs>
          <w:tab w:val="right" w:leader="dot" w:pos="8306"/>
        </w:tabs>
        <w:snapToGrid w:val="0"/>
        <w:spacing w:line="360" w:lineRule="auto"/>
        <w:rPr>
          <w:rFonts w:hint="eastAsia" w:eastAsia="宋体"/>
          <w:color w:val="auto"/>
          <w:sz w:val="24"/>
          <w:highlight w:val="none"/>
          <w:lang w:val="en-US" w:eastAsia="zh-CN"/>
        </w:rPr>
      </w:pPr>
      <w:r>
        <w:rPr>
          <w:color w:val="auto"/>
          <w:sz w:val="24"/>
          <w:highlight w:val="none"/>
        </w:rPr>
        <w:fldChar w:fldCharType="begin"/>
      </w:r>
      <w:r>
        <w:rPr>
          <w:color w:val="auto"/>
          <w:sz w:val="24"/>
          <w:highlight w:val="none"/>
        </w:rPr>
        <w:instrText xml:space="preserve"> HYPERLINK \l _Toc3360 </w:instrText>
      </w:r>
      <w:r>
        <w:rPr>
          <w:color w:val="auto"/>
          <w:sz w:val="24"/>
          <w:highlight w:val="none"/>
        </w:rPr>
        <w:fldChar w:fldCharType="separate"/>
      </w:r>
      <w:r>
        <w:rPr>
          <w:bCs/>
          <w:color w:val="auto"/>
          <w:sz w:val="24"/>
          <w:highlight w:val="none"/>
        </w:rPr>
        <w:t>表九、</w:t>
      </w:r>
      <w:r>
        <w:rPr>
          <w:color w:val="auto"/>
          <w:sz w:val="24"/>
          <w:highlight w:val="none"/>
        </w:rPr>
        <w:t>结论与建议</w:t>
      </w:r>
      <w:r>
        <w:rPr>
          <w:color w:val="auto"/>
          <w:sz w:val="24"/>
          <w:highlight w:val="none"/>
        </w:rPr>
        <w:tab/>
      </w:r>
      <w:r>
        <w:rPr>
          <w:rFonts w:hint="eastAsia"/>
          <w:color w:val="auto"/>
          <w:sz w:val="24"/>
          <w:highlight w:val="none"/>
          <w:lang w:val="en-US" w:eastAsia="zh-CN"/>
        </w:rPr>
        <w:t>5</w:t>
      </w:r>
      <w:r>
        <w:rPr>
          <w:color w:val="auto"/>
          <w:sz w:val="24"/>
          <w:highlight w:val="none"/>
        </w:rPr>
        <w:fldChar w:fldCharType="end"/>
      </w:r>
      <w:r>
        <w:rPr>
          <w:rFonts w:hint="eastAsia"/>
          <w:color w:val="auto"/>
          <w:sz w:val="24"/>
          <w:highlight w:val="none"/>
          <w:lang w:val="en-US" w:eastAsia="zh-CN"/>
        </w:rPr>
        <w:t>4</w:t>
      </w:r>
    </w:p>
    <w:p w14:paraId="64708F38">
      <w:pPr>
        <w:jc w:val="both"/>
        <w:rPr>
          <w:color w:val="auto"/>
          <w:sz w:val="24"/>
          <w:highlight w:val="none"/>
        </w:rPr>
      </w:pPr>
      <w:r>
        <w:rPr>
          <w:color w:val="auto"/>
          <w:sz w:val="24"/>
          <w:highlight w:val="none"/>
        </w:rPr>
        <w:fldChar w:fldCharType="end"/>
      </w:r>
    </w:p>
    <w:p w14:paraId="0112B598">
      <w:pPr>
        <w:rPr>
          <w:color w:val="auto"/>
          <w:sz w:val="24"/>
          <w:highlight w:val="none"/>
        </w:rPr>
      </w:pPr>
      <w:r>
        <w:rPr>
          <w:color w:val="auto"/>
          <w:sz w:val="24"/>
          <w:highlight w:val="none"/>
        </w:rPr>
        <w:br w:type="page"/>
      </w:r>
    </w:p>
    <w:p w14:paraId="31FD3566">
      <w:pPr>
        <w:jc w:val="both"/>
        <w:rPr>
          <w:rFonts w:hint="eastAsia"/>
          <w:b/>
          <w:bCs/>
          <w:color w:val="auto"/>
          <w:sz w:val="24"/>
          <w:highlight w:val="none"/>
          <w:lang w:val="en-US" w:eastAsia="zh-CN"/>
        </w:rPr>
      </w:pPr>
      <w:r>
        <w:rPr>
          <w:rFonts w:hint="eastAsia"/>
          <w:b/>
          <w:bCs/>
          <w:color w:val="auto"/>
          <w:sz w:val="24"/>
          <w:highlight w:val="none"/>
          <w:lang w:val="en-US" w:eastAsia="zh-CN"/>
        </w:rPr>
        <w:t>附件：</w:t>
      </w:r>
    </w:p>
    <w:p w14:paraId="080295EE">
      <w:pPr>
        <w:jc w:val="both"/>
        <w:rPr>
          <w:rFonts w:hint="eastAsia"/>
          <w:color w:val="auto"/>
          <w:sz w:val="24"/>
          <w:highlight w:val="none"/>
          <w:lang w:val="en-US" w:eastAsia="zh-CN"/>
        </w:rPr>
      </w:pPr>
      <w:r>
        <w:rPr>
          <w:rFonts w:hint="eastAsia"/>
          <w:color w:val="auto"/>
          <w:sz w:val="24"/>
          <w:highlight w:val="none"/>
          <w:lang w:val="en-US" w:eastAsia="zh-CN"/>
        </w:rPr>
        <w:t>附件1  委托书</w:t>
      </w:r>
    </w:p>
    <w:p w14:paraId="124B8FE1">
      <w:pPr>
        <w:jc w:val="both"/>
        <w:rPr>
          <w:rFonts w:hint="eastAsia"/>
          <w:color w:val="auto"/>
          <w:sz w:val="24"/>
          <w:highlight w:val="none"/>
          <w:lang w:val="en-US" w:eastAsia="zh-CN"/>
        </w:rPr>
      </w:pPr>
      <w:r>
        <w:rPr>
          <w:rFonts w:hint="eastAsia"/>
          <w:color w:val="auto"/>
          <w:sz w:val="24"/>
          <w:highlight w:val="none"/>
          <w:lang w:val="en-US" w:eastAsia="zh-CN"/>
        </w:rPr>
        <w:t>附件2  营业执照</w:t>
      </w:r>
    </w:p>
    <w:p w14:paraId="1F410E0D">
      <w:pPr>
        <w:jc w:val="both"/>
        <w:rPr>
          <w:rFonts w:hint="eastAsia"/>
          <w:color w:val="auto"/>
          <w:sz w:val="24"/>
          <w:highlight w:val="none"/>
          <w:lang w:val="en-US" w:eastAsia="zh-CN"/>
        </w:rPr>
      </w:pPr>
      <w:r>
        <w:rPr>
          <w:rFonts w:hint="eastAsia"/>
          <w:color w:val="auto"/>
          <w:sz w:val="24"/>
          <w:highlight w:val="none"/>
          <w:lang w:val="en-US" w:eastAsia="zh-CN"/>
        </w:rPr>
        <w:t>附件3  技术合同</w:t>
      </w:r>
    </w:p>
    <w:p w14:paraId="0D937C89">
      <w:pPr>
        <w:jc w:val="both"/>
        <w:rPr>
          <w:rFonts w:hint="eastAsia"/>
          <w:color w:val="auto"/>
          <w:sz w:val="24"/>
          <w:highlight w:val="none"/>
          <w:lang w:val="en-US" w:eastAsia="zh-CN"/>
        </w:rPr>
      </w:pPr>
      <w:r>
        <w:rPr>
          <w:rFonts w:hint="eastAsia"/>
          <w:color w:val="auto"/>
          <w:sz w:val="24"/>
          <w:highlight w:val="none"/>
          <w:lang w:val="en-US" w:eastAsia="zh-CN"/>
        </w:rPr>
        <w:t>附件4  建设用地规划许可证</w:t>
      </w:r>
    </w:p>
    <w:p w14:paraId="466148CE">
      <w:pPr>
        <w:jc w:val="both"/>
        <w:rPr>
          <w:rFonts w:hint="eastAsia"/>
          <w:color w:val="auto"/>
          <w:sz w:val="24"/>
          <w:highlight w:val="none"/>
          <w:lang w:val="en-US" w:eastAsia="zh-CN"/>
        </w:rPr>
      </w:pPr>
      <w:r>
        <w:rPr>
          <w:rFonts w:hint="eastAsia"/>
          <w:color w:val="auto"/>
          <w:sz w:val="24"/>
          <w:highlight w:val="none"/>
          <w:lang w:val="en-US" w:eastAsia="zh-CN"/>
        </w:rPr>
        <w:t>附件5  建设项目选址意见书</w:t>
      </w:r>
    </w:p>
    <w:p w14:paraId="39881367">
      <w:pPr>
        <w:jc w:val="both"/>
        <w:rPr>
          <w:rFonts w:hint="eastAsia"/>
          <w:color w:val="auto"/>
          <w:sz w:val="24"/>
          <w:highlight w:val="none"/>
          <w:lang w:val="en-US" w:eastAsia="zh-CN"/>
        </w:rPr>
      </w:pPr>
      <w:r>
        <w:rPr>
          <w:rFonts w:hint="eastAsia"/>
          <w:color w:val="auto"/>
          <w:sz w:val="24"/>
          <w:highlight w:val="none"/>
          <w:lang w:val="en-US" w:eastAsia="zh-CN"/>
        </w:rPr>
        <w:t>附件6  建设项目用地预审意见</w:t>
      </w:r>
    </w:p>
    <w:p w14:paraId="4BB92BF4">
      <w:pPr>
        <w:jc w:val="both"/>
        <w:rPr>
          <w:rFonts w:hint="eastAsia"/>
          <w:color w:val="auto"/>
          <w:sz w:val="24"/>
          <w:highlight w:val="none"/>
          <w:lang w:val="en-US" w:eastAsia="zh-CN"/>
        </w:rPr>
      </w:pPr>
      <w:r>
        <w:rPr>
          <w:rFonts w:hint="eastAsia"/>
          <w:color w:val="auto"/>
          <w:sz w:val="24"/>
          <w:highlight w:val="none"/>
          <w:lang w:val="en-US" w:eastAsia="zh-CN"/>
        </w:rPr>
        <w:t>附件7  德宏住房和城乡建设局批复</w:t>
      </w:r>
    </w:p>
    <w:p w14:paraId="0F26398E">
      <w:pPr>
        <w:jc w:val="both"/>
        <w:rPr>
          <w:rFonts w:hint="eastAsia"/>
          <w:color w:val="auto"/>
          <w:sz w:val="24"/>
          <w:highlight w:val="none"/>
          <w:lang w:val="en-US" w:eastAsia="zh-CN"/>
        </w:rPr>
      </w:pPr>
      <w:r>
        <w:rPr>
          <w:rFonts w:hint="eastAsia"/>
          <w:color w:val="auto"/>
          <w:sz w:val="24"/>
          <w:highlight w:val="none"/>
          <w:lang w:val="en-US" w:eastAsia="zh-CN"/>
        </w:rPr>
        <w:t>附件8  芒市发改局批复</w:t>
      </w:r>
    </w:p>
    <w:p w14:paraId="0701954E">
      <w:pPr>
        <w:jc w:val="both"/>
        <w:rPr>
          <w:rFonts w:hint="eastAsia"/>
          <w:color w:val="auto"/>
          <w:sz w:val="24"/>
          <w:highlight w:val="none"/>
          <w:lang w:val="en-US" w:eastAsia="zh-CN"/>
        </w:rPr>
      </w:pPr>
      <w:r>
        <w:rPr>
          <w:rFonts w:hint="eastAsia"/>
          <w:color w:val="auto"/>
          <w:sz w:val="24"/>
          <w:highlight w:val="none"/>
          <w:lang w:val="en-US" w:eastAsia="zh-CN"/>
        </w:rPr>
        <w:t>附件9  工作管理表</w:t>
      </w:r>
    </w:p>
    <w:p w14:paraId="30AF3A5C">
      <w:pPr>
        <w:jc w:val="both"/>
        <w:rPr>
          <w:rFonts w:hint="eastAsia"/>
          <w:color w:val="auto"/>
          <w:sz w:val="24"/>
          <w:highlight w:val="none"/>
          <w:lang w:val="en-US" w:eastAsia="zh-CN"/>
        </w:rPr>
      </w:pPr>
      <w:r>
        <w:rPr>
          <w:rFonts w:hint="eastAsia"/>
          <w:color w:val="auto"/>
          <w:sz w:val="24"/>
          <w:highlight w:val="none"/>
          <w:lang w:val="en-US" w:eastAsia="zh-CN"/>
        </w:rPr>
        <w:t>附件10 技术审核单</w:t>
      </w:r>
    </w:p>
    <w:p w14:paraId="2CEAEADF">
      <w:pPr>
        <w:ind w:left="960" w:hanging="960" w:hangingChars="400"/>
        <w:jc w:val="both"/>
        <w:rPr>
          <w:rFonts w:hint="eastAsia"/>
          <w:color w:val="auto"/>
          <w:sz w:val="24"/>
          <w:highlight w:val="none"/>
          <w:lang w:val="en-US" w:eastAsia="zh-CN"/>
        </w:rPr>
      </w:pPr>
      <w:r>
        <w:rPr>
          <w:rFonts w:hint="eastAsia"/>
          <w:color w:val="auto"/>
          <w:sz w:val="24"/>
          <w:highlight w:val="none"/>
          <w:lang w:val="en-US" w:eastAsia="zh-CN"/>
        </w:rPr>
        <w:t>附件11 《芒市环境保护局关于芒市中心城区综合管廊建设项目环境影响报告表的批复》（芒环复【2018】23号）</w:t>
      </w:r>
    </w:p>
    <w:p w14:paraId="62D17CE7">
      <w:pPr>
        <w:ind w:left="960" w:hanging="960" w:hangingChars="400"/>
        <w:jc w:val="both"/>
        <w:rPr>
          <w:rFonts w:hint="default"/>
          <w:color w:val="auto"/>
          <w:sz w:val="24"/>
          <w:highlight w:val="none"/>
          <w:lang w:val="en-US" w:eastAsia="zh-CN"/>
        </w:rPr>
      </w:pPr>
      <w:r>
        <w:rPr>
          <w:rFonts w:hint="eastAsia"/>
          <w:color w:val="auto"/>
          <w:sz w:val="24"/>
          <w:highlight w:val="none"/>
          <w:lang w:val="en-US" w:eastAsia="zh-CN"/>
        </w:rPr>
        <w:t>附件12 弃土协议</w:t>
      </w:r>
    </w:p>
    <w:p w14:paraId="447A06BD">
      <w:pPr>
        <w:ind w:left="960" w:hanging="960" w:hangingChars="400"/>
        <w:jc w:val="both"/>
        <w:rPr>
          <w:rFonts w:hint="eastAsia"/>
          <w:color w:val="auto"/>
          <w:sz w:val="24"/>
          <w:highlight w:val="none"/>
          <w:lang w:val="en-US" w:eastAsia="zh-CN"/>
        </w:rPr>
      </w:pPr>
      <w:r>
        <w:rPr>
          <w:rFonts w:hint="eastAsia"/>
          <w:color w:val="auto"/>
          <w:sz w:val="24"/>
          <w:highlight w:val="none"/>
          <w:lang w:val="en-US" w:eastAsia="zh-CN"/>
        </w:rPr>
        <w:t>附件13 评审会议纪要</w:t>
      </w:r>
    </w:p>
    <w:p w14:paraId="3B91A0D2">
      <w:pPr>
        <w:ind w:left="960" w:hanging="960" w:hangingChars="400"/>
        <w:jc w:val="both"/>
        <w:rPr>
          <w:rFonts w:hint="default"/>
          <w:color w:val="auto"/>
          <w:sz w:val="24"/>
          <w:highlight w:val="none"/>
          <w:lang w:val="en-US" w:eastAsia="zh-CN"/>
        </w:rPr>
      </w:pPr>
      <w:r>
        <w:rPr>
          <w:rFonts w:hint="eastAsia"/>
          <w:color w:val="auto"/>
          <w:sz w:val="24"/>
          <w:highlight w:val="none"/>
          <w:lang w:val="en-US" w:eastAsia="zh-CN"/>
        </w:rPr>
        <w:t>附件14 修改清单</w:t>
      </w:r>
    </w:p>
    <w:p w14:paraId="0B3A649D">
      <w:pPr>
        <w:jc w:val="both"/>
        <w:rPr>
          <w:rFonts w:hint="default"/>
          <w:color w:val="auto"/>
          <w:sz w:val="24"/>
          <w:highlight w:val="none"/>
          <w:lang w:val="en-US" w:eastAsia="zh-CN"/>
        </w:rPr>
      </w:pPr>
    </w:p>
    <w:p w14:paraId="61DA1FD8">
      <w:pPr>
        <w:jc w:val="both"/>
        <w:rPr>
          <w:rFonts w:hint="eastAsia"/>
          <w:b/>
          <w:bCs/>
          <w:color w:val="auto"/>
          <w:sz w:val="24"/>
          <w:highlight w:val="none"/>
          <w:lang w:val="en-US" w:eastAsia="zh-CN"/>
        </w:rPr>
      </w:pPr>
      <w:r>
        <w:rPr>
          <w:rFonts w:hint="eastAsia"/>
          <w:b/>
          <w:bCs/>
          <w:color w:val="auto"/>
          <w:sz w:val="24"/>
          <w:highlight w:val="none"/>
          <w:lang w:val="en-US" w:eastAsia="zh-CN"/>
        </w:rPr>
        <w:t>附图：</w:t>
      </w:r>
    </w:p>
    <w:p w14:paraId="2E281292">
      <w:pPr>
        <w:jc w:val="both"/>
        <w:rPr>
          <w:rFonts w:hint="eastAsia"/>
          <w:color w:val="auto"/>
          <w:sz w:val="24"/>
          <w:highlight w:val="none"/>
          <w:lang w:val="en-US" w:eastAsia="zh-CN"/>
        </w:rPr>
      </w:pPr>
      <w:r>
        <w:rPr>
          <w:rFonts w:hint="eastAsia"/>
          <w:color w:val="auto"/>
          <w:sz w:val="24"/>
          <w:highlight w:val="none"/>
          <w:lang w:val="en-US" w:eastAsia="zh-CN"/>
        </w:rPr>
        <w:t>附图1  项目地理位置图</w:t>
      </w:r>
    </w:p>
    <w:p w14:paraId="6F283A22">
      <w:pPr>
        <w:jc w:val="both"/>
        <w:rPr>
          <w:rFonts w:hint="eastAsia"/>
          <w:color w:val="auto"/>
          <w:sz w:val="24"/>
          <w:highlight w:val="none"/>
          <w:lang w:val="en-US" w:eastAsia="zh-CN"/>
        </w:rPr>
      </w:pPr>
      <w:r>
        <w:rPr>
          <w:rFonts w:hint="eastAsia"/>
          <w:color w:val="auto"/>
          <w:sz w:val="24"/>
          <w:highlight w:val="none"/>
          <w:lang w:val="en-US" w:eastAsia="zh-CN"/>
        </w:rPr>
        <w:t>附图2  管廊布置图</w:t>
      </w:r>
    </w:p>
    <w:p w14:paraId="2FAA232B">
      <w:pPr>
        <w:jc w:val="both"/>
        <w:rPr>
          <w:rFonts w:hint="eastAsia"/>
          <w:color w:val="auto"/>
          <w:sz w:val="24"/>
          <w:highlight w:val="none"/>
          <w:lang w:val="en-US" w:eastAsia="zh-CN"/>
        </w:rPr>
      </w:pPr>
      <w:r>
        <w:rPr>
          <w:rFonts w:hint="eastAsia"/>
          <w:color w:val="auto"/>
          <w:sz w:val="24"/>
          <w:highlight w:val="none"/>
          <w:lang w:val="en-US" w:eastAsia="zh-CN"/>
        </w:rPr>
        <w:t>附图3  项目水系图</w:t>
      </w:r>
    </w:p>
    <w:p w14:paraId="027617A2">
      <w:pPr>
        <w:jc w:val="both"/>
        <w:rPr>
          <w:rFonts w:hint="eastAsia"/>
          <w:color w:val="auto"/>
          <w:sz w:val="24"/>
          <w:highlight w:val="none"/>
          <w:lang w:val="en-US" w:eastAsia="zh-CN"/>
        </w:rPr>
      </w:pPr>
      <w:r>
        <w:rPr>
          <w:rFonts w:hint="eastAsia"/>
          <w:color w:val="auto"/>
          <w:sz w:val="24"/>
          <w:highlight w:val="none"/>
          <w:lang w:val="en-US" w:eastAsia="zh-CN"/>
        </w:rPr>
        <w:t>附图4  管廊建设区域现状图</w:t>
      </w:r>
    </w:p>
    <w:p w14:paraId="041421A9">
      <w:pPr>
        <w:jc w:val="both"/>
        <w:rPr>
          <w:rFonts w:hint="eastAsia"/>
          <w:color w:val="auto"/>
          <w:sz w:val="24"/>
          <w:highlight w:val="none"/>
          <w:lang w:val="en-US" w:eastAsia="zh-CN"/>
        </w:rPr>
      </w:pPr>
      <w:r>
        <w:rPr>
          <w:rFonts w:hint="eastAsia"/>
          <w:color w:val="auto"/>
          <w:sz w:val="24"/>
          <w:highlight w:val="none"/>
          <w:lang w:val="en-US" w:eastAsia="zh-CN"/>
        </w:rPr>
        <w:t>附图5  项目周边关系图</w:t>
      </w:r>
    </w:p>
    <w:p w14:paraId="7D57FFFA">
      <w:pPr>
        <w:jc w:val="both"/>
        <w:rPr>
          <w:rFonts w:hint="default"/>
          <w:color w:val="auto"/>
          <w:sz w:val="24"/>
          <w:highlight w:val="none"/>
          <w:lang w:val="en-US" w:eastAsia="zh-CN"/>
        </w:rPr>
      </w:pPr>
    </w:p>
    <w:p w14:paraId="56CA74F4">
      <w:pPr>
        <w:pStyle w:val="2"/>
        <w:bidi w:val="0"/>
        <w:rPr>
          <w:rStyle w:val="12"/>
          <w:rFonts w:hint="eastAsia"/>
          <w:b/>
          <w:lang w:val="en-US" w:eastAsia="zh-CN"/>
        </w:rPr>
        <w:sectPr>
          <w:pgSz w:w="11906" w:h="16838"/>
          <w:pgMar w:top="1440" w:right="1800" w:bottom="1440" w:left="1800" w:header="851" w:footer="992" w:gutter="0"/>
          <w:cols w:space="425" w:num="1"/>
          <w:docGrid w:type="lines" w:linePitch="312" w:charSpace="0"/>
        </w:sectPr>
      </w:pPr>
    </w:p>
    <w:p w14:paraId="37182353">
      <w:pPr>
        <w:pStyle w:val="2"/>
        <w:bidi w:val="0"/>
        <w:rPr>
          <w:rStyle w:val="12"/>
          <w:rFonts w:hint="eastAsia"/>
          <w:b/>
          <w:lang w:val="en-US" w:eastAsia="zh-CN"/>
        </w:rPr>
      </w:pPr>
      <w:r>
        <w:rPr>
          <w:rStyle w:val="12"/>
          <w:rFonts w:hint="eastAsia"/>
          <w:b/>
          <w:lang w:val="en-US" w:eastAsia="zh-CN"/>
        </w:rPr>
        <w:t>表一、建设项目基本情况</w:t>
      </w:r>
    </w:p>
    <w:tbl>
      <w:tblPr>
        <w:tblStyle w:val="10"/>
        <w:tblW w:w="8920" w:type="dxa"/>
        <w:tblInd w:w="-1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0"/>
      </w:tblGrid>
      <w:tr w14:paraId="2CF67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0" w:hRule="atLeast"/>
        </w:trPr>
        <w:tc>
          <w:tcPr>
            <w:tcW w:w="8920" w:type="dxa"/>
          </w:tcPr>
          <w:tbl>
            <w:tblPr>
              <w:tblStyle w:val="9"/>
              <w:tblpPr w:leftFromText="180" w:rightFromText="180" w:vertAnchor="text" w:horzAnchor="page" w:tblpX="22" w:tblpY="1"/>
              <w:tblOverlap w:val="never"/>
              <w:tblW w:w="8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9"/>
              <w:gridCol w:w="1804"/>
              <w:gridCol w:w="672"/>
              <w:gridCol w:w="763"/>
              <w:gridCol w:w="1286"/>
              <w:gridCol w:w="1497"/>
              <w:gridCol w:w="1538"/>
            </w:tblGrid>
            <w:tr w14:paraId="6ADDC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59" w:type="dxa"/>
                  <w:tcBorders>
                    <w:top w:val="single" w:color="auto" w:sz="4" w:space="0"/>
                    <w:left w:val="single" w:color="auto" w:sz="4" w:space="0"/>
                    <w:bottom w:val="single" w:color="auto" w:sz="4" w:space="0"/>
                    <w:right w:val="single" w:color="auto" w:sz="4" w:space="0"/>
                  </w:tcBorders>
                  <w:vAlign w:val="center"/>
                </w:tcPr>
                <w:p w14:paraId="00B430D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项目名称</w:t>
                  </w:r>
                </w:p>
              </w:tc>
              <w:tc>
                <w:tcPr>
                  <w:tcW w:w="7560" w:type="dxa"/>
                  <w:gridSpan w:val="6"/>
                  <w:tcBorders>
                    <w:top w:val="single" w:color="auto" w:sz="4" w:space="0"/>
                    <w:left w:val="single" w:color="auto" w:sz="4" w:space="0"/>
                    <w:bottom w:val="single" w:color="auto" w:sz="4" w:space="0"/>
                    <w:right w:val="single" w:color="auto" w:sz="4" w:space="0"/>
                  </w:tcBorders>
                  <w:vAlign w:val="center"/>
                </w:tcPr>
                <w:p w14:paraId="56CCD1AD">
                  <w:pPr>
                    <w:widowControl/>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芒市</w:t>
                  </w:r>
                  <w:r>
                    <w:rPr>
                      <w:rFonts w:hint="eastAsia" w:ascii="Times New Roman" w:hAnsi="Times New Roman" w:eastAsia="宋体" w:cs="Times New Roman"/>
                      <w:color w:val="auto"/>
                      <w:sz w:val="21"/>
                      <w:szCs w:val="21"/>
                      <w:highlight w:val="none"/>
                      <w:lang w:eastAsia="zh-CN"/>
                    </w:rPr>
                    <w:t>中心城区综合管廊</w:t>
                  </w:r>
                  <w:r>
                    <w:rPr>
                      <w:rFonts w:hint="eastAsia" w:ascii="Times New Roman" w:hAnsi="Times New Roman" w:eastAsia="宋体" w:cs="Times New Roman"/>
                      <w:color w:val="auto"/>
                      <w:sz w:val="21"/>
                      <w:szCs w:val="21"/>
                      <w:highlight w:val="none"/>
                      <w:lang w:val="en-US" w:eastAsia="zh-CN"/>
                    </w:rPr>
                    <w:t>PPP一期建设项目</w:t>
                  </w:r>
                </w:p>
              </w:tc>
            </w:tr>
            <w:tr w14:paraId="5CDAD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59" w:type="dxa"/>
                  <w:tcBorders>
                    <w:top w:val="single" w:color="auto" w:sz="4" w:space="0"/>
                    <w:left w:val="single" w:color="auto" w:sz="4" w:space="0"/>
                    <w:bottom w:val="single" w:color="auto" w:sz="4" w:space="0"/>
                    <w:right w:val="single" w:color="auto" w:sz="4" w:space="0"/>
                  </w:tcBorders>
                  <w:vAlign w:val="center"/>
                </w:tcPr>
                <w:p w14:paraId="68F46C7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建设单位</w:t>
                  </w:r>
                </w:p>
              </w:tc>
              <w:tc>
                <w:tcPr>
                  <w:tcW w:w="7560" w:type="dxa"/>
                  <w:gridSpan w:val="6"/>
                  <w:tcBorders>
                    <w:top w:val="single" w:color="auto" w:sz="4" w:space="0"/>
                    <w:left w:val="single" w:color="auto" w:sz="4" w:space="0"/>
                    <w:bottom w:val="single" w:color="auto" w:sz="4" w:space="0"/>
                    <w:right w:val="single" w:color="auto" w:sz="4" w:space="0"/>
                  </w:tcBorders>
                  <w:vAlign w:val="center"/>
                </w:tcPr>
                <w:p w14:paraId="29C24D3B">
                  <w:pPr>
                    <w:keepNext w:val="0"/>
                    <w:keepLines w:val="0"/>
                    <w:widowControl/>
                    <w:suppressLineNumbers w:val="0"/>
                    <w:spacing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芒市综合管廊投资开发有限公司</w:t>
                  </w:r>
                </w:p>
              </w:tc>
            </w:tr>
            <w:tr w14:paraId="18F8A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59" w:type="dxa"/>
                  <w:tcBorders>
                    <w:top w:val="single" w:color="auto" w:sz="4" w:space="0"/>
                    <w:left w:val="single" w:color="auto" w:sz="4" w:space="0"/>
                    <w:bottom w:val="single" w:color="auto" w:sz="4" w:space="0"/>
                    <w:right w:val="single" w:color="auto" w:sz="4" w:space="0"/>
                  </w:tcBorders>
                  <w:vAlign w:val="center"/>
                </w:tcPr>
                <w:p w14:paraId="25085342">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法人代表</w:t>
                  </w:r>
                </w:p>
              </w:tc>
              <w:tc>
                <w:tcPr>
                  <w:tcW w:w="2476" w:type="dxa"/>
                  <w:gridSpan w:val="2"/>
                  <w:tcBorders>
                    <w:top w:val="single" w:color="auto" w:sz="4" w:space="0"/>
                    <w:left w:val="single" w:color="auto" w:sz="4" w:space="0"/>
                    <w:bottom w:val="single" w:color="auto" w:sz="4" w:space="0"/>
                    <w:right w:val="single" w:color="auto" w:sz="4" w:space="0"/>
                  </w:tcBorders>
                  <w:vAlign w:val="center"/>
                </w:tcPr>
                <w:p w14:paraId="67ACC21D">
                  <w:pPr>
                    <w:widowControl/>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段军</w:t>
                  </w:r>
                </w:p>
              </w:tc>
              <w:tc>
                <w:tcPr>
                  <w:tcW w:w="2049" w:type="dxa"/>
                  <w:gridSpan w:val="2"/>
                  <w:tcBorders>
                    <w:top w:val="single" w:color="auto" w:sz="4" w:space="0"/>
                    <w:left w:val="single" w:color="auto" w:sz="4" w:space="0"/>
                    <w:bottom w:val="single" w:color="auto" w:sz="4" w:space="0"/>
                    <w:right w:val="single" w:color="auto" w:sz="4" w:space="0"/>
                  </w:tcBorders>
                  <w:vAlign w:val="center"/>
                </w:tcPr>
                <w:p w14:paraId="3272FB80">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联系人</w:t>
                  </w:r>
                </w:p>
              </w:tc>
              <w:tc>
                <w:tcPr>
                  <w:tcW w:w="3035" w:type="dxa"/>
                  <w:gridSpan w:val="2"/>
                  <w:tcBorders>
                    <w:top w:val="single" w:color="auto" w:sz="4" w:space="0"/>
                    <w:left w:val="single" w:color="auto" w:sz="4" w:space="0"/>
                    <w:bottom w:val="single" w:color="auto" w:sz="4" w:space="0"/>
                    <w:right w:val="single" w:color="auto" w:sz="4" w:space="0"/>
                  </w:tcBorders>
                  <w:vAlign w:val="center"/>
                </w:tcPr>
                <w:p w14:paraId="0C37E502">
                  <w:pPr>
                    <w:widowControl/>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李少康</w:t>
                  </w:r>
                </w:p>
              </w:tc>
            </w:tr>
            <w:tr w14:paraId="53F54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59" w:type="dxa"/>
                  <w:tcBorders>
                    <w:top w:val="single" w:color="auto" w:sz="4" w:space="0"/>
                    <w:left w:val="single" w:color="auto" w:sz="4" w:space="0"/>
                    <w:bottom w:val="single" w:color="auto" w:sz="4" w:space="0"/>
                    <w:right w:val="single" w:color="auto" w:sz="4" w:space="0"/>
                  </w:tcBorders>
                  <w:vAlign w:val="center"/>
                </w:tcPr>
                <w:p w14:paraId="6771F01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通讯地址</w:t>
                  </w:r>
                </w:p>
              </w:tc>
              <w:tc>
                <w:tcPr>
                  <w:tcW w:w="7560" w:type="dxa"/>
                  <w:gridSpan w:val="6"/>
                  <w:tcBorders>
                    <w:top w:val="single" w:color="auto" w:sz="4" w:space="0"/>
                    <w:left w:val="single" w:color="auto" w:sz="4" w:space="0"/>
                    <w:bottom w:val="single" w:color="auto" w:sz="4" w:space="0"/>
                    <w:right w:val="single" w:color="auto" w:sz="4" w:space="0"/>
                  </w:tcBorders>
                  <w:vAlign w:val="center"/>
                </w:tcPr>
                <w:p w14:paraId="0F1CCC33">
                  <w:pPr>
                    <w:widowControl/>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云南省德宏州芒市阔时路74号</w:t>
                  </w:r>
                </w:p>
              </w:tc>
            </w:tr>
            <w:tr w14:paraId="7C7B4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59" w:type="dxa"/>
                  <w:tcBorders>
                    <w:top w:val="single" w:color="auto" w:sz="4" w:space="0"/>
                    <w:left w:val="single" w:color="auto" w:sz="4" w:space="0"/>
                    <w:bottom w:val="single" w:color="auto" w:sz="4" w:space="0"/>
                    <w:right w:val="single" w:color="auto" w:sz="4" w:space="0"/>
                  </w:tcBorders>
                  <w:vAlign w:val="center"/>
                </w:tcPr>
                <w:p w14:paraId="50DC25A3">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联系电话</w:t>
                  </w:r>
                </w:p>
              </w:tc>
              <w:tc>
                <w:tcPr>
                  <w:tcW w:w="2476" w:type="dxa"/>
                  <w:gridSpan w:val="2"/>
                  <w:tcBorders>
                    <w:top w:val="single" w:color="auto" w:sz="4" w:space="0"/>
                    <w:left w:val="single" w:color="auto" w:sz="4" w:space="0"/>
                    <w:bottom w:val="single" w:color="auto" w:sz="4" w:space="0"/>
                    <w:right w:val="single" w:color="auto" w:sz="4" w:space="0"/>
                  </w:tcBorders>
                  <w:vAlign w:val="center"/>
                </w:tcPr>
                <w:p w14:paraId="01E0C2E6">
                  <w:pPr>
                    <w:widowControl/>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13988908760</w:t>
                  </w:r>
                </w:p>
              </w:tc>
              <w:tc>
                <w:tcPr>
                  <w:tcW w:w="763" w:type="dxa"/>
                  <w:tcBorders>
                    <w:top w:val="single" w:color="auto" w:sz="4" w:space="0"/>
                    <w:left w:val="single" w:color="auto" w:sz="4" w:space="0"/>
                    <w:bottom w:val="single" w:color="auto" w:sz="4" w:space="0"/>
                    <w:right w:val="single" w:color="auto" w:sz="4" w:space="0"/>
                  </w:tcBorders>
                  <w:vAlign w:val="center"/>
                </w:tcPr>
                <w:p w14:paraId="3101A10E">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传真</w:t>
                  </w:r>
                </w:p>
              </w:tc>
              <w:tc>
                <w:tcPr>
                  <w:tcW w:w="1286" w:type="dxa"/>
                  <w:tcBorders>
                    <w:top w:val="single" w:color="auto" w:sz="4" w:space="0"/>
                    <w:left w:val="single" w:color="auto" w:sz="4" w:space="0"/>
                    <w:bottom w:val="single" w:color="auto" w:sz="4" w:space="0"/>
                    <w:right w:val="single" w:color="auto" w:sz="4" w:space="0"/>
                  </w:tcBorders>
                  <w:vAlign w:val="center"/>
                </w:tcPr>
                <w:p w14:paraId="49129364">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497" w:type="dxa"/>
                  <w:tcBorders>
                    <w:top w:val="single" w:color="auto" w:sz="4" w:space="0"/>
                    <w:left w:val="single" w:color="auto" w:sz="4" w:space="0"/>
                    <w:bottom w:val="single" w:color="auto" w:sz="4" w:space="0"/>
                    <w:right w:val="single" w:color="auto" w:sz="4" w:space="0"/>
                  </w:tcBorders>
                  <w:vAlign w:val="center"/>
                </w:tcPr>
                <w:p w14:paraId="37F383C3">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邮政编码</w:t>
                  </w:r>
                </w:p>
              </w:tc>
              <w:tc>
                <w:tcPr>
                  <w:tcW w:w="1538" w:type="dxa"/>
                  <w:tcBorders>
                    <w:top w:val="single" w:color="auto" w:sz="4" w:space="0"/>
                    <w:left w:val="single" w:color="auto" w:sz="4" w:space="0"/>
                    <w:bottom w:val="single" w:color="auto" w:sz="4" w:space="0"/>
                    <w:right w:val="single" w:color="auto" w:sz="4" w:space="0"/>
                  </w:tcBorders>
                  <w:vAlign w:val="center"/>
                </w:tcPr>
                <w:p w14:paraId="020B4BBA">
                  <w:pPr>
                    <w:widowControl/>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678400</w:t>
                  </w:r>
                </w:p>
              </w:tc>
            </w:tr>
            <w:tr w14:paraId="08EDF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359" w:type="dxa"/>
                  <w:tcBorders>
                    <w:top w:val="single" w:color="auto" w:sz="4" w:space="0"/>
                    <w:left w:val="single" w:color="auto" w:sz="4" w:space="0"/>
                    <w:bottom w:val="single" w:color="auto" w:sz="4" w:space="0"/>
                    <w:right w:val="single" w:color="auto" w:sz="4" w:space="0"/>
                  </w:tcBorders>
                  <w:vAlign w:val="center"/>
                </w:tcPr>
                <w:p w14:paraId="034611F8">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建设地点</w:t>
                  </w:r>
                </w:p>
              </w:tc>
              <w:tc>
                <w:tcPr>
                  <w:tcW w:w="7560" w:type="dxa"/>
                  <w:gridSpan w:val="6"/>
                  <w:tcBorders>
                    <w:top w:val="single" w:color="auto" w:sz="4" w:space="0"/>
                    <w:left w:val="single" w:color="auto" w:sz="4" w:space="0"/>
                    <w:bottom w:val="single" w:color="auto" w:sz="4" w:space="0"/>
                    <w:right w:val="single" w:color="auto" w:sz="4" w:space="0"/>
                  </w:tcBorders>
                  <w:vAlign w:val="center"/>
                </w:tcPr>
                <w:p w14:paraId="5E54C55E">
                  <w:pPr>
                    <w:widowControl/>
                    <w:spacing w:line="240" w:lineRule="auto"/>
                    <w:jc w:val="center"/>
                    <w:rPr>
                      <w:rFonts w:hint="default"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芒市中心城区</w:t>
                  </w:r>
                </w:p>
              </w:tc>
            </w:tr>
            <w:tr w14:paraId="2232C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359" w:type="dxa"/>
                  <w:tcBorders>
                    <w:top w:val="single" w:color="auto" w:sz="4" w:space="0"/>
                    <w:left w:val="single" w:color="auto" w:sz="4" w:space="0"/>
                    <w:bottom w:val="single" w:color="auto" w:sz="4" w:space="0"/>
                    <w:right w:val="single" w:color="auto" w:sz="4" w:space="0"/>
                  </w:tcBorders>
                  <w:vAlign w:val="center"/>
                </w:tcPr>
                <w:p w14:paraId="74CF9A6D">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立项审批部门</w:t>
                  </w:r>
                </w:p>
              </w:tc>
              <w:tc>
                <w:tcPr>
                  <w:tcW w:w="3239" w:type="dxa"/>
                  <w:gridSpan w:val="3"/>
                  <w:tcBorders>
                    <w:top w:val="single" w:color="auto" w:sz="4" w:space="0"/>
                    <w:left w:val="single" w:color="auto" w:sz="4" w:space="0"/>
                    <w:bottom w:val="single" w:color="auto" w:sz="4" w:space="0"/>
                    <w:right w:val="single" w:color="auto" w:sz="4" w:space="0"/>
                  </w:tcBorders>
                  <w:vAlign w:val="center"/>
                </w:tcPr>
                <w:p w14:paraId="7381BC5F">
                  <w:pPr>
                    <w:widowControl/>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芒市发展和改革局</w:t>
                  </w:r>
                </w:p>
              </w:tc>
              <w:tc>
                <w:tcPr>
                  <w:tcW w:w="1286" w:type="dxa"/>
                  <w:tcBorders>
                    <w:top w:val="single" w:color="auto" w:sz="4" w:space="0"/>
                    <w:left w:val="single" w:color="auto" w:sz="4" w:space="0"/>
                    <w:bottom w:val="single" w:color="auto" w:sz="4" w:space="0"/>
                    <w:right w:val="single" w:color="auto" w:sz="4" w:space="0"/>
                  </w:tcBorders>
                  <w:vAlign w:val="center"/>
                </w:tcPr>
                <w:p w14:paraId="478E99C8">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批准文号</w:t>
                  </w:r>
                </w:p>
              </w:tc>
              <w:tc>
                <w:tcPr>
                  <w:tcW w:w="3035" w:type="dxa"/>
                  <w:gridSpan w:val="2"/>
                  <w:tcBorders>
                    <w:top w:val="single" w:color="auto" w:sz="4" w:space="0"/>
                    <w:left w:val="single" w:color="auto" w:sz="4" w:space="0"/>
                    <w:bottom w:val="single" w:color="auto" w:sz="4" w:space="0"/>
                    <w:right w:val="single" w:color="auto" w:sz="4" w:space="0"/>
                  </w:tcBorders>
                  <w:vAlign w:val="center"/>
                </w:tcPr>
                <w:p w14:paraId="6C3B1A62">
                  <w:pPr>
                    <w:widowControl/>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芒发改字【2019】128号</w:t>
                  </w:r>
                </w:p>
              </w:tc>
            </w:tr>
            <w:tr w14:paraId="40B48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359" w:type="dxa"/>
                  <w:tcBorders>
                    <w:top w:val="single" w:color="auto" w:sz="4" w:space="0"/>
                    <w:left w:val="single" w:color="auto" w:sz="4" w:space="0"/>
                    <w:bottom w:val="single" w:color="auto" w:sz="4" w:space="0"/>
                    <w:right w:val="single" w:color="auto" w:sz="4" w:space="0"/>
                  </w:tcBorders>
                  <w:vAlign w:val="center"/>
                </w:tcPr>
                <w:p w14:paraId="1DE19594">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建设性质</w:t>
                  </w:r>
                </w:p>
              </w:tc>
              <w:tc>
                <w:tcPr>
                  <w:tcW w:w="3239" w:type="dxa"/>
                  <w:gridSpan w:val="3"/>
                  <w:tcBorders>
                    <w:top w:val="single" w:color="auto" w:sz="4" w:space="0"/>
                    <w:left w:val="single" w:color="auto" w:sz="4" w:space="0"/>
                    <w:bottom w:val="single" w:color="auto" w:sz="4" w:space="0"/>
                    <w:right w:val="single" w:color="auto" w:sz="4" w:space="0"/>
                  </w:tcBorders>
                  <w:vAlign w:val="center"/>
                </w:tcPr>
                <w:p w14:paraId="37B935AE">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新建</w:t>
                  </w:r>
                  <w:r>
                    <w:rPr>
                      <w:rFonts w:hint="default" w:ascii="Times New Roman" w:hAnsi="Times New Roman" w:eastAsia="宋体" w:cs="Times New Roman"/>
                      <w:b/>
                      <w:bCs/>
                      <w:color w:val="auto"/>
                      <w:sz w:val="21"/>
                      <w:szCs w:val="21"/>
                      <w:highlight w:val="none"/>
                    </w:rPr>
                    <w:sym w:font="Wingdings 2" w:char="0052"/>
                  </w:r>
                  <w:r>
                    <w:rPr>
                      <w:rFonts w:hint="eastAsia" w:cs="Times New Roman"/>
                      <w:b/>
                      <w:bCs/>
                      <w:color w:val="auto"/>
                      <w:sz w:val="21"/>
                      <w:szCs w:val="21"/>
                      <w:highlight w:val="none"/>
                      <w:lang w:val="en-US" w:eastAsia="zh-CN"/>
                    </w:rPr>
                    <w:t xml:space="preserve"> </w:t>
                  </w:r>
                  <w:r>
                    <w:rPr>
                      <w:rFonts w:hint="default" w:ascii="Times New Roman" w:hAnsi="Times New Roman" w:eastAsia="宋体" w:cs="Times New Roman"/>
                      <w:color w:val="auto"/>
                      <w:kern w:val="0"/>
                      <w:sz w:val="21"/>
                      <w:szCs w:val="21"/>
                      <w:highlight w:val="none"/>
                    </w:rPr>
                    <w:t>改扩建</w:t>
                  </w:r>
                  <w:r>
                    <w:rPr>
                      <w:rFonts w:hint="default" w:ascii="Times New Roman" w:hAnsi="Times New Roman" w:eastAsia="宋体" w:cs="Times New Roman"/>
                      <w:b w:val="0"/>
                      <w:bCs w:val="0"/>
                      <w:color w:val="auto"/>
                      <w:kern w:val="0"/>
                      <w:sz w:val="20"/>
                      <w:szCs w:val="20"/>
                      <w:highlight w:val="none"/>
                    </w:rPr>
                    <w:sym w:font="Wingdings 2" w:char="00A3"/>
                  </w:r>
                  <w:r>
                    <w:rPr>
                      <w:rFonts w:hint="eastAsia" w:cs="Times New Roman"/>
                      <w:b w:val="0"/>
                      <w:bCs w:val="0"/>
                      <w:color w:val="auto"/>
                      <w:kern w:val="0"/>
                      <w:sz w:val="20"/>
                      <w:szCs w:val="20"/>
                      <w:highlight w:val="none"/>
                      <w:lang w:val="en-US" w:eastAsia="zh-CN"/>
                    </w:rPr>
                    <w:t xml:space="preserve"> </w:t>
                  </w:r>
                  <w:r>
                    <w:rPr>
                      <w:rFonts w:hint="default" w:ascii="Times New Roman" w:hAnsi="Times New Roman" w:eastAsia="宋体" w:cs="Times New Roman"/>
                      <w:color w:val="auto"/>
                      <w:kern w:val="0"/>
                      <w:sz w:val="21"/>
                      <w:szCs w:val="21"/>
                      <w:highlight w:val="none"/>
                    </w:rPr>
                    <w:t>技改□</w:t>
                  </w:r>
                </w:p>
              </w:tc>
              <w:tc>
                <w:tcPr>
                  <w:tcW w:w="1286" w:type="dxa"/>
                  <w:tcBorders>
                    <w:top w:val="single" w:color="auto" w:sz="4" w:space="0"/>
                    <w:left w:val="single" w:color="auto" w:sz="4" w:space="0"/>
                    <w:bottom w:val="single" w:color="auto" w:sz="4" w:space="0"/>
                    <w:right w:val="single" w:color="auto" w:sz="4" w:space="0"/>
                  </w:tcBorders>
                  <w:vAlign w:val="center"/>
                </w:tcPr>
                <w:p w14:paraId="4532CA96">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行业类别</w:t>
                  </w:r>
                </w:p>
                <w:p w14:paraId="7F48EDAE">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及代码</w:t>
                  </w:r>
                </w:p>
              </w:tc>
              <w:tc>
                <w:tcPr>
                  <w:tcW w:w="3035" w:type="dxa"/>
                  <w:gridSpan w:val="2"/>
                  <w:tcBorders>
                    <w:top w:val="single" w:color="auto" w:sz="4" w:space="0"/>
                    <w:left w:val="single" w:color="auto" w:sz="4" w:space="0"/>
                    <w:bottom w:val="single" w:color="auto" w:sz="4" w:space="0"/>
                    <w:right w:val="single" w:color="auto" w:sz="4" w:space="0"/>
                  </w:tcBorders>
                  <w:vAlign w:val="center"/>
                </w:tcPr>
                <w:p w14:paraId="621AE350">
                  <w:pPr>
                    <w:pStyle w:val="8"/>
                    <w:widowControl/>
                    <w:spacing w:beforeAutospacing="1" w:afterAutospacing="1" w:line="240" w:lineRule="auto"/>
                    <w:jc w:val="center"/>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地下综合管廊工程建筑（</w:t>
                  </w:r>
                  <w:r>
                    <w:rPr>
                      <w:rFonts w:hint="eastAsia" w:cs="Times New Roman"/>
                      <w:color w:val="auto"/>
                      <w:sz w:val="21"/>
                      <w:szCs w:val="21"/>
                      <w:highlight w:val="none"/>
                      <w:lang w:val="en-US" w:eastAsia="zh-CN"/>
                    </w:rPr>
                    <w:t>E4853</w:t>
                  </w:r>
                  <w:r>
                    <w:rPr>
                      <w:rFonts w:hint="eastAsia" w:cs="Times New Roman"/>
                      <w:color w:val="auto"/>
                      <w:sz w:val="21"/>
                      <w:szCs w:val="21"/>
                      <w:highlight w:val="none"/>
                      <w:lang w:eastAsia="zh-CN"/>
                    </w:rPr>
                    <w:t>）</w:t>
                  </w:r>
                </w:p>
              </w:tc>
            </w:tr>
            <w:tr w14:paraId="4EEF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359" w:type="dxa"/>
                  <w:tcBorders>
                    <w:top w:val="single" w:color="auto" w:sz="4" w:space="0"/>
                    <w:left w:val="single" w:color="auto" w:sz="4" w:space="0"/>
                    <w:bottom w:val="single" w:color="auto" w:sz="4" w:space="0"/>
                    <w:right w:val="single" w:color="auto" w:sz="4" w:space="0"/>
                  </w:tcBorders>
                  <w:vAlign w:val="center"/>
                </w:tcPr>
                <w:p w14:paraId="755AB350">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占地面积</w:t>
                  </w:r>
                </w:p>
                <w:p w14:paraId="6EFCAF1E">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(hm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w:t>
                  </w:r>
                </w:p>
              </w:tc>
              <w:tc>
                <w:tcPr>
                  <w:tcW w:w="3239" w:type="dxa"/>
                  <w:gridSpan w:val="3"/>
                  <w:tcBorders>
                    <w:top w:val="single" w:color="auto" w:sz="4" w:space="0"/>
                    <w:left w:val="single" w:color="auto" w:sz="4" w:space="0"/>
                    <w:bottom w:val="single" w:color="auto" w:sz="4" w:space="0"/>
                    <w:right w:val="single" w:color="auto" w:sz="4" w:space="0"/>
                  </w:tcBorders>
                  <w:vAlign w:val="center"/>
                </w:tcPr>
                <w:p w14:paraId="3FAB5B55">
                  <w:pPr>
                    <w:widowControl/>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16.37</w:t>
                  </w:r>
                </w:p>
              </w:tc>
              <w:tc>
                <w:tcPr>
                  <w:tcW w:w="1286" w:type="dxa"/>
                  <w:tcBorders>
                    <w:top w:val="single" w:color="auto" w:sz="4" w:space="0"/>
                    <w:left w:val="single" w:color="auto" w:sz="4" w:space="0"/>
                    <w:bottom w:val="single" w:color="auto" w:sz="4" w:space="0"/>
                    <w:right w:val="single" w:color="auto" w:sz="4" w:space="0"/>
                  </w:tcBorders>
                  <w:vAlign w:val="center"/>
                </w:tcPr>
                <w:p w14:paraId="1B71477E">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绿化面积</w:t>
                  </w:r>
                </w:p>
                <w:p w14:paraId="71F2198B">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(hm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rPr>
                    <w:t>)</w:t>
                  </w:r>
                </w:p>
              </w:tc>
              <w:tc>
                <w:tcPr>
                  <w:tcW w:w="3035" w:type="dxa"/>
                  <w:gridSpan w:val="2"/>
                  <w:tcBorders>
                    <w:top w:val="single" w:color="auto" w:sz="4" w:space="0"/>
                    <w:left w:val="single" w:color="auto" w:sz="4" w:space="0"/>
                    <w:bottom w:val="single" w:color="auto" w:sz="4" w:space="0"/>
                    <w:right w:val="single" w:color="auto" w:sz="4" w:space="0"/>
                  </w:tcBorders>
                  <w:vAlign w:val="center"/>
                </w:tcPr>
                <w:p w14:paraId="5AD92AEA">
                  <w:pPr>
                    <w:widowControl/>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14:paraId="5F3E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359" w:type="dxa"/>
                  <w:tcBorders>
                    <w:top w:val="single" w:color="auto" w:sz="4" w:space="0"/>
                    <w:left w:val="single" w:color="auto" w:sz="4" w:space="0"/>
                    <w:bottom w:val="single" w:color="auto" w:sz="4" w:space="0"/>
                    <w:right w:val="single" w:color="auto" w:sz="4" w:space="0"/>
                  </w:tcBorders>
                  <w:vAlign w:val="center"/>
                </w:tcPr>
                <w:p w14:paraId="77E543EE">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总投资</w:t>
                  </w:r>
                </w:p>
                <w:p w14:paraId="0EE6751F">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(万元)</w:t>
                  </w:r>
                </w:p>
              </w:tc>
              <w:tc>
                <w:tcPr>
                  <w:tcW w:w="1804" w:type="dxa"/>
                  <w:tcBorders>
                    <w:top w:val="single" w:color="auto" w:sz="4" w:space="0"/>
                    <w:left w:val="single" w:color="auto" w:sz="4" w:space="0"/>
                    <w:bottom w:val="single" w:color="auto" w:sz="4" w:space="0"/>
                    <w:right w:val="single" w:color="auto" w:sz="4" w:space="0"/>
                  </w:tcBorders>
                  <w:vAlign w:val="center"/>
                </w:tcPr>
                <w:p w14:paraId="70BF028D">
                  <w:pPr>
                    <w:widowControl/>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110786.26</w:t>
                  </w:r>
                </w:p>
              </w:tc>
              <w:tc>
                <w:tcPr>
                  <w:tcW w:w="1435" w:type="dxa"/>
                  <w:gridSpan w:val="2"/>
                  <w:tcBorders>
                    <w:top w:val="single" w:color="auto" w:sz="4" w:space="0"/>
                    <w:left w:val="single" w:color="auto" w:sz="4" w:space="0"/>
                    <w:bottom w:val="single" w:color="auto" w:sz="4" w:space="0"/>
                    <w:right w:val="single" w:color="auto" w:sz="4" w:space="0"/>
                  </w:tcBorders>
                  <w:vAlign w:val="center"/>
                </w:tcPr>
                <w:p w14:paraId="1208F76B">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其中：环保投资(万元)</w:t>
                  </w:r>
                </w:p>
              </w:tc>
              <w:tc>
                <w:tcPr>
                  <w:tcW w:w="1286" w:type="dxa"/>
                  <w:tcBorders>
                    <w:top w:val="single" w:color="auto" w:sz="4" w:space="0"/>
                    <w:left w:val="single" w:color="auto" w:sz="4" w:space="0"/>
                    <w:bottom w:val="single" w:color="auto" w:sz="4" w:space="0"/>
                    <w:right w:val="single" w:color="auto" w:sz="4" w:space="0"/>
                  </w:tcBorders>
                  <w:vAlign w:val="center"/>
                </w:tcPr>
                <w:p w14:paraId="5B1B673C">
                  <w:pPr>
                    <w:widowControl/>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728.5</w:t>
                  </w:r>
                </w:p>
              </w:tc>
              <w:tc>
                <w:tcPr>
                  <w:tcW w:w="1497" w:type="dxa"/>
                  <w:tcBorders>
                    <w:top w:val="single" w:color="auto" w:sz="4" w:space="0"/>
                    <w:left w:val="single" w:color="auto" w:sz="4" w:space="0"/>
                    <w:bottom w:val="single" w:color="auto" w:sz="4" w:space="0"/>
                    <w:right w:val="single" w:color="auto" w:sz="4" w:space="0"/>
                  </w:tcBorders>
                  <w:vAlign w:val="center"/>
                </w:tcPr>
                <w:p w14:paraId="0C13ED87">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环保投资占总投资比例</w:t>
                  </w:r>
                </w:p>
              </w:tc>
              <w:tc>
                <w:tcPr>
                  <w:tcW w:w="1538" w:type="dxa"/>
                  <w:tcBorders>
                    <w:top w:val="single" w:color="auto" w:sz="4" w:space="0"/>
                    <w:left w:val="single" w:color="auto" w:sz="4" w:space="0"/>
                    <w:bottom w:val="single" w:color="auto" w:sz="4" w:space="0"/>
                    <w:right w:val="single" w:color="auto" w:sz="4" w:space="0"/>
                  </w:tcBorders>
                  <w:vAlign w:val="center"/>
                </w:tcPr>
                <w:p w14:paraId="1F400122">
                  <w:pPr>
                    <w:widowControl/>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0.7</w:t>
                  </w:r>
                </w:p>
              </w:tc>
            </w:tr>
            <w:tr w14:paraId="01B31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1359" w:type="dxa"/>
                  <w:tcBorders>
                    <w:top w:val="single" w:color="auto" w:sz="4" w:space="0"/>
                    <w:left w:val="single" w:color="auto" w:sz="4" w:space="0"/>
                    <w:bottom w:val="single" w:color="auto" w:sz="4" w:space="0"/>
                    <w:right w:val="single" w:color="auto" w:sz="4" w:space="0"/>
                  </w:tcBorders>
                  <w:vAlign w:val="center"/>
                </w:tcPr>
                <w:p w14:paraId="22A9C2A7">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评价经费</w:t>
                  </w:r>
                </w:p>
                <w:p w14:paraId="032282ED">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(万元)</w:t>
                  </w:r>
                </w:p>
              </w:tc>
              <w:tc>
                <w:tcPr>
                  <w:tcW w:w="1804" w:type="dxa"/>
                  <w:tcBorders>
                    <w:top w:val="single" w:color="auto" w:sz="4" w:space="0"/>
                    <w:left w:val="single" w:color="auto" w:sz="4" w:space="0"/>
                    <w:bottom w:val="single" w:color="auto" w:sz="4" w:space="0"/>
                    <w:right w:val="single" w:color="auto" w:sz="4" w:space="0"/>
                  </w:tcBorders>
                  <w:vAlign w:val="center"/>
                </w:tcPr>
                <w:p w14:paraId="4D907CBA">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435" w:type="dxa"/>
                  <w:gridSpan w:val="2"/>
                  <w:tcBorders>
                    <w:top w:val="single" w:color="auto" w:sz="4" w:space="0"/>
                    <w:left w:val="single" w:color="auto" w:sz="4" w:space="0"/>
                    <w:bottom w:val="single" w:color="auto" w:sz="4" w:space="0"/>
                    <w:right w:val="single" w:color="auto" w:sz="4" w:space="0"/>
                  </w:tcBorders>
                  <w:vAlign w:val="center"/>
                </w:tcPr>
                <w:p w14:paraId="7DB7E08C">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预期投产</w:t>
                  </w:r>
                </w:p>
                <w:p w14:paraId="02F6525E">
                  <w:pPr>
                    <w:widowControl/>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日期</w:t>
                  </w:r>
                </w:p>
              </w:tc>
              <w:tc>
                <w:tcPr>
                  <w:tcW w:w="4321" w:type="dxa"/>
                  <w:gridSpan w:val="3"/>
                  <w:tcBorders>
                    <w:top w:val="single" w:color="auto" w:sz="4" w:space="0"/>
                    <w:left w:val="single" w:color="auto" w:sz="4" w:space="0"/>
                    <w:bottom w:val="single" w:color="auto" w:sz="4" w:space="0"/>
                    <w:right w:val="single" w:color="auto" w:sz="4" w:space="0"/>
                  </w:tcBorders>
                  <w:vAlign w:val="center"/>
                </w:tcPr>
                <w:p w14:paraId="2C203843">
                  <w:pPr>
                    <w:widowControl/>
                    <w:spacing w:line="240" w:lineRule="auto"/>
                    <w:jc w:val="center"/>
                    <w:rPr>
                      <w:rFonts w:hint="default" w:ascii="Times New Roman" w:hAnsi="Times New Roman" w:eastAsia="宋体" w:cs="Times New Roman"/>
                      <w:color w:val="0000FF"/>
                      <w:sz w:val="21"/>
                      <w:szCs w:val="21"/>
                      <w:highlight w:val="none"/>
                      <w:lang w:val="en-US" w:eastAsia="zh-CN"/>
                    </w:rPr>
                  </w:pPr>
                  <w:r>
                    <w:rPr>
                      <w:rFonts w:hint="eastAsia" w:cs="Times New Roman"/>
                      <w:color w:val="auto"/>
                      <w:sz w:val="21"/>
                      <w:szCs w:val="21"/>
                      <w:highlight w:val="none"/>
                      <w:lang w:val="en-US" w:eastAsia="zh-CN"/>
                    </w:rPr>
                    <w:t>2022年9月</w:t>
                  </w:r>
                </w:p>
              </w:tc>
            </w:tr>
          </w:tbl>
          <w:p w14:paraId="64BD0A7D">
            <w:pPr>
              <w:bidi w:val="0"/>
              <w:spacing w:line="360" w:lineRule="auto"/>
              <w:rPr>
                <w:rFonts w:hint="eastAsia"/>
                <w:b/>
                <w:bCs/>
                <w:sz w:val="28"/>
                <w:szCs w:val="28"/>
                <w:lang w:val="en-US" w:eastAsia="zh-CN"/>
              </w:rPr>
            </w:pPr>
            <w:r>
              <w:rPr>
                <w:rFonts w:hint="eastAsia"/>
                <w:b/>
                <w:bCs/>
                <w:sz w:val="28"/>
                <w:szCs w:val="28"/>
                <w:lang w:val="en-US" w:eastAsia="zh-CN"/>
              </w:rPr>
              <w:t>工程内容及规模</w:t>
            </w:r>
          </w:p>
          <w:p w14:paraId="64E82E1F">
            <w:pPr>
              <w:numPr>
                <w:ilvl w:val="0"/>
                <w:numId w:val="1"/>
              </w:numPr>
              <w:bidi w:val="0"/>
              <w:rPr>
                <w:rFonts w:hint="eastAsia"/>
                <w:b/>
                <w:bCs/>
                <w:lang w:val="en-US" w:eastAsia="zh-CN"/>
              </w:rPr>
            </w:pPr>
            <w:r>
              <w:rPr>
                <w:rFonts w:hint="eastAsia"/>
                <w:b/>
                <w:bCs/>
                <w:lang w:val="en-US" w:eastAsia="zh-CN"/>
              </w:rPr>
              <w:t>项目由来</w:t>
            </w:r>
          </w:p>
          <w:p w14:paraId="37D5253A">
            <w:pPr>
              <w:keepNext w:val="0"/>
              <w:keepLines w:val="0"/>
              <w:widowControl/>
              <w:suppressLineNumbers w:val="0"/>
              <w:ind w:firstLine="480" w:firstLineChars="200"/>
              <w:jc w:val="left"/>
              <w:rPr>
                <w:rFonts w:hint="eastAsia"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2013年9月，国务院出台了《国务院关于加强城市基础设施建设的意见》(国发【2013】36号)。2014年6月，国务院出台了《国务院办公厅关于加强城市地下管线建设管理的指导意见》(国办发【2014】27号)。2015 年 3 月 31 日，国家发改委办公厅印发了关于《国家发展改革委办公厅关于《印发城市地下综合管廊建设专项债券发行指引》的通知》(发改办财金【2015】755号)。201</w:t>
            </w:r>
            <w:r>
              <w:rPr>
                <w:rFonts w:hint="eastAsia" w:cs="Times New Roman"/>
                <w:color w:val="000000"/>
                <w:kern w:val="0"/>
                <w:sz w:val="24"/>
                <w:szCs w:val="24"/>
                <w:lang w:val="en-US" w:eastAsia="zh-CN" w:bidi="ar"/>
              </w:rPr>
              <w:t>6</w:t>
            </w:r>
            <w:r>
              <w:rPr>
                <w:rFonts w:hint="default" w:ascii="Times New Roman" w:hAnsi="Times New Roman" w:eastAsia="宋体" w:cs="Times New Roman"/>
                <w:color w:val="000000"/>
                <w:kern w:val="0"/>
                <w:sz w:val="24"/>
                <w:szCs w:val="24"/>
                <w:lang w:val="en-US" w:eastAsia="zh-CN" w:bidi="ar"/>
              </w:rPr>
              <w:t>年1月，云南省人民政府出台了《关于</w:t>
            </w:r>
            <w:r>
              <w:rPr>
                <w:rFonts w:hint="eastAsia" w:cs="Times New Roman"/>
                <w:color w:val="000000"/>
                <w:kern w:val="0"/>
                <w:sz w:val="24"/>
                <w:szCs w:val="24"/>
                <w:lang w:val="en-US" w:eastAsia="zh-CN" w:bidi="ar"/>
              </w:rPr>
              <w:t>加快推进全省城市地下综合管廊建设的实施意见</w:t>
            </w:r>
            <w:r>
              <w:rPr>
                <w:rFonts w:hint="default" w:ascii="Times New Roman" w:hAnsi="Times New Roman" w:eastAsia="宋体" w:cs="Times New Roman"/>
                <w:color w:val="000000"/>
                <w:kern w:val="0"/>
                <w:sz w:val="24"/>
                <w:szCs w:val="24"/>
                <w:lang w:val="en-US" w:eastAsia="zh-CN" w:bidi="ar"/>
              </w:rPr>
              <w:t>》(云政发【201</w:t>
            </w:r>
            <w:r>
              <w:rPr>
                <w:rFonts w:hint="eastAsia" w:cs="Times New Roman"/>
                <w:color w:val="000000"/>
                <w:kern w:val="0"/>
                <w:sz w:val="24"/>
                <w:szCs w:val="24"/>
                <w:lang w:val="en-US" w:eastAsia="zh-CN" w:bidi="ar"/>
              </w:rPr>
              <w:t>6</w:t>
            </w:r>
            <w:r>
              <w:rPr>
                <w:rFonts w:hint="default" w:ascii="Times New Roman" w:hAnsi="Times New Roman" w:eastAsia="宋体" w:cs="Times New Roman"/>
                <w:color w:val="000000"/>
                <w:kern w:val="0"/>
                <w:sz w:val="24"/>
                <w:szCs w:val="24"/>
                <w:lang w:val="en-US" w:eastAsia="zh-CN" w:bidi="ar"/>
              </w:rPr>
              <w:t>】</w:t>
            </w:r>
            <w:r>
              <w:rPr>
                <w:rFonts w:hint="eastAsia" w:cs="Times New Roman"/>
                <w:color w:val="000000"/>
                <w:kern w:val="0"/>
                <w:sz w:val="24"/>
                <w:szCs w:val="24"/>
                <w:lang w:val="en-US" w:eastAsia="zh-CN" w:bidi="ar"/>
              </w:rPr>
              <w:t>10</w:t>
            </w:r>
            <w:r>
              <w:rPr>
                <w:rFonts w:hint="default" w:ascii="Times New Roman" w:hAnsi="Times New Roman" w:eastAsia="宋体" w:cs="Times New Roman"/>
                <w:color w:val="000000"/>
                <w:kern w:val="0"/>
                <w:sz w:val="24"/>
                <w:szCs w:val="24"/>
                <w:lang w:val="en-US" w:eastAsia="zh-CN" w:bidi="ar"/>
              </w:rPr>
              <w:t>号)。按照国家发改委、云南省住建厅颁布的相关综合管廊实施意见及指导文件，在全国进行综合管廊试点建设研究。芒市抓住时机，根据上级主管部门的意见，推举在芒市中心城区建设综合管廊项目，为芒市的市政基础设施建设奠定基础</w:t>
            </w:r>
            <w:r>
              <w:rPr>
                <w:rFonts w:hint="eastAsia" w:ascii="Times New Roman" w:hAnsi="Times New Roman" w:eastAsia="宋体" w:cs="Times New Roman"/>
                <w:color w:val="000000"/>
                <w:kern w:val="0"/>
                <w:sz w:val="24"/>
                <w:szCs w:val="24"/>
                <w:lang w:val="en-US" w:eastAsia="zh-CN" w:bidi="ar"/>
              </w:rPr>
              <w:t>。</w:t>
            </w:r>
          </w:p>
          <w:p w14:paraId="3BBAC3F7">
            <w:pPr>
              <w:keepNext w:val="0"/>
              <w:keepLines w:val="0"/>
              <w:widowControl/>
              <w:suppressLineNumbers w:val="0"/>
              <w:ind w:firstLine="480" w:firstLineChars="200"/>
              <w:jc w:val="left"/>
              <w:rPr>
                <w:rFonts w:hint="eastAsia" w:cs="Times New Roman"/>
                <w:color w:val="FF0000"/>
                <w:kern w:val="0"/>
                <w:sz w:val="24"/>
                <w:szCs w:val="24"/>
                <w:lang w:val="en-US" w:eastAsia="zh-CN" w:bidi="ar"/>
              </w:rPr>
            </w:pPr>
            <w:r>
              <w:rPr>
                <w:rFonts w:hint="eastAsia" w:cs="Times New Roman"/>
                <w:color w:val="FF0000"/>
                <w:kern w:val="0"/>
                <w:sz w:val="24"/>
                <w:szCs w:val="24"/>
                <w:lang w:val="en-US" w:eastAsia="zh-CN" w:bidi="ar"/>
              </w:rPr>
              <w:t>芒市综合管廊投资开发有限公司</w:t>
            </w:r>
            <w:r>
              <w:rPr>
                <w:rFonts w:hint="default" w:ascii="Times New Roman" w:hAnsi="Times New Roman" w:cs="Times New Roman"/>
                <w:color w:val="FF0000"/>
                <w:kern w:val="0"/>
                <w:sz w:val="24"/>
                <w:szCs w:val="24"/>
                <w:lang w:val="en-US" w:eastAsia="zh-CN" w:bidi="ar"/>
              </w:rPr>
              <w:t>于2018年</w:t>
            </w:r>
            <w:r>
              <w:rPr>
                <w:rFonts w:hint="eastAsia" w:cs="Times New Roman"/>
                <w:color w:val="FF0000"/>
                <w:kern w:val="0"/>
                <w:sz w:val="24"/>
                <w:szCs w:val="24"/>
                <w:lang w:val="en-US" w:eastAsia="zh-CN" w:bidi="ar"/>
              </w:rPr>
              <w:t>委托中科森环企业管理（北京）有限公司编制《芒市中心城区综合管廊建设项目环境影响报告表》</w:t>
            </w:r>
            <w:r>
              <w:rPr>
                <w:rFonts w:hint="default" w:ascii="Times New Roman" w:hAnsi="Times New Roman" w:cs="Times New Roman"/>
                <w:color w:val="FF0000"/>
                <w:kern w:val="0"/>
                <w:sz w:val="24"/>
                <w:szCs w:val="24"/>
                <w:lang w:val="en-US" w:eastAsia="zh-CN" w:bidi="ar"/>
              </w:rPr>
              <w:t>，</w:t>
            </w:r>
            <w:r>
              <w:rPr>
                <w:rFonts w:hint="eastAsia" w:cs="Times New Roman"/>
                <w:color w:val="FF0000"/>
                <w:kern w:val="0"/>
                <w:sz w:val="24"/>
                <w:szCs w:val="24"/>
                <w:lang w:val="en-US" w:eastAsia="zh-CN" w:bidi="ar"/>
              </w:rPr>
              <w:t>于2018年3月22日通过芒市环境保护局审批（芒环复【2018】23号）</w:t>
            </w:r>
            <w:r>
              <w:rPr>
                <w:rFonts w:hint="eastAsia" w:ascii="Times New Roman" w:hAnsi="Times New Roman" w:cs="Times New Roman"/>
                <w:color w:val="FF0000"/>
                <w:kern w:val="0"/>
                <w:sz w:val="24"/>
                <w:szCs w:val="24"/>
                <w:lang w:val="en-US" w:eastAsia="zh-CN" w:bidi="ar"/>
              </w:rPr>
              <w:t>，</w:t>
            </w:r>
            <w:r>
              <w:rPr>
                <w:rFonts w:hint="eastAsia" w:cs="Times New Roman"/>
                <w:color w:val="FF0000"/>
                <w:kern w:val="0"/>
                <w:sz w:val="24"/>
                <w:szCs w:val="24"/>
                <w:lang w:val="en-US" w:eastAsia="zh-CN" w:bidi="ar"/>
              </w:rPr>
              <w:t>建设规模为综合管廊全长14.84km，A1型综合管廊（管廊断面尺寸8.4m</w:t>
            </w:r>
            <w:r>
              <w:rPr>
                <w:rFonts w:hint="eastAsia" w:cs="Times New Roman"/>
                <w:color w:val="FF0000"/>
                <w:sz w:val="24"/>
                <w:szCs w:val="24"/>
                <w:highlight w:val="none"/>
                <w:lang w:val="en-US" w:eastAsia="zh-CN"/>
              </w:rPr>
              <w:t>×3.4m</w:t>
            </w:r>
            <w:r>
              <w:rPr>
                <w:rFonts w:hint="eastAsia" w:cs="Times New Roman"/>
                <w:color w:val="FF0000"/>
                <w:kern w:val="0"/>
                <w:sz w:val="24"/>
                <w:szCs w:val="24"/>
                <w:lang w:val="en-US" w:eastAsia="zh-CN" w:bidi="ar"/>
              </w:rPr>
              <w:t>）长5.66km，B1型综合管廊（管廊断面尺寸3.2m</w:t>
            </w:r>
            <w:r>
              <w:rPr>
                <w:rFonts w:hint="eastAsia" w:cs="Times New Roman"/>
                <w:color w:val="FF0000"/>
                <w:sz w:val="24"/>
                <w:szCs w:val="24"/>
                <w:highlight w:val="none"/>
                <w:lang w:val="en-US" w:eastAsia="zh-CN"/>
              </w:rPr>
              <w:t>×2.5m</w:t>
            </w:r>
            <w:r>
              <w:rPr>
                <w:rFonts w:hint="eastAsia" w:cs="Times New Roman"/>
                <w:color w:val="FF0000"/>
                <w:kern w:val="0"/>
                <w:sz w:val="24"/>
                <w:szCs w:val="24"/>
                <w:lang w:val="en-US" w:eastAsia="zh-CN" w:bidi="ar"/>
              </w:rPr>
              <w:t>）长9.18km。</w:t>
            </w:r>
          </w:p>
          <w:p w14:paraId="4E01D70B">
            <w:pPr>
              <w:keepNext w:val="0"/>
              <w:keepLines w:val="0"/>
              <w:widowControl/>
              <w:suppressLineNumbers w:val="0"/>
              <w:ind w:firstLine="480" w:firstLineChars="200"/>
              <w:jc w:val="left"/>
              <w:rPr>
                <w:rFonts w:hint="eastAsia" w:cs="Times New Roman"/>
                <w:color w:val="FF0000"/>
                <w:kern w:val="0"/>
                <w:sz w:val="24"/>
                <w:szCs w:val="24"/>
                <w:lang w:val="en-US" w:eastAsia="zh-CN" w:bidi="ar"/>
              </w:rPr>
            </w:pPr>
            <w:r>
              <w:rPr>
                <w:rFonts w:hint="eastAsia" w:cs="Times New Roman"/>
                <w:color w:val="FF0000"/>
                <w:kern w:val="0"/>
                <w:sz w:val="24"/>
                <w:szCs w:val="24"/>
                <w:lang w:val="en-US" w:eastAsia="zh-CN" w:bidi="ar"/>
              </w:rPr>
              <w:t>项目在取得批复后，已对西二环进行施工，后因规划设计发生变化，对项目建设内容、建设规模进行优化调整，根据《中华人民共和国环境影响评价法》和《建设项目环境保护管理条例》，建设项目性质、规模、地点、生产工艺和环境保护措施五个因素中的一项或一项以上发生重大变动，需重新报批环评文件。</w:t>
            </w:r>
          </w:p>
          <w:p w14:paraId="6F8E0F96">
            <w:pPr>
              <w:keepNext w:val="0"/>
              <w:keepLines w:val="0"/>
              <w:widowControl/>
              <w:suppressLineNumbers w:val="0"/>
              <w:ind w:firstLine="480" w:firstLineChars="200"/>
              <w:jc w:val="left"/>
              <w:rPr>
                <w:rFonts w:hint="default" w:ascii="Times New Roman" w:hAnsi="Times New Roman" w:cs="Times New Roman"/>
                <w:color w:val="000000"/>
                <w:kern w:val="0"/>
                <w:sz w:val="24"/>
                <w:szCs w:val="24"/>
                <w:lang w:val="en-US" w:eastAsia="zh-CN" w:bidi="ar"/>
              </w:rPr>
            </w:pPr>
            <w:r>
              <w:rPr>
                <w:rFonts w:hint="eastAsia" w:ascii="宋体" w:hAnsi="宋体" w:cs="宋体"/>
                <w:color w:val="000000"/>
                <w:kern w:val="0"/>
                <w:sz w:val="24"/>
                <w:szCs w:val="24"/>
                <w:lang w:val="en-US" w:eastAsia="zh-CN" w:bidi="ar"/>
              </w:rPr>
              <w:t>根据《中华人民共和国环</w:t>
            </w:r>
            <w:r>
              <w:rPr>
                <w:rFonts w:hint="default" w:ascii="Times New Roman" w:hAnsi="Times New Roman" w:cs="Times New Roman"/>
                <w:color w:val="000000"/>
                <w:kern w:val="0"/>
                <w:sz w:val="24"/>
                <w:szCs w:val="24"/>
                <w:lang w:val="en-US" w:eastAsia="zh-CN" w:bidi="ar"/>
              </w:rPr>
              <w:t>境保护法》、《中华人民共和国环境影响评价法》和《建设项目环境保护管理条例》的规定，本项目应开展环境影响评价工作。根据《建设项目环境影响评价分类管理名录》（2018版）的规定和要求，本项目属于第四十九类、交通运输业、管道运输业和仓储业，第175项城镇管网及管廊建设（不含1.6兆帕及以下的天然气管道）中的新建管廊，应编制环境影响评价报告表。</w:t>
            </w:r>
          </w:p>
          <w:p w14:paraId="05CB82FC">
            <w:pPr>
              <w:numPr>
                <w:ilvl w:val="0"/>
                <w:numId w:val="0"/>
              </w:numPr>
              <w:autoSpaceDE w:val="0"/>
              <w:autoSpaceDN w:val="0"/>
              <w:spacing w:line="360" w:lineRule="auto"/>
              <w:ind w:leftChars="0" w:firstLine="480" w:firstLineChars="200"/>
              <w:jc w:val="left"/>
              <w:rPr>
                <w:rFonts w:hint="eastAsia" w:ascii="宋体" w:hAnsi="宋体" w:eastAsia="宋体" w:cs="宋体"/>
                <w:b/>
                <w:bCs/>
                <w:color w:val="auto"/>
                <w:sz w:val="28"/>
                <w:szCs w:val="28"/>
                <w:highlight w:val="none"/>
                <w:lang w:eastAsia="zh-CN"/>
              </w:rPr>
            </w:pPr>
            <w:r>
              <w:rPr>
                <w:rFonts w:hint="default" w:ascii="Times New Roman" w:hAnsi="Times New Roman" w:cs="Times New Roman"/>
                <w:color w:val="auto"/>
                <w:sz w:val="24"/>
                <w:highlight w:val="none"/>
              </w:rPr>
              <w:t>因此，建设单位委托</w:t>
            </w:r>
            <w:r>
              <w:rPr>
                <w:rFonts w:hint="default" w:ascii="Times New Roman" w:hAnsi="Times New Roman" w:cs="Times New Roman"/>
                <w:color w:val="auto"/>
                <w:sz w:val="24"/>
                <w:highlight w:val="none"/>
                <w:lang w:eastAsia="zh-CN"/>
              </w:rPr>
              <w:t>云南禹含环保科技有限公司进行环境影响评价报告表编制。</w:t>
            </w:r>
            <w:r>
              <w:rPr>
                <w:rFonts w:hint="default" w:ascii="Times New Roman" w:hAnsi="Times New Roman" w:cs="Times New Roman"/>
                <w:color w:val="auto"/>
                <w:sz w:val="24"/>
                <w:highlight w:val="none"/>
              </w:rPr>
              <w:t>我</w:t>
            </w:r>
            <w:r>
              <w:rPr>
                <w:rFonts w:hint="default" w:ascii="Times New Roman" w:hAnsi="Times New Roman" w:cs="Times New Roman"/>
                <w:color w:val="auto"/>
                <w:sz w:val="24"/>
                <w:highlight w:val="none"/>
                <w:lang w:eastAsia="zh-CN"/>
              </w:rPr>
              <w:t>公司</w:t>
            </w:r>
            <w:r>
              <w:rPr>
                <w:rFonts w:hint="default" w:ascii="Times New Roman" w:hAnsi="Times New Roman" w:cs="Times New Roman"/>
                <w:color w:val="auto"/>
                <w:sz w:val="24"/>
                <w:highlight w:val="none"/>
              </w:rPr>
              <w:t>通过现场踏勘、资料收集，在工程分析的基础上，对本项目可</w:t>
            </w:r>
            <w:r>
              <w:rPr>
                <w:rFonts w:ascii="Times New Roman" w:hAnsi="Times New Roman" w:cs="Times New Roman"/>
                <w:color w:val="auto"/>
                <w:sz w:val="24"/>
                <w:highlight w:val="none"/>
              </w:rPr>
              <w:t>能造成的环境影响进行分析评价后，按照环境影响评价技术导则的要求，</w:t>
            </w:r>
            <w:r>
              <w:rPr>
                <w:rFonts w:hint="eastAsia" w:ascii="Times New Roman" w:hAnsi="Times New Roman" w:cs="Times New Roman"/>
                <w:color w:val="auto"/>
                <w:sz w:val="24"/>
                <w:highlight w:val="none"/>
                <w:lang w:eastAsia="zh-CN"/>
              </w:rPr>
              <w:t>编制了该项目环境影响报告表，供建设单位上报审批。</w:t>
            </w:r>
          </w:p>
          <w:p w14:paraId="35E58CD1">
            <w:pPr>
              <w:keepNext w:val="0"/>
              <w:keepLines w:val="0"/>
              <w:widowControl/>
              <w:suppressLineNumbers w:val="0"/>
              <w:jc w:val="left"/>
              <w:rPr>
                <w:rFonts w:hint="default" w:ascii="宋体" w:hAnsi="宋体" w:cs="宋体"/>
                <w:b/>
                <w:bCs/>
                <w:color w:val="000000"/>
                <w:kern w:val="0"/>
                <w:sz w:val="24"/>
                <w:szCs w:val="24"/>
                <w:lang w:val="en-US" w:eastAsia="zh-CN" w:bidi="ar"/>
              </w:rPr>
            </w:pPr>
            <w:r>
              <w:rPr>
                <w:rFonts w:hint="eastAsia" w:ascii="宋体" w:hAnsi="宋体" w:cs="宋体"/>
                <w:b/>
                <w:bCs/>
                <w:color w:val="000000"/>
                <w:kern w:val="0"/>
                <w:sz w:val="24"/>
                <w:szCs w:val="24"/>
                <w:lang w:val="en-US" w:eastAsia="zh-CN" w:bidi="ar"/>
              </w:rPr>
              <w:t>二、项目概况</w:t>
            </w:r>
          </w:p>
          <w:p w14:paraId="4574517F">
            <w:pPr>
              <w:keepNext w:val="0"/>
              <w:keepLines w:val="0"/>
              <w:widowControl/>
              <w:suppressLineNumbers w:val="0"/>
              <w:spacing w:line="360" w:lineRule="auto"/>
              <w:ind w:firstLine="482" w:firstLineChars="200"/>
              <w:jc w:val="left"/>
              <w:rPr>
                <w:rFonts w:hint="eastAsia" w:ascii="Times New Roman" w:hAnsi="Times New Roman" w:eastAsia="宋体" w:cs="Times New Roman"/>
                <w:color w:val="auto"/>
                <w:sz w:val="24"/>
                <w:szCs w:val="24"/>
                <w:highlight w:val="none"/>
                <w:lang w:val="en-US" w:eastAsia="zh-CN"/>
              </w:rPr>
            </w:pPr>
            <w:r>
              <w:rPr>
                <w:rFonts w:hint="eastAsia"/>
                <w:b/>
                <w:bCs/>
                <w:lang w:val="en-US" w:eastAsia="zh-CN"/>
              </w:rPr>
              <w:t>项目名称：</w:t>
            </w:r>
            <w:r>
              <w:rPr>
                <w:rFonts w:hint="default" w:ascii="Times New Roman" w:hAnsi="Times New Roman" w:eastAsia="宋体" w:cs="Times New Roman"/>
                <w:color w:val="auto"/>
                <w:sz w:val="24"/>
                <w:szCs w:val="24"/>
                <w:highlight w:val="none"/>
                <w:lang w:eastAsia="zh-CN"/>
              </w:rPr>
              <w:t>芒市</w:t>
            </w:r>
            <w:r>
              <w:rPr>
                <w:rFonts w:hint="eastAsia" w:ascii="Times New Roman" w:hAnsi="Times New Roman" w:eastAsia="宋体" w:cs="Times New Roman"/>
                <w:color w:val="auto"/>
                <w:sz w:val="24"/>
                <w:szCs w:val="24"/>
                <w:highlight w:val="none"/>
                <w:lang w:eastAsia="zh-CN"/>
              </w:rPr>
              <w:t>中心城区综合管廊</w:t>
            </w:r>
            <w:r>
              <w:rPr>
                <w:rFonts w:hint="eastAsia" w:ascii="Times New Roman" w:hAnsi="Times New Roman" w:eastAsia="宋体" w:cs="Times New Roman"/>
                <w:color w:val="auto"/>
                <w:sz w:val="24"/>
                <w:szCs w:val="24"/>
                <w:highlight w:val="none"/>
                <w:lang w:val="en-US" w:eastAsia="zh-CN"/>
              </w:rPr>
              <w:t>PPP一期建设项目</w:t>
            </w:r>
          </w:p>
          <w:p w14:paraId="35FB13BF">
            <w:pPr>
              <w:keepNext w:val="0"/>
              <w:keepLines w:val="0"/>
              <w:widowControl/>
              <w:suppressLineNumbers w:val="0"/>
              <w:spacing w:line="360" w:lineRule="auto"/>
              <w:ind w:firstLine="482" w:firstLineChars="200"/>
              <w:jc w:val="left"/>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建设地点：</w:t>
            </w:r>
            <w:r>
              <w:rPr>
                <w:rFonts w:hint="eastAsia" w:ascii="Times New Roman" w:hAnsi="Times New Roman" w:eastAsia="宋体" w:cs="Times New Roman"/>
                <w:color w:val="auto"/>
                <w:sz w:val="24"/>
                <w:szCs w:val="24"/>
                <w:highlight w:val="none"/>
                <w:lang w:val="en-US" w:eastAsia="zh-CN"/>
              </w:rPr>
              <w:t>芒市中心城区</w:t>
            </w:r>
          </w:p>
          <w:p w14:paraId="6F99DFF7">
            <w:pPr>
              <w:keepNext w:val="0"/>
              <w:keepLines w:val="0"/>
              <w:widowControl/>
              <w:suppressLineNumbers w:val="0"/>
              <w:spacing w:line="360" w:lineRule="auto"/>
              <w:ind w:firstLine="482" w:firstLineChars="200"/>
              <w:jc w:val="left"/>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b/>
                <w:bCs/>
                <w:color w:val="auto"/>
                <w:sz w:val="24"/>
                <w:szCs w:val="24"/>
                <w:highlight w:val="none"/>
                <w:lang w:val="en-US" w:eastAsia="zh-CN"/>
              </w:rPr>
              <w:t>建设单位：</w:t>
            </w:r>
            <w:r>
              <w:rPr>
                <w:rFonts w:hint="eastAsia" w:ascii="Times New Roman" w:hAnsi="Times New Roman" w:eastAsia="宋体" w:cs="Times New Roman"/>
                <w:color w:val="auto"/>
                <w:sz w:val="24"/>
                <w:szCs w:val="24"/>
                <w:highlight w:val="none"/>
                <w:lang w:eastAsia="zh-CN"/>
              </w:rPr>
              <w:t>芒市综合管廊投资开发有限公司</w:t>
            </w:r>
          </w:p>
          <w:p w14:paraId="2330415B">
            <w:pPr>
              <w:keepNext w:val="0"/>
              <w:keepLines w:val="0"/>
              <w:widowControl/>
              <w:suppressLineNumbers w:val="0"/>
              <w:spacing w:line="360" w:lineRule="auto"/>
              <w:ind w:firstLine="482" w:firstLineChars="200"/>
              <w:jc w:val="left"/>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建设性质：</w:t>
            </w:r>
            <w:r>
              <w:rPr>
                <w:rFonts w:hint="eastAsia" w:cs="Times New Roman"/>
                <w:b w:val="0"/>
                <w:bCs w:val="0"/>
                <w:color w:val="FF0000"/>
                <w:sz w:val="24"/>
                <w:szCs w:val="24"/>
                <w:highlight w:val="none"/>
                <w:lang w:val="en-US" w:eastAsia="zh-CN"/>
              </w:rPr>
              <w:t>新建</w:t>
            </w:r>
          </w:p>
          <w:p w14:paraId="7134463E">
            <w:pPr>
              <w:keepNext w:val="0"/>
              <w:keepLines w:val="0"/>
              <w:widowControl/>
              <w:suppressLineNumbers w:val="0"/>
              <w:spacing w:line="360" w:lineRule="auto"/>
              <w:ind w:firstLine="482" w:firstLineChars="200"/>
              <w:jc w:val="left"/>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eastAsia="zh-CN"/>
              </w:rPr>
              <w:t>建设内容：</w:t>
            </w:r>
            <w:r>
              <w:rPr>
                <w:rFonts w:hint="eastAsia" w:ascii="Times New Roman" w:hAnsi="Times New Roman" w:eastAsia="宋体" w:cs="Times New Roman"/>
                <w:color w:val="auto"/>
                <w:sz w:val="24"/>
                <w:szCs w:val="24"/>
                <w:highlight w:val="none"/>
                <w:lang w:eastAsia="zh-CN"/>
              </w:rPr>
              <w:t>项目建设内容涉及西二环（芒象路至人保路）、人保路（滨河路至芒市大街）、阔时路（金孔雀大街至芒市大街）、芒市大街、勐焕路（西二环至芒市大街）、胞波路（西二环至芒市大街）、阔时路已建段（滨河路至西二环）、阔时路已建段（西二环至金孔雀大街）等</w:t>
            </w:r>
            <w:r>
              <w:rPr>
                <w:rFonts w:hint="eastAsia" w:ascii="Times New Roman" w:hAnsi="Times New Roman" w:eastAsia="宋体" w:cs="Times New Roman"/>
                <w:color w:val="auto"/>
                <w:sz w:val="24"/>
                <w:szCs w:val="24"/>
                <w:highlight w:val="none"/>
                <w:lang w:val="en-US" w:eastAsia="zh-CN"/>
              </w:rPr>
              <w:t>8条道路及监控中心一座、道路提升改造工程、排污工程等建设内容。</w:t>
            </w:r>
          </w:p>
          <w:p w14:paraId="21D896E4">
            <w:pPr>
              <w:keepNext w:val="0"/>
              <w:keepLines w:val="0"/>
              <w:widowControl/>
              <w:suppressLineNumbers w:val="0"/>
              <w:spacing w:line="360" w:lineRule="auto"/>
              <w:ind w:firstLine="482" w:firstLineChars="200"/>
              <w:jc w:val="left"/>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建设规模：</w:t>
            </w:r>
            <w:r>
              <w:rPr>
                <w:rFonts w:hint="eastAsia" w:ascii="Times New Roman" w:hAnsi="Times New Roman" w:eastAsia="宋体" w:cs="Times New Roman"/>
                <w:color w:val="auto"/>
                <w:sz w:val="24"/>
                <w:szCs w:val="24"/>
                <w:highlight w:val="none"/>
                <w:lang w:val="en-US" w:eastAsia="zh-CN"/>
              </w:rPr>
              <w:t>工程主要内容包括芒市中心城区近期建设综合管廊全长总计16.2公里。其中：A-d1型综合管廊</w:t>
            </w:r>
            <w:r>
              <w:rPr>
                <w:rFonts w:hint="eastAsia" w:cs="Times New Roman"/>
                <w:color w:val="auto"/>
                <w:sz w:val="24"/>
                <w:szCs w:val="24"/>
                <w:highlight w:val="none"/>
                <w:lang w:val="en-US" w:eastAsia="zh-CN"/>
              </w:rPr>
              <w:t>（管廊断面净尺寸2.6m×2.55m）</w:t>
            </w:r>
            <w:r>
              <w:rPr>
                <w:rFonts w:hint="eastAsia" w:ascii="Times New Roman" w:hAnsi="Times New Roman" w:eastAsia="宋体" w:cs="Times New Roman"/>
                <w:color w:val="auto"/>
                <w:sz w:val="24"/>
                <w:szCs w:val="24"/>
                <w:highlight w:val="none"/>
                <w:lang w:val="en-US" w:eastAsia="zh-CN"/>
              </w:rPr>
              <w:t>长4.5公里；A-d3型综合管廊</w:t>
            </w:r>
            <w:r>
              <w:rPr>
                <w:rFonts w:hint="eastAsia" w:cs="Times New Roman"/>
                <w:color w:val="auto"/>
                <w:sz w:val="24"/>
                <w:szCs w:val="24"/>
                <w:highlight w:val="none"/>
                <w:lang w:val="en-US" w:eastAsia="zh-CN"/>
              </w:rPr>
              <w:t>（管廊断面净尺寸2.6m×2.55m）</w:t>
            </w:r>
            <w:r>
              <w:rPr>
                <w:rFonts w:hint="eastAsia" w:ascii="Times New Roman" w:hAnsi="Times New Roman" w:eastAsia="宋体" w:cs="Times New Roman"/>
                <w:color w:val="auto"/>
                <w:sz w:val="24"/>
                <w:szCs w:val="24"/>
                <w:highlight w:val="none"/>
                <w:lang w:val="en-US" w:eastAsia="zh-CN"/>
              </w:rPr>
              <w:t>长3.39公里；A-d4型综合管廊</w:t>
            </w:r>
            <w:r>
              <w:rPr>
                <w:rFonts w:hint="eastAsia" w:cs="Times New Roman"/>
                <w:color w:val="auto"/>
                <w:sz w:val="24"/>
                <w:szCs w:val="24"/>
                <w:highlight w:val="none"/>
                <w:lang w:val="en-US" w:eastAsia="zh-CN"/>
              </w:rPr>
              <w:t>（管廊断面净尺寸2.6m×2.55m）</w:t>
            </w:r>
            <w:r>
              <w:rPr>
                <w:rFonts w:hint="eastAsia" w:ascii="Times New Roman" w:hAnsi="Times New Roman" w:eastAsia="宋体" w:cs="Times New Roman"/>
                <w:color w:val="auto"/>
                <w:sz w:val="24"/>
                <w:szCs w:val="24"/>
                <w:highlight w:val="none"/>
                <w:lang w:val="en-US" w:eastAsia="zh-CN"/>
              </w:rPr>
              <w:t>长3.86公里；B-d1型综合管廊</w:t>
            </w:r>
            <w:r>
              <w:rPr>
                <w:rFonts w:hint="eastAsia" w:cs="Times New Roman"/>
                <w:color w:val="auto"/>
                <w:sz w:val="24"/>
                <w:szCs w:val="24"/>
                <w:highlight w:val="none"/>
                <w:lang w:val="en-US" w:eastAsia="zh-CN"/>
              </w:rPr>
              <w:t>（管廊断面净尺寸1.75m×1.45m）</w:t>
            </w:r>
            <w:r>
              <w:rPr>
                <w:rFonts w:hint="eastAsia" w:ascii="Times New Roman" w:hAnsi="Times New Roman" w:eastAsia="宋体" w:cs="Times New Roman"/>
                <w:color w:val="auto"/>
                <w:sz w:val="24"/>
                <w:szCs w:val="24"/>
                <w:highlight w:val="none"/>
                <w:lang w:val="en-US" w:eastAsia="zh-CN"/>
              </w:rPr>
              <w:t>3.63公里；A-d9型综合管廊</w:t>
            </w:r>
            <w:r>
              <w:rPr>
                <w:rFonts w:hint="eastAsia" w:cs="Times New Roman"/>
                <w:color w:val="auto"/>
                <w:sz w:val="24"/>
                <w:szCs w:val="24"/>
                <w:highlight w:val="none"/>
                <w:lang w:val="en-US" w:eastAsia="zh-CN"/>
              </w:rPr>
              <w:t>（管廊断面净尺寸（2.9m+1.9m）×2.5m）</w:t>
            </w:r>
            <w:r>
              <w:rPr>
                <w:rFonts w:hint="eastAsia" w:ascii="Times New Roman" w:hAnsi="Times New Roman" w:eastAsia="宋体" w:cs="Times New Roman"/>
                <w:color w:val="auto"/>
                <w:sz w:val="24"/>
                <w:szCs w:val="24"/>
                <w:highlight w:val="none"/>
                <w:lang w:val="en-US" w:eastAsia="zh-CN"/>
              </w:rPr>
              <w:t>长0.43公里；A-d10型综合管廊</w:t>
            </w:r>
            <w:r>
              <w:rPr>
                <w:rFonts w:hint="eastAsia" w:cs="Times New Roman"/>
                <w:color w:val="auto"/>
                <w:sz w:val="24"/>
                <w:szCs w:val="24"/>
                <w:highlight w:val="none"/>
                <w:lang w:val="en-US" w:eastAsia="zh-CN"/>
              </w:rPr>
              <w:t>（管廊断面净尺寸（3.3m+1.7m）×2.5m）</w:t>
            </w:r>
            <w:r>
              <w:rPr>
                <w:rFonts w:hint="eastAsia" w:ascii="Times New Roman" w:hAnsi="Times New Roman" w:eastAsia="宋体" w:cs="Times New Roman"/>
                <w:color w:val="auto"/>
                <w:sz w:val="24"/>
                <w:szCs w:val="24"/>
                <w:highlight w:val="none"/>
                <w:lang w:val="en-US" w:eastAsia="zh-CN"/>
              </w:rPr>
              <w:t>长0.39公里。</w:t>
            </w:r>
          </w:p>
          <w:p w14:paraId="2A061AAC">
            <w:pPr>
              <w:keepNext w:val="0"/>
              <w:keepLines w:val="0"/>
              <w:widowControl/>
              <w:suppressLineNumbers w:val="0"/>
              <w:spacing w:line="360" w:lineRule="auto"/>
              <w:ind w:firstLine="482" w:firstLineChars="200"/>
              <w:jc w:val="left"/>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项目总投资：</w:t>
            </w:r>
            <w:r>
              <w:rPr>
                <w:rFonts w:hint="eastAsia" w:cs="Times New Roman"/>
                <w:color w:val="auto"/>
                <w:sz w:val="24"/>
                <w:szCs w:val="24"/>
                <w:highlight w:val="none"/>
                <w:lang w:val="en-US" w:eastAsia="zh-CN"/>
              </w:rPr>
              <w:t>110786.26</w:t>
            </w:r>
            <w:r>
              <w:rPr>
                <w:rFonts w:hint="eastAsia" w:ascii="Times New Roman" w:hAnsi="Times New Roman" w:eastAsia="宋体" w:cs="Times New Roman"/>
                <w:color w:val="auto"/>
                <w:sz w:val="24"/>
                <w:szCs w:val="24"/>
                <w:highlight w:val="none"/>
                <w:lang w:val="en-US" w:eastAsia="zh-CN"/>
              </w:rPr>
              <w:t>万元</w:t>
            </w:r>
          </w:p>
          <w:p w14:paraId="4D66903A">
            <w:pPr>
              <w:keepNext w:val="0"/>
              <w:keepLines w:val="0"/>
              <w:widowControl/>
              <w:suppressLineNumbers w:val="0"/>
              <w:ind w:firstLine="482" w:firstLineChars="200"/>
              <w:jc w:val="left"/>
              <w:rPr>
                <w:rFonts w:hint="default" w:ascii="Times New Roman" w:hAnsi="Times New Roman" w:eastAsia="宋体" w:cs="Times New Roman"/>
                <w:color w:val="000000"/>
                <w:kern w:val="0"/>
                <w:sz w:val="24"/>
                <w:szCs w:val="24"/>
                <w:lang w:val="en-US" w:eastAsia="zh-CN" w:bidi="ar"/>
              </w:rPr>
            </w:pPr>
            <w:r>
              <w:rPr>
                <w:rFonts w:hint="eastAsia" w:cs="Times New Roman"/>
                <w:b/>
                <w:bCs/>
                <w:color w:val="auto"/>
                <w:sz w:val="24"/>
                <w:szCs w:val="24"/>
                <w:highlight w:val="none"/>
                <w:lang w:val="en-US" w:eastAsia="zh-CN"/>
              </w:rPr>
              <w:t>工程服务年限：</w:t>
            </w:r>
            <w:r>
              <w:rPr>
                <w:rFonts w:hint="default" w:ascii="Times New Roman" w:hAnsi="Times New Roman" w:eastAsia="宋体" w:cs="Times New Roman"/>
                <w:color w:val="000000"/>
                <w:kern w:val="0"/>
                <w:sz w:val="24"/>
                <w:szCs w:val="24"/>
                <w:lang w:val="en-US" w:eastAsia="zh-CN" w:bidi="ar"/>
              </w:rPr>
              <w:t>根据《城市综合管廊工程技术规划》(GB50838-2015)中对综合管廊设计年限的规定：综合管廊工程的结构设计使用年限应按建筑物的合理使用年限确定，不宜低于100年。因此本次芒市中心城区综合管廊设计使用年限为 100 年。</w:t>
            </w:r>
          </w:p>
          <w:p w14:paraId="68565CF3">
            <w:pPr>
              <w:keepNext w:val="0"/>
              <w:keepLines w:val="0"/>
              <w:widowControl/>
              <w:numPr>
                <w:ilvl w:val="0"/>
                <w:numId w:val="0"/>
              </w:numPr>
              <w:suppressLineNumbers w:val="0"/>
              <w:jc w:val="center"/>
              <w:rPr>
                <w:rFonts w:hint="eastAsia" w:ascii="宋体" w:hAnsi="宋体" w:cs="宋体"/>
                <w:b/>
                <w:bCs/>
                <w:color w:val="auto"/>
                <w:kern w:val="0"/>
                <w:sz w:val="24"/>
                <w:szCs w:val="24"/>
                <w:lang w:val="en-US" w:eastAsia="zh-CN" w:bidi="ar"/>
              </w:rPr>
            </w:pPr>
            <w:r>
              <w:rPr>
                <w:rFonts w:hint="eastAsia" w:ascii="宋体" w:hAnsi="宋体" w:cs="宋体"/>
                <w:b/>
                <w:bCs/>
                <w:color w:val="auto"/>
                <w:kern w:val="0"/>
                <w:sz w:val="24"/>
                <w:szCs w:val="24"/>
                <w:lang w:val="en-US" w:eastAsia="zh-CN" w:bidi="ar"/>
              </w:rPr>
              <w:t>表1-1 综合管廊建设规模一览表</w:t>
            </w:r>
          </w:p>
          <w:tbl>
            <w:tblPr>
              <w:tblStyle w:val="10"/>
              <w:tblW w:w="87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710"/>
              <w:gridCol w:w="939"/>
              <w:gridCol w:w="735"/>
              <w:gridCol w:w="660"/>
              <w:gridCol w:w="1012"/>
              <w:gridCol w:w="128"/>
              <w:gridCol w:w="765"/>
              <w:gridCol w:w="780"/>
              <w:gridCol w:w="750"/>
              <w:gridCol w:w="780"/>
              <w:gridCol w:w="653"/>
            </w:tblGrid>
            <w:tr w14:paraId="5CD7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8700" w:type="dxa"/>
                  <w:gridSpan w:val="12"/>
                  <w:vAlign w:val="center"/>
                </w:tcPr>
                <w:p w14:paraId="76EDB66B">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综合管廊</w:t>
                  </w:r>
                </w:p>
              </w:tc>
            </w:tr>
            <w:tr w14:paraId="3E790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788" w:type="dxa"/>
                  <w:vAlign w:val="center"/>
                </w:tcPr>
                <w:p w14:paraId="41A5AC2D">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default" w:ascii="Times New Roman" w:hAnsi="Times New Roman" w:cs="Times New Roman"/>
                      <w:b w:val="0"/>
                      <w:bCs w:val="0"/>
                      <w:color w:val="000000"/>
                      <w:kern w:val="0"/>
                      <w:sz w:val="18"/>
                      <w:szCs w:val="18"/>
                      <w:vertAlign w:val="baseline"/>
                      <w:lang w:val="en-US" w:eastAsia="zh-CN" w:bidi="ar"/>
                    </w:rPr>
                    <w:t>道路名称</w:t>
                  </w:r>
                </w:p>
              </w:tc>
              <w:tc>
                <w:tcPr>
                  <w:tcW w:w="710" w:type="dxa"/>
                  <w:vAlign w:val="center"/>
                </w:tcPr>
                <w:p w14:paraId="40F7B2AF">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default" w:ascii="Times New Roman" w:hAnsi="Times New Roman" w:cs="Times New Roman"/>
                      <w:b w:val="0"/>
                      <w:bCs w:val="0"/>
                      <w:color w:val="000000"/>
                      <w:kern w:val="0"/>
                      <w:sz w:val="18"/>
                      <w:szCs w:val="18"/>
                      <w:vertAlign w:val="baseline"/>
                      <w:lang w:val="en-US" w:eastAsia="zh-CN" w:bidi="ar"/>
                    </w:rPr>
                    <w:t>道路宽度m</w:t>
                  </w:r>
                </w:p>
              </w:tc>
              <w:tc>
                <w:tcPr>
                  <w:tcW w:w="939" w:type="dxa"/>
                  <w:vAlign w:val="center"/>
                </w:tcPr>
                <w:p w14:paraId="3E039826">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default" w:ascii="Times New Roman" w:hAnsi="Times New Roman" w:cs="Times New Roman"/>
                      <w:b w:val="0"/>
                      <w:bCs w:val="0"/>
                      <w:color w:val="000000"/>
                      <w:kern w:val="0"/>
                      <w:sz w:val="18"/>
                      <w:szCs w:val="18"/>
                      <w:vertAlign w:val="baseline"/>
                      <w:lang w:val="en-US" w:eastAsia="zh-CN" w:bidi="ar"/>
                    </w:rPr>
                    <w:t>管廊分级</w:t>
                  </w:r>
                </w:p>
              </w:tc>
              <w:tc>
                <w:tcPr>
                  <w:tcW w:w="735" w:type="dxa"/>
                  <w:vAlign w:val="center"/>
                </w:tcPr>
                <w:p w14:paraId="381A8015">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default" w:ascii="Times New Roman" w:hAnsi="Times New Roman" w:cs="Times New Roman"/>
                      <w:b w:val="0"/>
                      <w:bCs w:val="0"/>
                      <w:color w:val="000000"/>
                      <w:kern w:val="0"/>
                      <w:sz w:val="18"/>
                      <w:szCs w:val="18"/>
                      <w:vertAlign w:val="baseline"/>
                      <w:lang w:val="en-US" w:eastAsia="zh-CN" w:bidi="ar"/>
                    </w:rPr>
                    <w:t>管廊类型</w:t>
                  </w:r>
                </w:p>
              </w:tc>
              <w:tc>
                <w:tcPr>
                  <w:tcW w:w="660" w:type="dxa"/>
                  <w:vAlign w:val="center"/>
                </w:tcPr>
                <w:p w14:paraId="39073E68">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default" w:ascii="Times New Roman" w:hAnsi="Times New Roman" w:cs="Times New Roman"/>
                      <w:b w:val="0"/>
                      <w:bCs w:val="0"/>
                      <w:color w:val="000000"/>
                      <w:kern w:val="0"/>
                      <w:sz w:val="18"/>
                      <w:szCs w:val="18"/>
                      <w:vertAlign w:val="baseline"/>
                      <w:lang w:val="en-US" w:eastAsia="zh-CN" w:bidi="ar"/>
                    </w:rPr>
                    <w:t>管廊长度m</w:t>
                  </w:r>
                </w:p>
              </w:tc>
              <w:tc>
                <w:tcPr>
                  <w:tcW w:w="1140" w:type="dxa"/>
                  <w:gridSpan w:val="2"/>
                  <w:vAlign w:val="center"/>
                </w:tcPr>
                <w:p w14:paraId="1D25D688">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default" w:ascii="Times New Roman" w:hAnsi="Times New Roman" w:cs="Times New Roman"/>
                      <w:b w:val="0"/>
                      <w:bCs w:val="0"/>
                      <w:color w:val="000000"/>
                      <w:kern w:val="0"/>
                      <w:sz w:val="18"/>
                      <w:szCs w:val="18"/>
                      <w:vertAlign w:val="baseline"/>
                      <w:lang w:val="en-US" w:eastAsia="zh-CN" w:bidi="ar"/>
                    </w:rPr>
                    <w:t>断面尺寸</w:t>
                  </w:r>
                  <w:r>
                    <w:rPr>
                      <w:rFonts w:hint="eastAsia" w:cs="Times New Roman"/>
                      <w:b w:val="0"/>
                      <w:bCs w:val="0"/>
                      <w:color w:val="000000"/>
                      <w:kern w:val="0"/>
                      <w:sz w:val="18"/>
                      <w:szCs w:val="18"/>
                      <w:vertAlign w:val="baseline"/>
                      <w:lang w:val="en-US" w:eastAsia="zh-CN" w:bidi="ar"/>
                    </w:rPr>
                    <w:t>m×m</w:t>
                  </w:r>
                </w:p>
              </w:tc>
              <w:tc>
                <w:tcPr>
                  <w:tcW w:w="765" w:type="dxa"/>
                  <w:vAlign w:val="center"/>
                </w:tcPr>
                <w:p w14:paraId="2CE8F50E">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default" w:ascii="Times New Roman" w:hAnsi="Times New Roman" w:cs="Times New Roman"/>
                      <w:b w:val="0"/>
                      <w:bCs w:val="0"/>
                      <w:color w:val="000000"/>
                      <w:kern w:val="0"/>
                      <w:sz w:val="18"/>
                      <w:szCs w:val="18"/>
                      <w:vertAlign w:val="baseline"/>
                      <w:lang w:val="en-US" w:eastAsia="zh-CN" w:bidi="ar"/>
                    </w:rPr>
                    <w:t>给水管</w:t>
                  </w:r>
                </w:p>
              </w:tc>
              <w:tc>
                <w:tcPr>
                  <w:tcW w:w="780" w:type="dxa"/>
                  <w:vAlign w:val="center"/>
                </w:tcPr>
                <w:p w14:paraId="6913E6EB">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default" w:ascii="Times New Roman" w:hAnsi="Times New Roman" w:cs="Times New Roman"/>
                      <w:b w:val="0"/>
                      <w:bCs w:val="0"/>
                      <w:color w:val="000000"/>
                      <w:kern w:val="0"/>
                      <w:sz w:val="18"/>
                      <w:szCs w:val="18"/>
                      <w:vertAlign w:val="baseline"/>
                      <w:lang w:val="en-US" w:eastAsia="zh-CN" w:bidi="ar"/>
                    </w:rPr>
                    <w:t>再生水管</w:t>
                  </w:r>
                </w:p>
              </w:tc>
              <w:tc>
                <w:tcPr>
                  <w:tcW w:w="750" w:type="dxa"/>
                  <w:vAlign w:val="center"/>
                </w:tcPr>
                <w:p w14:paraId="42C83489">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default" w:ascii="Times New Roman" w:hAnsi="Times New Roman" w:cs="Times New Roman"/>
                      <w:b w:val="0"/>
                      <w:bCs w:val="0"/>
                      <w:color w:val="000000"/>
                      <w:kern w:val="0"/>
                      <w:sz w:val="18"/>
                      <w:szCs w:val="18"/>
                      <w:vertAlign w:val="baseline"/>
                      <w:lang w:val="en-US" w:eastAsia="zh-CN" w:bidi="ar"/>
                    </w:rPr>
                    <w:t>燃气管</w:t>
                  </w:r>
                </w:p>
              </w:tc>
              <w:tc>
                <w:tcPr>
                  <w:tcW w:w="780" w:type="dxa"/>
                  <w:vAlign w:val="center"/>
                </w:tcPr>
                <w:p w14:paraId="672CEE14">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default" w:ascii="Times New Roman" w:hAnsi="Times New Roman" w:cs="Times New Roman"/>
                      <w:b w:val="0"/>
                      <w:bCs w:val="0"/>
                      <w:color w:val="000000"/>
                      <w:kern w:val="0"/>
                      <w:sz w:val="18"/>
                      <w:szCs w:val="18"/>
                      <w:vertAlign w:val="baseline"/>
                      <w:lang w:val="en-US" w:eastAsia="zh-CN" w:bidi="ar"/>
                    </w:rPr>
                    <w:t>电力</w:t>
                  </w:r>
                </w:p>
              </w:tc>
              <w:tc>
                <w:tcPr>
                  <w:tcW w:w="653" w:type="dxa"/>
                  <w:vAlign w:val="center"/>
                </w:tcPr>
                <w:p w14:paraId="0EBBCA12">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default" w:ascii="Times New Roman" w:hAnsi="Times New Roman" w:cs="Times New Roman"/>
                      <w:b w:val="0"/>
                      <w:bCs w:val="0"/>
                      <w:color w:val="000000"/>
                      <w:kern w:val="0"/>
                      <w:sz w:val="18"/>
                      <w:szCs w:val="18"/>
                      <w:vertAlign w:val="baseline"/>
                      <w:lang w:val="en-US" w:eastAsia="zh-CN" w:bidi="ar"/>
                    </w:rPr>
                    <w:t>通信</w:t>
                  </w:r>
                </w:p>
              </w:tc>
            </w:tr>
            <w:tr w14:paraId="4934F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788" w:type="dxa"/>
                  <w:vAlign w:val="center"/>
                </w:tcPr>
                <w:p w14:paraId="401F8428">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西二环（芒象路至人保路）</w:t>
                  </w:r>
                </w:p>
              </w:tc>
              <w:tc>
                <w:tcPr>
                  <w:tcW w:w="710" w:type="dxa"/>
                  <w:vAlign w:val="center"/>
                </w:tcPr>
                <w:p w14:paraId="6E0F33EA">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45</w:t>
                  </w:r>
                </w:p>
              </w:tc>
              <w:tc>
                <w:tcPr>
                  <w:tcW w:w="939" w:type="dxa"/>
                  <w:vAlign w:val="center"/>
                </w:tcPr>
                <w:p w14:paraId="60DA2EA9">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支路管廊</w:t>
                  </w:r>
                </w:p>
              </w:tc>
              <w:tc>
                <w:tcPr>
                  <w:tcW w:w="735" w:type="dxa"/>
                  <w:vAlign w:val="center"/>
                </w:tcPr>
                <w:p w14:paraId="320CE0B2">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A-d1</w:t>
                  </w:r>
                </w:p>
              </w:tc>
              <w:tc>
                <w:tcPr>
                  <w:tcW w:w="660" w:type="dxa"/>
                  <w:vAlign w:val="center"/>
                </w:tcPr>
                <w:p w14:paraId="7B5E4A8B">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4500</w:t>
                  </w:r>
                </w:p>
              </w:tc>
              <w:tc>
                <w:tcPr>
                  <w:tcW w:w="1140" w:type="dxa"/>
                  <w:gridSpan w:val="2"/>
                  <w:vAlign w:val="center"/>
                </w:tcPr>
                <w:p w14:paraId="1776488A">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2.6×2.55</w:t>
                  </w:r>
                </w:p>
              </w:tc>
              <w:tc>
                <w:tcPr>
                  <w:tcW w:w="765" w:type="dxa"/>
                  <w:vAlign w:val="center"/>
                </w:tcPr>
                <w:p w14:paraId="2B09981C">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DN300</w:t>
                  </w:r>
                </w:p>
              </w:tc>
              <w:tc>
                <w:tcPr>
                  <w:tcW w:w="780" w:type="dxa"/>
                  <w:vAlign w:val="center"/>
                </w:tcPr>
                <w:p w14:paraId="0231E474">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w:t>
                  </w:r>
                </w:p>
              </w:tc>
              <w:tc>
                <w:tcPr>
                  <w:tcW w:w="750" w:type="dxa"/>
                  <w:vAlign w:val="center"/>
                </w:tcPr>
                <w:p w14:paraId="0E5C848B">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w:t>
                  </w:r>
                </w:p>
              </w:tc>
              <w:tc>
                <w:tcPr>
                  <w:tcW w:w="780" w:type="dxa"/>
                  <w:vAlign w:val="center"/>
                </w:tcPr>
                <w:p w14:paraId="7D063F54">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10KV：28孔</w:t>
                  </w:r>
                </w:p>
              </w:tc>
              <w:tc>
                <w:tcPr>
                  <w:tcW w:w="653" w:type="dxa"/>
                  <w:vAlign w:val="center"/>
                </w:tcPr>
                <w:p w14:paraId="2D4C41D4">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12管</w:t>
                  </w:r>
                </w:p>
              </w:tc>
            </w:tr>
            <w:tr w14:paraId="0EF33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788" w:type="dxa"/>
                  <w:vAlign w:val="center"/>
                </w:tcPr>
                <w:p w14:paraId="5E33DCC3">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人保路（滨河路至芒市大街）</w:t>
                  </w:r>
                </w:p>
              </w:tc>
              <w:tc>
                <w:tcPr>
                  <w:tcW w:w="710" w:type="dxa"/>
                  <w:vAlign w:val="center"/>
                </w:tcPr>
                <w:p w14:paraId="5E2D94A3">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30</w:t>
                  </w:r>
                </w:p>
              </w:tc>
              <w:tc>
                <w:tcPr>
                  <w:tcW w:w="939" w:type="dxa"/>
                  <w:vAlign w:val="center"/>
                </w:tcPr>
                <w:p w14:paraId="380D0A79">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支路管廊</w:t>
                  </w:r>
                </w:p>
              </w:tc>
              <w:tc>
                <w:tcPr>
                  <w:tcW w:w="735" w:type="dxa"/>
                  <w:vAlign w:val="center"/>
                </w:tcPr>
                <w:p w14:paraId="68A29252">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A-d3</w:t>
                  </w:r>
                </w:p>
              </w:tc>
              <w:tc>
                <w:tcPr>
                  <w:tcW w:w="660" w:type="dxa"/>
                  <w:vAlign w:val="center"/>
                </w:tcPr>
                <w:p w14:paraId="24A3C226">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ascii="Times New Roman" w:hAnsi="Times New Roman" w:cs="Times New Roman"/>
                      <w:b w:val="0"/>
                      <w:bCs w:val="0"/>
                      <w:color w:val="000000"/>
                      <w:kern w:val="0"/>
                      <w:sz w:val="18"/>
                      <w:szCs w:val="18"/>
                      <w:vertAlign w:val="baseline"/>
                      <w:lang w:val="en-US" w:eastAsia="zh-CN" w:bidi="ar"/>
                    </w:rPr>
                    <w:t>2180</w:t>
                  </w:r>
                </w:p>
              </w:tc>
              <w:tc>
                <w:tcPr>
                  <w:tcW w:w="1140" w:type="dxa"/>
                  <w:gridSpan w:val="2"/>
                  <w:vAlign w:val="center"/>
                </w:tcPr>
                <w:p w14:paraId="73B3C693">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2.6×2.55</w:t>
                  </w:r>
                </w:p>
              </w:tc>
              <w:tc>
                <w:tcPr>
                  <w:tcW w:w="765" w:type="dxa"/>
                  <w:vAlign w:val="center"/>
                </w:tcPr>
                <w:p w14:paraId="0BAEDBE4">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DN200</w:t>
                  </w:r>
                </w:p>
              </w:tc>
              <w:tc>
                <w:tcPr>
                  <w:tcW w:w="780" w:type="dxa"/>
                  <w:vAlign w:val="center"/>
                </w:tcPr>
                <w:p w14:paraId="0C3A9553">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w:t>
                  </w:r>
                </w:p>
              </w:tc>
              <w:tc>
                <w:tcPr>
                  <w:tcW w:w="750" w:type="dxa"/>
                  <w:vAlign w:val="center"/>
                </w:tcPr>
                <w:p w14:paraId="3DED12DB">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w:t>
                  </w:r>
                </w:p>
              </w:tc>
              <w:tc>
                <w:tcPr>
                  <w:tcW w:w="780" w:type="dxa"/>
                  <w:vAlign w:val="center"/>
                </w:tcPr>
                <w:p w14:paraId="09F5B3BF">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10KV：24孔</w:t>
                  </w:r>
                </w:p>
              </w:tc>
              <w:tc>
                <w:tcPr>
                  <w:tcW w:w="653" w:type="dxa"/>
                  <w:vAlign w:val="center"/>
                </w:tcPr>
                <w:p w14:paraId="0308458A">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12管</w:t>
                  </w:r>
                </w:p>
              </w:tc>
            </w:tr>
            <w:tr w14:paraId="05EA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788" w:type="dxa"/>
                  <w:vAlign w:val="center"/>
                </w:tcPr>
                <w:p w14:paraId="1FFA91D6">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阔时路（金孔雀大街至芒市大街）</w:t>
                  </w:r>
                </w:p>
              </w:tc>
              <w:tc>
                <w:tcPr>
                  <w:tcW w:w="710" w:type="dxa"/>
                  <w:vAlign w:val="center"/>
                </w:tcPr>
                <w:p w14:paraId="5E66C913">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40</w:t>
                  </w:r>
                </w:p>
              </w:tc>
              <w:tc>
                <w:tcPr>
                  <w:tcW w:w="939" w:type="dxa"/>
                  <w:vAlign w:val="center"/>
                </w:tcPr>
                <w:p w14:paraId="78B8A4F6">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支路管廊</w:t>
                  </w:r>
                </w:p>
              </w:tc>
              <w:tc>
                <w:tcPr>
                  <w:tcW w:w="735" w:type="dxa"/>
                  <w:vAlign w:val="center"/>
                </w:tcPr>
                <w:p w14:paraId="3850AD6E">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A-d3</w:t>
                  </w:r>
                </w:p>
              </w:tc>
              <w:tc>
                <w:tcPr>
                  <w:tcW w:w="660" w:type="dxa"/>
                  <w:vAlign w:val="center"/>
                </w:tcPr>
                <w:p w14:paraId="01150956">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ascii="Times New Roman" w:hAnsi="Times New Roman" w:cs="Times New Roman"/>
                      <w:b w:val="0"/>
                      <w:bCs w:val="0"/>
                      <w:color w:val="000000"/>
                      <w:kern w:val="0"/>
                      <w:sz w:val="18"/>
                      <w:szCs w:val="18"/>
                      <w:vertAlign w:val="baseline"/>
                      <w:lang w:val="en-US" w:eastAsia="zh-CN" w:bidi="ar"/>
                    </w:rPr>
                    <w:t>1210</w:t>
                  </w:r>
                </w:p>
              </w:tc>
              <w:tc>
                <w:tcPr>
                  <w:tcW w:w="1140" w:type="dxa"/>
                  <w:gridSpan w:val="2"/>
                  <w:vAlign w:val="center"/>
                </w:tcPr>
                <w:p w14:paraId="12D342AC">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2.6×2.55</w:t>
                  </w:r>
                </w:p>
              </w:tc>
              <w:tc>
                <w:tcPr>
                  <w:tcW w:w="765" w:type="dxa"/>
                  <w:vAlign w:val="center"/>
                </w:tcPr>
                <w:p w14:paraId="7B8D388F">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DN200</w:t>
                  </w:r>
                </w:p>
              </w:tc>
              <w:tc>
                <w:tcPr>
                  <w:tcW w:w="780" w:type="dxa"/>
                  <w:vAlign w:val="center"/>
                </w:tcPr>
                <w:p w14:paraId="5327B6D3">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w:t>
                  </w:r>
                </w:p>
              </w:tc>
              <w:tc>
                <w:tcPr>
                  <w:tcW w:w="750" w:type="dxa"/>
                  <w:vAlign w:val="center"/>
                </w:tcPr>
                <w:p w14:paraId="7823C96E">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w:t>
                  </w:r>
                </w:p>
              </w:tc>
              <w:tc>
                <w:tcPr>
                  <w:tcW w:w="780" w:type="dxa"/>
                  <w:vAlign w:val="center"/>
                </w:tcPr>
                <w:p w14:paraId="4835962D">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10KV：24孔</w:t>
                  </w:r>
                </w:p>
              </w:tc>
              <w:tc>
                <w:tcPr>
                  <w:tcW w:w="653" w:type="dxa"/>
                  <w:vAlign w:val="center"/>
                </w:tcPr>
                <w:p w14:paraId="1EB0EA8F">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12管</w:t>
                  </w:r>
                </w:p>
              </w:tc>
            </w:tr>
            <w:tr w14:paraId="27D51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788" w:type="dxa"/>
                  <w:vAlign w:val="center"/>
                </w:tcPr>
                <w:p w14:paraId="0A07EE8C">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芒市大街</w:t>
                  </w:r>
                </w:p>
              </w:tc>
              <w:tc>
                <w:tcPr>
                  <w:tcW w:w="710" w:type="dxa"/>
                  <w:vAlign w:val="center"/>
                </w:tcPr>
                <w:p w14:paraId="0C608444">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50</w:t>
                  </w:r>
                </w:p>
              </w:tc>
              <w:tc>
                <w:tcPr>
                  <w:tcW w:w="939" w:type="dxa"/>
                  <w:vAlign w:val="center"/>
                </w:tcPr>
                <w:p w14:paraId="3B2AF725">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支路管廊</w:t>
                  </w:r>
                </w:p>
              </w:tc>
              <w:tc>
                <w:tcPr>
                  <w:tcW w:w="735" w:type="dxa"/>
                  <w:vAlign w:val="center"/>
                </w:tcPr>
                <w:p w14:paraId="1988AC90">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A-d4</w:t>
                  </w:r>
                </w:p>
              </w:tc>
              <w:tc>
                <w:tcPr>
                  <w:tcW w:w="660" w:type="dxa"/>
                  <w:vAlign w:val="center"/>
                </w:tcPr>
                <w:p w14:paraId="7A657438">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3860</w:t>
                  </w:r>
                </w:p>
              </w:tc>
              <w:tc>
                <w:tcPr>
                  <w:tcW w:w="1140" w:type="dxa"/>
                  <w:gridSpan w:val="2"/>
                  <w:vAlign w:val="center"/>
                </w:tcPr>
                <w:p w14:paraId="18AA24D6">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2.6×2.55</w:t>
                  </w:r>
                </w:p>
              </w:tc>
              <w:tc>
                <w:tcPr>
                  <w:tcW w:w="765" w:type="dxa"/>
                  <w:vAlign w:val="center"/>
                </w:tcPr>
                <w:p w14:paraId="3E71E328">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DN400</w:t>
                  </w:r>
                </w:p>
              </w:tc>
              <w:tc>
                <w:tcPr>
                  <w:tcW w:w="780" w:type="dxa"/>
                  <w:vAlign w:val="center"/>
                </w:tcPr>
                <w:p w14:paraId="597BD152">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w:t>
                  </w:r>
                </w:p>
              </w:tc>
              <w:tc>
                <w:tcPr>
                  <w:tcW w:w="750" w:type="dxa"/>
                  <w:vAlign w:val="center"/>
                </w:tcPr>
                <w:p w14:paraId="31764979">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w:t>
                  </w:r>
                </w:p>
              </w:tc>
              <w:tc>
                <w:tcPr>
                  <w:tcW w:w="780" w:type="dxa"/>
                  <w:vAlign w:val="center"/>
                </w:tcPr>
                <w:p w14:paraId="6A269D75">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10KV：24孔</w:t>
                  </w:r>
                </w:p>
              </w:tc>
              <w:tc>
                <w:tcPr>
                  <w:tcW w:w="653" w:type="dxa"/>
                  <w:vAlign w:val="center"/>
                </w:tcPr>
                <w:p w14:paraId="5C45BBED">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12管</w:t>
                  </w:r>
                </w:p>
              </w:tc>
            </w:tr>
            <w:tr w14:paraId="0D65E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788" w:type="dxa"/>
                  <w:vAlign w:val="center"/>
                </w:tcPr>
                <w:p w14:paraId="687E9718">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勐焕路（西二环至芒市大街）</w:t>
                  </w:r>
                </w:p>
              </w:tc>
              <w:tc>
                <w:tcPr>
                  <w:tcW w:w="710" w:type="dxa"/>
                  <w:vAlign w:val="center"/>
                </w:tcPr>
                <w:p w14:paraId="0AB956B7">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50</w:t>
                  </w:r>
                </w:p>
              </w:tc>
              <w:tc>
                <w:tcPr>
                  <w:tcW w:w="939" w:type="dxa"/>
                  <w:vAlign w:val="center"/>
                </w:tcPr>
                <w:p w14:paraId="7F5F04C0">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缆线管廊</w:t>
                  </w:r>
                </w:p>
              </w:tc>
              <w:tc>
                <w:tcPr>
                  <w:tcW w:w="735" w:type="dxa"/>
                  <w:vAlign w:val="center"/>
                </w:tcPr>
                <w:p w14:paraId="2530D72E">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B-d1</w:t>
                  </w:r>
                </w:p>
              </w:tc>
              <w:tc>
                <w:tcPr>
                  <w:tcW w:w="660" w:type="dxa"/>
                  <w:vAlign w:val="center"/>
                </w:tcPr>
                <w:p w14:paraId="51AEE9D9">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ascii="Times New Roman" w:hAnsi="Times New Roman" w:cs="Times New Roman"/>
                      <w:b w:val="0"/>
                      <w:bCs w:val="0"/>
                      <w:color w:val="000000"/>
                      <w:kern w:val="0"/>
                      <w:sz w:val="18"/>
                      <w:szCs w:val="18"/>
                      <w:vertAlign w:val="baseline"/>
                      <w:lang w:val="en-US" w:eastAsia="zh-CN" w:bidi="ar"/>
                    </w:rPr>
                    <w:t>1940</w:t>
                  </w:r>
                </w:p>
              </w:tc>
              <w:tc>
                <w:tcPr>
                  <w:tcW w:w="1140" w:type="dxa"/>
                  <w:gridSpan w:val="2"/>
                  <w:vAlign w:val="center"/>
                </w:tcPr>
                <w:p w14:paraId="1A655089">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1.75×1.45</w:t>
                  </w:r>
                </w:p>
              </w:tc>
              <w:tc>
                <w:tcPr>
                  <w:tcW w:w="765" w:type="dxa"/>
                  <w:vAlign w:val="center"/>
                </w:tcPr>
                <w:p w14:paraId="184A55B9">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w:t>
                  </w:r>
                </w:p>
              </w:tc>
              <w:tc>
                <w:tcPr>
                  <w:tcW w:w="780" w:type="dxa"/>
                  <w:vAlign w:val="center"/>
                </w:tcPr>
                <w:p w14:paraId="1E13693D">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w:t>
                  </w:r>
                </w:p>
              </w:tc>
              <w:tc>
                <w:tcPr>
                  <w:tcW w:w="750" w:type="dxa"/>
                  <w:vAlign w:val="center"/>
                </w:tcPr>
                <w:p w14:paraId="1AEEE6B0">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w:t>
                  </w:r>
                </w:p>
              </w:tc>
              <w:tc>
                <w:tcPr>
                  <w:tcW w:w="780" w:type="dxa"/>
                  <w:vAlign w:val="center"/>
                </w:tcPr>
                <w:p w14:paraId="07E66B9A">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10KV：24孔</w:t>
                  </w:r>
                </w:p>
              </w:tc>
              <w:tc>
                <w:tcPr>
                  <w:tcW w:w="653" w:type="dxa"/>
                  <w:vAlign w:val="center"/>
                </w:tcPr>
                <w:p w14:paraId="6100B4CA">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10管</w:t>
                  </w:r>
                </w:p>
              </w:tc>
            </w:tr>
            <w:tr w14:paraId="73B2C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788" w:type="dxa"/>
                  <w:vAlign w:val="center"/>
                </w:tcPr>
                <w:p w14:paraId="557EE809">
                  <w:pPr>
                    <w:keepNext w:val="0"/>
                    <w:keepLines w:val="0"/>
                    <w:widowControl/>
                    <w:numPr>
                      <w:ilvl w:val="0"/>
                      <w:numId w:val="0"/>
                    </w:numPr>
                    <w:suppressLineNumbers w:val="0"/>
                    <w:spacing w:line="240" w:lineRule="auto"/>
                    <w:jc w:val="center"/>
                    <w:rPr>
                      <w:rFonts w:hint="eastAsia"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胞波路（西二环至芒市大街）</w:t>
                  </w:r>
                </w:p>
              </w:tc>
              <w:tc>
                <w:tcPr>
                  <w:tcW w:w="710" w:type="dxa"/>
                  <w:vAlign w:val="center"/>
                </w:tcPr>
                <w:p w14:paraId="651CBA4B">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30</w:t>
                  </w:r>
                </w:p>
              </w:tc>
              <w:tc>
                <w:tcPr>
                  <w:tcW w:w="939" w:type="dxa"/>
                  <w:vAlign w:val="center"/>
                </w:tcPr>
                <w:p w14:paraId="441C14DF">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缆线管廊</w:t>
                  </w:r>
                </w:p>
              </w:tc>
              <w:tc>
                <w:tcPr>
                  <w:tcW w:w="735" w:type="dxa"/>
                  <w:vAlign w:val="center"/>
                </w:tcPr>
                <w:p w14:paraId="1D9F00FC">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B-d1</w:t>
                  </w:r>
                </w:p>
              </w:tc>
              <w:tc>
                <w:tcPr>
                  <w:tcW w:w="660" w:type="dxa"/>
                  <w:vAlign w:val="center"/>
                </w:tcPr>
                <w:p w14:paraId="2AD7F8F8">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ascii="Times New Roman" w:hAnsi="Times New Roman" w:cs="Times New Roman"/>
                      <w:b w:val="0"/>
                      <w:bCs w:val="0"/>
                      <w:color w:val="000000"/>
                      <w:kern w:val="0"/>
                      <w:sz w:val="18"/>
                      <w:szCs w:val="18"/>
                      <w:vertAlign w:val="baseline"/>
                      <w:lang w:val="en-US" w:eastAsia="zh-CN" w:bidi="ar"/>
                    </w:rPr>
                    <w:t>1690</w:t>
                  </w:r>
                </w:p>
              </w:tc>
              <w:tc>
                <w:tcPr>
                  <w:tcW w:w="1140" w:type="dxa"/>
                  <w:gridSpan w:val="2"/>
                  <w:vAlign w:val="center"/>
                </w:tcPr>
                <w:p w14:paraId="03228508">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1.75×1.45</w:t>
                  </w:r>
                </w:p>
              </w:tc>
              <w:tc>
                <w:tcPr>
                  <w:tcW w:w="765" w:type="dxa"/>
                  <w:vAlign w:val="center"/>
                </w:tcPr>
                <w:p w14:paraId="59D372EB">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w:t>
                  </w:r>
                </w:p>
              </w:tc>
              <w:tc>
                <w:tcPr>
                  <w:tcW w:w="780" w:type="dxa"/>
                  <w:vAlign w:val="center"/>
                </w:tcPr>
                <w:p w14:paraId="40BAC90E">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w:t>
                  </w:r>
                </w:p>
              </w:tc>
              <w:tc>
                <w:tcPr>
                  <w:tcW w:w="750" w:type="dxa"/>
                  <w:vAlign w:val="center"/>
                </w:tcPr>
                <w:p w14:paraId="36D7A2F8">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w:t>
                  </w:r>
                </w:p>
              </w:tc>
              <w:tc>
                <w:tcPr>
                  <w:tcW w:w="780" w:type="dxa"/>
                  <w:vAlign w:val="center"/>
                </w:tcPr>
                <w:p w14:paraId="1190D345">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10KV：24孔</w:t>
                  </w:r>
                </w:p>
              </w:tc>
              <w:tc>
                <w:tcPr>
                  <w:tcW w:w="653" w:type="dxa"/>
                  <w:vAlign w:val="center"/>
                </w:tcPr>
                <w:p w14:paraId="4ED57D4C">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10管</w:t>
                  </w:r>
                </w:p>
              </w:tc>
            </w:tr>
            <w:tr w14:paraId="1A964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788" w:type="dxa"/>
                  <w:vAlign w:val="center"/>
                </w:tcPr>
                <w:p w14:paraId="0F28EEAE">
                  <w:pPr>
                    <w:keepNext w:val="0"/>
                    <w:keepLines w:val="0"/>
                    <w:widowControl/>
                    <w:numPr>
                      <w:ilvl w:val="0"/>
                      <w:numId w:val="0"/>
                    </w:numPr>
                    <w:suppressLineNumbers w:val="0"/>
                    <w:spacing w:line="240" w:lineRule="auto"/>
                    <w:jc w:val="center"/>
                    <w:rPr>
                      <w:rFonts w:hint="default"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阔时路已建段（滨河路至西二环）</w:t>
                  </w:r>
                </w:p>
              </w:tc>
              <w:tc>
                <w:tcPr>
                  <w:tcW w:w="710" w:type="dxa"/>
                  <w:vAlign w:val="center"/>
                </w:tcPr>
                <w:p w14:paraId="684DCCD6">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30</w:t>
                  </w:r>
                </w:p>
              </w:tc>
              <w:tc>
                <w:tcPr>
                  <w:tcW w:w="939" w:type="dxa"/>
                  <w:vAlign w:val="center"/>
                </w:tcPr>
                <w:p w14:paraId="110F85A3">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支路管廊</w:t>
                  </w:r>
                </w:p>
              </w:tc>
              <w:tc>
                <w:tcPr>
                  <w:tcW w:w="735" w:type="dxa"/>
                  <w:vAlign w:val="center"/>
                </w:tcPr>
                <w:p w14:paraId="497F4EE0">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A-d9</w:t>
                  </w:r>
                </w:p>
              </w:tc>
              <w:tc>
                <w:tcPr>
                  <w:tcW w:w="660" w:type="dxa"/>
                  <w:vAlign w:val="center"/>
                </w:tcPr>
                <w:p w14:paraId="3C500B2B">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430</w:t>
                  </w:r>
                </w:p>
              </w:tc>
              <w:tc>
                <w:tcPr>
                  <w:tcW w:w="1140" w:type="dxa"/>
                  <w:gridSpan w:val="2"/>
                  <w:vAlign w:val="center"/>
                </w:tcPr>
                <w:p w14:paraId="03C87646">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（2.9+1.9）×2.5</w:t>
                  </w:r>
                </w:p>
              </w:tc>
              <w:tc>
                <w:tcPr>
                  <w:tcW w:w="765" w:type="dxa"/>
                  <w:vAlign w:val="center"/>
                </w:tcPr>
                <w:p w14:paraId="239D3BE7">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DN200</w:t>
                  </w:r>
                </w:p>
              </w:tc>
              <w:tc>
                <w:tcPr>
                  <w:tcW w:w="780" w:type="dxa"/>
                  <w:vAlign w:val="center"/>
                </w:tcPr>
                <w:p w14:paraId="747AC9C5">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DN200</w:t>
                  </w:r>
                </w:p>
              </w:tc>
              <w:tc>
                <w:tcPr>
                  <w:tcW w:w="750" w:type="dxa"/>
                  <w:vAlign w:val="center"/>
                </w:tcPr>
                <w:p w14:paraId="5DA0D657">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DN300</w:t>
                  </w:r>
                </w:p>
              </w:tc>
              <w:tc>
                <w:tcPr>
                  <w:tcW w:w="780" w:type="dxa"/>
                  <w:vAlign w:val="center"/>
                </w:tcPr>
                <w:p w14:paraId="0B7C4F36">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10KV：16孔</w:t>
                  </w:r>
                </w:p>
              </w:tc>
              <w:tc>
                <w:tcPr>
                  <w:tcW w:w="653" w:type="dxa"/>
                  <w:vAlign w:val="center"/>
                </w:tcPr>
                <w:p w14:paraId="6AE26E56">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18管</w:t>
                  </w:r>
                </w:p>
              </w:tc>
            </w:tr>
            <w:tr w14:paraId="6E238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788" w:type="dxa"/>
                  <w:vAlign w:val="center"/>
                </w:tcPr>
                <w:p w14:paraId="0414830A">
                  <w:pPr>
                    <w:keepNext w:val="0"/>
                    <w:keepLines w:val="0"/>
                    <w:widowControl/>
                    <w:numPr>
                      <w:ilvl w:val="0"/>
                      <w:numId w:val="0"/>
                    </w:numPr>
                    <w:suppressLineNumbers w:val="0"/>
                    <w:spacing w:line="240" w:lineRule="auto"/>
                    <w:jc w:val="center"/>
                    <w:rPr>
                      <w:rFonts w:hint="eastAsia"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阔时路已建段（西二环至金孔雀大街）</w:t>
                  </w:r>
                </w:p>
              </w:tc>
              <w:tc>
                <w:tcPr>
                  <w:tcW w:w="710" w:type="dxa"/>
                  <w:vAlign w:val="center"/>
                </w:tcPr>
                <w:p w14:paraId="03BB27DC">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30</w:t>
                  </w:r>
                </w:p>
              </w:tc>
              <w:tc>
                <w:tcPr>
                  <w:tcW w:w="939" w:type="dxa"/>
                  <w:vAlign w:val="center"/>
                </w:tcPr>
                <w:p w14:paraId="71363280">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支路管廊</w:t>
                  </w:r>
                </w:p>
              </w:tc>
              <w:tc>
                <w:tcPr>
                  <w:tcW w:w="735" w:type="dxa"/>
                  <w:vAlign w:val="center"/>
                </w:tcPr>
                <w:p w14:paraId="352EBEDB">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A-d10</w:t>
                  </w:r>
                </w:p>
              </w:tc>
              <w:tc>
                <w:tcPr>
                  <w:tcW w:w="660" w:type="dxa"/>
                  <w:vAlign w:val="center"/>
                </w:tcPr>
                <w:p w14:paraId="388B1840">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390</w:t>
                  </w:r>
                </w:p>
              </w:tc>
              <w:tc>
                <w:tcPr>
                  <w:tcW w:w="1140" w:type="dxa"/>
                  <w:gridSpan w:val="2"/>
                  <w:vAlign w:val="center"/>
                </w:tcPr>
                <w:p w14:paraId="26851B6D">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（3.3+1.7）×2.5</w:t>
                  </w:r>
                </w:p>
              </w:tc>
              <w:tc>
                <w:tcPr>
                  <w:tcW w:w="765" w:type="dxa"/>
                  <w:vAlign w:val="center"/>
                </w:tcPr>
                <w:p w14:paraId="6423932E">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DN600</w:t>
                  </w:r>
                </w:p>
              </w:tc>
              <w:tc>
                <w:tcPr>
                  <w:tcW w:w="780" w:type="dxa"/>
                  <w:vAlign w:val="center"/>
                </w:tcPr>
                <w:p w14:paraId="03097F54">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DN400</w:t>
                  </w:r>
                </w:p>
              </w:tc>
              <w:tc>
                <w:tcPr>
                  <w:tcW w:w="750" w:type="dxa"/>
                  <w:vAlign w:val="center"/>
                </w:tcPr>
                <w:p w14:paraId="4A03872D">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DN300</w:t>
                  </w:r>
                </w:p>
              </w:tc>
              <w:tc>
                <w:tcPr>
                  <w:tcW w:w="780" w:type="dxa"/>
                  <w:vAlign w:val="center"/>
                </w:tcPr>
                <w:p w14:paraId="7EC5AE91">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10KV：16孔</w:t>
                  </w:r>
                </w:p>
              </w:tc>
              <w:tc>
                <w:tcPr>
                  <w:tcW w:w="653" w:type="dxa"/>
                  <w:vAlign w:val="center"/>
                </w:tcPr>
                <w:p w14:paraId="3D545AF7">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18管</w:t>
                  </w:r>
                </w:p>
              </w:tc>
            </w:tr>
            <w:tr w14:paraId="70784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788" w:type="dxa"/>
                  <w:vAlign w:val="center"/>
                </w:tcPr>
                <w:p w14:paraId="2B7D6F0B">
                  <w:pPr>
                    <w:keepNext w:val="0"/>
                    <w:keepLines w:val="0"/>
                    <w:widowControl/>
                    <w:numPr>
                      <w:ilvl w:val="0"/>
                      <w:numId w:val="0"/>
                    </w:numPr>
                    <w:suppressLineNumbers w:val="0"/>
                    <w:spacing w:line="240" w:lineRule="auto"/>
                    <w:jc w:val="center"/>
                    <w:rPr>
                      <w:rFonts w:hint="eastAsia"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监控中心</w:t>
                  </w:r>
                </w:p>
              </w:tc>
              <w:tc>
                <w:tcPr>
                  <w:tcW w:w="710" w:type="dxa"/>
                  <w:vAlign w:val="center"/>
                </w:tcPr>
                <w:p w14:paraId="403812B3">
                  <w:pPr>
                    <w:keepNext w:val="0"/>
                    <w:keepLines w:val="0"/>
                    <w:widowControl/>
                    <w:numPr>
                      <w:ilvl w:val="0"/>
                      <w:numId w:val="0"/>
                    </w:numPr>
                    <w:suppressLineNumbers w:val="0"/>
                    <w:spacing w:line="240" w:lineRule="auto"/>
                    <w:jc w:val="center"/>
                    <w:rPr>
                      <w:rFonts w:hint="default"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w:t>
                  </w:r>
                </w:p>
              </w:tc>
              <w:tc>
                <w:tcPr>
                  <w:tcW w:w="939" w:type="dxa"/>
                  <w:vAlign w:val="center"/>
                </w:tcPr>
                <w:p w14:paraId="42ADB12D">
                  <w:pPr>
                    <w:keepNext w:val="0"/>
                    <w:keepLines w:val="0"/>
                    <w:widowControl/>
                    <w:numPr>
                      <w:ilvl w:val="0"/>
                      <w:numId w:val="0"/>
                    </w:numPr>
                    <w:suppressLineNumbers w:val="0"/>
                    <w:spacing w:line="240" w:lineRule="auto"/>
                    <w:jc w:val="center"/>
                    <w:rPr>
                      <w:rFonts w:hint="default"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w:t>
                  </w:r>
                </w:p>
              </w:tc>
              <w:tc>
                <w:tcPr>
                  <w:tcW w:w="735" w:type="dxa"/>
                  <w:vAlign w:val="center"/>
                </w:tcPr>
                <w:p w14:paraId="43C1CD69">
                  <w:pPr>
                    <w:keepNext w:val="0"/>
                    <w:keepLines w:val="0"/>
                    <w:widowControl/>
                    <w:numPr>
                      <w:ilvl w:val="0"/>
                      <w:numId w:val="0"/>
                    </w:numPr>
                    <w:suppressLineNumbers w:val="0"/>
                    <w:spacing w:line="240" w:lineRule="auto"/>
                    <w:jc w:val="center"/>
                    <w:rPr>
                      <w:rFonts w:hint="default"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w:t>
                  </w:r>
                </w:p>
              </w:tc>
              <w:tc>
                <w:tcPr>
                  <w:tcW w:w="660" w:type="dxa"/>
                  <w:vAlign w:val="center"/>
                </w:tcPr>
                <w:p w14:paraId="421A1A53">
                  <w:pPr>
                    <w:keepNext w:val="0"/>
                    <w:keepLines w:val="0"/>
                    <w:widowControl/>
                    <w:numPr>
                      <w:ilvl w:val="0"/>
                      <w:numId w:val="0"/>
                    </w:numPr>
                    <w:suppressLineNumbers w:val="0"/>
                    <w:spacing w:line="240" w:lineRule="auto"/>
                    <w:jc w:val="center"/>
                    <w:rPr>
                      <w:rFonts w:hint="default"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w:t>
                  </w:r>
                </w:p>
              </w:tc>
              <w:tc>
                <w:tcPr>
                  <w:tcW w:w="1140" w:type="dxa"/>
                  <w:gridSpan w:val="2"/>
                  <w:vAlign w:val="center"/>
                </w:tcPr>
                <w:p w14:paraId="77751347">
                  <w:pPr>
                    <w:keepNext w:val="0"/>
                    <w:keepLines w:val="0"/>
                    <w:widowControl/>
                    <w:numPr>
                      <w:ilvl w:val="0"/>
                      <w:numId w:val="0"/>
                    </w:numPr>
                    <w:suppressLineNumbers w:val="0"/>
                    <w:spacing w:line="240" w:lineRule="auto"/>
                    <w:jc w:val="center"/>
                    <w:rPr>
                      <w:rFonts w:hint="default"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w:t>
                  </w:r>
                </w:p>
              </w:tc>
              <w:tc>
                <w:tcPr>
                  <w:tcW w:w="765" w:type="dxa"/>
                  <w:vAlign w:val="center"/>
                </w:tcPr>
                <w:p w14:paraId="75090194">
                  <w:pPr>
                    <w:keepNext w:val="0"/>
                    <w:keepLines w:val="0"/>
                    <w:widowControl/>
                    <w:numPr>
                      <w:ilvl w:val="0"/>
                      <w:numId w:val="0"/>
                    </w:numPr>
                    <w:suppressLineNumbers w:val="0"/>
                    <w:spacing w:line="240" w:lineRule="auto"/>
                    <w:jc w:val="center"/>
                    <w:rPr>
                      <w:rFonts w:hint="default"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w:t>
                  </w:r>
                </w:p>
              </w:tc>
              <w:tc>
                <w:tcPr>
                  <w:tcW w:w="780" w:type="dxa"/>
                  <w:vAlign w:val="center"/>
                </w:tcPr>
                <w:p w14:paraId="71AC21F9">
                  <w:pPr>
                    <w:keepNext w:val="0"/>
                    <w:keepLines w:val="0"/>
                    <w:widowControl/>
                    <w:numPr>
                      <w:ilvl w:val="0"/>
                      <w:numId w:val="0"/>
                    </w:numPr>
                    <w:suppressLineNumbers w:val="0"/>
                    <w:spacing w:line="240" w:lineRule="auto"/>
                    <w:jc w:val="center"/>
                    <w:rPr>
                      <w:rFonts w:hint="default"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w:t>
                  </w:r>
                </w:p>
              </w:tc>
              <w:tc>
                <w:tcPr>
                  <w:tcW w:w="750" w:type="dxa"/>
                  <w:vAlign w:val="center"/>
                </w:tcPr>
                <w:p w14:paraId="05363880">
                  <w:pPr>
                    <w:keepNext w:val="0"/>
                    <w:keepLines w:val="0"/>
                    <w:widowControl/>
                    <w:numPr>
                      <w:ilvl w:val="0"/>
                      <w:numId w:val="0"/>
                    </w:numPr>
                    <w:suppressLineNumbers w:val="0"/>
                    <w:spacing w:line="240" w:lineRule="auto"/>
                    <w:jc w:val="center"/>
                    <w:rPr>
                      <w:rFonts w:hint="default"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w:t>
                  </w:r>
                </w:p>
              </w:tc>
              <w:tc>
                <w:tcPr>
                  <w:tcW w:w="780" w:type="dxa"/>
                  <w:vAlign w:val="center"/>
                </w:tcPr>
                <w:p w14:paraId="2B378EE5">
                  <w:pPr>
                    <w:keepNext w:val="0"/>
                    <w:keepLines w:val="0"/>
                    <w:widowControl/>
                    <w:numPr>
                      <w:ilvl w:val="0"/>
                      <w:numId w:val="0"/>
                    </w:numPr>
                    <w:suppressLineNumbers w:val="0"/>
                    <w:spacing w:line="240" w:lineRule="auto"/>
                    <w:jc w:val="center"/>
                    <w:rPr>
                      <w:rFonts w:hint="default"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w:t>
                  </w:r>
                </w:p>
              </w:tc>
              <w:tc>
                <w:tcPr>
                  <w:tcW w:w="653" w:type="dxa"/>
                  <w:vAlign w:val="center"/>
                </w:tcPr>
                <w:p w14:paraId="45696659">
                  <w:pPr>
                    <w:keepNext w:val="0"/>
                    <w:keepLines w:val="0"/>
                    <w:widowControl/>
                    <w:numPr>
                      <w:ilvl w:val="0"/>
                      <w:numId w:val="0"/>
                    </w:numPr>
                    <w:suppressLineNumbers w:val="0"/>
                    <w:spacing w:line="240" w:lineRule="auto"/>
                    <w:jc w:val="center"/>
                    <w:rPr>
                      <w:rFonts w:hint="default"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w:t>
                  </w:r>
                </w:p>
              </w:tc>
            </w:tr>
            <w:tr w14:paraId="7D226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8700" w:type="dxa"/>
                  <w:gridSpan w:val="12"/>
                  <w:vAlign w:val="center"/>
                </w:tcPr>
                <w:p w14:paraId="3F75E756">
                  <w:pPr>
                    <w:keepNext w:val="0"/>
                    <w:keepLines w:val="0"/>
                    <w:widowControl/>
                    <w:numPr>
                      <w:ilvl w:val="0"/>
                      <w:numId w:val="0"/>
                    </w:numPr>
                    <w:suppressLineNumbers w:val="0"/>
                    <w:spacing w:line="240" w:lineRule="auto"/>
                    <w:jc w:val="center"/>
                    <w:rPr>
                      <w:rFonts w:hint="eastAsia"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道路整治</w:t>
                  </w:r>
                </w:p>
              </w:tc>
            </w:tr>
            <w:tr w14:paraId="611EC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788" w:type="dxa"/>
                  <w:vAlign w:val="center"/>
                </w:tcPr>
                <w:p w14:paraId="24DCDEBE">
                  <w:pPr>
                    <w:keepNext w:val="0"/>
                    <w:keepLines w:val="0"/>
                    <w:widowControl/>
                    <w:numPr>
                      <w:ilvl w:val="0"/>
                      <w:numId w:val="0"/>
                    </w:numPr>
                    <w:suppressLineNumbers w:val="0"/>
                    <w:spacing w:line="240" w:lineRule="auto"/>
                    <w:jc w:val="center"/>
                    <w:rPr>
                      <w:rFonts w:hint="eastAsia"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序号</w:t>
                  </w:r>
                </w:p>
              </w:tc>
              <w:tc>
                <w:tcPr>
                  <w:tcW w:w="2384" w:type="dxa"/>
                  <w:gridSpan w:val="3"/>
                  <w:vAlign w:val="center"/>
                </w:tcPr>
                <w:p w14:paraId="138804BD">
                  <w:pPr>
                    <w:keepNext w:val="0"/>
                    <w:keepLines w:val="0"/>
                    <w:widowControl/>
                    <w:numPr>
                      <w:ilvl w:val="0"/>
                      <w:numId w:val="0"/>
                    </w:numPr>
                    <w:suppressLineNumbers w:val="0"/>
                    <w:spacing w:line="240" w:lineRule="auto"/>
                    <w:jc w:val="center"/>
                    <w:rPr>
                      <w:rFonts w:hint="eastAsia"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道路名称</w:t>
                  </w:r>
                </w:p>
              </w:tc>
              <w:tc>
                <w:tcPr>
                  <w:tcW w:w="3345" w:type="dxa"/>
                  <w:gridSpan w:val="5"/>
                  <w:vAlign w:val="center"/>
                </w:tcPr>
                <w:p w14:paraId="59976D1B">
                  <w:pPr>
                    <w:keepNext w:val="0"/>
                    <w:keepLines w:val="0"/>
                    <w:widowControl/>
                    <w:numPr>
                      <w:ilvl w:val="0"/>
                      <w:numId w:val="0"/>
                    </w:numPr>
                    <w:suppressLineNumbers w:val="0"/>
                    <w:spacing w:line="240" w:lineRule="auto"/>
                    <w:jc w:val="center"/>
                    <w:rPr>
                      <w:rFonts w:hint="eastAsia"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道路宽度（m）</w:t>
                  </w:r>
                </w:p>
              </w:tc>
              <w:tc>
                <w:tcPr>
                  <w:tcW w:w="2183" w:type="dxa"/>
                  <w:gridSpan w:val="3"/>
                  <w:vAlign w:val="center"/>
                </w:tcPr>
                <w:p w14:paraId="2C38E6B4">
                  <w:pPr>
                    <w:keepNext w:val="0"/>
                    <w:keepLines w:val="0"/>
                    <w:widowControl/>
                    <w:numPr>
                      <w:ilvl w:val="0"/>
                      <w:numId w:val="0"/>
                    </w:numPr>
                    <w:suppressLineNumbers w:val="0"/>
                    <w:spacing w:line="240" w:lineRule="auto"/>
                    <w:jc w:val="center"/>
                    <w:rPr>
                      <w:rFonts w:hint="eastAsia"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道路长度（m）</w:t>
                  </w:r>
                </w:p>
              </w:tc>
            </w:tr>
            <w:tr w14:paraId="529A5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788" w:type="dxa"/>
                  <w:vAlign w:val="center"/>
                </w:tcPr>
                <w:p w14:paraId="77BFF2AC">
                  <w:pPr>
                    <w:keepNext w:val="0"/>
                    <w:keepLines w:val="0"/>
                    <w:widowControl/>
                    <w:numPr>
                      <w:ilvl w:val="0"/>
                      <w:numId w:val="0"/>
                    </w:numPr>
                    <w:suppressLineNumbers w:val="0"/>
                    <w:spacing w:line="240" w:lineRule="auto"/>
                    <w:jc w:val="center"/>
                    <w:rPr>
                      <w:rFonts w:hint="default"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1</w:t>
                  </w:r>
                </w:p>
              </w:tc>
              <w:tc>
                <w:tcPr>
                  <w:tcW w:w="2384" w:type="dxa"/>
                  <w:gridSpan w:val="3"/>
                  <w:vAlign w:val="center"/>
                </w:tcPr>
                <w:p w14:paraId="73FA75B6">
                  <w:pPr>
                    <w:keepNext w:val="0"/>
                    <w:keepLines w:val="0"/>
                    <w:widowControl/>
                    <w:numPr>
                      <w:ilvl w:val="0"/>
                      <w:numId w:val="0"/>
                    </w:numPr>
                    <w:suppressLineNumbers w:val="0"/>
                    <w:spacing w:line="240" w:lineRule="auto"/>
                    <w:jc w:val="center"/>
                    <w:rPr>
                      <w:rFonts w:hint="eastAsia"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芒市大街</w:t>
                  </w:r>
                </w:p>
              </w:tc>
              <w:tc>
                <w:tcPr>
                  <w:tcW w:w="3345" w:type="dxa"/>
                  <w:gridSpan w:val="5"/>
                  <w:vAlign w:val="center"/>
                </w:tcPr>
                <w:p w14:paraId="150AA62D">
                  <w:pPr>
                    <w:keepNext w:val="0"/>
                    <w:keepLines w:val="0"/>
                    <w:widowControl/>
                    <w:numPr>
                      <w:ilvl w:val="0"/>
                      <w:numId w:val="0"/>
                    </w:numPr>
                    <w:suppressLineNumbers w:val="0"/>
                    <w:spacing w:line="240" w:lineRule="auto"/>
                    <w:jc w:val="center"/>
                    <w:rPr>
                      <w:rFonts w:hint="default"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50</w:t>
                  </w:r>
                </w:p>
              </w:tc>
              <w:tc>
                <w:tcPr>
                  <w:tcW w:w="2183" w:type="dxa"/>
                  <w:gridSpan w:val="3"/>
                  <w:vAlign w:val="center"/>
                </w:tcPr>
                <w:p w14:paraId="61EDAED4">
                  <w:pPr>
                    <w:keepNext w:val="0"/>
                    <w:keepLines w:val="0"/>
                    <w:widowControl/>
                    <w:numPr>
                      <w:ilvl w:val="0"/>
                      <w:numId w:val="0"/>
                    </w:numPr>
                    <w:suppressLineNumbers w:val="0"/>
                    <w:spacing w:line="240" w:lineRule="auto"/>
                    <w:jc w:val="center"/>
                    <w:rPr>
                      <w:rFonts w:hint="default"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3868</w:t>
                  </w:r>
                </w:p>
              </w:tc>
            </w:tr>
            <w:tr w14:paraId="57ACC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788" w:type="dxa"/>
                  <w:vMerge w:val="restart"/>
                  <w:vAlign w:val="center"/>
                </w:tcPr>
                <w:p w14:paraId="18498D6B">
                  <w:pPr>
                    <w:keepNext w:val="0"/>
                    <w:keepLines w:val="0"/>
                    <w:widowControl/>
                    <w:numPr>
                      <w:ilvl w:val="0"/>
                      <w:numId w:val="0"/>
                    </w:numPr>
                    <w:suppressLineNumbers w:val="0"/>
                    <w:spacing w:line="240" w:lineRule="auto"/>
                    <w:jc w:val="center"/>
                    <w:rPr>
                      <w:rFonts w:hint="default"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2</w:t>
                  </w:r>
                </w:p>
              </w:tc>
              <w:tc>
                <w:tcPr>
                  <w:tcW w:w="2384" w:type="dxa"/>
                  <w:gridSpan w:val="3"/>
                  <w:vMerge w:val="restart"/>
                  <w:vAlign w:val="center"/>
                </w:tcPr>
                <w:p w14:paraId="63912181">
                  <w:pPr>
                    <w:keepNext w:val="0"/>
                    <w:keepLines w:val="0"/>
                    <w:widowControl/>
                    <w:numPr>
                      <w:ilvl w:val="0"/>
                      <w:numId w:val="0"/>
                    </w:numPr>
                    <w:suppressLineNumbers w:val="0"/>
                    <w:spacing w:line="240" w:lineRule="auto"/>
                    <w:jc w:val="center"/>
                    <w:rPr>
                      <w:rFonts w:hint="eastAsia"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勐焕路</w:t>
                  </w:r>
                </w:p>
              </w:tc>
              <w:tc>
                <w:tcPr>
                  <w:tcW w:w="3345" w:type="dxa"/>
                  <w:gridSpan w:val="5"/>
                  <w:vAlign w:val="center"/>
                </w:tcPr>
                <w:p w14:paraId="667E3FEB">
                  <w:pPr>
                    <w:keepNext w:val="0"/>
                    <w:keepLines w:val="0"/>
                    <w:widowControl/>
                    <w:numPr>
                      <w:ilvl w:val="0"/>
                      <w:numId w:val="0"/>
                    </w:numPr>
                    <w:suppressLineNumbers w:val="0"/>
                    <w:spacing w:line="240" w:lineRule="auto"/>
                    <w:jc w:val="center"/>
                    <w:rPr>
                      <w:rFonts w:hint="default"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28</w:t>
                  </w:r>
                </w:p>
              </w:tc>
              <w:tc>
                <w:tcPr>
                  <w:tcW w:w="2183" w:type="dxa"/>
                  <w:gridSpan w:val="3"/>
                  <w:vAlign w:val="center"/>
                </w:tcPr>
                <w:p w14:paraId="7AED2839">
                  <w:pPr>
                    <w:keepNext w:val="0"/>
                    <w:keepLines w:val="0"/>
                    <w:widowControl/>
                    <w:numPr>
                      <w:ilvl w:val="0"/>
                      <w:numId w:val="0"/>
                    </w:numPr>
                    <w:suppressLineNumbers w:val="0"/>
                    <w:spacing w:line="240" w:lineRule="auto"/>
                    <w:jc w:val="center"/>
                    <w:rPr>
                      <w:rFonts w:hint="default"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726</w:t>
                  </w:r>
                </w:p>
              </w:tc>
            </w:tr>
            <w:tr w14:paraId="13926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788" w:type="dxa"/>
                  <w:vMerge w:val="continue"/>
                  <w:vAlign w:val="center"/>
                </w:tcPr>
                <w:p w14:paraId="3F1F5420">
                  <w:pPr>
                    <w:keepNext w:val="0"/>
                    <w:keepLines w:val="0"/>
                    <w:widowControl/>
                    <w:numPr>
                      <w:ilvl w:val="0"/>
                      <w:numId w:val="0"/>
                    </w:numPr>
                    <w:suppressLineNumbers w:val="0"/>
                    <w:spacing w:line="240" w:lineRule="auto"/>
                    <w:jc w:val="center"/>
                    <w:rPr>
                      <w:rFonts w:hint="eastAsia" w:cs="Times New Roman"/>
                      <w:b w:val="0"/>
                      <w:bCs w:val="0"/>
                      <w:color w:val="000000"/>
                      <w:kern w:val="0"/>
                      <w:sz w:val="18"/>
                      <w:szCs w:val="18"/>
                      <w:vertAlign w:val="baseline"/>
                      <w:lang w:val="en-US" w:eastAsia="zh-CN" w:bidi="ar"/>
                    </w:rPr>
                  </w:pPr>
                </w:p>
              </w:tc>
              <w:tc>
                <w:tcPr>
                  <w:tcW w:w="2384" w:type="dxa"/>
                  <w:gridSpan w:val="3"/>
                  <w:vMerge w:val="continue"/>
                  <w:vAlign w:val="center"/>
                </w:tcPr>
                <w:p w14:paraId="208DE2C6">
                  <w:pPr>
                    <w:keepNext w:val="0"/>
                    <w:keepLines w:val="0"/>
                    <w:widowControl/>
                    <w:numPr>
                      <w:ilvl w:val="0"/>
                      <w:numId w:val="0"/>
                    </w:numPr>
                    <w:suppressLineNumbers w:val="0"/>
                    <w:spacing w:line="240" w:lineRule="auto"/>
                    <w:jc w:val="center"/>
                    <w:rPr>
                      <w:rFonts w:hint="eastAsia" w:cs="Times New Roman"/>
                      <w:b w:val="0"/>
                      <w:bCs w:val="0"/>
                      <w:color w:val="000000"/>
                      <w:kern w:val="0"/>
                      <w:sz w:val="18"/>
                      <w:szCs w:val="18"/>
                      <w:vertAlign w:val="baseline"/>
                      <w:lang w:val="en-US" w:eastAsia="zh-CN" w:bidi="ar"/>
                    </w:rPr>
                  </w:pPr>
                </w:p>
              </w:tc>
              <w:tc>
                <w:tcPr>
                  <w:tcW w:w="3345" w:type="dxa"/>
                  <w:gridSpan w:val="5"/>
                  <w:vAlign w:val="center"/>
                </w:tcPr>
                <w:p w14:paraId="215389D7">
                  <w:pPr>
                    <w:keepNext w:val="0"/>
                    <w:keepLines w:val="0"/>
                    <w:widowControl/>
                    <w:numPr>
                      <w:ilvl w:val="0"/>
                      <w:numId w:val="0"/>
                    </w:numPr>
                    <w:suppressLineNumbers w:val="0"/>
                    <w:spacing w:line="240" w:lineRule="auto"/>
                    <w:jc w:val="center"/>
                    <w:rPr>
                      <w:rFonts w:hint="default"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44</w:t>
                  </w:r>
                </w:p>
              </w:tc>
              <w:tc>
                <w:tcPr>
                  <w:tcW w:w="2183" w:type="dxa"/>
                  <w:gridSpan w:val="3"/>
                  <w:vAlign w:val="center"/>
                </w:tcPr>
                <w:p w14:paraId="78B9D540">
                  <w:pPr>
                    <w:keepNext w:val="0"/>
                    <w:keepLines w:val="0"/>
                    <w:widowControl/>
                    <w:numPr>
                      <w:ilvl w:val="0"/>
                      <w:numId w:val="0"/>
                    </w:numPr>
                    <w:suppressLineNumbers w:val="0"/>
                    <w:spacing w:line="240" w:lineRule="auto"/>
                    <w:jc w:val="center"/>
                    <w:rPr>
                      <w:rFonts w:hint="default"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962</w:t>
                  </w:r>
                </w:p>
              </w:tc>
            </w:tr>
            <w:tr w14:paraId="1C766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788" w:type="dxa"/>
                  <w:vAlign w:val="center"/>
                </w:tcPr>
                <w:p w14:paraId="6A7C71DB">
                  <w:pPr>
                    <w:keepNext w:val="0"/>
                    <w:keepLines w:val="0"/>
                    <w:widowControl/>
                    <w:numPr>
                      <w:ilvl w:val="0"/>
                      <w:numId w:val="0"/>
                    </w:numPr>
                    <w:suppressLineNumbers w:val="0"/>
                    <w:spacing w:line="240" w:lineRule="auto"/>
                    <w:jc w:val="center"/>
                    <w:rPr>
                      <w:rFonts w:hint="default"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3</w:t>
                  </w:r>
                </w:p>
              </w:tc>
              <w:tc>
                <w:tcPr>
                  <w:tcW w:w="2384" w:type="dxa"/>
                  <w:gridSpan w:val="3"/>
                  <w:vAlign w:val="center"/>
                </w:tcPr>
                <w:p w14:paraId="1F283F75">
                  <w:pPr>
                    <w:keepNext w:val="0"/>
                    <w:keepLines w:val="0"/>
                    <w:widowControl/>
                    <w:numPr>
                      <w:ilvl w:val="0"/>
                      <w:numId w:val="0"/>
                    </w:numPr>
                    <w:suppressLineNumbers w:val="0"/>
                    <w:spacing w:line="240" w:lineRule="auto"/>
                    <w:jc w:val="center"/>
                    <w:rPr>
                      <w:rFonts w:hint="default"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团结大街（南蚌路至遮安路）</w:t>
                  </w:r>
                </w:p>
              </w:tc>
              <w:tc>
                <w:tcPr>
                  <w:tcW w:w="3345" w:type="dxa"/>
                  <w:gridSpan w:val="5"/>
                  <w:vAlign w:val="center"/>
                </w:tcPr>
                <w:p w14:paraId="196C2418">
                  <w:pPr>
                    <w:keepNext w:val="0"/>
                    <w:keepLines w:val="0"/>
                    <w:widowControl/>
                    <w:numPr>
                      <w:ilvl w:val="0"/>
                      <w:numId w:val="0"/>
                    </w:numPr>
                    <w:suppressLineNumbers w:val="0"/>
                    <w:spacing w:line="240" w:lineRule="auto"/>
                    <w:jc w:val="center"/>
                    <w:rPr>
                      <w:rFonts w:hint="default"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35</w:t>
                  </w:r>
                </w:p>
              </w:tc>
              <w:tc>
                <w:tcPr>
                  <w:tcW w:w="2183" w:type="dxa"/>
                  <w:gridSpan w:val="3"/>
                  <w:vAlign w:val="center"/>
                </w:tcPr>
                <w:p w14:paraId="2DFAF165">
                  <w:pPr>
                    <w:keepNext w:val="0"/>
                    <w:keepLines w:val="0"/>
                    <w:widowControl/>
                    <w:numPr>
                      <w:ilvl w:val="0"/>
                      <w:numId w:val="0"/>
                    </w:numPr>
                    <w:suppressLineNumbers w:val="0"/>
                    <w:spacing w:line="240" w:lineRule="auto"/>
                    <w:jc w:val="center"/>
                    <w:rPr>
                      <w:rFonts w:hint="default"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2831</w:t>
                  </w:r>
                </w:p>
              </w:tc>
            </w:tr>
            <w:tr w14:paraId="58846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8700" w:type="dxa"/>
                  <w:gridSpan w:val="12"/>
                  <w:vAlign w:val="center"/>
                </w:tcPr>
                <w:p w14:paraId="6EEFD508">
                  <w:pPr>
                    <w:keepNext w:val="0"/>
                    <w:keepLines w:val="0"/>
                    <w:widowControl/>
                    <w:numPr>
                      <w:ilvl w:val="0"/>
                      <w:numId w:val="0"/>
                    </w:numPr>
                    <w:suppressLineNumbers w:val="0"/>
                    <w:spacing w:line="240" w:lineRule="auto"/>
                    <w:jc w:val="center"/>
                    <w:rPr>
                      <w:rFonts w:hint="eastAsia"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污水管道</w:t>
                  </w:r>
                </w:p>
              </w:tc>
            </w:tr>
            <w:tr w14:paraId="567A4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788" w:type="dxa"/>
                  <w:vAlign w:val="center"/>
                </w:tcPr>
                <w:p w14:paraId="5656B95D">
                  <w:pPr>
                    <w:keepNext w:val="0"/>
                    <w:keepLines w:val="0"/>
                    <w:widowControl/>
                    <w:numPr>
                      <w:ilvl w:val="0"/>
                      <w:numId w:val="0"/>
                    </w:numPr>
                    <w:suppressLineNumbers w:val="0"/>
                    <w:spacing w:line="240" w:lineRule="auto"/>
                    <w:jc w:val="center"/>
                    <w:rPr>
                      <w:rFonts w:hint="eastAsia"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序号</w:t>
                  </w:r>
                </w:p>
              </w:tc>
              <w:tc>
                <w:tcPr>
                  <w:tcW w:w="2384" w:type="dxa"/>
                  <w:gridSpan w:val="3"/>
                  <w:vAlign w:val="center"/>
                </w:tcPr>
                <w:p w14:paraId="20071147">
                  <w:pPr>
                    <w:keepNext w:val="0"/>
                    <w:keepLines w:val="0"/>
                    <w:widowControl/>
                    <w:numPr>
                      <w:ilvl w:val="0"/>
                      <w:numId w:val="0"/>
                    </w:numPr>
                    <w:suppressLineNumbers w:val="0"/>
                    <w:spacing w:line="240" w:lineRule="auto"/>
                    <w:jc w:val="center"/>
                    <w:rPr>
                      <w:rFonts w:hint="eastAsia"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道路名称</w:t>
                  </w:r>
                </w:p>
              </w:tc>
              <w:tc>
                <w:tcPr>
                  <w:tcW w:w="1672" w:type="dxa"/>
                  <w:gridSpan w:val="2"/>
                  <w:vAlign w:val="center"/>
                </w:tcPr>
                <w:p w14:paraId="557A6A0E">
                  <w:pPr>
                    <w:keepNext w:val="0"/>
                    <w:keepLines w:val="0"/>
                    <w:widowControl/>
                    <w:numPr>
                      <w:ilvl w:val="0"/>
                      <w:numId w:val="0"/>
                    </w:numPr>
                    <w:suppressLineNumbers w:val="0"/>
                    <w:spacing w:line="240" w:lineRule="auto"/>
                    <w:jc w:val="center"/>
                    <w:rPr>
                      <w:rFonts w:hint="eastAsia"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污水管长（m）</w:t>
                  </w:r>
                </w:p>
              </w:tc>
              <w:tc>
                <w:tcPr>
                  <w:tcW w:w="1673" w:type="dxa"/>
                  <w:gridSpan w:val="3"/>
                  <w:vAlign w:val="center"/>
                </w:tcPr>
                <w:p w14:paraId="69A12E68">
                  <w:pPr>
                    <w:keepNext w:val="0"/>
                    <w:keepLines w:val="0"/>
                    <w:widowControl/>
                    <w:numPr>
                      <w:ilvl w:val="0"/>
                      <w:numId w:val="0"/>
                    </w:numPr>
                    <w:suppressLineNumbers w:val="0"/>
                    <w:spacing w:line="240" w:lineRule="auto"/>
                    <w:jc w:val="center"/>
                    <w:rPr>
                      <w:rFonts w:hint="eastAsia"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污水管径</w:t>
                  </w:r>
                </w:p>
              </w:tc>
              <w:tc>
                <w:tcPr>
                  <w:tcW w:w="2183" w:type="dxa"/>
                  <w:gridSpan w:val="3"/>
                  <w:vAlign w:val="center"/>
                </w:tcPr>
                <w:p w14:paraId="5580A0E9">
                  <w:pPr>
                    <w:keepNext w:val="0"/>
                    <w:keepLines w:val="0"/>
                    <w:widowControl/>
                    <w:numPr>
                      <w:ilvl w:val="0"/>
                      <w:numId w:val="0"/>
                    </w:numPr>
                    <w:suppressLineNumbers w:val="0"/>
                    <w:spacing w:line="240" w:lineRule="auto"/>
                    <w:jc w:val="center"/>
                    <w:rPr>
                      <w:rFonts w:hint="eastAsia"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污水管材</w:t>
                  </w:r>
                </w:p>
              </w:tc>
            </w:tr>
            <w:tr w14:paraId="51204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788" w:type="dxa"/>
                  <w:vAlign w:val="center"/>
                </w:tcPr>
                <w:p w14:paraId="2A6863B7">
                  <w:pPr>
                    <w:keepNext w:val="0"/>
                    <w:keepLines w:val="0"/>
                    <w:widowControl/>
                    <w:numPr>
                      <w:ilvl w:val="0"/>
                      <w:numId w:val="0"/>
                    </w:numPr>
                    <w:suppressLineNumbers w:val="0"/>
                    <w:spacing w:line="240" w:lineRule="auto"/>
                    <w:jc w:val="center"/>
                    <w:rPr>
                      <w:rFonts w:hint="default"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1</w:t>
                  </w:r>
                </w:p>
              </w:tc>
              <w:tc>
                <w:tcPr>
                  <w:tcW w:w="2384" w:type="dxa"/>
                  <w:gridSpan w:val="3"/>
                  <w:vAlign w:val="center"/>
                </w:tcPr>
                <w:p w14:paraId="16FC3966">
                  <w:pPr>
                    <w:keepNext w:val="0"/>
                    <w:keepLines w:val="0"/>
                    <w:widowControl/>
                    <w:numPr>
                      <w:ilvl w:val="0"/>
                      <w:numId w:val="0"/>
                    </w:numPr>
                    <w:suppressLineNumbers w:val="0"/>
                    <w:spacing w:line="240" w:lineRule="auto"/>
                    <w:jc w:val="center"/>
                    <w:rPr>
                      <w:rFonts w:hint="eastAsia"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西二环（芒象路至人保路）</w:t>
                  </w:r>
                </w:p>
              </w:tc>
              <w:tc>
                <w:tcPr>
                  <w:tcW w:w="1672" w:type="dxa"/>
                  <w:gridSpan w:val="2"/>
                  <w:vAlign w:val="center"/>
                </w:tcPr>
                <w:p w14:paraId="0BF34F78">
                  <w:pPr>
                    <w:keepNext w:val="0"/>
                    <w:keepLines w:val="0"/>
                    <w:widowControl/>
                    <w:numPr>
                      <w:ilvl w:val="0"/>
                      <w:numId w:val="0"/>
                    </w:numPr>
                    <w:suppressLineNumbers w:val="0"/>
                    <w:spacing w:line="240" w:lineRule="auto"/>
                    <w:jc w:val="center"/>
                    <w:rPr>
                      <w:rFonts w:hint="default"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4500</w:t>
                  </w:r>
                </w:p>
              </w:tc>
              <w:tc>
                <w:tcPr>
                  <w:tcW w:w="1673" w:type="dxa"/>
                  <w:gridSpan w:val="3"/>
                  <w:vAlign w:val="center"/>
                </w:tcPr>
                <w:p w14:paraId="7EF356DF">
                  <w:pPr>
                    <w:keepNext w:val="0"/>
                    <w:keepLines w:val="0"/>
                    <w:widowControl/>
                    <w:numPr>
                      <w:ilvl w:val="0"/>
                      <w:numId w:val="0"/>
                    </w:numPr>
                    <w:suppressLineNumbers w:val="0"/>
                    <w:spacing w:line="240" w:lineRule="auto"/>
                    <w:jc w:val="center"/>
                    <w:rPr>
                      <w:rFonts w:hint="default"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DN1200</w:t>
                  </w:r>
                </w:p>
              </w:tc>
              <w:tc>
                <w:tcPr>
                  <w:tcW w:w="2183" w:type="dxa"/>
                  <w:gridSpan w:val="3"/>
                  <w:vAlign w:val="center"/>
                </w:tcPr>
                <w:p w14:paraId="16A6BF32">
                  <w:pPr>
                    <w:keepNext w:val="0"/>
                    <w:keepLines w:val="0"/>
                    <w:widowControl/>
                    <w:numPr>
                      <w:ilvl w:val="0"/>
                      <w:numId w:val="0"/>
                    </w:numPr>
                    <w:suppressLineNumbers w:val="0"/>
                    <w:spacing w:line="240" w:lineRule="auto"/>
                    <w:jc w:val="center"/>
                    <w:rPr>
                      <w:rFonts w:hint="default" w:cs="Times New Roman"/>
                      <w:b w:val="0"/>
                      <w:bCs w:val="0"/>
                      <w:color w:val="000000"/>
                      <w:kern w:val="0"/>
                      <w:sz w:val="18"/>
                      <w:szCs w:val="18"/>
                      <w:vertAlign w:val="baseline"/>
                      <w:lang w:val="en-US" w:eastAsia="zh-CN" w:bidi="ar"/>
                    </w:rPr>
                  </w:pPr>
                  <w:r>
                    <w:rPr>
                      <w:rFonts w:hint="default" w:cs="Times New Roman"/>
                      <w:b w:val="0"/>
                      <w:bCs w:val="0"/>
                      <w:color w:val="000000"/>
                      <w:kern w:val="0"/>
                      <w:sz w:val="18"/>
                      <w:szCs w:val="18"/>
                      <w:vertAlign w:val="baseline"/>
                      <w:lang w:val="en-US" w:eastAsia="zh-CN" w:bidi="ar"/>
                    </w:rPr>
                    <w:t>Ⅱ</w:t>
                  </w:r>
                  <w:r>
                    <w:rPr>
                      <w:rFonts w:hint="eastAsia" w:cs="Times New Roman"/>
                      <w:b w:val="0"/>
                      <w:bCs w:val="0"/>
                      <w:color w:val="000000"/>
                      <w:kern w:val="0"/>
                      <w:sz w:val="18"/>
                      <w:szCs w:val="18"/>
                      <w:vertAlign w:val="baseline"/>
                      <w:lang w:val="en-US" w:eastAsia="zh-CN" w:bidi="ar"/>
                    </w:rPr>
                    <w:t>级钢筋混凝土管</w:t>
                  </w:r>
                </w:p>
              </w:tc>
            </w:tr>
            <w:tr w14:paraId="5563A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788" w:type="dxa"/>
                  <w:vAlign w:val="center"/>
                </w:tcPr>
                <w:p w14:paraId="1CC569A3">
                  <w:pPr>
                    <w:keepNext w:val="0"/>
                    <w:keepLines w:val="0"/>
                    <w:widowControl/>
                    <w:numPr>
                      <w:ilvl w:val="0"/>
                      <w:numId w:val="0"/>
                    </w:numPr>
                    <w:suppressLineNumbers w:val="0"/>
                    <w:spacing w:line="240" w:lineRule="auto"/>
                    <w:jc w:val="center"/>
                    <w:rPr>
                      <w:rFonts w:hint="default"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2</w:t>
                  </w:r>
                </w:p>
              </w:tc>
              <w:tc>
                <w:tcPr>
                  <w:tcW w:w="2384" w:type="dxa"/>
                  <w:gridSpan w:val="3"/>
                  <w:vAlign w:val="center"/>
                </w:tcPr>
                <w:p w14:paraId="349F184D">
                  <w:pPr>
                    <w:keepNext w:val="0"/>
                    <w:keepLines w:val="0"/>
                    <w:widowControl/>
                    <w:numPr>
                      <w:ilvl w:val="0"/>
                      <w:numId w:val="0"/>
                    </w:numPr>
                    <w:suppressLineNumbers w:val="0"/>
                    <w:spacing w:line="240" w:lineRule="auto"/>
                    <w:jc w:val="center"/>
                    <w:rPr>
                      <w:rFonts w:hint="eastAsia"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芒市大街</w:t>
                  </w:r>
                </w:p>
              </w:tc>
              <w:tc>
                <w:tcPr>
                  <w:tcW w:w="1672" w:type="dxa"/>
                  <w:gridSpan w:val="2"/>
                  <w:vAlign w:val="center"/>
                </w:tcPr>
                <w:p w14:paraId="4A20F298">
                  <w:pPr>
                    <w:keepNext w:val="0"/>
                    <w:keepLines w:val="0"/>
                    <w:widowControl/>
                    <w:numPr>
                      <w:ilvl w:val="0"/>
                      <w:numId w:val="0"/>
                    </w:numPr>
                    <w:suppressLineNumbers w:val="0"/>
                    <w:spacing w:line="240" w:lineRule="auto"/>
                    <w:jc w:val="center"/>
                    <w:rPr>
                      <w:rFonts w:hint="default"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3860</w:t>
                  </w:r>
                </w:p>
              </w:tc>
              <w:tc>
                <w:tcPr>
                  <w:tcW w:w="1673" w:type="dxa"/>
                  <w:gridSpan w:val="3"/>
                  <w:vAlign w:val="center"/>
                </w:tcPr>
                <w:p w14:paraId="2671141C">
                  <w:pPr>
                    <w:keepNext w:val="0"/>
                    <w:keepLines w:val="0"/>
                    <w:widowControl/>
                    <w:numPr>
                      <w:ilvl w:val="0"/>
                      <w:numId w:val="0"/>
                    </w:numPr>
                    <w:suppressLineNumbers w:val="0"/>
                    <w:spacing w:line="240" w:lineRule="auto"/>
                    <w:jc w:val="center"/>
                    <w:rPr>
                      <w:rFonts w:hint="default"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DN500</w:t>
                  </w:r>
                </w:p>
              </w:tc>
              <w:tc>
                <w:tcPr>
                  <w:tcW w:w="2183" w:type="dxa"/>
                  <w:gridSpan w:val="3"/>
                  <w:vAlign w:val="center"/>
                </w:tcPr>
                <w:p w14:paraId="2465DB30">
                  <w:pPr>
                    <w:keepNext w:val="0"/>
                    <w:keepLines w:val="0"/>
                    <w:widowControl/>
                    <w:numPr>
                      <w:ilvl w:val="0"/>
                      <w:numId w:val="0"/>
                    </w:numPr>
                    <w:suppressLineNumbers w:val="0"/>
                    <w:spacing w:line="240" w:lineRule="auto"/>
                    <w:jc w:val="center"/>
                    <w:rPr>
                      <w:rFonts w:hint="default" w:cs="Times New Roman"/>
                      <w:b w:val="0"/>
                      <w:bCs w:val="0"/>
                      <w:color w:val="000000"/>
                      <w:kern w:val="0"/>
                      <w:sz w:val="18"/>
                      <w:szCs w:val="18"/>
                      <w:vertAlign w:val="baseline"/>
                      <w:lang w:val="en-US" w:eastAsia="zh-CN" w:bidi="ar"/>
                    </w:rPr>
                  </w:pPr>
                  <w:r>
                    <w:rPr>
                      <w:rFonts w:hint="eastAsia" w:cs="Times New Roman"/>
                      <w:b w:val="0"/>
                      <w:bCs w:val="0"/>
                      <w:color w:val="000000"/>
                      <w:kern w:val="0"/>
                      <w:sz w:val="18"/>
                      <w:szCs w:val="18"/>
                      <w:vertAlign w:val="baseline"/>
                      <w:lang w:val="en-US" w:eastAsia="zh-CN" w:bidi="ar"/>
                    </w:rPr>
                    <w:t>HDPE管</w:t>
                  </w:r>
                </w:p>
              </w:tc>
            </w:tr>
          </w:tbl>
          <w:p w14:paraId="088F8A68">
            <w:pPr>
              <w:keepNext w:val="0"/>
              <w:keepLines w:val="0"/>
              <w:widowControl/>
              <w:numPr>
                <w:ilvl w:val="0"/>
                <w:numId w:val="0"/>
              </w:numPr>
              <w:suppressLineNumbers w:val="0"/>
              <w:ind w:leftChars="0"/>
              <w:jc w:val="left"/>
              <w:rPr>
                <w:rFonts w:hint="eastAsia"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三、工程建设必要性</w:t>
            </w:r>
          </w:p>
          <w:p w14:paraId="7D837D63">
            <w:pPr>
              <w:keepNext w:val="0"/>
              <w:keepLines w:val="0"/>
              <w:widowControl/>
              <w:numPr>
                <w:ilvl w:val="0"/>
                <w:numId w:val="0"/>
              </w:numPr>
              <w:suppressLineNumbers w:val="0"/>
              <w:ind w:leftChars="0" w:firstLine="480" w:firstLineChars="200"/>
              <w:jc w:val="left"/>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根据总体规划，芒市中心城区将以较高标准建设成为德宏州未来的政务中心和商务中心，同</w:t>
            </w:r>
            <w:r>
              <w:rPr>
                <w:rFonts w:hint="eastAsia" w:cs="Times New Roman"/>
                <w:color w:val="000000"/>
                <w:kern w:val="0"/>
                <w:sz w:val="24"/>
                <w:szCs w:val="24"/>
                <w:lang w:val="en-US" w:eastAsia="zh-CN" w:bidi="ar"/>
              </w:rPr>
              <w:t>时</w:t>
            </w:r>
            <w:r>
              <w:rPr>
                <w:rFonts w:hint="eastAsia" w:ascii="Times New Roman" w:hAnsi="Times New Roman" w:eastAsia="宋体" w:cs="Times New Roman"/>
                <w:color w:val="000000"/>
                <w:kern w:val="0"/>
                <w:sz w:val="24"/>
                <w:szCs w:val="24"/>
                <w:lang w:val="en-US" w:eastAsia="zh-CN" w:bidi="ar"/>
              </w:rPr>
              <w:t>也注重保护生态，避免对环境的破坏。</w:t>
            </w:r>
          </w:p>
          <w:p w14:paraId="1CF57399">
            <w:pPr>
              <w:keepNext w:val="0"/>
              <w:keepLines w:val="0"/>
              <w:widowControl/>
              <w:numPr>
                <w:ilvl w:val="0"/>
                <w:numId w:val="2"/>
              </w:numPr>
              <w:suppressLineNumbers w:val="0"/>
              <w:ind w:leftChars="0" w:firstLine="480" w:firstLineChars="200"/>
              <w:jc w:val="left"/>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国家政策的政策要求</w:t>
            </w:r>
          </w:p>
          <w:p w14:paraId="116A7CFB">
            <w:pPr>
              <w:keepNext w:val="0"/>
              <w:keepLines w:val="0"/>
              <w:widowControl/>
              <w:suppressLineNumbers w:val="0"/>
              <w:ind w:firstLine="480" w:firstLineChars="200"/>
              <w:jc w:val="left"/>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国务院相继出台了《国务院办公厅关于推进城市地下综合管廊建设指导意见》(国发[2015]61号)、《国家发展改革委办公厅关于《印发城市地下综合管廊建设专项债券发行指引》的通知》(发改办财金[2015]775号、《国务院办公厅关于加强城市地下管线建设管理的指导意见》(国办发[2014]27号)、《国务院关于加强城市基础设施建设的意见》(国发[2013]36 号)，加快推进以人为本的新型城镇化，推进城市地下管廊规划建设，保障城市安全。2015年</w:t>
            </w:r>
            <w:r>
              <w:rPr>
                <w:rFonts w:hint="eastAsia" w:cs="Times New Roman"/>
                <w:color w:val="000000"/>
                <w:kern w:val="0"/>
                <w:sz w:val="24"/>
                <w:szCs w:val="24"/>
                <w:lang w:val="en-US" w:eastAsia="zh-CN" w:bidi="ar"/>
              </w:rPr>
              <w:t>3</w:t>
            </w:r>
            <w:r>
              <w:rPr>
                <w:rFonts w:hint="eastAsia" w:ascii="Times New Roman" w:hAnsi="Times New Roman" w:eastAsia="宋体" w:cs="Times New Roman"/>
                <w:color w:val="000000"/>
                <w:kern w:val="0"/>
                <w:sz w:val="24"/>
                <w:szCs w:val="24"/>
                <w:lang w:val="en-US" w:eastAsia="zh-CN" w:bidi="ar"/>
              </w:rPr>
              <w:t>月31日，国家发改委办公厅印发了关于《国家发展改革委办公厅关于《印发城市地下综合管廊建设专项债券发行指引》的通知》(发改办财金【2015】755号)。</w:t>
            </w:r>
          </w:p>
          <w:p w14:paraId="186A4749">
            <w:pPr>
              <w:keepNext w:val="0"/>
              <w:keepLines w:val="0"/>
              <w:widowControl/>
              <w:numPr>
                <w:ilvl w:val="0"/>
                <w:numId w:val="2"/>
              </w:numPr>
              <w:suppressLineNumbers w:val="0"/>
              <w:ind w:left="0" w:leftChars="0" w:firstLine="480" w:firstLineChars="200"/>
              <w:jc w:val="left"/>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落实建设部的技术推广政策</w:t>
            </w:r>
          </w:p>
          <w:p w14:paraId="1219BD03">
            <w:pPr>
              <w:keepNext w:val="0"/>
              <w:keepLines w:val="0"/>
              <w:widowControl/>
              <w:numPr>
                <w:ilvl w:val="0"/>
                <w:numId w:val="0"/>
              </w:numPr>
              <w:suppressLineNumbers w:val="0"/>
              <w:ind w:firstLine="480" w:firstLineChars="200"/>
              <w:jc w:val="both"/>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建设部城市建设司2005年2月2日发布了该司工作要点，提出按照构建和谐社会的要求，要加强城市管理，加强城市市政基础设施的配套完善。</w:t>
            </w:r>
            <w:r>
              <w:rPr>
                <w:rFonts w:hint="eastAsia" w:ascii="Times New Roman" w:hAnsi="Times New Roman" w:eastAsia="宋体" w:cs="Times New Roman"/>
                <w:color w:val="000000"/>
                <w:kern w:val="0"/>
                <w:sz w:val="24"/>
                <w:szCs w:val="24"/>
                <w:lang w:val="en-US" w:eastAsia="zh-CN" w:bidi="ar"/>
              </w:rPr>
              <w:t>指导</w:t>
            </w:r>
            <w:r>
              <w:rPr>
                <w:rFonts w:hint="default" w:ascii="Times New Roman" w:hAnsi="Times New Roman" w:eastAsia="宋体" w:cs="Times New Roman"/>
                <w:color w:val="000000"/>
                <w:kern w:val="0"/>
                <w:sz w:val="24"/>
                <w:szCs w:val="24"/>
                <w:lang w:val="en-US" w:eastAsia="zh-CN" w:bidi="ar"/>
              </w:rPr>
              <w:t>各地研究制定地下管线综合建设和管理的政策，减少道路重复开挖率，推广共</w:t>
            </w:r>
            <w:r>
              <w:rPr>
                <w:rFonts w:hint="eastAsia" w:ascii="Times New Roman" w:hAnsi="Times New Roman" w:eastAsia="宋体" w:cs="Times New Roman"/>
                <w:color w:val="000000"/>
                <w:kern w:val="0"/>
                <w:sz w:val="24"/>
                <w:szCs w:val="24"/>
                <w:lang w:val="en-US" w:eastAsia="zh-CN" w:bidi="ar"/>
              </w:rPr>
              <w:t>同</w:t>
            </w:r>
            <w:r>
              <w:rPr>
                <w:rFonts w:hint="default" w:ascii="Times New Roman" w:hAnsi="Times New Roman" w:eastAsia="宋体" w:cs="Times New Roman"/>
                <w:color w:val="000000"/>
                <w:kern w:val="0"/>
                <w:sz w:val="24"/>
                <w:szCs w:val="24"/>
                <w:lang w:val="en-US" w:eastAsia="zh-CN" w:bidi="ar"/>
              </w:rPr>
              <w:t>沟和地下管廊建设和管理经验。</w:t>
            </w:r>
          </w:p>
          <w:p w14:paraId="0FC26A46">
            <w:pPr>
              <w:keepNext w:val="0"/>
              <w:keepLines w:val="0"/>
              <w:widowControl/>
              <w:numPr>
                <w:ilvl w:val="0"/>
                <w:numId w:val="2"/>
              </w:numPr>
              <w:suppressLineNumbers w:val="0"/>
              <w:spacing w:line="360" w:lineRule="auto"/>
              <w:ind w:left="0" w:lef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芒市中心城区定位和市政服务功能的需要 </w:t>
            </w:r>
          </w:p>
          <w:p w14:paraId="2DD2D5FB">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根据规划芒市中心城区多条主、次干路中有完善的市政工程管线服务功能，综合拟建供电电缆、路灯电缆、交通控制电缆、供水管、排水管涵、燃气管、电信通讯光缆、有线电视光缆、公安消防报警监控光缆等，需要敷设工程管线的种类多、规格多，不可能在现有规划的道路红线地下按照国家规范进行地下空间布置，只有建设市政综合管廊才能满足其敷设空间需要。</w:t>
            </w:r>
          </w:p>
          <w:p w14:paraId="5185EB8D">
            <w:pPr>
              <w:keepNext w:val="0"/>
              <w:keepLines w:val="0"/>
              <w:widowControl/>
              <w:numPr>
                <w:ilvl w:val="0"/>
                <w:numId w:val="2"/>
              </w:numPr>
              <w:suppressLineNumbers w:val="0"/>
              <w:ind w:left="0" w:lef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有利于政府对社会公共资源的控制和管理 </w:t>
            </w:r>
          </w:p>
          <w:p w14:paraId="03DCABE9">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一方面按照物权法</w:t>
            </w:r>
            <w:r>
              <w:rPr>
                <w:rFonts w:ascii="TimesNewRomanPSMT" w:hAnsi="TimesNewRomanPSMT" w:eastAsia="TimesNewRomanPSMT" w:cs="TimesNewRomanPSMT"/>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草案</w:t>
            </w:r>
            <w:r>
              <w:rPr>
                <w:rFonts w:hint="default" w:ascii="TimesNewRomanPSMT" w:hAnsi="TimesNewRomanPSMT" w:eastAsia="TimesNewRomanPSMT" w:cs="TimesNewRomanPSMT"/>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的规定，政府拥有城市道路红线范围内的所有物权，政府代表国家和城市市民监管市政管线运营商的运营行为。另一方面政府必须允许运营商按照市场准则进入市政管线的投资行为，给予合法进入市政管线运营商在合法经营时，管线占用城市道路地下空间的使用权，为保障城市市政管线功能的正常运转，政府可利用市政综合管廊这一公共资源作为监管平台，来加强对市政管线运营商的管理。</w:t>
            </w:r>
          </w:p>
          <w:p w14:paraId="12C4B3E4">
            <w:pPr>
              <w:keepNext w:val="0"/>
              <w:keepLines w:val="0"/>
              <w:widowControl/>
              <w:numPr>
                <w:ilvl w:val="0"/>
                <w:numId w:val="2"/>
              </w:numPr>
              <w:suppressLineNumbers w:val="0"/>
              <w:ind w:left="0" w:lef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土地集约化利用和工程管线集约化建设的需要 </w:t>
            </w:r>
          </w:p>
          <w:p w14:paraId="7702E169">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土地资源是不可再生的。芒市中心城区土地资源和地下空间资源非常有限，按照建设节约型社会的要求，土地必须集约化利用，以增加社会资源和经济效益；土地价格飞涨，要求工程管线集约化建设，尽可能不占用或少占用土地空间，或者在有限的地下空间内实现更多的功能；而土地价格的上涨，又为工程管线集约化建设提供了财力保障。</w:t>
            </w:r>
          </w:p>
          <w:p w14:paraId="635E6C1A">
            <w:pPr>
              <w:keepNext w:val="0"/>
              <w:keepLines w:val="0"/>
              <w:widowControl/>
              <w:numPr>
                <w:ilvl w:val="0"/>
                <w:numId w:val="2"/>
              </w:numPr>
              <w:suppressLineNumbers w:val="0"/>
              <w:ind w:left="0" w:lef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工程管线建设投资体制的必然结果</w:t>
            </w:r>
          </w:p>
          <w:p w14:paraId="77B9B175">
            <w:pPr>
              <w:keepNext w:val="0"/>
              <w:keepLines w:val="0"/>
              <w:widowControl/>
              <w:numPr>
                <w:ilvl w:val="0"/>
                <w:numId w:val="0"/>
              </w:numPr>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目前除电信及有线电视管线、天然气管线等少数管线全部市场化外，其他管线投资模式仍然是非市场化投资体制。供电设施、供水管线的建设都是由新区项目法人公司先期投资的。芒市中心城区土地集约程度高、建筑密度大、服务功能多、 管线敷设难，为了提高投资效益和保证建设速度，必须进行工程管线的集约化建设，建设市政管线综合管廊是实施推进新区建设的最佳保障措施。 </w:t>
            </w:r>
          </w:p>
          <w:p w14:paraId="5354A4B9">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总之，城市建设了综合管廊，可以消除“拉链路”，保障交通通畅的需要；另外节约了城市地下空间，也是城市地下空间开发利用的需要；其次保证城市地下管线安全运营的需要；最后是城市环境建设的需要。</w:t>
            </w:r>
          </w:p>
          <w:p w14:paraId="0B21FF49">
            <w:pPr>
              <w:keepNext w:val="0"/>
              <w:keepLines w:val="0"/>
              <w:widowControl/>
              <w:numPr>
                <w:ilvl w:val="0"/>
                <w:numId w:val="3"/>
              </w:numPr>
              <w:suppressLineNumbers w:val="0"/>
              <w:jc w:val="left"/>
              <w:rPr>
                <w:rFonts w:hint="eastAsia" w:ascii="宋体" w:hAnsi="宋体" w:eastAsia="宋体" w:cs="宋体"/>
                <w:b/>
                <w:bCs/>
                <w:color w:val="000000"/>
                <w:kern w:val="0"/>
                <w:sz w:val="24"/>
                <w:szCs w:val="24"/>
                <w:lang w:val="en-US" w:eastAsia="zh-CN" w:bidi="ar"/>
              </w:rPr>
            </w:pPr>
            <w:r>
              <w:rPr>
                <w:rFonts w:hint="eastAsia" w:ascii="宋体" w:hAnsi="宋体" w:cs="宋体"/>
                <w:b/>
                <w:bCs/>
                <w:color w:val="000000"/>
                <w:kern w:val="0"/>
                <w:sz w:val="24"/>
                <w:szCs w:val="24"/>
                <w:lang w:val="en-US" w:eastAsia="zh-CN" w:bidi="ar"/>
              </w:rPr>
              <w:t>综合</w:t>
            </w:r>
            <w:r>
              <w:rPr>
                <w:rFonts w:hint="eastAsia" w:ascii="宋体" w:hAnsi="宋体" w:eastAsia="宋体" w:cs="宋体"/>
                <w:b/>
                <w:bCs/>
                <w:color w:val="000000"/>
                <w:kern w:val="0"/>
                <w:sz w:val="24"/>
                <w:szCs w:val="24"/>
                <w:lang w:val="en-US" w:eastAsia="zh-CN" w:bidi="ar"/>
              </w:rPr>
              <w:t>管廊</w:t>
            </w:r>
            <w:r>
              <w:rPr>
                <w:rFonts w:hint="eastAsia" w:ascii="宋体" w:hAnsi="宋体" w:cs="宋体"/>
                <w:b/>
                <w:bCs/>
                <w:color w:val="000000"/>
                <w:kern w:val="0"/>
                <w:sz w:val="24"/>
                <w:szCs w:val="24"/>
                <w:lang w:val="en-US" w:eastAsia="zh-CN" w:bidi="ar"/>
              </w:rPr>
              <w:t>建设</w:t>
            </w:r>
          </w:p>
          <w:p w14:paraId="666CD699">
            <w:pPr>
              <w:keepNext w:val="0"/>
              <w:keepLines w:val="0"/>
              <w:widowControl/>
              <w:suppressLineNumbers w:val="0"/>
              <w:ind w:firstLine="480" w:firstLineChars="200"/>
              <w:jc w:val="left"/>
              <w:rPr>
                <w:rFonts w:hint="eastAsia" w:ascii="宋体" w:hAnsi="宋体" w:eastAsia="宋体" w:cs="宋体"/>
                <w:b/>
                <w:bCs/>
                <w:color w:val="000000"/>
                <w:kern w:val="0"/>
                <w:sz w:val="24"/>
                <w:szCs w:val="24"/>
                <w:lang w:val="en-US" w:eastAsia="zh-CN" w:bidi="ar"/>
              </w:rPr>
            </w:pPr>
            <w:r>
              <w:rPr>
                <w:rFonts w:hint="eastAsia" w:ascii="宋体" w:hAnsi="宋体" w:eastAsia="宋体" w:cs="宋体"/>
                <w:color w:val="FF0000"/>
                <w:kern w:val="0"/>
                <w:sz w:val="24"/>
                <w:szCs w:val="24"/>
                <w:lang w:val="en-US" w:eastAsia="zh-CN" w:bidi="ar"/>
              </w:rPr>
              <w:t>由于雨水管道需要与雨水口进行衔接，难以纳入综合管廊，且芒市城市内水体较多，可采取雨水系统碎片化，就近排入城市河道，故雨水管道不考虑进入管廊。从污水管道重要性而言，污水支管纳入综合管廊经济性及社会效益较差，污水总管不纳入综合管廊</w:t>
            </w:r>
            <w:r>
              <w:rPr>
                <w:rFonts w:hint="eastAsia" w:ascii="宋体" w:hAnsi="宋体" w:cs="宋体"/>
                <w:color w:val="FF0000"/>
                <w:kern w:val="0"/>
                <w:sz w:val="24"/>
                <w:szCs w:val="24"/>
                <w:lang w:val="en-US" w:eastAsia="zh-CN" w:bidi="ar"/>
              </w:rPr>
              <w:t>，西二环（芒象路至人保路）和芒市大街单独建设污水管道</w:t>
            </w:r>
            <w:r>
              <w:rPr>
                <w:rFonts w:hint="eastAsia" w:ascii="宋体" w:hAnsi="宋体" w:eastAsia="宋体" w:cs="宋体"/>
                <w:color w:val="FF0000"/>
                <w:kern w:val="0"/>
                <w:sz w:val="24"/>
                <w:szCs w:val="24"/>
                <w:lang w:val="en-US" w:eastAsia="zh-CN" w:bidi="ar"/>
              </w:rPr>
              <w:t>。燃气管道入综合管廊的要求较高，需单独设置舱室，建设费用也较高，本项目不纳入综合管廊</w:t>
            </w:r>
            <w:r>
              <w:rPr>
                <w:rFonts w:hint="eastAsia" w:ascii="宋体" w:hAnsi="宋体" w:cs="宋体"/>
                <w:color w:val="FF0000"/>
                <w:kern w:val="0"/>
                <w:sz w:val="24"/>
                <w:szCs w:val="24"/>
                <w:lang w:val="en-US" w:eastAsia="zh-CN" w:bidi="ar"/>
              </w:rPr>
              <w:t>，</w:t>
            </w:r>
            <w:r>
              <w:rPr>
                <w:rFonts w:hint="eastAsia" w:ascii="Times New Roman" w:hAnsi="Times New Roman" w:eastAsia="宋体" w:cs="Times New Roman"/>
                <w:color w:val="FF0000"/>
                <w:sz w:val="24"/>
                <w:szCs w:val="24"/>
                <w:highlight w:val="none"/>
                <w:lang w:eastAsia="zh-CN"/>
              </w:rPr>
              <w:t>阔时路已建段（滨河路至西二环）、阔时路已建段（西二环至金孔雀大街）</w:t>
            </w:r>
            <w:r>
              <w:rPr>
                <w:rFonts w:hint="eastAsia" w:cs="Times New Roman"/>
                <w:color w:val="FF0000"/>
                <w:sz w:val="24"/>
                <w:szCs w:val="24"/>
                <w:highlight w:val="none"/>
                <w:lang w:val="en-US" w:eastAsia="zh-CN"/>
              </w:rPr>
              <w:t>已建燃气仓</w:t>
            </w:r>
            <w:r>
              <w:rPr>
                <w:rFonts w:hint="eastAsia" w:ascii="宋体" w:hAnsi="宋体" w:eastAsia="宋体" w:cs="宋体"/>
                <w:color w:val="FF0000"/>
                <w:kern w:val="0"/>
                <w:sz w:val="24"/>
                <w:szCs w:val="24"/>
                <w:lang w:val="en-US" w:eastAsia="zh-CN" w:bidi="ar"/>
              </w:rPr>
              <w:t>。</w:t>
            </w:r>
          </w:p>
          <w:p w14:paraId="4F1411F8">
            <w:pPr>
              <w:keepNext w:val="0"/>
              <w:keepLines w:val="0"/>
              <w:widowControl/>
              <w:numPr>
                <w:ilvl w:val="0"/>
                <w:numId w:val="0"/>
              </w:numPr>
              <w:suppressLineNumbers w:val="0"/>
              <w:jc w:val="left"/>
              <w:rPr>
                <w:rFonts w:hint="eastAsia" w:ascii="宋体" w:hAnsi="宋体" w:eastAsia="宋体" w:cs="宋体"/>
                <w:b/>
                <w:bCs/>
                <w:color w:val="000000"/>
                <w:kern w:val="0"/>
                <w:sz w:val="24"/>
                <w:szCs w:val="24"/>
                <w:lang w:val="en-US" w:eastAsia="zh-CN" w:bidi="ar"/>
              </w:rPr>
            </w:pPr>
            <w:r>
              <w:rPr>
                <w:rFonts w:hint="eastAsia" w:ascii="宋体" w:hAnsi="宋体" w:cs="宋体"/>
                <w:b/>
                <w:bCs/>
                <w:color w:val="000000"/>
                <w:kern w:val="0"/>
                <w:sz w:val="24"/>
                <w:szCs w:val="24"/>
                <w:lang w:val="en-US" w:eastAsia="zh-CN" w:bidi="ar"/>
              </w:rPr>
              <w:t>（一）综合管廊布设位置</w:t>
            </w:r>
          </w:p>
          <w:p w14:paraId="0ACFB60A">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综合管廊一般敷设在城市主干路，位于道路单侧的宽绿化带下方。在城市的次干路和支路上铺设的综合管廊一般位于人行道下方，道路红线边。</w:t>
            </w:r>
          </w:p>
          <w:p w14:paraId="7EE8C5D2">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根据各道红线宽度以及道路两侧绿线宽度，对综合管廊在道路上的布设位置进行设计，对芒市中心城区将建综合管廊的道路按照已建道路和未建道路进行划分，未建道路按照其道路红线宽度进行划定，将综合管廊的布设管位设计出来。</w:t>
            </w:r>
          </w:p>
          <w:p w14:paraId="03FD5FE2">
            <w:pPr>
              <w:keepNext w:val="0"/>
              <w:keepLines w:val="0"/>
              <w:widowControl/>
              <w:numPr>
                <w:ilvl w:val="0"/>
                <w:numId w:val="4"/>
              </w:numPr>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西二环（芒象路至人保路）</w:t>
            </w:r>
          </w:p>
          <w:p w14:paraId="2360C93A">
            <w:pPr>
              <w:keepNext w:val="0"/>
              <w:keepLines w:val="0"/>
              <w:widowControl/>
              <w:suppressLineNumbers w:val="0"/>
              <w:ind w:firstLine="480" w:firstLineChars="20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道路红线宽为</w:t>
            </w:r>
            <w:r>
              <w:rPr>
                <w:rFonts w:ascii="TimesNewRomanPSMT" w:hAnsi="TimesNewRomanPSMT" w:eastAsia="TimesNewRomanPSMT" w:cs="TimesNewRomanPSMT"/>
                <w:color w:val="000000"/>
                <w:kern w:val="0"/>
                <w:sz w:val="24"/>
                <w:szCs w:val="24"/>
                <w:lang w:val="en-US" w:eastAsia="zh-CN" w:bidi="ar"/>
              </w:rPr>
              <w:t>45m</w:t>
            </w:r>
            <w:r>
              <w:rPr>
                <w:rFonts w:hint="eastAsia" w:ascii="宋体" w:hAnsi="宋体" w:eastAsia="宋体" w:cs="宋体"/>
                <w:color w:val="000000"/>
                <w:kern w:val="0"/>
                <w:sz w:val="24"/>
                <w:szCs w:val="24"/>
                <w:lang w:val="en-US" w:eastAsia="zh-CN" w:bidi="ar"/>
              </w:rPr>
              <w:t>，将支线管廊敷设在中央绿化带下。</w:t>
            </w:r>
            <w:r>
              <w:rPr>
                <w:rFonts w:hint="eastAsia" w:ascii="宋体" w:hAnsi="宋体" w:eastAsia="宋体" w:cs="宋体"/>
                <w:color w:val="000000"/>
                <w:kern w:val="0"/>
                <w:sz w:val="28"/>
                <w:szCs w:val="28"/>
                <w:lang w:val="en-US" w:eastAsia="zh-CN" w:bidi="ar"/>
              </w:rPr>
              <w:t xml:space="preserve"> </w:t>
            </w:r>
          </w:p>
          <w:p w14:paraId="564837FD">
            <w:pPr>
              <w:keepNext w:val="0"/>
              <w:keepLines w:val="0"/>
              <w:widowControl/>
              <w:numPr>
                <w:ilvl w:val="0"/>
                <w:numId w:val="0"/>
              </w:numPr>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drawing>
                <wp:inline distT="0" distB="0" distL="114300" distR="114300">
                  <wp:extent cx="5341620" cy="2422525"/>
                  <wp:effectExtent l="0" t="0" r="11430" b="15875"/>
                  <wp:docPr id="1" name="图片 1" descr="西二环（芒象路-人保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西二环（芒象路-人保路"/>
                          <pic:cNvPicPr>
                            <a:picLocks noChangeAspect="1"/>
                          </pic:cNvPicPr>
                        </pic:nvPicPr>
                        <pic:blipFill>
                          <a:blip r:embed="rId13"/>
                          <a:stretch>
                            <a:fillRect/>
                          </a:stretch>
                        </pic:blipFill>
                        <pic:spPr>
                          <a:xfrm>
                            <a:off x="0" y="0"/>
                            <a:ext cx="5341620" cy="2422525"/>
                          </a:xfrm>
                          <a:prstGeom prst="rect">
                            <a:avLst/>
                          </a:prstGeom>
                        </pic:spPr>
                      </pic:pic>
                    </a:graphicData>
                  </a:graphic>
                </wp:inline>
              </w:drawing>
            </w:r>
          </w:p>
          <w:p w14:paraId="6932ABA1">
            <w:pPr>
              <w:keepNext w:val="0"/>
              <w:keepLines w:val="0"/>
              <w:widowControl/>
              <w:suppressLineNumbers w:val="0"/>
              <w:jc w:val="center"/>
              <w:rPr>
                <w:rFonts w:hint="default" w:ascii="Times New Roman" w:hAnsi="Times New Roman" w:cs="Times New Roman"/>
                <w:b/>
                <w:bCs/>
                <w:sz w:val="24"/>
                <w:szCs w:val="24"/>
              </w:rPr>
            </w:pPr>
            <w:r>
              <w:rPr>
                <w:rFonts w:hint="default" w:ascii="Times New Roman" w:hAnsi="Times New Roman" w:cs="Times New Roman"/>
                <w:b/>
                <w:bCs/>
                <w:color w:val="000000"/>
                <w:kern w:val="0"/>
                <w:sz w:val="24"/>
                <w:szCs w:val="24"/>
                <w:lang w:val="en-US" w:eastAsia="zh-CN" w:bidi="ar"/>
              </w:rPr>
              <w:t xml:space="preserve">图1-1 </w:t>
            </w:r>
            <w:r>
              <w:rPr>
                <w:rFonts w:hint="default" w:ascii="Times New Roman" w:hAnsi="Times New Roman" w:eastAsia="宋体" w:cs="Times New Roman"/>
                <w:b/>
                <w:bCs/>
                <w:color w:val="000000"/>
                <w:kern w:val="0"/>
                <w:sz w:val="24"/>
                <w:szCs w:val="24"/>
                <w:lang w:val="en-US" w:eastAsia="zh-CN" w:bidi="ar"/>
              </w:rPr>
              <w:t>西二环</w:t>
            </w:r>
            <w:r>
              <w:rPr>
                <w:rFonts w:hint="eastAsia" w:ascii="宋体" w:hAnsi="宋体" w:eastAsia="宋体" w:cs="宋体"/>
                <w:b/>
                <w:bCs/>
                <w:color w:val="000000"/>
                <w:kern w:val="0"/>
                <w:sz w:val="24"/>
                <w:szCs w:val="24"/>
                <w:lang w:val="en-US" w:eastAsia="zh-CN" w:bidi="ar"/>
              </w:rPr>
              <w:t>（芒象路至人保路）</w:t>
            </w:r>
            <w:r>
              <w:rPr>
                <w:rFonts w:hint="default" w:ascii="Times New Roman" w:hAnsi="Times New Roman" w:eastAsia="宋体" w:cs="Times New Roman"/>
                <w:b/>
                <w:bCs/>
                <w:color w:val="000000"/>
                <w:kern w:val="0"/>
                <w:sz w:val="24"/>
                <w:szCs w:val="24"/>
                <w:lang w:val="en-US" w:eastAsia="zh-CN" w:bidi="ar"/>
              </w:rPr>
              <w:t>综合管廊断面布设图</w:t>
            </w:r>
          </w:p>
          <w:p w14:paraId="711C8FB2">
            <w:pPr>
              <w:keepNext w:val="0"/>
              <w:keepLines w:val="0"/>
              <w:widowControl/>
              <w:numPr>
                <w:ilvl w:val="0"/>
                <w:numId w:val="4"/>
              </w:numPr>
              <w:suppressLineNumbers w:val="0"/>
              <w:ind w:left="0" w:leftChars="0" w:firstLine="480" w:firstLineChars="200"/>
              <w:jc w:val="left"/>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人保路（滨河路至芒市大街）</w:t>
            </w:r>
          </w:p>
          <w:p w14:paraId="3492079C">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道路红线宽为</w:t>
            </w:r>
            <w:r>
              <w:rPr>
                <w:rFonts w:hint="default" w:ascii="Times New Roman" w:hAnsi="Times New Roman" w:eastAsia="TimesNewRomanPSMT" w:cs="Times New Roman"/>
                <w:color w:val="000000"/>
                <w:kern w:val="0"/>
                <w:sz w:val="24"/>
                <w:szCs w:val="24"/>
                <w:lang w:val="en-US" w:eastAsia="zh-CN" w:bidi="ar"/>
              </w:rPr>
              <w:t>30m</w:t>
            </w:r>
            <w:r>
              <w:rPr>
                <w:rFonts w:hint="default" w:ascii="Times New Roman" w:hAnsi="Times New Roman" w:eastAsia="宋体" w:cs="Times New Roman"/>
                <w:color w:val="000000"/>
                <w:kern w:val="0"/>
                <w:sz w:val="24"/>
                <w:szCs w:val="24"/>
                <w:lang w:val="en-US" w:eastAsia="zh-CN" w:bidi="ar"/>
              </w:rPr>
              <w:t>，将支线管廊敷设在</w:t>
            </w:r>
            <w:r>
              <w:rPr>
                <w:rFonts w:hint="eastAsia" w:ascii="Times New Roman" w:hAnsi="Times New Roman" w:eastAsia="宋体" w:cs="Times New Roman"/>
                <w:color w:val="000000"/>
                <w:kern w:val="0"/>
                <w:sz w:val="24"/>
                <w:szCs w:val="24"/>
                <w:lang w:val="en-US" w:eastAsia="zh-CN" w:bidi="ar"/>
              </w:rPr>
              <w:t>机动车道</w:t>
            </w:r>
            <w:r>
              <w:rPr>
                <w:rFonts w:hint="default" w:ascii="Times New Roman" w:hAnsi="Times New Roman" w:eastAsia="宋体" w:cs="Times New Roman"/>
                <w:color w:val="000000"/>
                <w:kern w:val="0"/>
                <w:sz w:val="24"/>
                <w:szCs w:val="24"/>
                <w:lang w:val="en-US" w:eastAsia="zh-CN" w:bidi="ar"/>
              </w:rPr>
              <w:t>下。</w:t>
            </w:r>
          </w:p>
          <w:p w14:paraId="36E5DD81">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drawing>
                <wp:inline distT="0" distB="0" distL="114300" distR="114300">
                  <wp:extent cx="5337810" cy="2186940"/>
                  <wp:effectExtent l="0" t="0" r="15240" b="3810"/>
                  <wp:docPr id="2" name="图片 2" descr="人保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人保路"/>
                          <pic:cNvPicPr>
                            <a:picLocks noChangeAspect="1"/>
                          </pic:cNvPicPr>
                        </pic:nvPicPr>
                        <pic:blipFill>
                          <a:blip r:embed="rId14"/>
                          <a:stretch>
                            <a:fillRect/>
                          </a:stretch>
                        </pic:blipFill>
                        <pic:spPr>
                          <a:xfrm>
                            <a:off x="0" y="0"/>
                            <a:ext cx="5337810" cy="2186940"/>
                          </a:xfrm>
                          <a:prstGeom prst="rect">
                            <a:avLst/>
                          </a:prstGeom>
                        </pic:spPr>
                      </pic:pic>
                    </a:graphicData>
                  </a:graphic>
                </wp:inline>
              </w:drawing>
            </w:r>
          </w:p>
          <w:p w14:paraId="6B418861">
            <w:pPr>
              <w:keepNext w:val="0"/>
              <w:keepLines w:val="0"/>
              <w:widowControl/>
              <w:suppressLineNumbers w:val="0"/>
              <w:jc w:val="center"/>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 xml:space="preserve">图1-2 </w:t>
            </w:r>
            <w:r>
              <w:rPr>
                <w:rFonts w:hint="default" w:ascii="Times New Roman" w:hAnsi="Times New Roman" w:cs="Times New Roman"/>
                <w:b/>
                <w:bCs/>
                <w:color w:val="000000"/>
                <w:kern w:val="0"/>
                <w:sz w:val="24"/>
                <w:szCs w:val="24"/>
                <w:lang w:val="en-US" w:eastAsia="zh-CN" w:bidi="ar"/>
              </w:rPr>
              <w:t>人保路（滨河路至芒市大街）</w:t>
            </w:r>
            <w:r>
              <w:rPr>
                <w:rFonts w:hint="default" w:ascii="Times New Roman" w:hAnsi="Times New Roman" w:eastAsia="宋体" w:cs="Times New Roman"/>
                <w:b/>
                <w:bCs/>
                <w:color w:val="000000"/>
                <w:kern w:val="0"/>
                <w:sz w:val="24"/>
                <w:szCs w:val="24"/>
                <w:lang w:val="en-US" w:eastAsia="zh-CN" w:bidi="ar"/>
              </w:rPr>
              <w:t>综合管廊断面布设图</w:t>
            </w:r>
          </w:p>
          <w:p w14:paraId="5F6F2158">
            <w:pPr>
              <w:keepNext w:val="0"/>
              <w:keepLines w:val="0"/>
              <w:widowControl/>
              <w:numPr>
                <w:ilvl w:val="0"/>
                <w:numId w:val="4"/>
              </w:numPr>
              <w:suppressLineNumbers w:val="0"/>
              <w:ind w:left="0" w:leftChars="0" w:firstLine="480" w:firstLineChars="200"/>
              <w:jc w:val="left"/>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阔时路（金孔雀大街至芒市大街）</w:t>
            </w:r>
          </w:p>
          <w:p w14:paraId="130390B2">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道路红线宽为</w:t>
            </w:r>
            <w:r>
              <w:rPr>
                <w:rFonts w:ascii="TimesNewRomanPSMT" w:hAnsi="TimesNewRomanPSMT" w:eastAsia="TimesNewRomanPSMT" w:cs="TimesNewRomanPSMT"/>
                <w:color w:val="000000"/>
                <w:kern w:val="0"/>
                <w:sz w:val="24"/>
                <w:szCs w:val="24"/>
                <w:lang w:val="en-US" w:eastAsia="zh-CN" w:bidi="ar"/>
              </w:rPr>
              <w:t>40m</w:t>
            </w:r>
            <w:r>
              <w:rPr>
                <w:rFonts w:hint="eastAsia" w:ascii="宋体" w:hAnsi="宋体" w:eastAsia="宋体" w:cs="宋体"/>
                <w:color w:val="000000"/>
                <w:kern w:val="0"/>
                <w:sz w:val="24"/>
                <w:szCs w:val="24"/>
                <w:lang w:val="en-US" w:eastAsia="zh-CN" w:bidi="ar"/>
              </w:rPr>
              <w:t>，将支线管廊敷设在道路车行道下</w:t>
            </w:r>
          </w:p>
          <w:p w14:paraId="0D94E3C9">
            <w:pPr>
              <w:keepNext w:val="0"/>
              <w:keepLines w:val="0"/>
              <w:widowControl/>
              <w:suppressLineNumbers w:val="0"/>
              <w:jc w:val="left"/>
              <w:rPr>
                <w:rFonts w:hint="default"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drawing>
                <wp:inline distT="0" distB="0" distL="114300" distR="114300">
                  <wp:extent cx="5347970" cy="1840230"/>
                  <wp:effectExtent l="0" t="0" r="5080" b="7620"/>
                  <wp:docPr id="3" name="图片 3" descr="阔时路 金孔雀-芒市大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阔时路 金孔雀-芒市大街"/>
                          <pic:cNvPicPr>
                            <a:picLocks noChangeAspect="1"/>
                          </pic:cNvPicPr>
                        </pic:nvPicPr>
                        <pic:blipFill>
                          <a:blip r:embed="rId15"/>
                          <a:stretch>
                            <a:fillRect/>
                          </a:stretch>
                        </pic:blipFill>
                        <pic:spPr>
                          <a:xfrm>
                            <a:off x="0" y="0"/>
                            <a:ext cx="5347970" cy="1840230"/>
                          </a:xfrm>
                          <a:prstGeom prst="rect">
                            <a:avLst/>
                          </a:prstGeom>
                        </pic:spPr>
                      </pic:pic>
                    </a:graphicData>
                  </a:graphic>
                </wp:inline>
              </w:drawing>
            </w:r>
          </w:p>
          <w:p w14:paraId="56F07FCE">
            <w:pPr>
              <w:keepNext w:val="0"/>
              <w:keepLines w:val="0"/>
              <w:widowControl/>
              <w:numPr>
                <w:ilvl w:val="0"/>
                <w:numId w:val="0"/>
              </w:numPr>
              <w:suppressLineNumbers w:val="0"/>
              <w:jc w:val="cente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图1-3 阔时路（金孔雀大街至芒市大街）</w:t>
            </w:r>
            <w:r>
              <w:rPr>
                <w:rFonts w:hint="default" w:ascii="Times New Roman" w:hAnsi="Times New Roman" w:cs="Times New Roman"/>
                <w:b/>
                <w:bCs/>
                <w:color w:val="000000"/>
                <w:kern w:val="0"/>
                <w:sz w:val="24"/>
                <w:szCs w:val="24"/>
                <w:lang w:val="en-US" w:eastAsia="zh-CN" w:bidi="ar"/>
              </w:rPr>
              <w:t>综合管廊断面布设图</w:t>
            </w:r>
          </w:p>
          <w:p w14:paraId="3EF90BB6">
            <w:pPr>
              <w:keepNext w:val="0"/>
              <w:keepLines w:val="0"/>
              <w:widowControl/>
              <w:numPr>
                <w:ilvl w:val="0"/>
                <w:numId w:val="4"/>
              </w:numPr>
              <w:suppressLineNumbers w:val="0"/>
              <w:ind w:left="0" w:leftChars="0" w:firstLine="480" w:firstLineChars="200"/>
              <w:jc w:val="left"/>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芒市大街</w:t>
            </w:r>
          </w:p>
          <w:p w14:paraId="394CCF3E">
            <w:pPr>
              <w:keepNext w:val="0"/>
              <w:keepLines w:val="0"/>
              <w:widowControl/>
              <w:suppressLineNumbers w:val="0"/>
              <w:ind w:firstLine="48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4"/>
                <w:szCs w:val="24"/>
                <w:lang w:val="en-US" w:eastAsia="zh-CN" w:bidi="ar"/>
              </w:rPr>
              <w:t>道路红线宽为</w:t>
            </w:r>
            <w:r>
              <w:rPr>
                <w:rFonts w:ascii="TimesNewRomanPSMT" w:hAnsi="TimesNewRomanPSMT" w:eastAsia="TimesNewRomanPSMT" w:cs="TimesNewRomanPSMT"/>
                <w:color w:val="000000"/>
                <w:kern w:val="0"/>
                <w:sz w:val="24"/>
                <w:szCs w:val="24"/>
                <w:lang w:val="en-US" w:eastAsia="zh-CN" w:bidi="ar"/>
              </w:rPr>
              <w:t>50m</w:t>
            </w:r>
            <w:r>
              <w:rPr>
                <w:rFonts w:hint="eastAsia" w:ascii="宋体" w:hAnsi="宋体" w:eastAsia="宋体" w:cs="宋体"/>
                <w:color w:val="000000"/>
                <w:kern w:val="0"/>
                <w:sz w:val="24"/>
                <w:szCs w:val="24"/>
                <w:lang w:val="en-US" w:eastAsia="zh-CN" w:bidi="ar"/>
              </w:rPr>
              <w:t>，将支线管廊敷设在车行道下。</w:t>
            </w:r>
            <w:r>
              <w:rPr>
                <w:rFonts w:hint="eastAsia" w:ascii="宋体" w:hAnsi="宋体" w:eastAsia="宋体" w:cs="宋体"/>
                <w:color w:val="000000"/>
                <w:kern w:val="0"/>
                <w:sz w:val="28"/>
                <w:szCs w:val="28"/>
                <w:lang w:val="en-US" w:eastAsia="zh-CN" w:bidi="ar"/>
              </w:rPr>
              <w:t xml:space="preserve"> </w:t>
            </w:r>
          </w:p>
          <w:p w14:paraId="0EEFA8B5">
            <w:pPr>
              <w:keepNext w:val="0"/>
              <w:keepLines w:val="0"/>
              <w:widowControl/>
              <w:suppressLineNumbers w:val="0"/>
              <w:jc w:val="left"/>
              <w:rPr>
                <w:rFonts w:hint="default" w:ascii="宋体" w:hAnsi="宋体" w:eastAsia="宋体" w:cs="宋体"/>
                <w:color w:val="000000"/>
                <w:kern w:val="0"/>
                <w:sz w:val="28"/>
                <w:szCs w:val="28"/>
                <w:lang w:val="en-US" w:eastAsia="zh-CN" w:bidi="ar"/>
              </w:rPr>
            </w:pPr>
            <w:r>
              <w:rPr>
                <w:rFonts w:hint="default" w:ascii="宋体" w:hAnsi="宋体" w:eastAsia="宋体" w:cs="宋体"/>
                <w:color w:val="000000"/>
                <w:kern w:val="0"/>
                <w:sz w:val="28"/>
                <w:szCs w:val="28"/>
                <w:lang w:val="en-US" w:eastAsia="zh-CN" w:bidi="ar"/>
              </w:rPr>
              <w:drawing>
                <wp:inline distT="0" distB="0" distL="114300" distR="114300">
                  <wp:extent cx="5346065" cy="2211705"/>
                  <wp:effectExtent l="0" t="0" r="6985" b="17145"/>
                  <wp:docPr id="4" name="图片 4" descr="芒市大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芒市大街"/>
                          <pic:cNvPicPr>
                            <a:picLocks noChangeAspect="1"/>
                          </pic:cNvPicPr>
                        </pic:nvPicPr>
                        <pic:blipFill>
                          <a:blip r:embed="rId16"/>
                          <a:stretch>
                            <a:fillRect/>
                          </a:stretch>
                        </pic:blipFill>
                        <pic:spPr>
                          <a:xfrm>
                            <a:off x="0" y="0"/>
                            <a:ext cx="5346065" cy="2211705"/>
                          </a:xfrm>
                          <a:prstGeom prst="rect">
                            <a:avLst/>
                          </a:prstGeom>
                        </pic:spPr>
                      </pic:pic>
                    </a:graphicData>
                  </a:graphic>
                </wp:inline>
              </w:drawing>
            </w:r>
          </w:p>
          <w:p w14:paraId="2E15E492">
            <w:pPr>
              <w:keepNext w:val="0"/>
              <w:keepLines w:val="0"/>
              <w:widowControl/>
              <w:suppressLineNumbers w:val="0"/>
              <w:jc w:val="center"/>
              <w:rPr>
                <w:rFonts w:hint="default" w:ascii="Times New Roman" w:hAnsi="Times New Roman" w:cs="Times New Roman"/>
                <w:b/>
                <w:bCs/>
                <w:color w:val="000000"/>
                <w:kern w:val="0"/>
                <w:sz w:val="24"/>
                <w:szCs w:val="24"/>
                <w:lang w:val="en-US" w:eastAsia="zh-CN" w:bidi="ar"/>
              </w:rPr>
            </w:pPr>
            <w:r>
              <w:rPr>
                <w:rFonts w:hint="default" w:ascii="Times New Roman" w:hAnsi="Times New Roman" w:cs="Times New Roman"/>
                <w:b/>
                <w:bCs/>
                <w:color w:val="000000"/>
                <w:kern w:val="0"/>
                <w:sz w:val="24"/>
                <w:szCs w:val="24"/>
                <w:lang w:val="en-US" w:eastAsia="zh-CN" w:bidi="ar"/>
              </w:rPr>
              <w:t>图1-4 芒市大街综合管廊断面布设图</w:t>
            </w:r>
          </w:p>
          <w:p w14:paraId="542F0760">
            <w:pPr>
              <w:keepNext w:val="0"/>
              <w:keepLines w:val="0"/>
              <w:widowControl/>
              <w:numPr>
                <w:ilvl w:val="0"/>
                <w:numId w:val="4"/>
              </w:numPr>
              <w:suppressLineNumbers w:val="0"/>
              <w:ind w:left="0" w:leftChars="0" w:firstLine="480" w:firstLineChars="200"/>
              <w:jc w:val="left"/>
              <w:rPr>
                <w:rFonts w:hint="eastAsia" w:cs="Times New Roman"/>
                <w:b w:val="0"/>
                <w:bCs w:val="0"/>
                <w:color w:val="auto"/>
                <w:kern w:val="0"/>
                <w:sz w:val="24"/>
                <w:szCs w:val="24"/>
                <w:lang w:val="en-US" w:eastAsia="zh-CN" w:bidi="ar"/>
              </w:rPr>
            </w:pPr>
            <w:r>
              <w:rPr>
                <w:rFonts w:hint="eastAsia" w:cs="Times New Roman"/>
                <w:b w:val="0"/>
                <w:bCs w:val="0"/>
                <w:color w:val="auto"/>
                <w:kern w:val="0"/>
                <w:sz w:val="24"/>
                <w:szCs w:val="24"/>
                <w:lang w:val="en-US" w:eastAsia="zh-CN" w:bidi="ar"/>
              </w:rPr>
              <w:t>勐焕路（西二环至芒市大街）</w:t>
            </w:r>
          </w:p>
          <w:p w14:paraId="2E29C2EA">
            <w:pPr>
              <w:keepNext w:val="0"/>
              <w:keepLines w:val="0"/>
              <w:widowControl/>
              <w:suppressLineNumbers w:val="0"/>
              <w:ind w:firstLine="480" w:firstLineChars="200"/>
              <w:jc w:val="left"/>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道路红线宽</w:t>
            </w:r>
            <w:r>
              <w:rPr>
                <w:rFonts w:hint="eastAsia" w:cs="Times New Roman"/>
                <w:color w:val="000000"/>
                <w:kern w:val="0"/>
                <w:sz w:val="24"/>
                <w:szCs w:val="24"/>
                <w:lang w:val="en-US" w:eastAsia="zh-CN" w:bidi="ar"/>
              </w:rPr>
              <w:t>为</w:t>
            </w:r>
            <w:r>
              <w:rPr>
                <w:rFonts w:hint="eastAsia" w:ascii="Times New Roman" w:hAnsi="Times New Roman" w:eastAsia="宋体" w:cs="Times New Roman"/>
                <w:color w:val="000000"/>
                <w:kern w:val="0"/>
                <w:sz w:val="24"/>
                <w:szCs w:val="24"/>
                <w:lang w:val="en-US" w:eastAsia="zh-CN" w:bidi="ar"/>
              </w:rPr>
              <w:t>50</w:t>
            </w:r>
            <w:r>
              <w:rPr>
                <w:rFonts w:hint="default" w:ascii="Times New Roman" w:hAnsi="Times New Roman" w:eastAsia="宋体" w:cs="Times New Roman"/>
                <w:color w:val="000000"/>
                <w:kern w:val="0"/>
                <w:sz w:val="24"/>
                <w:szCs w:val="24"/>
                <w:lang w:val="en-US" w:eastAsia="zh-CN" w:bidi="ar"/>
              </w:rPr>
              <w:t>m，将缆线管廊敷设在机动车道下</w:t>
            </w:r>
          </w:p>
          <w:p w14:paraId="3B080438">
            <w:pPr>
              <w:keepNext w:val="0"/>
              <w:keepLines w:val="0"/>
              <w:widowControl/>
              <w:numPr>
                <w:ilvl w:val="0"/>
                <w:numId w:val="0"/>
              </w:numPr>
              <w:suppressLineNumbers w:val="0"/>
              <w:jc w:val="left"/>
              <w:rPr>
                <w:rFonts w:hint="eastAsia" w:cs="Times New Roman"/>
                <w:b w:val="0"/>
                <w:bCs w:val="0"/>
                <w:color w:val="FF0000"/>
                <w:kern w:val="0"/>
                <w:sz w:val="24"/>
                <w:szCs w:val="24"/>
                <w:lang w:val="en-US" w:eastAsia="zh-CN" w:bidi="ar"/>
              </w:rPr>
            </w:pPr>
            <w:r>
              <w:rPr>
                <w:rFonts w:hint="eastAsia" w:cs="Times New Roman"/>
                <w:b w:val="0"/>
                <w:bCs w:val="0"/>
                <w:color w:val="FF0000"/>
                <w:kern w:val="0"/>
                <w:sz w:val="24"/>
                <w:szCs w:val="24"/>
                <w:lang w:val="en-US" w:eastAsia="zh-CN" w:bidi="ar"/>
              </w:rPr>
              <w:drawing>
                <wp:inline distT="0" distB="0" distL="114300" distR="114300">
                  <wp:extent cx="5515610" cy="2277110"/>
                  <wp:effectExtent l="0" t="0" r="8890" b="8890"/>
                  <wp:docPr id="42" name="图片 42" descr="勐焕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勐焕路"/>
                          <pic:cNvPicPr>
                            <a:picLocks noChangeAspect="1"/>
                          </pic:cNvPicPr>
                        </pic:nvPicPr>
                        <pic:blipFill>
                          <a:blip r:embed="rId17"/>
                          <a:stretch>
                            <a:fillRect/>
                          </a:stretch>
                        </pic:blipFill>
                        <pic:spPr>
                          <a:xfrm>
                            <a:off x="0" y="0"/>
                            <a:ext cx="5515610" cy="2277110"/>
                          </a:xfrm>
                          <a:prstGeom prst="rect">
                            <a:avLst/>
                          </a:prstGeom>
                        </pic:spPr>
                      </pic:pic>
                    </a:graphicData>
                  </a:graphic>
                </wp:inline>
              </w:drawing>
            </w:r>
          </w:p>
          <w:p w14:paraId="32305872">
            <w:pPr>
              <w:keepNext w:val="0"/>
              <w:keepLines w:val="0"/>
              <w:widowControl/>
              <w:numPr>
                <w:ilvl w:val="0"/>
                <w:numId w:val="0"/>
              </w:numPr>
              <w:suppressLineNumbers w:val="0"/>
              <w:ind w:leftChars="200"/>
              <w:jc w:val="center"/>
              <w:rPr>
                <w:rFonts w:hint="eastAsia" w:cs="Times New Roman"/>
                <w:b w:val="0"/>
                <w:bCs w:val="0"/>
                <w:color w:val="FF0000"/>
                <w:kern w:val="0"/>
                <w:sz w:val="24"/>
                <w:szCs w:val="24"/>
                <w:lang w:val="en-US" w:eastAsia="zh-CN" w:bidi="ar"/>
              </w:rPr>
            </w:pPr>
            <w:r>
              <w:rPr>
                <w:rFonts w:hint="default" w:ascii="Times New Roman" w:hAnsi="Times New Roman" w:cs="Times New Roman"/>
                <w:b/>
                <w:bCs/>
                <w:color w:val="000000"/>
                <w:kern w:val="0"/>
                <w:sz w:val="24"/>
                <w:szCs w:val="24"/>
                <w:lang w:val="en-US" w:eastAsia="zh-CN" w:bidi="ar"/>
              </w:rPr>
              <w:t>图1-</w:t>
            </w:r>
            <w:r>
              <w:rPr>
                <w:rFonts w:hint="eastAsia" w:ascii="Times New Roman" w:hAnsi="Times New Roman" w:cs="Times New Roman"/>
                <w:b/>
                <w:bCs/>
                <w:color w:val="000000"/>
                <w:kern w:val="0"/>
                <w:sz w:val="24"/>
                <w:szCs w:val="24"/>
                <w:lang w:val="en-US" w:eastAsia="zh-CN" w:bidi="ar"/>
              </w:rPr>
              <w:t xml:space="preserve">5 </w:t>
            </w:r>
            <w:r>
              <w:rPr>
                <w:rFonts w:hint="eastAsia" w:cs="Times New Roman"/>
                <w:b/>
                <w:bCs/>
                <w:color w:val="auto"/>
                <w:kern w:val="0"/>
                <w:sz w:val="24"/>
                <w:szCs w:val="24"/>
                <w:lang w:val="en-US" w:eastAsia="zh-CN" w:bidi="ar"/>
              </w:rPr>
              <w:t>勐焕路（西二环至芒市大街）</w:t>
            </w:r>
            <w:r>
              <w:rPr>
                <w:rFonts w:hint="default" w:ascii="Times New Roman" w:hAnsi="Times New Roman" w:cs="Times New Roman"/>
                <w:b/>
                <w:bCs/>
                <w:color w:val="000000"/>
                <w:kern w:val="0"/>
                <w:sz w:val="24"/>
                <w:szCs w:val="24"/>
                <w:lang w:val="en-US" w:eastAsia="zh-CN" w:bidi="ar"/>
              </w:rPr>
              <w:t>综合管廊断面布设图</w:t>
            </w:r>
          </w:p>
          <w:p w14:paraId="63B0AC1B">
            <w:pPr>
              <w:keepNext w:val="0"/>
              <w:keepLines w:val="0"/>
              <w:widowControl/>
              <w:numPr>
                <w:ilvl w:val="0"/>
                <w:numId w:val="4"/>
              </w:numPr>
              <w:suppressLineNumbers w:val="0"/>
              <w:ind w:left="0" w:leftChars="0" w:firstLine="480" w:firstLineChars="200"/>
              <w:jc w:val="left"/>
              <w:rPr>
                <w:rFonts w:hint="eastAsia" w:cs="Times New Roman"/>
                <w:b w:val="0"/>
                <w:bCs w:val="0"/>
                <w:color w:val="000000"/>
                <w:kern w:val="0"/>
                <w:sz w:val="24"/>
                <w:szCs w:val="24"/>
                <w:lang w:val="en-US" w:eastAsia="zh-CN" w:bidi="ar"/>
              </w:rPr>
            </w:pPr>
            <w:r>
              <w:rPr>
                <w:rFonts w:hint="eastAsia" w:cs="Times New Roman"/>
                <w:b w:val="0"/>
                <w:bCs w:val="0"/>
                <w:color w:val="000000"/>
                <w:kern w:val="0"/>
                <w:sz w:val="24"/>
                <w:szCs w:val="24"/>
                <w:lang w:val="en-US" w:eastAsia="zh-CN" w:bidi="ar"/>
              </w:rPr>
              <w:t>胞波路（西二环至芒市大街）</w:t>
            </w:r>
          </w:p>
          <w:p w14:paraId="2416828D">
            <w:pPr>
              <w:keepNext w:val="0"/>
              <w:keepLines w:val="0"/>
              <w:widowControl/>
              <w:suppressLineNumbers w:val="0"/>
              <w:ind w:firstLine="480" w:firstLineChars="200"/>
              <w:jc w:val="left"/>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道路红线宽为30m，将缆线管廊敷设在机动车道下。</w:t>
            </w:r>
          </w:p>
          <w:p w14:paraId="14BD186E">
            <w:pPr>
              <w:keepNext w:val="0"/>
              <w:keepLines w:val="0"/>
              <w:widowControl/>
              <w:numPr>
                <w:ilvl w:val="0"/>
                <w:numId w:val="0"/>
              </w:numPr>
              <w:suppressLineNumbers w:val="0"/>
              <w:jc w:val="left"/>
              <w:rPr>
                <w:rFonts w:hint="eastAsia" w:cs="Times New Roman"/>
                <w:b w:val="0"/>
                <w:bCs w:val="0"/>
                <w:color w:val="000000"/>
                <w:kern w:val="0"/>
                <w:sz w:val="24"/>
                <w:szCs w:val="24"/>
                <w:lang w:val="en-US" w:eastAsia="zh-CN" w:bidi="ar"/>
              </w:rPr>
            </w:pPr>
            <w:r>
              <w:rPr>
                <w:rFonts w:hint="eastAsia" w:cs="Times New Roman"/>
                <w:b w:val="0"/>
                <w:bCs w:val="0"/>
                <w:color w:val="000000"/>
                <w:kern w:val="0"/>
                <w:sz w:val="24"/>
                <w:szCs w:val="24"/>
                <w:lang w:val="en-US" w:eastAsia="zh-CN" w:bidi="ar"/>
              </w:rPr>
              <w:drawing>
                <wp:inline distT="0" distB="0" distL="114300" distR="114300">
                  <wp:extent cx="5457190" cy="2219960"/>
                  <wp:effectExtent l="0" t="0" r="10160" b="8890"/>
                  <wp:docPr id="43" name="图片 43" descr="胞波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胞波路"/>
                          <pic:cNvPicPr>
                            <a:picLocks noChangeAspect="1"/>
                          </pic:cNvPicPr>
                        </pic:nvPicPr>
                        <pic:blipFill>
                          <a:blip r:embed="rId18"/>
                          <a:stretch>
                            <a:fillRect/>
                          </a:stretch>
                        </pic:blipFill>
                        <pic:spPr>
                          <a:xfrm>
                            <a:off x="0" y="0"/>
                            <a:ext cx="5457190" cy="2219960"/>
                          </a:xfrm>
                          <a:prstGeom prst="rect">
                            <a:avLst/>
                          </a:prstGeom>
                        </pic:spPr>
                      </pic:pic>
                    </a:graphicData>
                  </a:graphic>
                </wp:inline>
              </w:drawing>
            </w:r>
          </w:p>
          <w:p w14:paraId="74F51708">
            <w:pPr>
              <w:keepNext w:val="0"/>
              <w:keepLines w:val="0"/>
              <w:widowControl/>
              <w:numPr>
                <w:ilvl w:val="0"/>
                <w:numId w:val="0"/>
              </w:numPr>
              <w:suppressLineNumbers w:val="0"/>
              <w:jc w:val="center"/>
              <w:rPr>
                <w:rFonts w:hint="default"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图1-6 胞波路（西二环至芒市大街）综合管廊断面布设图</w:t>
            </w:r>
          </w:p>
          <w:p w14:paraId="482D6E69">
            <w:pPr>
              <w:keepNext w:val="0"/>
              <w:keepLines w:val="0"/>
              <w:widowControl/>
              <w:numPr>
                <w:ilvl w:val="0"/>
                <w:numId w:val="4"/>
              </w:numPr>
              <w:suppressLineNumbers w:val="0"/>
              <w:ind w:left="0" w:leftChars="0" w:firstLine="480" w:firstLineChars="200"/>
              <w:jc w:val="left"/>
              <w:rPr>
                <w:rFonts w:hint="eastAsia" w:cs="Times New Roman"/>
                <w:b w:val="0"/>
                <w:bCs w:val="0"/>
                <w:color w:val="000000"/>
                <w:kern w:val="0"/>
                <w:sz w:val="24"/>
                <w:szCs w:val="24"/>
                <w:lang w:val="en-US" w:eastAsia="zh-CN" w:bidi="ar"/>
              </w:rPr>
            </w:pPr>
            <w:r>
              <w:rPr>
                <w:rFonts w:hint="eastAsia" w:cs="Times New Roman"/>
                <w:b w:val="0"/>
                <w:bCs w:val="0"/>
                <w:color w:val="000000"/>
                <w:kern w:val="0"/>
                <w:sz w:val="24"/>
                <w:szCs w:val="24"/>
                <w:lang w:val="en-US" w:eastAsia="zh-CN" w:bidi="ar"/>
              </w:rPr>
              <w:t>阔时路已建段（滨河路至西二环）</w:t>
            </w:r>
          </w:p>
          <w:p w14:paraId="3ED79A75">
            <w:pPr>
              <w:keepNext w:val="0"/>
              <w:keepLines w:val="0"/>
              <w:widowControl/>
              <w:suppressLineNumbers w:val="0"/>
              <w:ind w:firstLine="480" w:firstLineChars="200"/>
              <w:jc w:val="left"/>
              <w:rPr>
                <w:rFonts w:hint="eastAsia" w:ascii="宋体" w:hAnsi="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道路红线宽为</w:t>
            </w:r>
            <w:r>
              <w:rPr>
                <w:rFonts w:ascii="TimesNewRomanPSMT" w:hAnsi="TimesNewRomanPSMT" w:eastAsia="TimesNewRomanPSMT" w:cs="TimesNewRomanPSMT"/>
                <w:color w:val="000000"/>
                <w:kern w:val="0"/>
                <w:sz w:val="24"/>
                <w:szCs w:val="24"/>
                <w:lang w:val="en-US" w:eastAsia="zh-CN" w:bidi="ar"/>
              </w:rPr>
              <w:t>40m</w:t>
            </w:r>
            <w:r>
              <w:rPr>
                <w:rFonts w:hint="eastAsia" w:ascii="宋体" w:hAnsi="宋体" w:eastAsia="宋体" w:cs="宋体"/>
                <w:color w:val="000000"/>
                <w:kern w:val="0"/>
                <w:sz w:val="24"/>
                <w:szCs w:val="24"/>
                <w:lang w:val="en-US" w:eastAsia="zh-CN" w:bidi="ar"/>
              </w:rPr>
              <w:t>，将支线管廊敷设在道路红线外景观绿化带下</w:t>
            </w:r>
            <w:r>
              <w:rPr>
                <w:rFonts w:hint="eastAsia" w:ascii="宋体" w:hAnsi="宋体" w:cs="宋体"/>
                <w:color w:val="000000"/>
                <w:kern w:val="0"/>
                <w:sz w:val="24"/>
                <w:szCs w:val="24"/>
                <w:lang w:val="en-US" w:eastAsia="zh-CN" w:bidi="ar"/>
              </w:rPr>
              <w:t>。</w:t>
            </w:r>
          </w:p>
          <w:p w14:paraId="4CBF9B15">
            <w:pPr>
              <w:keepNext w:val="0"/>
              <w:keepLines w:val="0"/>
              <w:widowControl/>
              <w:suppressLineNumbers w:val="0"/>
              <w:jc w:val="left"/>
              <w:rPr>
                <w:rFonts w:hint="default" w:ascii="宋体" w:hAnsi="宋体" w:cs="宋体"/>
                <w:color w:val="000000"/>
                <w:kern w:val="0"/>
                <w:sz w:val="24"/>
                <w:szCs w:val="24"/>
                <w:lang w:val="en-US" w:eastAsia="zh-CN" w:bidi="ar"/>
              </w:rPr>
            </w:pPr>
            <w:r>
              <w:rPr>
                <w:rFonts w:hint="default" w:ascii="宋体" w:hAnsi="宋体" w:cs="宋体"/>
                <w:color w:val="000000"/>
                <w:kern w:val="0"/>
                <w:sz w:val="24"/>
                <w:szCs w:val="24"/>
                <w:lang w:val="en-US" w:eastAsia="zh-CN" w:bidi="ar"/>
              </w:rPr>
              <w:drawing>
                <wp:inline distT="0" distB="0" distL="114300" distR="114300">
                  <wp:extent cx="5347970" cy="1899285"/>
                  <wp:effectExtent l="0" t="0" r="5080" b="5715"/>
                  <wp:docPr id="5" name="图片 5" descr="阔时路 滨河路-西二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阔时路 滨河路-西二环"/>
                          <pic:cNvPicPr>
                            <a:picLocks noChangeAspect="1"/>
                          </pic:cNvPicPr>
                        </pic:nvPicPr>
                        <pic:blipFill>
                          <a:blip r:embed="rId19"/>
                          <a:stretch>
                            <a:fillRect/>
                          </a:stretch>
                        </pic:blipFill>
                        <pic:spPr>
                          <a:xfrm>
                            <a:off x="0" y="0"/>
                            <a:ext cx="5347970" cy="1899285"/>
                          </a:xfrm>
                          <a:prstGeom prst="rect">
                            <a:avLst/>
                          </a:prstGeom>
                        </pic:spPr>
                      </pic:pic>
                    </a:graphicData>
                  </a:graphic>
                </wp:inline>
              </w:drawing>
            </w:r>
          </w:p>
          <w:p w14:paraId="5A2546EB">
            <w:pPr>
              <w:keepNext w:val="0"/>
              <w:keepLines w:val="0"/>
              <w:widowControl/>
              <w:numPr>
                <w:ilvl w:val="0"/>
                <w:numId w:val="0"/>
              </w:numPr>
              <w:suppressLineNumbers w:val="0"/>
              <w:jc w:val="center"/>
              <w:rPr>
                <w:rFonts w:hint="eastAsia" w:cs="Times New Roman"/>
                <w:b/>
                <w:bCs/>
                <w:color w:val="000000"/>
                <w:kern w:val="0"/>
                <w:sz w:val="24"/>
                <w:szCs w:val="24"/>
                <w:lang w:val="en-US" w:eastAsia="zh-CN" w:bidi="ar"/>
              </w:rPr>
            </w:pPr>
            <w:r>
              <w:rPr>
                <w:rFonts w:hint="eastAsia" w:ascii="宋体" w:hAnsi="宋体" w:cs="宋体"/>
                <w:b/>
                <w:bCs/>
                <w:color w:val="000000"/>
                <w:kern w:val="0"/>
                <w:sz w:val="24"/>
                <w:szCs w:val="24"/>
                <w:lang w:val="en-US" w:eastAsia="zh-CN" w:bidi="ar"/>
              </w:rPr>
              <w:t xml:space="preserve">图1-7 </w:t>
            </w:r>
            <w:r>
              <w:rPr>
                <w:rFonts w:hint="eastAsia" w:cs="Times New Roman"/>
                <w:b/>
                <w:bCs/>
                <w:color w:val="000000"/>
                <w:kern w:val="0"/>
                <w:sz w:val="24"/>
                <w:szCs w:val="24"/>
                <w:lang w:val="en-US" w:eastAsia="zh-CN" w:bidi="ar"/>
              </w:rPr>
              <w:t>阔时路已建段（滨河路至西二环）综合管廊断面布设图</w:t>
            </w:r>
          </w:p>
          <w:p w14:paraId="306B3DF9">
            <w:pPr>
              <w:keepNext w:val="0"/>
              <w:keepLines w:val="0"/>
              <w:widowControl/>
              <w:numPr>
                <w:ilvl w:val="0"/>
                <w:numId w:val="4"/>
              </w:numPr>
              <w:suppressLineNumbers w:val="0"/>
              <w:ind w:left="0" w:leftChars="0" w:firstLine="480" w:firstLineChars="200"/>
              <w:jc w:val="left"/>
              <w:rPr>
                <w:rFonts w:hint="eastAsia" w:cs="Times New Roman"/>
                <w:b w:val="0"/>
                <w:bCs w:val="0"/>
                <w:color w:val="000000"/>
                <w:kern w:val="0"/>
                <w:sz w:val="24"/>
                <w:szCs w:val="24"/>
                <w:lang w:val="en-US" w:eastAsia="zh-CN" w:bidi="ar"/>
              </w:rPr>
            </w:pPr>
            <w:r>
              <w:rPr>
                <w:rFonts w:hint="eastAsia" w:cs="Times New Roman"/>
                <w:b w:val="0"/>
                <w:bCs w:val="0"/>
                <w:color w:val="000000"/>
                <w:kern w:val="0"/>
                <w:sz w:val="24"/>
                <w:szCs w:val="24"/>
                <w:lang w:val="en-US" w:eastAsia="zh-CN" w:bidi="ar"/>
              </w:rPr>
              <w:t>阔时路已建段（西二环至金孔雀大街）</w:t>
            </w:r>
          </w:p>
          <w:p w14:paraId="49A07235">
            <w:pPr>
              <w:keepNext w:val="0"/>
              <w:keepLines w:val="0"/>
              <w:widowControl/>
              <w:suppressLineNumbers w:val="0"/>
              <w:ind w:firstLine="480" w:firstLineChars="200"/>
              <w:jc w:val="left"/>
              <w:rPr>
                <w:rFonts w:hint="eastAsia" w:ascii="宋体" w:hAnsi="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道路红线宽为</w:t>
            </w:r>
            <w:r>
              <w:rPr>
                <w:rFonts w:ascii="TimesNewRomanPSMT" w:hAnsi="TimesNewRomanPSMT" w:eastAsia="TimesNewRomanPSMT" w:cs="TimesNewRomanPSMT"/>
                <w:color w:val="000000"/>
                <w:kern w:val="0"/>
                <w:sz w:val="24"/>
                <w:szCs w:val="24"/>
                <w:lang w:val="en-US" w:eastAsia="zh-CN" w:bidi="ar"/>
              </w:rPr>
              <w:t>40m</w:t>
            </w:r>
            <w:r>
              <w:rPr>
                <w:rFonts w:hint="eastAsia" w:ascii="宋体" w:hAnsi="宋体" w:eastAsia="宋体" w:cs="宋体"/>
                <w:color w:val="000000"/>
                <w:kern w:val="0"/>
                <w:sz w:val="24"/>
                <w:szCs w:val="24"/>
                <w:lang w:val="en-US" w:eastAsia="zh-CN" w:bidi="ar"/>
              </w:rPr>
              <w:t>，将支线管廊敷设在道路红线外景观绿化带下</w:t>
            </w:r>
            <w:r>
              <w:rPr>
                <w:rFonts w:hint="eastAsia" w:ascii="宋体" w:hAnsi="宋体" w:cs="宋体"/>
                <w:color w:val="000000"/>
                <w:kern w:val="0"/>
                <w:sz w:val="24"/>
                <w:szCs w:val="24"/>
                <w:lang w:val="en-US" w:eastAsia="zh-CN" w:bidi="ar"/>
              </w:rPr>
              <w:t>。</w:t>
            </w:r>
          </w:p>
          <w:p w14:paraId="629CF167">
            <w:pPr>
              <w:keepNext w:val="0"/>
              <w:keepLines w:val="0"/>
              <w:widowControl/>
              <w:suppressLineNumbers w:val="0"/>
              <w:jc w:val="left"/>
              <w:rPr>
                <w:rFonts w:hint="default" w:ascii="宋体" w:hAnsi="宋体" w:cs="宋体"/>
                <w:color w:val="000000"/>
                <w:kern w:val="0"/>
                <w:sz w:val="24"/>
                <w:szCs w:val="24"/>
                <w:lang w:val="en-US" w:eastAsia="zh-CN" w:bidi="ar"/>
              </w:rPr>
            </w:pPr>
            <w:r>
              <w:rPr>
                <w:rFonts w:hint="default" w:ascii="宋体" w:hAnsi="宋体" w:cs="宋体"/>
                <w:color w:val="000000"/>
                <w:kern w:val="0"/>
                <w:sz w:val="24"/>
                <w:szCs w:val="24"/>
                <w:lang w:val="en-US" w:eastAsia="zh-CN" w:bidi="ar"/>
              </w:rPr>
              <w:drawing>
                <wp:inline distT="0" distB="0" distL="114300" distR="114300">
                  <wp:extent cx="5344160" cy="2051685"/>
                  <wp:effectExtent l="0" t="0" r="8890" b="5715"/>
                  <wp:docPr id="6" name="图片 6" descr="阔时路 西二环-金孔雀大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阔时路 西二环-金孔雀大街"/>
                          <pic:cNvPicPr>
                            <a:picLocks noChangeAspect="1"/>
                          </pic:cNvPicPr>
                        </pic:nvPicPr>
                        <pic:blipFill>
                          <a:blip r:embed="rId20"/>
                          <a:stretch>
                            <a:fillRect/>
                          </a:stretch>
                        </pic:blipFill>
                        <pic:spPr>
                          <a:xfrm>
                            <a:off x="0" y="0"/>
                            <a:ext cx="5344160" cy="2051685"/>
                          </a:xfrm>
                          <a:prstGeom prst="rect">
                            <a:avLst/>
                          </a:prstGeom>
                        </pic:spPr>
                      </pic:pic>
                    </a:graphicData>
                  </a:graphic>
                </wp:inline>
              </w:drawing>
            </w:r>
          </w:p>
          <w:p w14:paraId="174DBB7E">
            <w:pPr>
              <w:keepNext w:val="0"/>
              <w:keepLines w:val="0"/>
              <w:widowControl/>
              <w:numPr>
                <w:ilvl w:val="0"/>
                <w:numId w:val="0"/>
              </w:numPr>
              <w:suppressLineNumbers w:val="0"/>
              <w:jc w:val="center"/>
              <w:rPr>
                <w:rFonts w:hint="eastAsia" w:cs="Times New Roman"/>
                <w:b/>
                <w:bCs/>
                <w:color w:val="000000"/>
                <w:kern w:val="0"/>
                <w:sz w:val="24"/>
                <w:szCs w:val="24"/>
                <w:lang w:val="en-US" w:eastAsia="zh-CN" w:bidi="ar"/>
              </w:rPr>
            </w:pPr>
            <w:r>
              <w:rPr>
                <w:rFonts w:hint="eastAsia" w:ascii="宋体" w:hAnsi="宋体" w:cs="宋体"/>
                <w:b/>
                <w:bCs/>
                <w:color w:val="000000"/>
                <w:kern w:val="0"/>
                <w:sz w:val="24"/>
                <w:szCs w:val="24"/>
                <w:lang w:val="en-US" w:eastAsia="zh-CN" w:bidi="ar"/>
              </w:rPr>
              <w:t xml:space="preserve">图1-8 </w:t>
            </w:r>
            <w:r>
              <w:rPr>
                <w:rFonts w:hint="eastAsia" w:cs="Times New Roman"/>
                <w:b/>
                <w:bCs/>
                <w:color w:val="000000"/>
                <w:kern w:val="0"/>
                <w:sz w:val="24"/>
                <w:szCs w:val="24"/>
                <w:lang w:val="en-US" w:eastAsia="zh-CN" w:bidi="ar"/>
              </w:rPr>
              <w:t>阔时路已建段（西二环至金孔雀大街）综合管廊断面布设图</w:t>
            </w:r>
          </w:p>
          <w:p w14:paraId="06108287">
            <w:pPr>
              <w:keepNext w:val="0"/>
              <w:keepLines w:val="0"/>
              <w:widowControl/>
              <w:numPr>
                <w:ilvl w:val="0"/>
                <w:numId w:val="5"/>
              </w:numPr>
              <w:suppressLineNumbers w:val="0"/>
              <w:jc w:val="left"/>
              <w:rPr>
                <w:rFonts w:hint="eastAsia" w:ascii="宋体" w:hAnsi="宋体" w:cs="宋体"/>
                <w:b/>
                <w:bCs/>
                <w:color w:val="000000"/>
                <w:kern w:val="0"/>
                <w:sz w:val="24"/>
                <w:szCs w:val="24"/>
                <w:lang w:val="en-US" w:eastAsia="zh-CN" w:bidi="ar"/>
              </w:rPr>
            </w:pPr>
            <w:r>
              <w:rPr>
                <w:rFonts w:hint="eastAsia" w:ascii="宋体" w:hAnsi="宋体" w:cs="宋体"/>
                <w:b/>
                <w:bCs/>
                <w:color w:val="000000"/>
                <w:kern w:val="0"/>
                <w:sz w:val="24"/>
                <w:szCs w:val="24"/>
                <w:lang w:val="en-US" w:eastAsia="zh-CN" w:bidi="ar"/>
              </w:rPr>
              <w:t>综合管廊断面形式</w:t>
            </w:r>
          </w:p>
          <w:p w14:paraId="64AAEA0B">
            <w:pPr>
              <w:keepNext w:val="0"/>
              <w:keepLines w:val="0"/>
              <w:widowControl/>
              <w:numPr>
                <w:ilvl w:val="0"/>
                <w:numId w:val="6"/>
              </w:numPr>
              <w:suppressLineNumbers w:val="0"/>
              <w:ind w:firstLine="480" w:firstLineChars="200"/>
              <w:jc w:val="left"/>
              <w:rPr>
                <w:rFonts w:hint="default" w:cs="Times New Roman"/>
                <w:b w:val="0"/>
                <w:bCs w:val="0"/>
                <w:color w:val="000000"/>
                <w:kern w:val="0"/>
                <w:sz w:val="24"/>
                <w:szCs w:val="24"/>
                <w:lang w:val="en-US" w:eastAsia="zh-CN" w:bidi="ar"/>
              </w:rPr>
            </w:pPr>
            <w:r>
              <w:rPr>
                <w:rFonts w:hint="eastAsia" w:cs="Times New Roman"/>
                <w:b w:val="0"/>
                <w:bCs w:val="0"/>
                <w:color w:val="000000"/>
                <w:kern w:val="0"/>
                <w:sz w:val="24"/>
                <w:szCs w:val="24"/>
                <w:lang w:val="en-US" w:eastAsia="zh-CN" w:bidi="ar"/>
              </w:rPr>
              <w:t>综合管廊断面形式确定</w:t>
            </w:r>
          </w:p>
          <w:p w14:paraId="43C8BFE7">
            <w:pPr>
              <w:keepNext w:val="0"/>
              <w:keepLines w:val="0"/>
              <w:widowControl/>
              <w:numPr>
                <w:ilvl w:val="0"/>
                <w:numId w:val="0"/>
              </w:numPr>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本项目综合管廊施工方法以明挖为主，</w:t>
            </w:r>
            <w:r>
              <w:rPr>
                <w:rFonts w:hint="eastAsia" w:ascii="宋体" w:hAnsi="宋体" w:cs="宋体"/>
                <w:b w:val="0"/>
                <w:bCs w:val="0"/>
                <w:color w:val="000000"/>
                <w:kern w:val="0"/>
                <w:sz w:val="24"/>
                <w:szCs w:val="24"/>
                <w:lang w:val="en-US" w:eastAsia="zh-CN" w:bidi="ar"/>
              </w:rPr>
              <w:t>结合</w:t>
            </w:r>
            <w:r>
              <w:rPr>
                <w:rFonts w:hint="eastAsia" w:ascii="宋体" w:hAnsi="宋体" w:eastAsia="宋体" w:cs="宋体"/>
                <w:b w:val="0"/>
                <w:bCs w:val="0"/>
                <w:color w:val="000000"/>
                <w:kern w:val="0"/>
                <w:sz w:val="24"/>
                <w:szCs w:val="24"/>
                <w:lang w:val="en-US" w:eastAsia="zh-CN" w:bidi="ar"/>
              </w:rPr>
              <w:t>入沟管线种类及数量，本项目主干综合管廊的断面型式采用矩形多箱断面，支线综合管廊采用单箱断面。</w:t>
            </w:r>
          </w:p>
          <w:p w14:paraId="19B9E900">
            <w:pPr>
              <w:keepNext w:val="0"/>
              <w:keepLines w:val="0"/>
              <w:widowControl/>
              <w:numPr>
                <w:ilvl w:val="0"/>
                <w:numId w:val="0"/>
              </w:numPr>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drawing>
                <wp:inline distT="0" distB="0" distL="114300" distR="114300">
                  <wp:extent cx="5495290" cy="2564130"/>
                  <wp:effectExtent l="0" t="0" r="10160" b="7620"/>
                  <wp:docPr id="7" name="图片 7" descr="管廊单箱断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管廊单箱断面"/>
                          <pic:cNvPicPr>
                            <a:picLocks noChangeAspect="1"/>
                          </pic:cNvPicPr>
                        </pic:nvPicPr>
                        <pic:blipFill>
                          <a:blip r:embed="rId21"/>
                          <a:stretch>
                            <a:fillRect/>
                          </a:stretch>
                        </pic:blipFill>
                        <pic:spPr>
                          <a:xfrm>
                            <a:off x="0" y="0"/>
                            <a:ext cx="5495290" cy="2564130"/>
                          </a:xfrm>
                          <a:prstGeom prst="rect">
                            <a:avLst/>
                          </a:prstGeom>
                        </pic:spPr>
                      </pic:pic>
                    </a:graphicData>
                  </a:graphic>
                </wp:inline>
              </w:drawing>
            </w:r>
            <w:r>
              <w:rPr>
                <w:rFonts w:hint="eastAsia" w:ascii="宋体" w:hAnsi="宋体" w:eastAsia="宋体" w:cs="宋体"/>
                <w:b w:val="0"/>
                <w:bCs w:val="0"/>
                <w:color w:val="000000"/>
                <w:kern w:val="0"/>
                <w:sz w:val="24"/>
                <w:szCs w:val="24"/>
                <w:lang w:val="en-US" w:eastAsia="zh-CN" w:bidi="ar"/>
              </w:rPr>
              <w:t xml:space="preserve"> </w:t>
            </w:r>
          </w:p>
          <w:p w14:paraId="3E5C4EA3">
            <w:pPr>
              <w:keepNext w:val="0"/>
              <w:keepLines w:val="0"/>
              <w:widowControl/>
              <w:suppressLineNumbers w:val="0"/>
              <w:jc w:val="cente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cs="Times New Roman"/>
                <w:b/>
                <w:bCs/>
                <w:color w:val="000000"/>
                <w:kern w:val="0"/>
                <w:sz w:val="24"/>
                <w:szCs w:val="24"/>
                <w:lang w:val="en-US" w:eastAsia="zh-CN" w:bidi="ar"/>
              </w:rPr>
              <w:t xml:space="preserve">图1-9 </w:t>
            </w:r>
            <w:r>
              <w:rPr>
                <w:rFonts w:hint="default" w:ascii="Times New Roman" w:hAnsi="Times New Roman" w:eastAsia="宋体" w:cs="Times New Roman"/>
                <w:b/>
                <w:bCs/>
                <w:color w:val="000000"/>
                <w:kern w:val="0"/>
                <w:sz w:val="24"/>
                <w:szCs w:val="24"/>
                <w:lang w:val="en-US" w:eastAsia="zh-CN" w:bidi="ar"/>
              </w:rPr>
              <w:t>综合管廊单箱断面</w:t>
            </w:r>
          </w:p>
          <w:p w14:paraId="28A92631">
            <w:pPr>
              <w:keepNext w:val="0"/>
              <w:keepLines w:val="0"/>
              <w:widowControl/>
              <w:suppressLineNumbers w:val="0"/>
              <w:jc w:val="both"/>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drawing>
                <wp:inline distT="0" distB="0" distL="114300" distR="114300">
                  <wp:extent cx="5345430" cy="2967355"/>
                  <wp:effectExtent l="0" t="0" r="7620" b="4445"/>
                  <wp:docPr id="8" name="图片 8" descr="管廊多箱断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管廊多箱断面"/>
                          <pic:cNvPicPr>
                            <a:picLocks noChangeAspect="1"/>
                          </pic:cNvPicPr>
                        </pic:nvPicPr>
                        <pic:blipFill>
                          <a:blip r:embed="rId22"/>
                          <a:stretch>
                            <a:fillRect/>
                          </a:stretch>
                        </pic:blipFill>
                        <pic:spPr>
                          <a:xfrm>
                            <a:off x="0" y="0"/>
                            <a:ext cx="5345430" cy="2967355"/>
                          </a:xfrm>
                          <a:prstGeom prst="rect">
                            <a:avLst/>
                          </a:prstGeom>
                        </pic:spPr>
                      </pic:pic>
                    </a:graphicData>
                  </a:graphic>
                </wp:inline>
              </w:drawing>
            </w:r>
          </w:p>
          <w:p w14:paraId="33F0EAE6">
            <w:pPr>
              <w:keepNext w:val="0"/>
              <w:keepLines w:val="0"/>
              <w:widowControl/>
              <w:suppressLineNumbers w:val="0"/>
              <w:jc w:val="center"/>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图1-10 综合管廊多箱断面</w:t>
            </w:r>
          </w:p>
          <w:p w14:paraId="70E10618">
            <w:pPr>
              <w:keepNext w:val="0"/>
              <w:keepLines w:val="0"/>
              <w:widowControl/>
              <w:numPr>
                <w:ilvl w:val="0"/>
                <w:numId w:val="6"/>
              </w:numPr>
              <w:suppressLineNumbers w:val="0"/>
              <w:ind w:left="0" w:leftChars="0" w:firstLine="480" w:firstLineChars="200"/>
              <w:jc w:val="left"/>
              <w:rPr>
                <w:rFonts w:hint="default" w:ascii="Times New Roman" w:hAnsi="Times New Roman" w:cs="Times New Roman"/>
                <w:b w:val="0"/>
                <w:bCs w:val="0"/>
                <w:color w:val="000000"/>
                <w:kern w:val="0"/>
                <w:sz w:val="24"/>
                <w:szCs w:val="24"/>
                <w:lang w:val="en-US" w:eastAsia="zh-CN" w:bidi="ar"/>
              </w:rPr>
            </w:pPr>
            <w:r>
              <w:rPr>
                <w:rFonts w:hint="default" w:ascii="Times New Roman" w:hAnsi="Times New Roman" w:cs="Times New Roman"/>
                <w:b w:val="0"/>
                <w:bCs w:val="0"/>
                <w:color w:val="000000"/>
                <w:kern w:val="0"/>
                <w:sz w:val="24"/>
                <w:szCs w:val="24"/>
                <w:lang w:val="en-US" w:eastAsia="zh-CN" w:bidi="ar"/>
              </w:rPr>
              <w:t>综合管廊管线布设原则</w:t>
            </w:r>
          </w:p>
          <w:p w14:paraId="7601C3DB">
            <w:pPr>
              <w:keepNext w:val="0"/>
              <w:keepLines w:val="0"/>
              <w:widowControl/>
              <w:suppressLineNumbers w:val="0"/>
              <w:ind w:firstLine="480" w:firstLineChars="200"/>
              <w:jc w:val="left"/>
              <w:rPr>
                <w:rFonts w:hint="default" w:ascii="Times New Roman" w:hAnsi="Times New Roman" w:cs="Times New Roman"/>
                <w:sz w:val="24"/>
                <w:szCs w:val="24"/>
              </w:rPr>
            </w:pPr>
            <w:r>
              <w:rPr>
                <w:rFonts w:hint="eastAsia"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 xml:space="preserve">当给水管道管径较大时，可布置在断面中间，断面两侧可安装支架；当给水管道管径较小时，可布置在单侧，其距离管廊侧板及上侧支架需满足管道安装净距要求。 </w:t>
            </w:r>
          </w:p>
          <w:p w14:paraId="1AE17D22">
            <w:pPr>
              <w:keepNext w:val="0"/>
              <w:keepLines w:val="0"/>
              <w:widowControl/>
              <w:suppressLineNumbers w:val="0"/>
              <w:ind w:firstLine="480" w:firstLineChars="200"/>
              <w:jc w:val="left"/>
              <w:rPr>
                <w:rFonts w:hint="default" w:ascii="Times New Roman" w:hAnsi="Times New Roman" w:cs="Times New Roman"/>
                <w:sz w:val="24"/>
                <w:szCs w:val="24"/>
              </w:rPr>
            </w:pPr>
            <w:r>
              <w:rPr>
                <w:rFonts w:hint="eastAsia"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最下层支架距离管廊底板不应小于</w:t>
            </w:r>
            <w:r>
              <w:rPr>
                <w:rFonts w:hint="default" w:ascii="Times New Roman" w:hAnsi="Times New Roman" w:eastAsia="TimesNewRomanPSMT" w:cs="Times New Roman"/>
                <w:color w:val="000000"/>
                <w:kern w:val="0"/>
                <w:sz w:val="24"/>
                <w:szCs w:val="24"/>
                <w:lang w:val="en-US" w:eastAsia="zh-CN" w:bidi="ar"/>
              </w:rPr>
              <w:t>30cm</w:t>
            </w:r>
            <w:r>
              <w:rPr>
                <w:rFonts w:hint="default" w:ascii="Times New Roman" w:hAnsi="Times New Roman" w:eastAsia="宋体" w:cs="Times New Roman"/>
                <w:color w:val="000000"/>
                <w:kern w:val="0"/>
                <w:sz w:val="24"/>
                <w:szCs w:val="24"/>
                <w:lang w:val="en-US" w:eastAsia="zh-CN" w:bidi="ar"/>
              </w:rPr>
              <w:t xml:space="preserve">。 </w:t>
            </w:r>
          </w:p>
          <w:p w14:paraId="1EEEB6F3">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最上层支架距离管廊顶板不应小于</w:t>
            </w:r>
            <w:r>
              <w:rPr>
                <w:rFonts w:hint="default" w:ascii="Times New Roman" w:hAnsi="Times New Roman" w:eastAsia="TimesNewRomanPSMT" w:cs="Times New Roman"/>
                <w:color w:val="000000"/>
                <w:kern w:val="0"/>
                <w:sz w:val="24"/>
                <w:szCs w:val="24"/>
                <w:lang w:val="en-US" w:eastAsia="zh-CN" w:bidi="ar"/>
              </w:rPr>
              <w:t>40cm</w:t>
            </w:r>
            <w:r>
              <w:rPr>
                <w:rFonts w:hint="default" w:ascii="Times New Roman" w:hAnsi="Times New Roman" w:eastAsia="宋体" w:cs="Times New Roman"/>
                <w:color w:val="000000"/>
                <w:kern w:val="0"/>
                <w:sz w:val="24"/>
                <w:szCs w:val="24"/>
                <w:lang w:val="en-US" w:eastAsia="zh-CN" w:bidi="ar"/>
              </w:rPr>
              <w:t>。</w:t>
            </w:r>
          </w:p>
          <w:p w14:paraId="16A23122">
            <w:pPr>
              <w:keepNext w:val="0"/>
              <w:keepLines w:val="0"/>
              <w:widowControl/>
              <w:suppressLineNumbers w:val="0"/>
              <w:ind w:firstLine="480" w:firstLineChars="200"/>
              <w:jc w:val="left"/>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3.综合管廊断面设计</w:t>
            </w:r>
          </w:p>
          <w:p w14:paraId="3DBE657B">
            <w:pPr>
              <w:keepNext w:val="0"/>
              <w:keepLines w:val="0"/>
              <w:widowControl/>
              <w:suppressLineNumbers w:val="0"/>
              <w:ind w:firstLine="480" w:firstLineChars="200"/>
              <w:jc w:val="both"/>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（1）标准段</w:t>
            </w:r>
          </w:p>
          <w:p w14:paraId="745CEA9E">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标准段为埋深</w:t>
            </w:r>
            <w:r>
              <w:rPr>
                <w:rFonts w:hint="default" w:ascii="Times New Roman" w:hAnsi="Times New Roman" w:eastAsia="TimesNewRomanPSMT" w:cs="Times New Roman"/>
                <w:color w:val="000000"/>
                <w:kern w:val="0"/>
                <w:sz w:val="24"/>
                <w:szCs w:val="24"/>
                <w:lang w:val="en-US" w:eastAsia="zh-CN" w:bidi="ar"/>
              </w:rPr>
              <w:t>3m</w:t>
            </w:r>
            <w:r>
              <w:rPr>
                <w:rFonts w:hint="default" w:ascii="Times New Roman" w:hAnsi="Times New Roman" w:eastAsia="宋体" w:cs="Times New Roman"/>
                <w:color w:val="000000"/>
                <w:kern w:val="0"/>
                <w:sz w:val="24"/>
                <w:szCs w:val="24"/>
                <w:lang w:val="en-US" w:eastAsia="zh-CN" w:bidi="ar"/>
              </w:rPr>
              <w:t>的路段，根据不同管线容量，确定芒市中心城区几种综合管廊标准断面如下：</w:t>
            </w:r>
          </w:p>
          <w:p w14:paraId="659E2290">
            <w:pPr>
              <w:keepNext w:val="0"/>
              <w:keepLines w:val="0"/>
              <w:widowControl/>
              <w:suppressLineNumbers w:val="0"/>
              <w:ind w:firstLine="480" w:firstLineChars="200"/>
              <w:jc w:val="left"/>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①A-d1型综合管廊</w:t>
            </w:r>
          </w:p>
          <w:p w14:paraId="08907517">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该断面应用于西二环（芒象路</w:t>
            </w:r>
            <w:r>
              <w:rPr>
                <w:rFonts w:hint="eastAsia" w:cs="Times New Roman"/>
                <w:color w:val="000000"/>
                <w:kern w:val="0"/>
                <w:sz w:val="24"/>
                <w:szCs w:val="24"/>
                <w:lang w:val="en-US" w:eastAsia="zh-CN" w:bidi="ar"/>
              </w:rPr>
              <w:t>至</w:t>
            </w:r>
            <w:r>
              <w:rPr>
                <w:rFonts w:hint="default" w:ascii="Times New Roman" w:hAnsi="Times New Roman" w:eastAsia="宋体" w:cs="Times New Roman"/>
                <w:color w:val="000000"/>
                <w:kern w:val="0"/>
                <w:sz w:val="24"/>
                <w:szCs w:val="24"/>
                <w:lang w:val="en-US" w:eastAsia="zh-CN" w:bidi="ar"/>
              </w:rPr>
              <w:t>人保路），采用单舱形式，管廊顶、底板及壁厚均为</w:t>
            </w:r>
            <w:r>
              <w:rPr>
                <w:rFonts w:hint="eastAsia" w:cs="Times New Roman"/>
                <w:color w:val="000000"/>
                <w:kern w:val="0"/>
                <w:sz w:val="24"/>
                <w:szCs w:val="24"/>
                <w:lang w:val="en-US" w:eastAsia="zh-CN" w:bidi="ar"/>
              </w:rPr>
              <w:t>0.4m</w:t>
            </w:r>
            <w:r>
              <w:rPr>
                <w:rFonts w:hint="default" w:ascii="Times New Roman" w:hAnsi="Times New Roman" w:eastAsia="宋体" w:cs="Times New Roman"/>
                <w:color w:val="000000"/>
                <w:kern w:val="0"/>
                <w:sz w:val="24"/>
                <w:szCs w:val="24"/>
                <w:lang w:val="en-US" w:eastAsia="zh-CN" w:bidi="ar"/>
              </w:rPr>
              <w:t>，管廊内净空高</w:t>
            </w:r>
            <w:r>
              <w:rPr>
                <w:rFonts w:hint="default" w:ascii="Times New Roman" w:hAnsi="Times New Roman" w:eastAsia="TimesNewRomanPSMT" w:cs="Times New Roman"/>
                <w:color w:val="000000"/>
                <w:kern w:val="0"/>
                <w:sz w:val="24"/>
                <w:szCs w:val="24"/>
                <w:lang w:val="en-US" w:eastAsia="zh-CN" w:bidi="ar"/>
              </w:rPr>
              <w:t>2</w:t>
            </w:r>
            <w:r>
              <w:rPr>
                <w:rFonts w:hint="eastAsia" w:eastAsia="TimesNewRomanPSMT" w:cs="Times New Roman"/>
                <w:color w:val="000000"/>
                <w:kern w:val="0"/>
                <w:sz w:val="24"/>
                <w:szCs w:val="24"/>
                <w:lang w:val="en-US" w:eastAsia="zh-CN" w:bidi="ar"/>
              </w:rPr>
              <w:t>.</w:t>
            </w:r>
            <w:r>
              <w:rPr>
                <w:rFonts w:hint="default" w:ascii="Times New Roman" w:hAnsi="Times New Roman" w:eastAsia="TimesNewRomanPSMT" w:cs="Times New Roman"/>
                <w:color w:val="000000"/>
                <w:kern w:val="0"/>
                <w:sz w:val="24"/>
                <w:szCs w:val="24"/>
                <w:lang w:val="en-US" w:eastAsia="zh-CN" w:bidi="ar"/>
              </w:rPr>
              <w:t>55m</w:t>
            </w:r>
            <w:r>
              <w:rPr>
                <w:rFonts w:hint="default" w:ascii="Times New Roman" w:hAnsi="Times New Roman" w:eastAsia="宋体" w:cs="Times New Roman"/>
                <w:color w:val="000000"/>
                <w:kern w:val="0"/>
                <w:sz w:val="24"/>
                <w:szCs w:val="24"/>
                <w:lang w:val="en-US" w:eastAsia="zh-CN" w:bidi="ar"/>
              </w:rPr>
              <w:t>；左侧设</w:t>
            </w:r>
            <w:r>
              <w:rPr>
                <w:rFonts w:hint="default" w:ascii="Times New Roman" w:hAnsi="Times New Roman" w:eastAsia="TimesNewRomanPSMT" w:cs="Times New Roman"/>
                <w:color w:val="000000"/>
                <w:kern w:val="0"/>
                <w:sz w:val="24"/>
                <w:szCs w:val="24"/>
                <w:lang w:val="en-US" w:eastAsia="zh-CN" w:bidi="ar"/>
              </w:rPr>
              <w:t>10kv</w:t>
            </w:r>
            <w:r>
              <w:rPr>
                <w:rFonts w:hint="default" w:ascii="Times New Roman" w:hAnsi="Times New Roman" w:eastAsia="宋体" w:cs="Times New Roman"/>
                <w:color w:val="000000"/>
                <w:kern w:val="0"/>
                <w:sz w:val="24"/>
                <w:szCs w:val="24"/>
                <w:lang w:val="en-US" w:eastAsia="zh-CN" w:bidi="ar"/>
              </w:rPr>
              <w:t>电力电缆排架</w:t>
            </w:r>
            <w:r>
              <w:rPr>
                <w:rFonts w:hint="default" w:ascii="Times New Roman" w:hAnsi="Times New Roman" w:eastAsia="TimesNewRomanPSMT"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层</w:t>
            </w:r>
            <w:r>
              <w:rPr>
                <w:rFonts w:hint="eastAsia" w:cs="Times New Roman"/>
                <w:color w:val="000000"/>
                <w:kern w:val="0"/>
                <w:sz w:val="24"/>
                <w:szCs w:val="24"/>
                <w:lang w:val="en-US" w:eastAsia="zh-CN" w:bidi="ar"/>
              </w:rPr>
              <w:t>，</w:t>
            </w:r>
            <w:r>
              <w:rPr>
                <w:rFonts w:hint="default" w:ascii="Times New Roman" w:hAnsi="Times New Roman" w:eastAsia="TimesNewRomanPSMT"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层自用电缆排架，间距</w:t>
            </w:r>
            <w:r>
              <w:rPr>
                <w:rFonts w:hint="eastAsia" w:cs="Times New Roman"/>
                <w:color w:val="000000"/>
                <w:kern w:val="0"/>
                <w:sz w:val="24"/>
                <w:szCs w:val="24"/>
                <w:lang w:val="en-US" w:eastAsia="zh-CN" w:bidi="ar"/>
              </w:rPr>
              <w:t>0.3</w:t>
            </w:r>
            <w:r>
              <w:rPr>
                <w:rFonts w:hint="default" w:ascii="Times New Roman" w:hAnsi="Times New Roman" w:eastAsia="TimesNewRomanPSMT"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lang w:val="en-US" w:eastAsia="zh-CN" w:bidi="ar"/>
              </w:rPr>
              <w:t>，电力排架下方安装</w:t>
            </w:r>
            <w:r>
              <w:rPr>
                <w:rFonts w:hint="default" w:ascii="Times New Roman" w:hAnsi="Times New Roman" w:eastAsia="TimesNewRomanPSMT" w:cs="Times New Roman"/>
                <w:color w:val="000000"/>
                <w:kern w:val="0"/>
                <w:sz w:val="24"/>
                <w:szCs w:val="24"/>
                <w:lang w:val="en-US" w:eastAsia="zh-CN" w:bidi="ar"/>
              </w:rPr>
              <w:t>DN300</w:t>
            </w:r>
            <w:r>
              <w:rPr>
                <w:rFonts w:hint="default" w:ascii="Times New Roman" w:hAnsi="Times New Roman" w:eastAsia="宋体" w:cs="Times New Roman"/>
                <w:color w:val="000000"/>
                <w:kern w:val="0"/>
                <w:sz w:val="24"/>
                <w:szCs w:val="24"/>
                <w:lang w:val="en-US" w:eastAsia="zh-CN" w:bidi="ar"/>
              </w:rPr>
              <w:t>给水管，给水管至电力排架间距</w:t>
            </w:r>
            <w:r>
              <w:rPr>
                <w:rFonts w:hint="eastAsia" w:cs="Times New Roman"/>
                <w:color w:val="000000"/>
                <w:kern w:val="0"/>
                <w:sz w:val="24"/>
                <w:szCs w:val="24"/>
                <w:lang w:val="en-US" w:eastAsia="zh-CN" w:bidi="ar"/>
              </w:rPr>
              <w:t>0.8</w:t>
            </w:r>
            <w:r>
              <w:rPr>
                <w:rFonts w:hint="eastAsia" w:cs="Times New Roman"/>
                <w:color w:val="000000"/>
                <w:kern w:val="0"/>
                <w:sz w:val="24"/>
                <w:szCs w:val="24"/>
                <w:lang w:val="en-US" w:eastAsia="zh-CN" w:bidi="ar"/>
              </w:rPr>
              <w:br w:type="textWrapping"/>
            </w:r>
            <w:r>
              <w:rPr>
                <w:rFonts w:hint="eastAsia"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lang w:val="en-US" w:eastAsia="zh-CN" w:bidi="ar"/>
              </w:rPr>
              <w:t>；右侧设</w:t>
            </w:r>
            <w:r>
              <w:rPr>
                <w:rFonts w:hint="default" w:ascii="Times New Roman" w:hAnsi="Times New Roman" w:eastAsia="TimesNewRomanPSMT" w:cs="Times New Roman"/>
                <w:color w:val="000000"/>
                <w:kern w:val="0"/>
                <w:sz w:val="24"/>
                <w:szCs w:val="24"/>
                <w:lang w:val="en-US" w:eastAsia="zh-CN" w:bidi="ar"/>
              </w:rPr>
              <w:t>10kv</w:t>
            </w:r>
            <w:r>
              <w:rPr>
                <w:rFonts w:hint="default" w:ascii="Times New Roman" w:hAnsi="Times New Roman" w:eastAsia="宋体" w:cs="Times New Roman"/>
                <w:color w:val="000000"/>
                <w:kern w:val="0"/>
                <w:sz w:val="24"/>
                <w:szCs w:val="24"/>
                <w:lang w:val="en-US" w:eastAsia="zh-CN" w:bidi="ar"/>
              </w:rPr>
              <w:t>电力电缆排架</w:t>
            </w:r>
            <w:r>
              <w:rPr>
                <w:rFonts w:hint="default" w:ascii="Times New Roman" w:hAnsi="Times New Roman" w:eastAsia="TimesNewRomanPSMT"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层，通信排架</w:t>
            </w:r>
            <w:r>
              <w:rPr>
                <w:rFonts w:hint="default" w:ascii="Times New Roman" w:hAnsi="Times New Roman" w:eastAsia="TimesNewRomanPSMT"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层，间距</w:t>
            </w:r>
            <w:r>
              <w:rPr>
                <w:rFonts w:hint="eastAsia" w:cs="Times New Roman"/>
                <w:color w:val="000000"/>
                <w:kern w:val="0"/>
                <w:sz w:val="24"/>
                <w:szCs w:val="24"/>
                <w:lang w:val="en-US" w:eastAsia="zh-CN" w:bidi="ar"/>
              </w:rPr>
              <w:t>0.</w:t>
            </w:r>
            <w:r>
              <w:rPr>
                <w:rFonts w:hint="default" w:ascii="Times New Roman" w:hAnsi="Times New Roman" w:eastAsia="TimesNewRomanPSMT" w:cs="Times New Roman"/>
                <w:color w:val="000000"/>
                <w:kern w:val="0"/>
                <w:sz w:val="24"/>
                <w:szCs w:val="24"/>
                <w:lang w:val="en-US" w:eastAsia="zh-CN" w:bidi="ar"/>
              </w:rPr>
              <w:t>3m</w:t>
            </w:r>
            <w:r>
              <w:rPr>
                <w:rFonts w:hint="default" w:ascii="Times New Roman" w:hAnsi="Times New Roman" w:eastAsia="宋体" w:cs="Times New Roman"/>
                <w:color w:val="000000"/>
                <w:kern w:val="0"/>
                <w:sz w:val="24"/>
                <w:szCs w:val="24"/>
                <w:lang w:val="en-US" w:eastAsia="zh-CN" w:bidi="ar"/>
              </w:rPr>
              <w:t>；排架宽</w:t>
            </w:r>
            <w:r>
              <w:rPr>
                <w:rFonts w:hint="eastAsia" w:cs="Times New Roman"/>
                <w:color w:val="000000"/>
                <w:kern w:val="0"/>
                <w:sz w:val="24"/>
                <w:szCs w:val="24"/>
                <w:lang w:val="en-US" w:eastAsia="zh-CN" w:bidi="ar"/>
              </w:rPr>
              <w:t>0.6</w:t>
            </w:r>
            <w:r>
              <w:rPr>
                <w:rFonts w:hint="eastAsia" w:eastAsia="TimesNewRomanPSMT"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lang w:val="en-US" w:eastAsia="zh-CN" w:bidi="ar"/>
              </w:rPr>
              <w:t>，最顶端排架距管廊顶</w:t>
            </w:r>
            <w:r>
              <w:rPr>
                <w:rFonts w:hint="eastAsia" w:cs="Times New Roman"/>
                <w:color w:val="000000"/>
                <w:kern w:val="0"/>
                <w:sz w:val="24"/>
                <w:szCs w:val="24"/>
                <w:lang w:val="en-US" w:eastAsia="zh-CN" w:bidi="ar"/>
              </w:rPr>
              <w:t>0.</w:t>
            </w:r>
            <w:r>
              <w:rPr>
                <w:rFonts w:hint="default" w:ascii="Times New Roman" w:hAnsi="Times New Roman" w:eastAsia="TimesNewRomanPSMT" w:cs="Times New Roman"/>
                <w:color w:val="000000"/>
                <w:kern w:val="0"/>
                <w:sz w:val="24"/>
                <w:szCs w:val="24"/>
                <w:lang w:val="en-US" w:eastAsia="zh-CN" w:bidi="ar"/>
              </w:rPr>
              <w:t>35m</w:t>
            </w:r>
            <w:r>
              <w:rPr>
                <w:rFonts w:hint="default" w:ascii="Times New Roman" w:hAnsi="Times New Roman" w:eastAsia="宋体" w:cs="Times New Roman"/>
                <w:color w:val="000000"/>
                <w:kern w:val="0"/>
                <w:sz w:val="24"/>
                <w:szCs w:val="24"/>
                <w:lang w:val="en-US" w:eastAsia="zh-CN" w:bidi="ar"/>
              </w:rPr>
              <w:t>，中间通道宽</w:t>
            </w:r>
            <w:r>
              <w:rPr>
                <w:rFonts w:hint="default" w:ascii="Times New Roman" w:hAnsi="Times New Roman" w:eastAsia="TimesNewRomanPSMT" w:cs="Times New Roman"/>
                <w:color w:val="000000"/>
                <w:kern w:val="0"/>
                <w:sz w:val="24"/>
                <w:szCs w:val="24"/>
                <w:lang w:val="en-US" w:eastAsia="zh-CN" w:bidi="ar"/>
              </w:rPr>
              <w:t>1m</w:t>
            </w:r>
            <w:r>
              <w:rPr>
                <w:rFonts w:hint="default" w:ascii="Times New Roman" w:hAnsi="Times New Roman" w:eastAsia="宋体" w:cs="Times New Roman"/>
                <w:color w:val="000000"/>
                <w:kern w:val="0"/>
                <w:sz w:val="24"/>
                <w:szCs w:val="24"/>
                <w:lang w:val="en-US" w:eastAsia="zh-CN" w:bidi="ar"/>
              </w:rPr>
              <w:t>。</w:t>
            </w:r>
          </w:p>
          <w:p w14:paraId="1D89B93A">
            <w:pPr>
              <w:keepNext w:val="0"/>
              <w:keepLines w:val="0"/>
              <w:widowControl/>
              <w:suppressLineNumbers w:val="0"/>
              <w:jc w:val="cente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drawing>
                <wp:inline distT="0" distB="0" distL="114300" distR="114300">
                  <wp:extent cx="5352415" cy="2858135"/>
                  <wp:effectExtent l="0" t="0" r="635" b="18415"/>
                  <wp:docPr id="9" name="图片 9" descr="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d1"/>
                          <pic:cNvPicPr>
                            <a:picLocks noChangeAspect="1"/>
                          </pic:cNvPicPr>
                        </pic:nvPicPr>
                        <pic:blipFill>
                          <a:blip r:embed="rId23"/>
                          <a:stretch>
                            <a:fillRect/>
                          </a:stretch>
                        </pic:blipFill>
                        <pic:spPr>
                          <a:xfrm>
                            <a:off x="0" y="0"/>
                            <a:ext cx="5352415" cy="2858135"/>
                          </a:xfrm>
                          <a:prstGeom prst="rect">
                            <a:avLst/>
                          </a:prstGeom>
                        </pic:spPr>
                      </pic:pic>
                    </a:graphicData>
                  </a:graphic>
                </wp:inline>
              </w:drawing>
            </w:r>
            <w:r>
              <w:rPr>
                <w:rFonts w:hint="default" w:ascii="Times New Roman" w:hAnsi="Times New Roman" w:eastAsia="宋体" w:cs="Times New Roman"/>
                <w:color w:val="000000"/>
                <w:kern w:val="0"/>
                <w:sz w:val="24"/>
                <w:szCs w:val="24"/>
                <w:lang w:val="en-US" w:eastAsia="zh-CN" w:bidi="ar"/>
              </w:rPr>
              <w:t xml:space="preserve"> </w:t>
            </w:r>
            <w:r>
              <w:rPr>
                <w:rFonts w:hint="default" w:ascii="Times New Roman" w:hAnsi="Times New Roman" w:eastAsia="宋体" w:cs="Times New Roman"/>
                <w:b/>
                <w:bCs/>
                <w:color w:val="000000"/>
                <w:kern w:val="0"/>
                <w:sz w:val="24"/>
                <w:szCs w:val="24"/>
                <w:lang w:val="en-US" w:eastAsia="zh-CN" w:bidi="ar"/>
              </w:rPr>
              <w:t>图1-11 A-d1 型</w:t>
            </w:r>
            <w:r>
              <w:rPr>
                <w:rFonts w:hint="eastAsia" w:cs="Times New Roman"/>
                <w:b/>
                <w:bCs/>
                <w:color w:val="000000"/>
                <w:kern w:val="0"/>
                <w:sz w:val="24"/>
                <w:szCs w:val="24"/>
                <w:lang w:val="en-US" w:eastAsia="zh-CN" w:bidi="ar"/>
              </w:rPr>
              <w:t>综合</w:t>
            </w:r>
            <w:r>
              <w:rPr>
                <w:rFonts w:hint="default" w:ascii="Times New Roman" w:hAnsi="Times New Roman" w:eastAsia="宋体" w:cs="Times New Roman"/>
                <w:b/>
                <w:bCs/>
                <w:color w:val="000000"/>
                <w:kern w:val="0"/>
                <w:sz w:val="24"/>
                <w:szCs w:val="24"/>
                <w:lang w:val="en-US" w:eastAsia="zh-CN" w:bidi="ar"/>
              </w:rPr>
              <w:t>管廊标准断面</w:t>
            </w:r>
          </w:p>
          <w:p w14:paraId="5AE1AD7D">
            <w:pPr>
              <w:keepNext w:val="0"/>
              <w:keepLines w:val="0"/>
              <w:widowControl/>
              <w:suppressLineNumbers w:val="0"/>
              <w:ind w:firstLine="480" w:firstLineChars="200"/>
              <w:jc w:val="both"/>
              <w:rPr>
                <w:rFonts w:hint="eastAsia" w:cs="Times New Roman"/>
                <w:b w:val="0"/>
                <w:bCs w:val="0"/>
                <w:color w:val="000000"/>
                <w:kern w:val="0"/>
                <w:sz w:val="24"/>
                <w:szCs w:val="24"/>
                <w:lang w:val="en-US" w:eastAsia="zh-CN" w:bidi="ar"/>
              </w:rPr>
            </w:pPr>
            <w:r>
              <w:rPr>
                <w:rFonts w:hint="eastAsia" w:cs="Times New Roman"/>
                <w:b w:val="0"/>
                <w:bCs w:val="0"/>
                <w:color w:val="000000"/>
                <w:kern w:val="0"/>
                <w:sz w:val="24"/>
                <w:szCs w:val="24"/>
                <w:lang w:val="en-US" w:eastAsia="zh-CN" w:bidi="ar"/>
              </w:rPr>
              <w:t>②A-d3型综合管廊</w:t>
            </w:r>
          </w:p>
          <w:p w14:paraId="16A3E207">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该断面应用于人保路（</w:t>
            </w:r>
            <w:r>
              <w:rPr>
                <w:rFonts w:hint="eastAsia" w:cs="Times New Roman"/>
                <w:color w:val="000000"/>
                <w:kern w:val="0"/>
                <w:sz w:val="24"/>
                <w:szCs w:val="24"/>
                <w:lang w:val="en-US" w:eastAsia="zh-CN" w:bidi="ar"/>
              </w:rPr>
              <w:t>滨河路至</w:t>
            </w:r>
            <w:r>
              <w:rPr>
                <w:rFonts w:hint="default" w:ascii="Times New Roman" w:hAnsi="Times New Roman" w:eastAsia="宋体" w:cs="Times New Roman"/>
                <w:color w:val="000000"/>
                <w:kern w:val="0"/>
                <w:sz w:val="24"/>
                <w:szCs w:val="24"/>
                <w:lang w:val="en-US" w:eastAsia="zh-CN" w:bidi="ar"/>
              </w:rPr>
              <w:t>芒市大街）和阔时路（金孔雀大街</w:t>
            </w:r>
            <w:r>
              <w:rPr>
                <w:rFonts w:hint="eastAsia" w:cs="Times New Roman"/>
                <w:color w:val="000000"/>
                <w:kern w:val="0"/>
                <w:sz w:val="24"/>
                <w:szCs w:val="24"/>
                <w:lang w:val="en-US" w:eastAsia="zh-CN" w:bidi="ar"/>
              </w:rPr>
              <w:t>至</w:t>
            </w:r>
            <w:r>
              <w:rPr>
                <w:rFonts w:hint="default" w:ascii="Times New Roman" w:hAnsi="Times New Roman" w:eastAsia="宋体" w:cs="Times New Roman"/>
                <w:color w:val="000000"/>
                <w:kern w:val="0"/>
                <w:sz w:val="24"/>
                <w:szCs w:val="24"/>
                <w:lang w:val="en-US" w:eastAsia="zh-CN" w:bidi="ar"/>
              </w:rPr>
              <w:t>芒市大街），采用单舱形式，管廊顶、底板及壁厚均为</w:t>
            </w:r>
            <w:r>
              <w:rPr>
                <w:rFonts w:hint="eastAsia" w:cs="Times New Roman"/>
                <w:color w:val="000000"/>
                <w:kern w:val="0"/>
                <w:sz w:val="24"/>
                <w:szCs w:val="24"/>
                <w:lang w:val="en-US" w:eastAsia="zh-CN" w:bidi="ar"/>
              </w:rPr>
              <w:t>0.</w:t>
            </w:r>
            <w:r>
              <w:rPr>
                <w:rFonts w:hint="default" w:ascii="Times New Roman" w:hAnsi="Times New Roman" w:eastAsia="TimesNewRomanPSMT" w:cs="Times New Roman"/>
                <w:color w:val="000000"/>
                <w:kern w:val="0"/>
                <w:sz w:val="24"/>
                <w:szCs w:val="24"/>
                <w:lang w:val="en-US" w:eastAsia="zh-CN" w:bidi="ar"/>
              </w:rPr>
              <w:t>4m</w:t>
            </w:r>
            <w:r>
              <w:rPr>
                <w:rFonts w:hint="default" w:ascii="Times New Roman" w:hAnsi="Times New Roman" w:eastAsia="宋体" w:cs="Times New Roman"/>
                <w:color w:val="000000"/>
                <w:kern w:val="0"/>
                <w:sz w:val="24"/>
                <w:szCs w:val="24"/>
                <w:lang w:val="en-US" w:eastAsia="zh-CN" w:bidi="ar"/>
              </w:rPr>
              <w:t>，管廊内净空高</w:t>
            </w:r>
            <w:r>
              <w:rPr>
                <w:rFonts w:hint="default" w:ascii="Times New Roman" w:hAnsi="Times New Roman" w:eastAsia="TimesNewRomanPSMT" w:cs="Times New Roman"/>
                <w:color w:val="000000"/>
                <w:kern w:val="0"/>
                <w:sz w:val="24"/>
                <w:szCs w:val="24"/>
                <w:lang w:val="en-US" w:eastAsia="zh-CN" w:bidi="ar"/>
              </w:rPr>
              <w:t>2</w:t>
            </w:r>
            <w:r>
              <w:rPr>
                <w:rFonts w:hint="eastAsia" w:eastAsia="TimesNewRomanPSMT" w:cs="Times New Roman"/>
                <w:color w:val="000000"/>
                <w:kern w:val="0"/>
                <w:sz w:val="24"/>
                <w:szCs w:val="24"/>
                <w:lang w:val="en-US" w:eastAsia="zh-CN" w:bidi="ar"/>
              </w:rPr>
              <w:t>.5</w:t>
            </w:r>
            <w:r>
              <w:rPr>
                <w:rFonts w:hint="default" w:ascii="Times New Roman" w:hAnsi="Times New Roman" w:eastAsia="TimesNewRomanPSMT" w:cs="Times New Roman"/>
                <w:color w:val="000000"/>
                <w:kern w:val="0"/>
                <w:sz w:val="24"/>
                <w:szCs w:val="24"/>
                <w:lang w:val="en-US" w:eastAsia="zh-CN" w:bidi="ar"/>
              </w:rPr>
              <w:t>5</w:t>
            </w:r>
            <w:r>
              <w:rPr>
                <w:rFonts w:hint="eastAsia" w:eastAsia="TimesNewRomanPSMT"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lang w:val="en-US" w:eastAsia="zh-CN" w:bidi="ar"/>
              </w:rPr>
              <w:t xml:space="preserve">；左侧设 </w:t>
            </w:r>
            <w:r>
              <w:rPr>
                <w:rFonts w:hint="default" w:ascii="Times New Roman" w:hAnsi="Times New Roman" w:eastAsia="TimesNewRomanPSMT" w:cs="Times New Roman"/>
                <w:color w:val="000000"/>
                <w:kern w:val="0"/>
                <w:sz w:val="24"/>
                <w:szCs w:val="24"/>
                <w:lang w:val="en-US" w:eastAsia="zh-CN" w:bidi="ar"/>
              </w:rPr>
              <w:t xml:space="preserve">10kv </w:t>
            </w:r>
            <w:r>
              <w:rPr>
                <w:rFonts w:hint="default" w:ascii="Times New Roman" w:hAnsi="Times New Roman" w:eastAsia="宋体" w:cs="Times New Roman"/>
                <w:color w:val="000000"/>
                <w:kern w:val="0"/>
                <w:sz w:val="24"/>
                <w:szCs w:val="24"/>
                <w:lang w:val="en-US" w:eastAsia="zh-CN" w:bidi="ar"/>
              </w:rPr>
              <w:t>电力电缆排架</w:t>
            </w:r>
            <w:r>
              <w:rPr>
                <w:rFonts w:hint="default" w:ascii="Times New Roman" w:hAnsi="Times New Roman" w:eastAsia="TimesNewRomanPSMT"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层，间距</w:t>
            </w:r>
            <w:r>
              <w:rPr>
                <w:rFonts w:hint="eastAsia" w:cs="Times New Roman"/>
                <w:color w:val="000000"/>
                <w:kern w:val="0"/>
                <w:sz w:val="24"/>
                <w:szCs w:val="24"/>
                <w:lang w:val="en-US" w:eastAsia="zh-CN" w:bidi="ar"/>
              </w:rPr>
              <w:t>0.</w:t>
            </w:r>
            <w:r>
              <w:rPr>
                <w:rFonts w:hint="default" w:ascii="Times New Roman" w:hAnsi="Times New Roman" w:eastAsia="TimesNewRomanPSMT" w:cs="Times New Roman"/>
                <w:color w:val="000000"/>
                <w:kern w:val="0"/>
                <w:sz w:val="24"/>
                <w:szCs w:val="24"/>
                <w:lang w:val="en-US" w:eastAsia="zh-CN" w:bidi="ar"/>
              </w:rPr>
              <w:t>3m</w:t>
            </w:r>
            <w:r>
              <w:rPr>
                <w:rFonts w:hint="default" w:ascii="Times New Roman" w:hAnsi="Times New Roman" w:eastAsia="宋体" w:cs="Times New Roman"/>
                <w:color w:val="000000"/>
                <w:kern w:val="0"/>
                <w:sz w:val="24"/>
                <w:szCs w:val="24"/>
                <w:lang w:val="en-US" w:eastAsia="zh-CN" w:bidi="ar"/>
              </w:rPr>
              <w:t>，下方安装</w:t>
            </w:r>
            <w:r>
              <w:rPr>
                <w:rFonts w:hint="default" w:ascii="Times New Roman" w:hAnsi="Times New Roman" w:eastAsia="TimesNewRomanPSMT" w:cs="Times New Roman"/>
                <w:color w:val="000000"/>
                <w:kern w:val="0"/>
                <w:sz w:val="24"/>
                <w:szCs w:val="24"/>
                <w:lang w:val="en-US" w:eastAsia="zh-CN" w:bidi="ar"/>
              </w:rPr>
              <w:t xml:space="preserve">DN200 </w:t>
            </w:r>
            <w:r>
              <w:rPr>
                <w:rFonts w:hint="default" w:ascii="Times New Roman" w:hAnsi="Times New Roman" w:eastAsia="宋体" w:cs="Times New Roman"/>
                <w:color w:val="000000"/>
                <w:kern w:val="0"/>
                <w:sz w:val="24"/>
                <w:szCs w:val="24"/>
                <w:lang w:val="en-US" w:eastAsia="zh-CN" w:bidi="ar"/>
              </w:rPr>
              <w:t xml:space="preserve">给水管，给水管至电力排架间距 </w:t>
            </w:r>
            <w:r>
              <w:rPr>
                <w:rFonts w:hint="eastAsia" w:cs="Times New Roman"/>
                <w:color w:val="000000"/>
                <w:kern w:val="0"/>
                <w:sz w:val="24"/>
                <w:szCs w:val="24"/>
                <w:lang w:val="en-US" w:eastAsia="zh-CN" w:bidi="ar"/>
              </w:rPr>
              <w:t>0.</w:t>
            </w:r>
            <w:r>
              <w:rPr>
                <w:rFonts w:hint="default" w:ascii="Times New Roman" w:hAnsi="Times New Roman" w:eastAsia="TimesNewRomanPSMT" w:cs="Times New Roman"/>
                <w:color w:val="000000"/>
                <w:kern w:val="0"/>
                <w:sz w:val="24"/>
                <w:szCs w:val="24"/>
                <w:lang w:val="en-US" w:eastAsia="zh-CN" w:bidi="ar"/>
              </w:rPr>
              <w:t>8</w:t>
            </w:r>
            <w:r>
              <w:rPr>
                <w:rFonts w:hint="eastAsia" w:eastAsia="TimesNewRomanPSMT"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lang w:val="en-US" w:eastAsia="zh-CN" w:bidi="ar"/>
              </w:rPr>
              <w:t xml:space="preserve">；右侧设 </w:t>
            </w:r>
            <w:r>
              <w:rPr>
                <w:rFonts w:hint="default" w:ascii="Times New Roman" w:hAnsi="Times New Roman" w:eastAsia="TimesNewRomanPSMT" w:cs="Times New Roman"/>
                <w:color w:val="000000"/>
                <w:kern w:val="0"/>
                <w:sz w:val="24"/>
                <w:szCs w:val="24"/>
                <w:lang w:val="en-US" w:eastAsia="zh-CN" w:bidi="ar"/>
              </w:rPr>
              <w:t xml:space="preserve">10kv </w:t>
            </w:r>
            <w:r>
              <w:rPr>
                <w:rFonts w:hint="default" w:ascii="Times New Roman" w:hAnsi="Times New Roman" w:eastAsia="宋体" w:cs="Times New Roman"/>
                <w:color w:val="000000"/>
                <w:kern w:val="0"/>
                <w:sz w:val="24"/>
                <w:szCs w:val="24"/>
                <w:lang w:val="en-US" w:eastAsia="zh-CN" w:bidi="ar"/>
              </w:rPr>
              <w:t>电力电缆排架</w:t>
            </w:r>
            <w:r>
              <w:rPr>
                <w:rFonts w:hint="default" w:ascii="Times New Roman" w:hAnsi="Times New Roman" w:eastAsia="TimesNewRomanPSMT"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层，通信排架</w:t>
            </w:r>
            <w:r>
              <w:rPr>
                <w:rFonts w:hint="default" w:ascii="Times New Roman" w:hAnsi="Times New Roman" w:eastAsia="TimesNewRomanPSMT"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层</w:t>
            </w:r>
            <w:r>
              <w:rPr>
                <w:rFonts w:hint="eastAsia" w:cs="Times New Roman"/>
                <w:color w:val="000000"/>
                <w:kern w:val="0"/>
                <w:sz w:val="24"/>
                <w:szCs w:val="24"/>
                <w:lang w:val="en-US" w:eastAsia="zh-CN" w:bidi="ar"/>
              </w:rPr>
              <w:t>，</w:t>
            </w:r>
            <w:r>
              <w:rPr>
                <w:rFonts w:hint="default" w:ascii="Times New Roman" w:hAnsi="Times New Roman" w:eastAsia="TimesNewRomanPSMT"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层自用电缆排架，间距</w:t>
            </w:r>
            <w:r>
              <w:rPr>
                <w:rFonts w:hint="eastAsia" w:cs="Times New Roman"/>
                <w:color w:val="000000"/>
                <w:kern w:val="0"/>
                <w:sz w:val="24"/>
                <w:szCs w:val="24"/>
                <w:lang w:val="en-US" w:eastAsia="zh-CN" w:bidi="ar"/>
              </w:rPr>
              <w:t>0.</w:t>
            </w:r>
            <w:r>
              <w:rPr>
                <w:rFonts w:hint="default" w:ascii="Times New Roman" w:hAnsi="Times New Roman" w:eastAsia="TimesNewRomanPSMT" w:cs="Times New Roman"/>
                <w:color w:val="000000"/>
                <w:kern w:val="0"/>
                <w:sz w:val="24"/>
                <w:szCs w:val="24"/>
                <w:lang w:val="en-US" w:eastAsia="zh-CN" w:bidi="ar"/>
              </w:rPr>
              <w:t>3</w:t>
            </w:r>
            <w:r>
              <w:rPr>
                <w:rFonts w:hint="eastAsia" w:eastAsia="TimesNewRomanPSMT"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lang w:val="en-US" w:eastAsia="zh-CN" w:bidi="ar"/>
              </w:rPr>
              <w:t>；排架宽</w:t>
            </w:r>
            <w:r>
              <w:rPr>
                <w:rFonts w:hint="eastAsia" w:cs="Times New Roman"/>
                <w:color w:val="000000"/>
                <w:kern w:val="0"/>
                <w:sz w:val="24"/>
                <w:szCs w:val="24"/>
                <w:lang w:val="en-US" w:eastAsia="zh-CN" w:bidi="ar"/>
              </w:rPr>
              <w:t>0.</w:t>
            </w:r>
            <w:r>
              <w:rPr>
                <w:rFonts w:hint="default" w:ascii="Times New Roman" w:hAnsi="Times New Roman" w:eastAsia="TimesNewRomanPSMT" w:cs="Times New Roman"/>
                <w:color w:val="000000"/>
                <w:kern w:val="0"/>
                <w:sz w:val="24"/>
                <w:szCs w:val="24"/>
                <w:lang w:val="en-US" w:eastAsia="zh-CN" w:bidi="ar"/>
              </w:rPr>
              <w:t>6</w:t>
            </w:r>
            <w:r>
              <w:rPr>
                <w:rFonts w:hint="eastAsia" w:eastAsia="TimesNewRomanPSMT"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lang w:val="en-US" w:eastAsia="zh-CN" w:bidi="ar"/>
              </w:rPr>
              <w:t>，最顶端排架距管廊顶</w:t>
            </w:r>
            <w:r>
              <w:rPr>
                <w:rFonts w:hint="eastAsia" w:cs="Times New Roman"/>
                <w:color w:val="000000"/>
                <w:kern w:val="0"/>
                <w:sz w:val="24"/>
                <w:szCs w:val="24"/>
                <w:lang w:val="en-US" w:eastAsia="zh-CN" w:bidi="ar"/>
              </w:rPr>
              <w:t>0.</w:t>
            </w:r>
            <w:r>
              <w:rPr>
                <w:rFonts w:hint="default" w:ascii="Times New Roman" w:hAnsi="Times New Roman" w:eastAsia="TimesNewRomanPSMT" w:cs="Times New Roman"/>
                <w:color w:val="000000"/>
                <w:kern w:val="0"/>
                <w:sz w:val="24"/>
                <w:szCs w:val="24"/>
                <w:lang w:val="en-US" w:eastAsia="zh-CN" w:bidi="ar"/>
              </w:rPr>
              <w:t>35</w:t>
            </w:r>
            <w:r>
              <w:rPr>
                <w:rFonts w:hint="eastAsia" w:eastAsia="TimesNewRomanPSMT"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lang w:val="en-US" w:eastAsia="zh-CN" w:bidi="ar"/>
              </w:rPr>
              <w:t>，中间通道</w:t>
            </w:r>
            <w:r>
              <w:rPr>
                <w:rFonts w:hint="eastAsia" w:cs="Times New Roman"/>
                <w:color w:val="000000"/>
                <w:kern w:val="0"/>
                <w:sz w:val="24"/>
                <w:szCs w:val="24"/>
                <w:lang w:val="en-US" w:eastAsia="zh-CN" w:bidi="ar"/>
              </w:rPr>
              <w:t>宽</w:t>
            </w:r>
            <w:r>
              <w:rPr>
                <w:rFonts w:hint="default" w:ascii="Times New Roman" w:hAnsi="Times New Roman" w:eastAsia="TimesNewRomanPSMT" w:cs="Times New Roman"/>
                <w:color w:val="000000"/>
                <w:kern w:val="0"/>
                <w:sz w:val="24"/>
                <w:szCs w:val="24"/>
                <w:lang w:val="en-US" w:eastAsia="zh-CN" w:bidi="ar"/>
              </w:rPr>
              <w:t>1</w:t>
            </w:r>
            <w:r>
              <w:rPr>
                <w:rFonts w:hint="eastAsia" w:eastAsia="TimesNewRomanPSMT"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lang w:val="en-US" w:eastAsia="zh-CN" w:bidi="ar"/>
              </w:rPr>
              <w:t>。</w:t>
            </w:r>
          </w:p>
          <w:p w14:paraId="420B9968">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drawing>
                <wp:inline distT="0" distB="0" distL="114300" distR="114300">
                  <wp:extent cx="5323205" cy="2696845"/>
                  <wp:effectExtent l="0" t="0" r="10795" b="8255"/>
                  <wp:docPr id="10" name="图片 10" descr="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d3"/>
                          <pic:cNvPicPr>
                            <a:picLocks noChangeAspect="1"/>
                          </pic:cNvPicPr>
                        </pic:nvPicPr>
                        <pic:blipFill>
                          <a:blip r:embed="rId24"/>
                          <a:stretch>
                            <a:fillRect/>
                          </a:stretch>
                        </pic:blipFill>
                        <pic:spPr>
                          <a:xfrm>
                            <a:off x="0" y="0"/>
                            <a:ext cx="5323205" cy="2696845"/>
                          </a:xfrm>
                          <a:prstGeom prst="rect">
                            <a:avLst/>
                          </a:prstGeom>
                        </pic:spPr>
                      </pic:pic>
                    </a:graphicData>
                  </a:graphic>
                </wp:inline>
              </w:drawing>
            </w:r>
          </w:p>
          <w:p w14:paraId="7A30F25D">
            <w:pPr>
              <w:keepNext w:val="0"/>
              <w:keepLines w:val="0"/>
              <w:widowControl/>
              <w:suppressLineNumbers w:val="0"/>
              <w:jc w:val="center"/>
              <w:rPr>
                <w:rFonts w:hint="default" w:ascii="Times New Roman" w:hAnsi="Times New Roman" w:cs="Times New Roman"/>
                <w:b/>
                <w:bCs/>
                <w:color w:val="000000"/>
                <w:kern w:val="0"/>
                <w:sz w:val="24"/>
                <w:szCs w:val="24"/>
                <w:lang w:val="en-US" w:eastAsia="zh-CN" w:bidi="ar"/>
              </w:rPr>
            </w:pPr>
            <w:r>
              <w:rPr>
                <w:rFonts w:hint="default" w:ascii="Times New Roman" w:hAnsi="Times New Roman" w:cs="Times New Roman"/>
                <w:b/>
                <w:bCs/>
                <w:color w:val="000000"/>
                <w:kern w:val="0"/>
                <w:sz w:val="24"/>
                <w:szCs w:val="24"/>
                <w:lang w:val="en-US" w:eastAsia="zh-CN" w:bidi="ar"/>
              </w:rPr>
              <w:t>图1-12 A-d3型综合管廊标准断面</w:t>
            </w:r>
          </w:p>
          <w:p w14:paraId="4685CEE0">
            <w:pPr>
              <w:keepNext w:val="0"/>
              <w:keepLines w:val="0"/>
              <w:widowControl/>
              <w:suppressLineNumbers w:val="0"/>
              <w:ind w:firstLine="480" w:firstLineChars="200"/>
              <w:jc w:val="both"/>
              <w:rPr>
                <w:rFonts w:hint="eastAsia" w:cs="Times New Roman"/>
                <w:b w:val="0"/>
                <w:bCs w:val="0"/>
                <w:color w:val="000000"/>
                <w:kern w:val="0"/>
                <w:sz w:val="24"/>
                <w:szCs w:val="24"/>
                <w:lang w:val="en-US" w:eastAsia="zh-CN" w:bidi="ar"/>
              </w:rPr>
            </w:pPr>
            <w:r>
              <w:rPr>
                <w:rFonts w:hint="eastAsia" w:cs="Times New Roman"/>
                <w:b w:val="0"/>
                <w:bCs w:val="0"/>
                <w:color w:val="000000"/>
                <w:kern w:val="0"/>
                <w:sz w:val="24"/>
                <w:szCs w:val="24"/>
                <w:lang w:val="en-US" w:eastAsia="zh-CN" w:bidi="ar"/>
              </w:rPr>
              <w:t>③A-d4型综合管廊</w:t>
            </w:r>
          </w:p>
          <w:p w14:paraId="669EE77A">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该断面应用于芒市大街，采用单舱形式，管廊顶、底板及壁厚均为</w:t>
            </w:r>
            <w:r>
              <w:rPr>
                <w:rFonts w:hint="eastAsia" w:cs="Times New Roman"/>
                <w:color w:val="000000"/>
                <w:kern w:val="0"/>
                <w:sz w:val="24"/>
                <w:szCs w:val="24"/>
                <w:lang w:val="en-US" w:eastAsia="zh-CN" w:bidi="ar"/>
              </w:rPr>
              <w:t>0.</w:t>
            </w:r>
            <w:r>
              <w:rPr>
                <w:rFonts w:hint="default" w:ascii="Times New Roman" w:hAnsi="Times New Roman" w:eastAsia="TimesNewRomanPSMT" w:cs="Times New Roman"/>
                <w:color w:val="000000"/>
                <w:kern w:val="0"/>
                <w:sz w:val="24"/>
                <w:szCs w:val="24"/>
                <w:lang w:val="en-US" w:eastAsia="zh-CN" w:bidi="ar"/>
              </w:rPr>
              <w:t>4</w:t>
            </w:r>
            <w:r>
              <w:rPr>
                <w:rFonts w:hint="eastAsia" w:eastAsia="TimesNewRomanPSMT"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lang w:val="en-US" w:eastAsia="zh-CN" w:bidi="ar"/>
              </w:rPr>
              <w:t>，管廊内净空高</w:t>
            </w:r>
            <w:r>
              <w:rPr>
                <w:rFonts w:hint="default" w:ascii="Times New Roman" w:hAnsi="Times New Roman" w:eastAsia="TimesNewRomanPSMT" w:cs="Times New Roman"/>
                <w:color w:val="000000"/>
                <w:kern w:val="0"/>
                <w:sz w:val="24"/>
                <w:szCs w:val="24"/>
                <w:lang w:val="en-US" w:eastAsia="zh-CN" w:bidi="ar"/>
              </w:rPr>
              <w:t>2</w:t>
            </w:r>
            <w:r>
              <w:rPr>
                <w:rFonts w:hint="eastAsia" w:eastAsia="TimesNewRomanPSMT" w:cs="Times New Roman"/>
                <w:color w:val="000000"/>
                <w:kern w:val="0"/>
                <w:sz w:val="24"/>
                <w:szCs w:val="24"/>
                <w:lang w:val="en-US" w:eastAsia="zh-CN" w:bidi="ar"/>
              </w:rPr>
              <w:t>.</w:t>
            </w:r>
            <w:r>
              <w:rPr>
                <w:rFonts w:hint="default" w:ascii="Times New Roman" w:hAnsi="Times New Roman" w:eastAsia="TimesNewRomanPSMT" w:cs="Times New Roman"/>
                <w:color w:val="000000"/>
                <w:kern w:val="0"/>
                <w:sz w:val="24"/>
                <w:szCs w:val="24"/>
                <w:lang w:val="en-US" w:eastAsia="zh-CN" w:bidi="ar"/>
              </w:rPr>
              <w:t>55</w:t>
            </w:r>
            <w:r>
              <w:rPr>
                <w:rFonts w:hint="eastAsia" w:eastAsia="TimesNewRomanPSMT"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lang w:val="en-US" w:eastAsia="zh-CN" w:bidi="ar"/>
              </w:rPr>
              <w:t>；左侧设</w:t>
            </w:r>
            <w:r>
              <w:rPr>
                <w:rFonts w:hint="default" w:ascii="Times New Roman" w:hAnsi="Times New Roman" w:eastAsia="TimesNewRomanPSMT" w:cs="Times New Roman"/>
                <w:color w:val="000000"/>
                <w:kern w:val="0"/>
                <w:sz w:val="24"/>
                <w:szCs w:val="24"/>
                <w:lang w:val="en-US" w:eastAsia="zh-CN" w:bidi="ar"/>
              </w:rPr>
              <w:t>10kv</w:t>
            </w:r>
            <w:r>
              <w:rPr>
                <w:rFonts w:hint="default" w:ascii="Times New Roman" w:hAnsi="Times New Roman" w:eastAsia="宋体" w:cs="Times New Roman"/>
                <w:color w:val="000000"/>
                <w:kern w:val="0"/>
                <w:sz w:val="24"/>
                <w:szCs w:val="24"/>
                <w:lang w:val="en-US" w:eastAsia="zh-CN" w:bidi="ar"/>
              </w:rPr>
              <w:t>电力电缆排架</w:t>
            </w:r>
            <w:r>
              <w:rPr>
                <w:rFonts w:hint="default" w:ascii="Times New Roman" w:hAnsi="Times New Roman" w:eastAsia="TimesNewRomanPSMT"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层，间距</w:t>
            </w:r>
            <w:r>
              <w:rPr>
                <w:rFonts w:hint="eastAsia" w:cs="Times New Roman"/>
                <w:color w:val="000000"/>
                <w:kern w:val="0"/>
                <w:sz w:val="24"/>
                <w:szCs w:val="24"/>
                <w:lang w:val="en-US" w:eastAsia="zh-CN" w:bidi="ar"/>
              </w:rPr>
              <w:t>0.</w:t>
            </w:r>
            <w:r>
              <w:rPr>
                <w:rFonts w:hint="default" w:ascii="Times New Roman" w:hAnsi="Times New Roman" w:eastAsia="TimesNewRomanPSMT" w:cs="Times New Roman"/>
                <w:color w:val="000000"/>
                <w:kern w:val="0"/>
                <w:sz w:val="24"/>
                <w:szCs w:val="24"/>
                <w:lang w:val="en-US" w:eastAsia="zh-CN" w:bidi="ar"/>
              </w:rPr>
              <w:t>3</w:t>
            </w:r>
            <w:r>
              <w:rPr>
                <w:rFonts w:hint="eastAsia" w:eastAsia="TimesNewRomanPSMT"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lang w:val="en-US" w:eastAsia="zh-CN" w:bidi="ar"/>
              </w:rPr>
              <w:t>，下方</w:t>
            </w:r>
            <w:r>
              <w:rPr>
                <w:rFonts w:hint="eastAsia" w:cs="Times New Roman"/>
                <w:color w:val="000000"/>
                <w:kern w:val="0"/>
                <w:sz w:val="24"/>
                <w:szCs w:val="24"/>
                <w:lang w:val="en-US" w:eastAsia="zh-CN" w:bidi="ar"/>
              </w:rPr>
              <w:t>安装</w:t>
            </w:r>
            <w:r>
              <w:rPr>
                <w:rFonts w:hint="default" w:ascii="Times New Roman" w:hAnsi="Times New Roman" w:eastAsia="TimesNewRomanPSMT" w:cs="Times New Roman"/>
                <w:color w:val="000000"/>
                <w:kern w:val="0"/>
                <w:sz w:val="24"/>
                <w:szCs w:val="24"/>
                <w:lang w:val="en-US" w:eastAsia="zh-CN" w:bidi="ar"/>
              </w:rPr>
              <w:t xml:space="preserve">DN400 </w:t>
            </w:r>
            <w:r>
              <w:rPr>
                <w:rFonts w:hint="default" w:ascii="Times New Roman" w:hAnsi="Times New Roman" w:eastAsia="宋体" w:cs="Times New Roman"/>
                <w:color w:val="000000"/>
                <w:kern w:val="0"/>
                <w:sz w:val="24"/>
                <w:szCs w:val="24"/>
                <w:lang w:val="en-US" w:eastAsia="zh-CN" w:bidi="ar"/>
              </w:rPr>
              <w:t>给水管，给水管至电力排架间距</w:t>
            </w:r>
            <w:r>
              <w:rPr>
                <w:rFonts w:hint="eastAsia" w:cs="Times New Roman"/>
                <w:color w:val="000000"/>
                <w:kern w:val="0"/>
                <w:sz w:val="24"/>
                <w:szCs w:val="24"/>
                <w:lang w:val="en-US" w:eastAsia="zh-CN" w:bidi="ar"/>
              </w:rPr>
              <w:t>0.</w:t>
            </w:r>
            <w:r>
              <w:rPr>
                <w:rFonts w:hint="default" w:ascii="Times New Roman" w:hAnsi="Times New Roman" w:eastAsia="TimesNewRomanPSMT" w:cs="Times New Roman"/>
                <w:color w:val="000000"/>
                <w:kern w:val="0"/>
                <w:sz w:val="24"/>
                <w:szCs w:val="24"/>
                <w:lang w:val="en-US" w:eastAsia="zh-CN" w:bidi="ar"/>
              </w:rPr>
              <w:t>9</w:t>
            </w:r>
            <w:r>
              <w:rPr>
                <w:rFonts w:hint="eastAsia" w:eastAsia="TimesNewRomanPSMT"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lang w:val="en-US" w:eastAsia="zh-CN" w:bidi="ar"/>
              </w:rPr>
              <w:t>；右侧设</w:t>
            </w:r>
            <w:r>
              <w:rPr>
                <w:rFonts w:hint="default" w:ascii="Times New Roman" w:hAnsi="Times New Roman" w:eastAsia="TimesNewRomanPSMT" w:cs="Times New Roman"/>
                <w:color w:val="000000"/>
                <w:kern w:val="0"/>
                <w:sz w:val="24"/>
                <w:szCs w:val="24"/>
                <w:lang w:val="en-US" w:eastAsia="zh-CN" w:bidi="ar"/>
              </w:rPr>
              <w:t>10kv</w:t>
            </w:r>
            <w:r>
              <w:rPr>
                <w:rFonts w:hint="default" w:ascii="Times New Roman" w:hAnsi="Times New Roman" w:eastAsia="宋体" w:cs="Times New Roman"/>
                <w:color w:val="000000"/>
                <w:kern w:val="0"/>
                <w:sz w:val="24"/>
                <w:szCs w:val="24"/>
                <w:lang w:val="en-US" w:eastAsia="zh-CN" w:bidi="ar"/>
              </w:rPr>
              <w:t>电力电缆排架</w:t>
            </w:r>
            <w:r>
              <w:rPr>
                <w:rFonts w:hint="default" w:ascii="Times New Roman" w:hAnsi="Times New Roman" w:eastAsia="TimesNewRomanPSMT" w:cs="Times New Roman"/>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层，通信排架</w:t>
            </w:r>
            <w:r>
              <w:rPr>
                <w:rFonts w:hint="default" w:ascii="Times New Roman" w:hAnsi="Times New Roman" w:eastAsia="TimesNewRomanPSMT"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层</w:t>
            </w:r>
            <w:r>
              <w:rPr>
                <w:rFonts w:hint="eastAsia" w:cs="Times New Roman"/>
                <w:color w:val="000000"/>
                <w:kern w:val="0"/>
                <w:sz w:val="24"/>
                <w:szCs w:val="24"/>
                <w:lang w:val="en-US" w:eastAsia="zh-CN" w:bidi="ar"/>
              </w:rPr>
              <w:t>，</w:t>
            </w:r>
            <w:r>
              <w:rPr>
                <w:rFonts w:hint="default" w:ascii="Times New Roman" w:hAnsi="Times New Roman" w:eastAsia="TimesNewRomanPSMT"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层自用电缆排架，间距</w:t>
            </w:r>
            <w:r>
              <w:rPr>
                <w:rFonts w:hint="eastAsia" w:cs="Times New Roman"/>
                <w:color w:val="000000"/>
                <w:kern w:val="0"/>
                <w:sz w:val="24"/>
                <w:szCs w:val="24"/>
                <w:lang w:val="en-US" w:eastAsia="zh-CN" w:bidi="ar"/>
              </w:rPr>
              <w:t>0.</w:t>
            </w:r>
            <w:r>
              <w:rPr>
                <w:rFonts w:hint="default" w:ascii="Times New Roman" w:hAnsi="Times New Roman" w:eastAsia="TimesNewRomanPSMT" w:cs="Times New Roman"/>
                <w:color w:val="000000"/>
                <w:kern w:val="0"/>
                <w:sz w:val="24"/>
                <w:szCs w:val="24"/>
                <w:lang w:val="en-US" w:eastAsia="zh-CN" w:bidi="ar"/>
              </w:rPr>
              <w:t>3</w:t>
            </w:r>
            <w:r>
              <w:rPr>
                <w:rFonts w:hint="eastAsia" w:eastAsia="TimesNewRomanPSMT"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lang w:val="en-US" w:eastAsia="zh-CN" w:bidi="ar"/>
              </w:rPr>
              <w:t>；排架宽</w:t>
            </w:r>
            <w:r>
              <w:rPr>
                <w:rFonts w:hint="eastAsia" w:cs="Times New Roman"/>
                <w:color w:val="000000"/>
                <w:kern w:val="0"/>
                <w:sz w:val="24"/>
                <w:szCs w:val="24"/>
                <w:lang w:val="en-US" w:eastAsia="zh-CN" w:bidi="ar"/>
              </w:rPr>
              <w:t>0.</w:t>
            </w:r>
            <w:r>
              <w:rPr>
                <w:rFonts w:hint="default" w:ascii="Times New Roman" w:hAnsi="Times New Roman" w:eastAsia="TimesNewRomanPSMT" w:cs="Times New Roman"/>
                <w:color w:val="000000"/>
                <w:kern w:val="0"/>
                <w:sz w:val="24"/>
                <w:szCs w:val="24"/>
                <w:lang w:val="en-US" w:eastAsia="zh-CN" w:bidi="ar"/>
              </w:rPr>
              <w:t>6</w:t>
            </w:r>
            <w:r>
              <w:rPr>
                <w:rFonts w:hint="eastAsia" w:eastAsia="TimesNewRomanPSMT"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lang w:val="en-US" w:eastAsia="zh-CN" w:bidi="ar"/>
              </w:rPr>
              <w:t>，最顶端排架距管廊顶</w:t>
            </w:r>
            <w:r>
              <w:rPr>
                <w:rFonts w:hint="eastAsia" w:cs="Times New Roman"/>
                <w:color w:val="000000"/>
                <w:kern w:val="0"/>
                <w:sz w:val="24"/>
                <w:szCs w:val="24"/>
                <w:lang w:val="en-US" w:eastAsia="zh-CN" w:bidi="ar"/>
              </w:rPr>
              <w:t>0.</w:t>
            </w:r>
            <w:r>
              <w:rPr>
                <w:rFonts w:hint="default" w:ascii="Times New Roman" w:hAnsi="Times New Roman" w:eastAsia="TimesNewRomanPSMT" w:cs="Times New Roman"/>
                <w:color w:val="000000"/>
                <w:kern w:val="0"/>
                <w:sz w:val="24"/>
                <w:szCs w:val="24"/>
                <w:lang w:val="en-US" w:eastAsia="zh-CN" w:bidi="ar"/>
              </w:rPr>
              <w:t>35</w:t>
            </w:r>
            <w:r>
              <w:rPr>
                <w:rFonts w:hint="eastAsia" w:eastAsia="TimesNewRomanPSMT"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lang w:val="en-US" w:eastAsia="zh-CN" w:bidi="ar"/>
              </w:rPr>
              <w:t>，中间通道宽</w:t>
            </w:r>
            <w:r>
              <w:rPr>
                <w:rFonts w:hint="default" w:ascii="Times New Roman" w:hAnsi="Times New Roman" w:eastAsia="TimesNewRomanPSMT" w:cs="Times New Roman"/>
                <w:color w:val="000000"/>
                <w:kern w:val="0"/>
                <w:sz w:val="24"/>
                <w:szCs w:val="24"/>
                <w:lang w:val="en-US" w:eastAsia="zh-CN" w:bidi="ar"/>
              </w:rPr>
              <w:t>1</w:t>
            </w:r>
            <w:r>
              <w:rPr>
                <w:rFonts w:hint="eastAsia" w:eastAsia="TimesNewRomanPSMT"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lang w:val="en-US" w:eastAsia="zh-CN" w:bidi="ar"/>
              </w:rPr>
              <w:t>。</w:t>
            </w:r>
          </w:p>
          <w:p w14:paraId="7E661180">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drawing>
                <wp:inline distT="0" distB="0" distL="114300" distR="114300">
                  <wp:extent cx="5285740" cy="2678430"/>
                  <wp:effectExtent l="0" t="0" r="10160" b="7620"/>
                  <wp:docPr id="11" name="图片 11" descr="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d4"/>
                          <pic:cNvPicPr>
                            <a:picLocks noChangeAspect="1"/>
                          </pic:cNvPicPr>
                        </pic:nvPicPr>
                        <pic:blipFill>
                          <a:blip r:embed="rId25"/>
                          <a:stretch>
                            <a:fillRect/>
                          </a:stretch>
                        </pic:blipFill>
                        <pic:spPr>
                          <a:xfrm>
                            <a:off x="0" y="0"/>
                            <a:ext cx="5285740" cy="2678430"/>
                          </a:xfrm>
                          <a:prstGeom prst="rect">
                            <a:avLst/>
                          </a:prstGeom>
                        </pic:spPr>
                      </pic:pic>
                    </a:graphicData>
                  </a:graphic>
                </wp:inline>
              </w:drawing>
            </w:r>
          </w:p>
          <w:p w14:paraId="79BBC386">
            <w:pPr>
              <w:keepNext w:val="0"/>
              <w:keepLines w:val="0"/>
              <w:widowControl/>
              <w:suppressLineNumbers w:val="0"/>
              <w:jc w:val="center"/>
              <w:rPr>
                <w:rFonts w:hint="default" w:ascii="Times New Roman" w:hAnsi="Times New Roman" w:cs="Times New Roman"/>
                <w:b/>
                <w:bCs/>
                <w:color w:val="000000"/>
                <w:kern w:val="0"/>
                <w:sz w:val="24"/>
                <w:szCs w:val="24"/>
                <w:lang w:val="en-US" w:eastAsia="zh-CN" w:bidi="ar"/>
              </w:rPr>
            </w:pPr>
            <w:r>
              <w:rPr>
                <w:rFonts w:hint="default" w:ascii="Times New Roman" w:hAnsi="Times New Roman" w:cs="Times New Roman"/>
                <w:b/>
                <w:bCs/>
                <w:color w:val="000000"/>
                <w:kern w:val="0"/>
                <w:sz w:val="24"/>
                <w:szCs w:val="24"/>
                <w:lang w:val="en-US" w:eastAsia="zh-CN" w:bidi="ar"/>
              </w:rPr>
              <w:t>图1-13 A-d4型综合管廊标准断面</w:t>
            </w:r>
          </w:p>
          <w:p w14:paraId="3FED093D">
            <w:pPr>
              <w:keepNext w:val="0"/>
              <w:keepLines w:val="0"/>
              <w:widowControl/>
              <w:suppressLineNumbers w:val="0"/>
              <w:ind w:firstLine="480" w:firstLineChars="200"/>
              <w:jc w:val="both"/>
              <w:rPr>
                <w:rFonts w:hint="eastAsia" w:cs="Times New Roman"/>
                <w:b w:val="0"/>
                <w:bCs w:val="0"/>
                <w:color w:val="000000"/>
                <w:kern w:val="0"/>
                <w:sz w:val="24"/>
                <w:szCs w:val="24"/>
                <w:lang w:val="en-US" w:eastAsia="zh-CN" w:bidi="ar"/>
              </w:rPr>
            </w:pPr>
            <w:r>
              <w:rPr>
                <w:rFonts w:hint="eastAsia" w:cs="Times New Roman"/>
                <w:b w:val="0"/>
                <w:bCs w:val="0"/>
                <w:color w:val="000000"/>
                <w:kern w:val="0"/>
                <w:sz w:val="24"/>
                <w:szCs w:val="24"/>
                <w:lang w:val="en-US" w:eastAsia="zh-CN" w:bidi="ar"/>
              </w:rPr>
              <w:t>④A-d9型综合管廊标准断面</w:t>
            </w:r>
          </w:p>
          <w:p w14:paraId="67EFD226">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该断面应用于阔时路（滨河路</w:t>
            </w:r>
            <w:r>
              <w:rPr>
                <w:rFonts w:hint="eastAsia" w:cs="Times New Roman"/>
                <w:color w:val="000000"/>
                <w:kern w:val="0"/>
                <w:sz w:val="24"/>
                <w:szCs w:val="24"/>
                <w:lang w:val="en-US" w:eastAsia="zh-CN" w:bidi="ar"/>
              </w:rPr>
              <w:t>至</w:t>
            </w:r>
            <w:r>
              <w:rPr>
                <w:rFonts w:hint="default" w:ascii="Times New Roman" w:hAnsi="Times New Roman" w:eastAsia="宋体" w:cs="Times New Roman"/>
                <w:color w:val="000000"/>
                <w:kern w:val="0"/>
                <w:sz w:val="24"/>
                <w:szCs w:val="24"/>
                <w:lang w:val="en-US" w:eastAsia="zh-CN" w:bidi="ar"/>
              </w:rPr>
              <w:t>西二环），采用双舱形式，分别为：燃气仓、综合仓。综合管廊外尺寸：</w:t>
            </w:r>
            <w:r>
              <w:rPr>
                <w:rFonts w:hint="default" w:ascii="Times New Roman" w:hAnsi="Times New Roman" w:eastAsia="TimesNewRomanPSMT" w:cs="Times New Roman"/>
                <w:color w:val="000000"/>
                <w:kern w:val="0"/>
                <w:sz w:val="24"/>
                <w:szCs w:val="24"/>
                <w:lang w:val="en-US" w:eastAsia="zh-CN" w:bidi="ar"/>
              </w:rPr>
              <w:t>B×H=5.9m×3.3m</w:t>
            </w:r>
            <w:r>
              <w:rPr>
                <w:rFonts w:hint="default" w:ascii="Times New Roman" w:hAnsi="Times New Roman" w:eastAsia="宋体" w:cs="Times New Roman"/>
                <w:color w:val="000000"/>
                <w:kern w:val="0"/>
                <w:sz w:val="24"/>
                <w:szCs w:val="24"/>
                <w:lang w:val="en-US" w:eastAsia="zh-CN" w:bidi="ar"/>
              </w:rPr>
              <w:t>；净尺寸：</w:t>
            </w:r>
            <w:r>
              <w:rPr>
                <w:rFonts w:hint="default" w:ascii="Times New Roman" w:hAnsi="Times New Roman" w:eastAsia="TimesNewRomanPSMT" w:cs="Times New Roman"/>
                <w:color w:val="000000"/>
                <w:kern w:val="0"/>
                <w:sz w:val="24"/>
                <w:szCs w:val="24"/>
                <w:lang w:val="en-US" w:eastAsia="zh-CN" w:bidi="ar"/>
              </w:rPr>
              <w:t>B×H=1.9m×2.5m+2.9m×2.5m</w:t>
            </w:r>
            <w:r>
              <w:rPr>
                <w:rFonts w:hint="eastAsia" w:eastAsia="TimesNewRomanPSMT"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廊内净空高为</w:t>
            </w:r>
            <w:r>
              <w:rPr>
                <w:rFonts w:hint="default" w:ascii="Times New Roman" w:hAnsi="Times New Roman" w:eastAsia="TimesNewRomanPSMT" w:cs="Times New Roman"/>
                <w:color w:val="000000"/>
                <w:kern w:val="0"/>
                <w:sz w:val="24"/>
                <w:szCs w:val="24"/>
                <w:lang w:val="en-US" w:eastAsia="zh-CN" w:bidi="ar"/>
              </w:rPr>
              <w:t>2.5m</w:t>
            </w:r>
            <w:r>
              <w:rPr>
                <w:rFonts w:hint="default" w:ascii="Times New Roman" w:hAnsi="Times New Roman" w:eastAsia="宋体" w:cs="Times New Roman"/>
                <w:color w:val="000000"/>
                <w:kern w:val="0"/>
                <w:sz w:val="24"/>
                <w:szCs w:val="24"/>
                <w:lang w:val="en-US" w:eastAsia="zh-CN" w:bidi="ar"/>
              </w:rPr>
              <w:t>。燃气舱设燃气管道</w:t>
            </w:r>
            <w:r>
              <w:rPr>
                <w:rFonts w:hint="default" w:ascii="Times New Roman" w:hAnsi="Times New Roman" w:eastAsia="TimesNewRomanPSMT" w:cs="Times New Roman"/>
                <w:color w:val="000000"/>
                <w:kern w:val="0"/>
                <w:sz w:val="24"/>
                <w:szCs w:val="24"/>
                <w:lang w:val="en-US" w:eastAsia="zh-CN" w:bidi="ar"/>
              </w:rPr>
              <w:t>DN300</w:t>
            </w:r>
            <w:r>
              <w:rPr>
                <w:rFonts w:hint="default" w:ascii="Times New Roman" w:hAnsi="Times New Roman" w:eastAsia="宋体" w:cs="Times New Roman"/>
                <w:color w:val="000000"/>
                <w:kern w:val="0"/>
                <w:sz w:val="24"/>
                <w:szCs w:val="24"/>
                <w:lang w:val="en-US" w:eastAsia="zh-CN" w:bidi="ar"/>
              </w:rPr>
              <w:t>，左侧留</w:t>
            </w:r>
            <w:r>
              <w:rPr>
                <w:rFonts w:hint="default" w:ascii="Times New Roman" w:hAnsi="Times New Roman" w:eastAsia="TimesNewRomanPSMT"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层自用电缆排架。综合舱左侧设通信排架</w:t>
            </w:r>
            <w:r>
              <w:rPr>
                <w:rFonts w:hint="default" w:ascii="Times New Roman" w:hAnsi="Times New Roman" w:eastAsia="TimesNewRomanPSMT"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层</w:t>
            </w:r>
            <w:r>
              <w:rPr>
                <w:rFonts w:hint="eastAsia" w:cs="Times New Roman"/>
                <w:color w:val="000000"/>
                <w:kern w:val="0"/>
                <w:sz w:val="24"/>
                <w:szCs w:val="24"/>
                <w:lang w:val="en-US" w:eastAsia="zh-CN" w:bidi="ar"/>
              </w:rPr>
              <w:t>，</w:t>
            </w:r>
            <w:r>
              <w:rPr>
                <w:rFonts w:hint="default" w:ascii="Times New Roman" w:hAnsi="Times New Roman" w:eastAsia="TimesNewRomanPSMT"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层自用电缆排架，</w:t>
            </w:r>
            <w:r>
              <w:rPr>
                <w:rFonts w:hint="eastAsia" w:cs="Times New Roman"/>
                <w:color w:val="000000"/>
                <w:kern w:val="0"/>
                <w:sz w:val="24"/>
                <w:szCs w:val="24"/>
                <w:lang w:val="en-US" w:eastAsia="zh-CN" w:bidi="ar"/>
              </w:rPr>
              <w:t>间距0.</w:t>
            </w:r>
            <w:r>
              <w:rPr>
                <w:rFonts w:hint="default" w:ascii="Times New Roman" w:hAnsi="Times New Roman" w:eastAsia="TimesNewRomanPSMT" w:cs="Times New Roman"/>
                <w:color w:val="000000"/>
                <w:kern w:val="0"/>
                <w:sz w:val="24"/>
                <w:szCs w:val="24"/>
                <w:lang w:val="en-US" w:eastAsia="zh-CN" w:bidi="ar"/>
              </w:rPr>
              <w:t>3</w:t>
            </w:r>
            <w:r>
              <w:rPr>
                <w:rFonts w:hint="eastAsia" w:eastAsia="TimesNewRomanPSMT"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lang w:val="en-US" w:eastAsia="zh-CN" w:bidi="ar"/>
              </w:rPr>
              <w:t>，通信排架下方安装</w:t>
            </w:r>
            <w:r>
              <w:rPr>
                <w:rFonts w:hint="default" w:ascii="Times New Roman" w:hAnsi="Times New Roman" w:eastAsia="TimesNewRomanPSMT" w:cs="Times New Roman"/>
                <w:color w:val="000000"/>
                <w:kern w:val="0"/>
                <w:sz w:val="24"/>
                <w:szCs w:val="24"/>
                <w:lang w:val="en-US" w:eastAsia="zh-CN" w:bidi="ar"/>
              </w:rPr>
              <w:t>DN200</w:t>
            </w:r>
            <w:r>
              <w:rPr>
                <w:rFonts w:hint="default" w:ascii="Times New Roman" w:hAnsi="Times New Roman" w:eastAsia="宋体" w:cs="Times New Roman"/>
                <w:color w:val="000000"/>
                <w:kern w:val="0"/>
                <w:sz w:val="24"/>
                <w:szCs w:val="24"/>
                <w:lang w:val="en-US" w:eastAsia="zh-CN" w:bidi="ar"/>
              </w:rPr>
              <w:t>再生水管，再生水管至通信排架间距</w:t>
            </w:r>
            <w:r>
              <w:rPr>
                <w:rFonts w:hint="eastAsia" w:cs="Times New Roman"/>
                <w:color w:val="000000"/>
                <w:kern w:val="0"/>
                <w:sz w:val="24"/>
                <w:szCs w:val="24"/>
                <w:lang w:val="en-US" w:eastAsia="zh-CN" w:bidi="ar"/>
              </w:rPr>
              <w:t>0.</w:t>
            </w:r>
            <w:r>
              <w:rPr>
                <w:rFonts w:hint="default" w:ascii="Times New Roman" w:hAnsi="Times New Roman" w:eastAsia="TimesNewRomanPSMT" w:cs="Times New Roman"/>
                <w:color w:val="000000"/>
                <w:kern w:val="0"/>
                <w:sz w:val="24"/>
                <w:szCs w:val="24"/>
                <w:lang w:val="en-US" w:eastAsia="zh-CN" w:bidi="ar"/>
              </w:rPr>
              <w:t>55</w:t>
            </w:r>
            <w:r>
              <w:rPr>
                <w:rFonts w:hint="eastAsia" w:eastAsia="TimesNewRomanPSMT"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lang w:val="en-US" w:eastAsia="zh-CN" w:bidi="ar"/>
              </w:rPr>
              <w:t>；右侧设</w:t>
            </w:r>
            <w:r>
              <w:rPr>
                <w:rFonts w:hint="default" w:ascii="Times New Roman" w:hAnsi="Times New Roman" w:eastAsia="TimesNewRomanPSMT" w:cs="Times New Roman"/>
                <w:color w:val="000000"/>
                <w:kern w:val="0"/>
                <w:sz w:val="24"/>
                <w:szCs w:val="24"/>
                <w:lang w:val="en-US" w:eastAsia="zh-CN" w:bidi="ar"/>
              </w:rPr>
              <w:t>10kv</w:t>
            </w:r>
            <w:r>
              <w:rPr>
                <w:rFonts w:hint="default" w:ascii="Times New Roman" w:hAnsi="Times New Roman" w:eastAsia="宋体" w:cs="Times New Roman"/>
                <w:color w:val="000000"/>
                <w:kern w:val="0"/>
                <w:sz w:val="24"/>
                <w:szCs w:val="24"/>
                <w:lang w:val="en-US" w:eastAsia="zh-CN" w:bidi="ar"/>
              </w:rPr>
              <w:t>电力电缆排架</w:t>
            </w:r>
            <w:r>
              <w:rPr>
                <w:rFonts w:hint="default" w:ascii="Times New Roman" w:hAnsi="Times New Roman" w:eastAsia="TimesNewRomanPSMT" w:cs="Times New Roman"/>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层，间距</w:t>
            </w:r>
            <w:r>
              <w:rPr>
                <w:rFonts w:hint="eastAsia" w:cs="Times New Roman"/>
                <w:color w:val="000000"/>
                <w:kern w:val="0"/>
                <w:sz w:val="24"/>
                <w:szCs w:val="24"/>
                <w:lang w:val="en-US" w:eastAsia="zh-CN" w:bidi="ar"/>
              </w:rPr>
              <w:t>0.</w:t>
            </w:r>
            <w:r>
              <w:rPr>
                <w:rFonts w:hint="default" w:ascii="Times New Roman" w:hAnsi="Times New Roman" w:eastAsia="TimesNewRomanPSMT" w:cs="Times New Roman"/>
                <w:color w:val="000000"/>
                <w:kern w:val="0"/>
                <w:sz w:val="24"/>
                <w:szCs w:val="24"/>
                <w:lang w:val="en-US" w:eastAsia="zh-CN" w:bidi="ar"/>
              </w:rPr>
              <w:t>35m</w:t>
            </w:r>
            <w:r>
              <w:rPr>
                <w:rFonts w:hint="default" w:ascii="Times New Roman" w:hAnsi="Times New Roman" w:eastAsia="宋体" w:cs="Times New Roman"/>
                <w:color w:val="000000"/>
                <w:kern w:val="0"/>
                <w:sz w:val="24"/>
                <w:szCs w:val="24"/>
                <w:lang w:val="en-US" w:eastAsia="zh-CN" w:bidi="ar"/>
              </w:rPr>
              <w:t>，下方安装</w:t>
            </w:r>
            <w:r>
              <w:rPr>
                <w:rFonts w:hint="default" w:ascii="Times New Roman" w:hAnsi="Times New Roman" w:eastAsia="TimesNewRomanPSMT" w:cs="Times New Roman"/>
                <w:color w:val="000000"/>
                <w:kern w:val="0"/>
                <w:sz w:val="24"/>
                <w:szCs w:val="24"/>
                <w:lang w:val="en-US" w:eastAsia="zh-CN" w:bidi="ar"/>
              </w:rPr>
              <w:t>DN200</w:t>
            </w:r>
            <w:r>
              <w:rPr>
                <w:rFonts w:hint="default" w:ascii="Times New Roman" w:hAnsi="Times New Roman" w:eastAsia="宋体" w:cs="Times New Roman"/>
                <w:color w:val="000000"/>
                <w:kern w:val="0"/>
                <w:sz w:val="24"/>
                <w:szCs w:val="24"/>
                <w:lang w:val="en-US" w:eastAsia="zh-CN" w:bidi="ar"/>
              </w:rPr>
              <w:t>给水管，给水管至电力排架</w:t>
            </w:r>
            <w:r>
              <w:rPr>
                <w:rFonts w:hint="eastAsia" w:cs="Times New Roman"/>
                <w:color w:val="000000"/>
                <w:kern w:val="0"/>
                <w:sz w:val="24"/>
                <w:szCs w:val="24"/>
                <w:lang w:val="en-US" w:eastAsia="zh-CN" w:bidi="ar"/>
              </w:rPr>
              <w:t>间距0.</w:t>
            </w:r>
            <w:r>
              <w:rPr>
                <w:rFonts w:hint="default" w:ascii="Times New Roman" w:hAnsi="Times New Roman" w:eastAsia="TimesNewRomanPSMT" w:cs="Times New Roman"/>
                <w:color w:val="000000"/>
                <w:kern w:val="0"/>
                <w:sz w:val="24"/>
                <w:szCs w:val="24"/>
                <w:lang w:val="en-US" w:eastAsia="zh-CN" w:bidi="ar"/>
              </w:rPr>
              <w:t>4m</w:t>
            </w:r>
            <w:r>
              <w:rPr>
                <w:rFonts w:hint="default" w:ascii="Times New Roman" w:hAnsi="Times New Roman" w:eastAsia="宋体" w:cs="Times New Roman"/>
                <w:color w:val="000000"/>
                <w:kern w:val="0"/>
                <w:sz w:val="24"/>
                <w:szCs w:val="24"/>
                <w:lang w:val="en-US" w:eastAsia="zh-CN" w:bidi="ar"/>
              </w:rPr>
              <w:t>；排架宽</w:t>
            </w:r>
            <w:r>
              <w:rPr>
                <w:rFonts w:hint="eastAsia" w:cs="Times New Roman"/>
                <w:color w:val="000000"/>
                <w:kern w:val="0"/>
                <w:sz w:val="24"/>
                <w:szCs w:val="24"/>
                <w:lang w:val="en-US" w:eastAsia="zh-CN" w:bidi="ar"/>
              </w:rPr>
              <w:t>0.</w:t>
            </w:r>
            <w:r>
              <w:rPr>
                <w:rFonts w:hint="default" w:ascii="Times New Roman" w:hAnsi="Times New Roman" w:eastAsia="TimesNewRomanPSMT" w:cs="Times New Roman"/>
                <w:color w:val="000000"/>
                <w:kern w:val="0"/>
                <w:sz w:val="24"/>
                <w:szCs w:val="24"/>
                <w:lang w:val="en-US" w:eastAsia="zh-CN" w:bidi="ar"/>
              </w:rPr>
              <w:t>6m</w:t>
            </w:r>
            <w:r>
              <w:rPr>
                <w:rFonts w:hint="default" w:ascii="Times New Roman" w:hAnsi="Times New Roman" w:eastAsia="宋体" w:cs="Times New Roman"/>
                <w:color w:val="000000"/>
                <w:kern w:val="0"/>
                <w:sz w:val="24"/>
                <w:szCs w:val="24"/>
                <w:lang w:val="en-US" w:eastAsia="zh-CN" w:bidi="ar"/>
              </w:rPr>
              <w:t>，最顶端排架距管廊顶</w:t>
            </w:r>
            <w:r>
              <w:rPr>
                <w:rFonts w:hint="eastAsia" w:cs="Times New Roman"/>
                <w:color w:val="000000"/>
                <w:kern w:val="0"/>
                <w:sz w:val="24"/>
                <w:szCs w:val="24"/>
                <w:lang w:val="en-US" w:eastAsia="zh-CN" w:bidi="ar"/>
              </w:rPr>
              <w:t>0.</w:t>
            </w:r>
            <w:r>
              <w:rPr>
                <w:rFonts w:hint="default" w:ascii="Times New Roman" w:hAnsi="Times New Roman" w:eastAsia="TimesNewRomanPSMT" w:cs="Times New Roman"/>
                <w:color w:val="000000"/>
                <w:kern w:val="0"/>
                <w:sz w:val="24"/>
                <w:szCs w:val="24"/>
                <w:lang w:val="en-US" w:eastAsia="zh-CN" w:bidi="ar"/>
              </w:rPr>
              <w:t>35m</w:t>
            </w:r>
            <w:r>
              <w:rPr>
                <w:rFonts w:hint="default" w:ascii="Times New Roman" w:hAnsi="Times New Roman" w:eastAsia="宋体" w:cs="Times New Roman"/>
                <w:color w:val="000000"/>
                <w:kern w:val="0"/>
                <w:sz w:val="24"/>
                <w:szCs w:val="24"/>
                <w:lang w:val="en-US" w:eastAsia="zh-CN" w:bidi="ar"/>
              </w:rPr>
              <w:t>，中间通道宽</w:t>
            </w:r>
            <w:r>
              <w:rPr>
                <w:rFonts w:hint="default" w:ascii="Times New Roman" w:hAnsi="Times New Roman" w:eastAsia="TimesNewRomanPSMT" w:cs="Times New Roman"/>
                <w:color w:val="000000"/>
                <w:kern w:val="0"/>
                <w:sz w:val="24"/>
                <w:szCs w:val="24"/>
                <w:lang w:val="en-US" w:eastAsia="zh-CN" w:bidi="ar"/>
              </w:rPr>
              <w:t>1</w:t>
            </w:r>
            <w:r>
              <w:rPr>
                <w:rFonts w:hint="eastAsia" w:eastAsia="TimesNewRomanPSMT" w:cs="Times New Roman"/>
                <w:color w:val="000000"/>
                <w:kern w:val="0"/>
                <w:sz w:val="24"/>
                <w:szCs w:val="24"/>
                <w:lang w:val="en-US" w:eastAsia="zh-CN" w:bidi="ar"/>
              </w:rPr>
              <w:t>.</w:t>
            </w:r>
            <w:r>
              <w:rPr>
                <w:rFonts w:hint="default" w:ascii="Times New Roman" w:hAnsi="Times New Roman" w:eastAsia="TimesNewRomanPSMT" w:cs="Times New Roman"/>
                <w:color w:val="000000"/>
                <w:kern w:val="0"/>
                <w:sz w:val="24"/>
                <w:szCs w:val="24"/>
                <w:lang w:val="en-US" w:eastAsia="zh-CN" w:bidi="ar"/>
              </w:rPr>
              <w:t>3m</w:t>
            </w:r>
            <w:r>
              <w:rPr>
                <w:rFonts w:hint="default" w:ascii="Times New Roman" w:hAnsi="Times New Roman" w:eastAsia="宋体" w:cs="Times New Roman"/>
                <w:color w:val="000000"/>
                <w:kern w:val="0"/>
                <w:sz w:val="24"/>
                <w:szCs w:val="24"/>
                <w:lang w:val="en-US" w:eastAsia="zh-CN" w:bidi="ar"/>
              </w:rPr>
              <w:t>。</w:t>
            </w:r>
          </w:p>
          <w:p w14:paraId="02051890">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drawing>
                <wp:inline distT="0" distB="0" distL="114300" distR="114300">
                  <wp:extent cx="5343525" cy="2644140"/>
                  <wp:effectExtent l="0" t="0" r="9525" b="3810"/>
                  <wp:docPr id="12" name="图片 12" descr="A-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d9"/>
                          <pic:cNvPicPr>
                            <a:picLocks noChangeAspect="1"/>
                          </pic:cNvPicPr>
                        </pic:nvPicPr>
                        <pic:blipFill>
                          <a:blip r:embed="rId26"/>
                          <a:stretch>
                            <a:fillRect/>
                          </a:stretch>
                        </pic:blipFill>
                        <pic:spPr>
                          <a:xfrm>
                            <a:off x="0" y="0"/>
                            <a:ext cx="5343525" cy="2644140"/>
                          </a:xfrm>
                          <a:prstGeom prst="rect">
                            <a:avLst/>
                          </a:prstGeom>
                        </pic:spPr>
                      </pic:pic>
                    </a:graphicData>
                  </a:graphic>
                </wp:inline>
              </w:drawing>
            </w:r>
          </w:p>
          <w:p w14:paraId="2E63470F">
            <w:pPr>
              <w:keepNext w:val="0"/>
              <w:keepLines w:val="0"/>
              <w:widowControl/>
              <w:suppressLineNumbers w:val="0"/>
              <w:jc w:val="center"/>
              <w:rPr>
                <w:rFonts w:hint="default" w:ascii="Times New Roman" w:hAnsi="Times New Roman" w:cs="Times New Roman"/>
                <w:b/>
                <w:bCs/>
                <w:color w:val="000000"/>
                <w:kern w:val="0"/>
                <w:sz w:val="24"/>
                <w:szCs w:val="24"/>
                <w:lang w:val="en-US" w:eastAsia="zh-CN" w:bidi="ar"/>
              </w:rPr>
            </w:pPr>
            <w:r>
              <w:rPr>
                <w:rFonts w:hint="default" w:ascii="Times New Roman" w:hAnsi="Times New Roman" w:cs="Times New Roman"/>
                <w:b/>
                <w:bCs/>
                <w:color w:val="000000"/>
                <w:kern w:val="0"/>
                <w:sz w:val="24"/>
                <w:szCs w:val="24"/>
                <w:lang w:val="en-US" w:eastAsia="zh-CN" w:bidi="ar"/>
              </w:rPr>
              <w:t>图1-14 A-d9型综合管廊标准断面</w:t>
            </w:r>
          </w:p>
          <w:p w14:paraId="1E03A1A3">
            <w:pPr>
              <w:keepNext w:val="0"/>
              <w:keepLines w:val="0"/>
              <w:widowControl/>
              <w:suppressLineNumbers w:val="0"/>
              <w:ind w:firstLine="480" w:firstLineChars="200"/>
              <w:jc w:val="both"/>
              <w:rPr>
                <w:rFonts w:hint="eastAsia" w:cs="Times New Roman"/>
                <w:b w:val="0"/>
                <w:bCs w:val="0"/>
                <w:color w:val="000000"/>
                <w:kern w:val="0"/>
                <w:sz w:val="24"/>
                <w:szCs w:val="24"/>
                <w:lang w:val="en-US" w:eastAsia="zh-CN" w:bidi="ar"/>
              </w:rPr>
            </w:pPr>
            <w:r>
              <w:rPr>
                <w:rFonts w:hint="eastAsia" w:cs="Times New Roman"/>
                <w:b w:val="0"/>
                <w:bCs w:val="0"/>
                <w:color w:val="000000"/>
                <w:kern w:val="0"/>
                <w:sz w:val="24"/>
                <w:szCs w:val="24"/>
                <w:lang w:val="en-US" w:eastAsia="zh-CN" w:bidi="ar"/>
              </w:rPr>
              <w:t>⑤A-d10型综合管廊</w:t>
            </w:r>
          </w:p>
          <w:p w14:paraId="3F412386">
            <w:pPr>
              <w:keepNext w:val="0"/>
              <w:keepLines w:val="0"/>
              <w:widowControl/>
              <w:suppressLineNumbers w:val="0"/>
              <w:ind w:firstLine="480" w:firstLineChars="200"/>
              <w:jc w:val="left"/>
              <w:rPr>
                <w:rFonts w:hint="eastAsia" w:eastAsia="TimesNewRomanPSMT"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该断面应用于阔时路（西二环</w:t>
            </w:r>
            <w:r>
              <w:rPr>
                <w:rFonts w:hint="eastAsia" w:cs="Times New Roman"/>
                <w:color w:val="000000"/>
                <w:kern w:val="0"/>
                <w:sz w:val="24"/>
                <w:szCs w:val="24"/>
                <w:lang w:val="en-US" w:eastAsia="zh-CN" w:bidi="ar"/>
              </w:rPr>
              <w:t>至</w:t>
            </w:r>
            <w:r>
              <w:rPr>
                <w:rFonts w:hint="default" w:ascii="Times New Roman" w:hAnsi="Times New Roman" w:eastAsia="宋体" w:cs="Times New Roman"/>
                <w:color w:val="000000"/>
                <w:kern w:val="0"/>
                <w:sz w:val="24"/>
                <w:szCs w:val="24"/>
                <w:lang w:val="en-US" w:eastAsia="zh-CN" w:bidi="ar"/>
              </w:rPr>
              <w:t>金孔雀大街）</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采用双舱形式，分别为：燃气仓 、 综 合 仓 。综合管廊外尺寸</w:t>
            </w:r>
            <w:r>
              <w:rPr>
                <w:rFonts w:hint="eastAsia" w:cs="Times New Roman"/>
                <w:color w:val="000000"/>
                <w:kern w:val="0"/>
                <w:sz w:val="24"/>
                <w:szCs w:val="24"/>
                <w:lang w:val="en-US" w:eastAsia="zh-CN" w:bidi="ar"/>
              </w:rPr>
              <w:t>：</w:t>
            </w:r>
            <w:r>
              <w:rPr>
                <w:rFonts w:hint="default" w:ascii="Times New Roman" w:hAnsi="Times New Roman" w:eastAsia="TimesNewRomanPSMT" w:cs="Times New Roman"/>
                <w:color w:val="000000"/>
                <w:kern w:val="0"/>
                <w:sz w:val="24"/>
                <w:szCs w:val="24"/>
                <w:lang w:val="en-US" w:eastAsia="zh-CN" w:bidi="ar"/>
              </w:rPr>
              <w:t>B×H=6.1m×3.8m</w:t>
            </w:r>
            <w:r>
              <w:rPr>
                <w:rFonts w:hint="default" w:ascii="Times New Roman" w:hAnsi="Times New Roman" w:eastAsia="宋体" w:cs="Times New Roman"/>
                <w:color w:val="000000"/>
                <w:kern w:val="0"/>
                <w:sz w:val="24"/>
                <w:szCs w:val="24"/>
                <w:lang w:val="en-US" w:eastAsia="zh-CN" w:bidi="ar"/>
              </w:rPr>
              <w:t>；净尺寸</w:t>
            </w:r>
            <w:r>
              <w:rPr>
                <w:rFonts w:hint="eastAsia" w:cs="Times New Roman"/>
                <w:color w:val="000000"/>
                <w:kern w:val="0"/>
                <w:sz w:val="24"/>
                <w:szCs w:val="24"/>
                <w:lang w:val="en-US" w:eastAsia="zh-CN" w:bidi="ar"/>
              </w:rPr>
              <w:t>：</w:t>
            </w:r>
            <w:r>
              <w:rPr>
                <w:rFonts w:hint="default" w:ascii="Times New Roman" w:hAnsi="Times New Roman" w:eastAsia="TimesNewRomanPSMT" w:cs="Times New Roman"/>
                <w:color w:val="000000"/>
                <w:kern w:val="0"/>
                <w:sz w:val="24"/>
                <w:szCs w:val="24"/>
                <w:lang w:val="en-US" w:eastAsia="zh-CN" w:bidi="ar"/>
              </w:rPr>
              <w:t>B×H=1.7m×</w:t>
            </w:r>
            <w:r>
              <w:rPr>
                <w:rFonts w:hint="eastAsia" w:eastAsia="TimesNewRomanPSMT" w:cs="Times New Roman"/>
                <w:color w:val="000000"/>
                <w:kern w:val="0"/>
                <w:sz w:val="24"/>
                <w:szCs w:val="24"/>
                <w:lang w:val="en-US" w:eastAsia="zh-CN" w:bidi="ar"/>
              </w:rPr>
              <w:t>2.5</w:t>
            </w:r>
            <w:r>
              <w:rPr>
                <w:rFonts w:hint="default" w:ascii="Times New Roman" w:hAnsi="Times New Roman" w:eastAsia="TimesNewRomanPSMT" w:cs="Times New Roman"/>
                <w:color w:val="000000"/>
                <w:kern w:val="0"/>
                <w:sz w:val="24"/>
                <w:szCs w:val="24"/>
                <w:lang w:val="en-US" w:eastAsia="zh-CN" w:bidi="ar"/>
              </w:rPr>
              <w:t>m+3.3m×</w:t>
            </w:r>
            <w:r>
              <w:rPr>
                <w:rFonts w:hint="eastAsia" w:eastAsia="TimesNewRomanPSMT" w:cs="Times New Roman"/>
                <w:color w:val="000000"/>
                <w:kern w:val="0"/>
                <w:sz w:val="24"/>
                <w:szCs w:val="24"/>
                <w:lang w:val="en-US" w:eastAsia="zh-CN" w:bidi="ar"/>
              </w:rPr>
              <w:t>2.5</w:t>
            </w:r>
            <w:r>
              <w:rPr>
                <w:rFonts w:hint="default" w:ascii="Times New Roman" w:hAnsi="Times New Roman" w:eastAsia="TimesNewRomanPSMT"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lang w:val="en-US" w:eastAsia="zh-CN" w:bidi="ar"/>
              </w:rPr>
              <w:t>。廊内净空高为</w:t>
            </w:r>
            <w:r>
              <w:rPr>
                <w:rFonts w:hint="eastAsia" w:cs="Times New Roman"/>
                <w:color w:val="000000"/>
                <w:kern w:val="0"/>
                <w:sz w:val="24"/>
                <w:szCs w:val="24"/>
                <w:lang w:val="en-US" w:eastAsia="zh-CN" w:bidi="ar"/>
              </w:rPr>
              <w:t>2.5</w:t>
            </w:r>
            <w:r>
              <w:rPr>
                <w:rFonts w:hint="default" w:ascii="Times New Roman" w:hAnsi="Times New Roman" w:eastAsia="TimesNewRomanPSMT" w:cs="Times New Roman"/>
                <w:color w:val="000000"/>
                <w:kern w:val="0"/>
                <w:sz w:val="24"/>
                <w:szCs w:val="24"/>
                <w:lang w:val="en-US" w:eastAsia="zh-CN" w:bidi="ar"/>
              </w:rPr>
              <w:t>m</w:t>
            </w:r>
            <w:r>
              <w:rPr>
                <w:rFonts w:hint="default" w:ascii="Times New Roman" w:hAnsi="Times New Roman" w:eastAsia="宋体" w:cs="Times New Roman"/>
                <w:color w:val="000000"/>
                <w:kern w:val="0"/>
                <w:sz w:val="24"/>
                <w:szCs w:val="24"/>
                <w:lang w:val="en-US" w:eastAsia="zh-CN" w:bidi="ar"/>
              </w:rPr>
              <w:t>。燃气舱设燃气管道</w:t>
            </w:r>
            <w:r>
              <w:rPr>
                <w:rFonts w:hint="default" w:ascii="Times New Roman" w:hAnsi="Times New Roman" w:eastAsia="TimesNewRomanPSMT" w:cs="Times New Roman"/>
                <w:color w:val="000000"/>
                <w:kern w:val="0"/>
                <w:sz w:val="24"/>
                <w:szCs w:val="24"/>
                <w:lang w:val="en-US" w:eastAsia="zh-CN" w:bidi="ar"/>
              </w:rPr>
              <w:t>DN300</w:t>
            </w:r>
            <w:r>
              <w:rPr>
                <w:rFonts w:hint="default" w:ascii="Times New Roman" w:hAnsi="Times New Roman" w:eastAsia="宋体" w:cs="Times New Roman"/>
                <w:color w:val="000000"/>
                <w:kern w:val="0"/>
                <w:sz w:val="24"/>
                <w:szCs w:val="24"/>
                <w:lang w:val="en-US" w:eastAsia="zh-CN" w:bidi="ar"/>
              </w:rPr>
              <w:t>，左侧留</w:t>
            </w:r>
            <w:r>
              <w:rPr>
                <w:rFonts w:hint="default" w:ascii="Times New Roman" w:hAnsi="Times New Roman" w:eastAsia="TimesNewRomanPSMT"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层自用电缆排架。综合舱左侧设通信排架</w:t>
            </w:r>
            <w:r>
              <w:rPr>
                <w:rFonts w:hint="default" w:ascii="Times New Roman" w:hAnsi="Times New Roman" w:eastAsia="TimesNewRomanPSMT"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层</w:t>
            </w:r>
            <w:r>
              <w:rPr>
                <w:rFonts w:hint="eastAsia" w:cs="Times New Roman"/>
                <w:color w:val="000000"/>
                <w:kern w:val="0"/>
                <w:sz w:val="24"/>
                <w:szCs w:val="24"/>
                <w:lang w:val="en-US" w:eastAsia="zh-CN" w:bidi="ar"/>
              </w:rPr>
              <w:t>，</w:t>
            </w:r>
            <w:r>
              <w:rPr>
                <w:rFonts w:hint="default" w:ascii="Times New Roman" w:hAnsi="Times New Roman" w:eastAsia="TimesNewRomanPSMT"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层自用电缆排架，间距</w:t>
            </w:r>
            <w:r>
              <w:rPr>
                <w:rFonts w:hint="eastAsia" w:cs="Times New Roman"/>
                <w:color w:val="000000"/>
                <w:kern w:val="0"/>
                <w:sz w:val="24"/>
                <w:szCs w:val="24"/>
                <w:lang w:val="en-US" w:eastAsia="zh-CN" w:bidi="ar"/>
              </w:rPr>
              <w:t>0.</w:t>
            </w:r>
            <w:r>
              <w:rPr>
                <w:rFonts w:hint="default" w:ascii="Times New Roman" w:hAnsi="Times New Roman" w:eastAsia="TimesNewRomanPSMT" w:cs="Times New Roman"/>
                <w:color w:val="000000"/>
                <w:kern w:val="0"/>
                <w:sz w:val="24"/>
                <w:szCs w:val="24"/>
                <w:lang w:val="en-US" w:eastAsia="zh-CN" w:bidi="ar"/>
              </w:rPr>
              <w:t>3m</w:t>
            </w:r>
            <w:r>
              <w:rPr>
                <w:rFonts w:hint="default" w:ascii="Times New Roman" w:hAnsi="Times New Roman" w:eastAsia="宋体" w:cs="Times New Roman"/>
                <w:color w:val="000000"/>
                <w:kern w:val="0"/>
                <w:sz w:val="24"/>
                <w:szCs w:val="24"/>
                <w:lang w:val="en-US" w:eastAsia="zh-CN" w:bidi="ar"/>
              </w:rPr>
              <w:t>，通信排架下方安装</w:t>
            </w:r>
            <w:r>
              <w:rPr>
                <w:rFonts w:hint="default" w:ascii="Times New Roman" w:hAnsi="Times New Roman" w:eastAsia="TimesNewRomanPSMT" w:cs="Times New Roman"/>
                <w:color w:val="000000"/>
                <w:kern w:val="0"/>
                <w:sz w:val="24"/>
                <w:szCs w:val="24"/>
                <w:lang w:val="en-US" w:eastAsia="zh-CN" w:bidi="ar"/>
              </w:rPr>
              <w:t>DN400</w:t>
            </w:r>
            <w:r>
              <w:rPr>
                <w:rFonts w:hint="default" w:ascii="Times New Roman" w:hAnsi="Times New Roman" w:eastAsia="宋体" w:cs="Times New Roman"/>
                <w:color w:val="000000"/>
                <w:kern w:val="0"/>
                <w:sz w:val="24"/>
                <w:szCs w:val="24"/>
                <w:lang w:val="en-US" w:eastAsia="zh-CN" w:bidi="ar"/>
              </w:rPr>
              <w:t>再生水管，再生水管至通信排架</w:t>
            </w:r>
            <w:r>
              <w:rPr>
                <w:rFonts w:hint="eastAsia" w:cs="Times New Roman"/>
                <w:color w:val="000000"/>
                <w:kern w:val="0"/>
                <w:sz w:val="24"/>
                <w:szCs w:val="24"/>
                <w:lang w:val="en-US" w:eastAsia="zh-CN" w:bidi="ar"/>
              </w:rPr>
              <w:t>间距0.</w:t>
            </w:r>
            <w:r>
              <w:rPr>
                <w:rFonts w:hint="default" w:ascii="Times New Roman" w:hAnsi="Times New Roman" w:eastAsia="TimesNewRomanPSMT" w:cs="Times New Roman"/>
                <w:color w:val="000000"/>
                <w:kern w:val="0"/>
                <w:sz w:val="24"/>
                <w:szCs w:val="24"/>
                <w:lang w:val="en-US" w:eastAsia="zh-CN" w:bidi="ar"/>
              </w:rPr>
              <w:t>75m</w:t>
            </w:r>
            <w:r>
              <w:rPr>
                <w:rFonts w:hint="default" w:ascii="Times New Roman" w:hAnsi="Times New Roman" w:eastAsia="宋体" w:cs="Times New Roman"/>
                <w:color w:val="000000"/>
                <w:kern w:val="0"/>
                <w:sz w:val="24"/>
                <w:szCs w:val="24"/>
                <w:lang w:val="en-US" w:eastAsia="zh-CN" w:bidi="ar"/>
              </w:rPr>
              <w:t>；右侧</w:t>
            </w:r>
            <w:r>
              <w:rPr>
                <w:rFonts w:hint="default" w:ascii="Times New Roman" w:hAnsi="Times New Roman" w:eastAsia="TimesNewRomanPSMT" w:cs="Times New Roman"/>
                <w:color w:val="000000"/>
                <w:kern w:val="0"/>
                <w:sz w:val="24"/>
                <w:szCs w:val="24"/>
                <w:lang w:val="en-US" w:eastAsia="zh-CN" w:bidi="ar"/>
              </w:rPr>
              <w:t>10kv</w:t>
            </w:r>
            <w:r>
              <w:rPr>
                <w:rFonts w:hint="default" w:ascii="Times New Roman" w:hAnsi="Times New Roman" w:eastAsia="宋体" w:cs="Times New Roman"/>
                <w:color w:val="000000"/>
                <w:kern w:val="0"/>
                <w:sz w:val="24"/>
                <w:szCs w:val="24"/>
                <w:lang w:val="en-US" w:eastAsia="zh-CN" w:bidi="ar"/>
              </w:rPr>
              <w:t>电力电缆排架</w:t>
            </w:r>
            <w:r>
              <w:rPr>
                <w:rFonts w:hint="default" w:ascii="Times New Roman" w:hAnsi="Times New Roman" w:eastAsia="TimesNewRomanPSMT" w:cs="Times New Roman"/>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层，间距</w:t>
            </w:r>
            <w:r>
              <w:rPr>
                <w:rFonts w:hint="eastAsia" w:cs="Times New Roman"/>
                <w:color w:val="000000"/>
                <w:kern w:val="0"/>
                <w:sz w:val="24"/>
                <w:szCs w:val="24"/>
                <w:lang w:val="en-US" w:eastAsia="zh-CN" w:bidi="ar"/>
              </w:rPr>
              <w:t>0.</w:t>
            </w:r>
            <w:r>
              <w:rPr>
                <w:rFonts w:hint="default" w:ascii="Times New Roman" w:hAnsi="Times New Roman" w:eastAsia="TimesNewRomanPSMT" w:cs="Times New Roman"/>
                <w:color w:val="000000"/>
                <w:kern w:val="0"/>
                <w:sz w:val="24"/>
                <w:szCs w:val="24"/>
                <w:lang w:val="en-US" w:eastAsia="zh-CN" w:bidi="ar"/>
              </w:rPr>
              <w:t>35m</w:t>
            </w:r>
            <w:r>
              <w:rPr>
                <w:rFonts w:hint="default" w:ascii="Times New Roman" w:hAnsi="Times New Roman" w:eastAsia="宋体" w:cs="Times New Roman"/>
                <w:color w:val="000000"/>
                <w:kern w:val="0"/>
                <w:sz w:val="24"/>
                <w:szCs w:val="24"/>
                <w:lang w:val="en-US" w:eastAsia="zh-CN" w:bidi="ar"/>
              </w:rPr>
              <w:t>，下方安装</w:t>
            </w:r>
            <w:r>
              <w:rPr>
                <w:rFonts w:hint="default" w:ascii="Times New Roman" w:hAnsi="Times New Roman" w:eastAsia="TimesNewRomanPSMT" w:cs="Times New Roman"/>
                <w:color w:val="000000"/>
                <w:kern w:val="0"/>
                <w:sz w:val="24"/>
                <w:szCs w:val="24"/>
                <w:lang w:val="en-US" w:eastAsia="zh-CN" w:bidi="ar"/>
              </w:rPr>
              <w:t>DN600</w:t>
            </w:r>
            <w:r>
              <w:rPr>
                <w:rFonts w:hint="default" w:ascii="Times New Roman" w:hAnsi="Times New Roman" w:eastAsia="宋体" w:cs="Times New Roman"/>
                <w:color w:val="000000"/>
                <w:kern w:val="0"/>
                <w:sz w:val="24"/>
                <w:szCs w:val="24"/>
                <w:lang w:val="en-US" w:eastAsia="zh-CN" w:bidi="ar"/>
              </w:rPr>
              <w:t>给水管，给水管至电力排架间距</w:t>
            </w:r>
            <w:r>
              <w:rPr>
                <w:rFonts w:hint="eastAsia" w:cs="Times New Roman"/>
                <w:color w:val="000000"/>
                <w:kern w:val="0"/>
                <w:sz w:val="24"/>
                <w:szCs w:val="24"/>
                <w:lang w:val="en-US" w:eastAsia="zh-CN" w:bidi="ar"/>
              </w:rPr>
              <w:t>0.</w:t>
            </w:r>
            <w:r>
              <w:rPr>
                <w:rFonts w:hint="default" w:ascii="Times New Roman" w:hAnsi="Times New Roman" w:eastAsia="TimesNewRomanPSMT" w:cs="Times New Roman"/>
                <w:color w:val="000000"/>
                <w:kern w:val="0"/>
                <w:sz w:val="24"/>
                <w:szCs w:val="24"/>
                <w:lang w:val="en-US" w:eastAsia="zh-CN" w:bidi="ar"/>
              </w:rPr>
              <w:t>4m</w:t>
            </w:r>
            <w:r>
              <w:rPr>
                <w:rFonts w:hint="default" w:ascii="Times New Roman" w:hAnsi="Times New Roman" w:eastAsia="宋体" w:cs="Times New Roman"/>
                <w:color w:val="000000"/>
                <w:kern w:val="0"/>
                <w:sz w:val="24"/>
                <w:szCs w:val="24"/>
                <w:lang w:val="en-US" w:eastAsia="zh-CN" w:bidi="ar"/>
              </w:rPr>
              <w:t>；排架宽</w:t>
            </w:r>
            <w:r>
              <w:rPr>
                <w:rFonts w:hint="eastAsia" w:cs="Times New Roman"/>
                <w:color w:val="000000"/>
                <w:kern w:val="0"/>
                <w:sz w:val="24"/>
                <w:szCs w:val="24"/>
                <w:lang w:val="en-US" w:eastAsia="zh-CN" w:bidi="ar"/>
              </w:rPr>
              <w:t>0.</w:t>
            </w:r>
            <w:r>
              <w:rPr>
                <w:rFonts w:hint="default" w:ascii="Times New Roman" w:hAnsi="Times New Roman" w:eastAsia="TimesNewRomanPSMT" w:cs="Times New Roman"/>
                <w:color w:val="000000"/>
                <w:kern w:val="0"/>
                <w:sz w:val="24"/>
                <w:szCs w:val="24"/>
                <w:lang w:val="en-US" w:eastAsia="zh-CN" w:bidi="ar"/>
              </w:rPr>
              <w:t>6m</w:t>
            </w:r>
            <w:r>
              <w:rPr>
                <w:rFonts w:hint="default" w:ascii="Times New Roman" w:hAnsi="Times New Roman" w:eastAsia="宋体" w:cs="Times New Roman"/>
                <w:color w:val="000000"/>
                <w:kern w:val="0"/>
                <w:sz w:val="24"/>
                <w:szCs w:val="24"/>
                <w:lang w:val="en-US" w:eastAsia="zh-CN" w:bidi="ar"/>
              </w:rPr>
              <w:t>，最顶端排架距管廊顶</w:t>
            </w:r>
            <w:r>
              <w:rPr>
                <w:rFonts w:hint="eastAsia" w:cs="Times New Roman"/>
                <w:color w:val="000000"/>
                <w:kern w:val="0"/>
                <w:sz w:val="24"/>
                <w:szCs w:val="24"/>
                <w:lang w:val="en-US" w:eastAsia="zh-CN" w:bidi="ar"/>
              </w:rPr>
              <w:t>0.</w:t>
            </w:r>
            <w:r>
              <w:rPr>
                <w:rFonts w:hint="default" w:ascii="Times New Roman" w:hAnsi="Times New Roman" w:eastAsia="TimesNewRomanPSMT" w:cs="Times New Roman"/>
                <w:color w:val="000000"/>
                <w:kern w:val="0"/>
                <w:sz w:val="24"/>
                <w:szCs w:val="24"/>
                <w:lang w:val="en-US" w:eastAsia="zh-CN" w:bidi="ar"/>
              </w:rPr>
              <w:t>35m</w:t>
            </w:r>
            <w:r>
              <w:rPr>
                <w:rFonts w:hint="default" w:ascii="Times New Roman" w:hAnsi="Times New Roman" w:eastAsia="宋体" w:cs="Times New Roman"/>
                <w:color w:val="000000"/>
                <w:kern w:val="0"/>
                <w:sz w:val="24"/>
                <w:szCs w:val="24"/>
                <w:lang w:val="en-US" w:eastAsia="zh-CN" w:bidi="ar"/>
              </w:rPr>
              <w:t>，中间通道</w:t>
            </w:r>
            <w:r>
              <w:rPr>
                <w:rFonts w:hint="default" w:ascii="Times New Roman" w:hAnsi="Times New Roman" w:eastAsia="TimesNewRomanPSMT" w:cs="Times New Roman"/>
                <w:color w:val="000000"/>
                <w:kern w:val="0"/>
                <w:sz w:val="24"/>
                <w:szCs w:val="24"/>
                <w:lang w:val="en-US" w:eastAsia="zh-CN" w:bidi="ar"/>
              </w:rPr>
              <w:t>1</w:t>
            </w:r>
            <w:r>
              <w:rPr>
                <w:rFonts w:hint="eastAsia" w:eastAsia="TimesNewRomanPSMT" w:cs="Times New Roman"/>
                <w:color w:val="000000"/>
                <w:kern w:val="0"/>
                <w:sz w:val="24"/>
                <w:szCs w:val="24"/>
                <w:lang w:val="en-US" w:eastAsia="zh-CN" w:bidi="ar"/>
              </w:rPr>
              <w:t>.</w:t>
            </w:r>
            <w:r>
              <w:rPr>
                <w:rFonts w:hint="default" w:ascii="Times New Roman" w:hAnsi="Times New Roman" w:eastAsia="TimesNewRomanPSMT" w:cs="Times New Roman"/>
                <w:color w:val="000000"/>
                <w:kern w:val="0"/>
                <w:sz w:val="24"/>
                <w:szCs w:val="24"/>
                <w:lang w:val="en-US" w:eastAsia="zh-CN" w:bidi="ar"/>
              </w:rPr>
              <w:t>3m</w:t>
            </w:r>
            <w:r>
              <w:rPr>
                <w:rFonts w:hint="eastAsia" w:eastAsia="TimesNewRomanPSMT" w:cs="Times New Roman"/>
                <w:color w:val="000000"/>
                <w:kern w:val="0"/>
                <w:sz w:val="24"/>
                <w:szCs w:val="24"/>
                <w:lang w:val="en-US" w:eastAsia="zh-CN" w:bidi="ar"/>
              </w:rPr>
              <w:t>。</w:t>
            </w:r>
          </w:p>
          <w:p w14:paraId="5F91CC6B">
            <w:pPr>
              <w:keepNext w:val="0"/>
              <w:keepLines w:val="0"/>
              <w:widowControl/>
              <w:suppressLineNumbers w:val="0"/>
              <w:jc w:val="left"/>
              <w:rPr>
                <w:rFonts w:hint="default" w:eastAsia="TimesNewRomanPSMT" w:cs="Times New Roman"/>
                <w:color w:val="000000"/>
                <w:kern w:val="0"/>
                <w:sz w:val="24"/>
                <w:szCs w:val="24"/>
                <w:lang w:val="en-US" w:eastAsia="zh-CN" w:bidi="ar"/>
              </w:rPr>
            </w:pPr>
            <w:r>
              <w:rPr>
                <w:rFonts w:hint="default" w:eastAsia="TimesNewRomanPSMT" w:cs="Times New Roman"/>
                <w:color w:val="000000"/>
                <w:kern w:val="0"/>
                <w:sz w:val="24"/>
                <w:szCs w:val="24"/>
                <w:lang w:val="en-US" w:eastAsia="zh-CN" w:bidi="ar"/>
              </w:rPr>
              <w:drawing>
                <wp:inline distT="0" distB="0" distL="114300" distR="114300">
                  <wp:extent cx="5348605" cy="2845435"/>
                  <wp:effectExtent l="0" t="0" r="4445" b="12065"/>
                  <wp:docPr id="13" name="图片 13" descr="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d10"/>
                          <pic:cNvPicPr>
                            <a:picLocks noChangeAspect="1"/>
                          </pic:cNvPicPr>
                        </pic:nvPicPr>
                        <pic:blipFill>
                          <a:blip r:embed="rId27"/>
                          <a:stretch>
                            <a:fillRect/>
                          </a:stretch>
                        </pic:blipFill>
                        <pic:spPr>
                          <a:xfrm>
                            <a:off x="0" y="0"/>
                            <a:ext cx="5348605" cy="2845435"/>
                          </a:xfrm>
                          <a:prstGeom prst="rect">
                            <a:avLst/>
                          </a:prstGeom>
                        </pic:spPr>
                      </pic:pic>
                    </a:graphicData>
                  </a:graphic>
                </wp:inline>
              </w:drawing>
            </w:r>
          </w:p>
          <w:p w14:paraId="0CA000D8">
            <w:pPr>
              <w:keepNext w:val="0"/>
              <w:keepLines w:val="0"/>
              <w:widowControl/>
              <w:suppressLineNumbers w:val="0"/>
              <w:jc w:val="center"/>
              <w:rPr>
                <w:rFonts w:hint="default" w:ascii="Times New Roman" w:hAnsi="Times New Roman" w:eastAsia="TimesNewRomanPSMT" w:cs="Times New Roman"/>
                <w:b/>
                <w:bCs/>
                <w:color w:val="000000"/>
                <w:kern w:val="0"/>
                <w:sz w:val="24"/>
                <w:szCs w:val="24"/>
                <w:lang w:val="en-US" w:eastAsia="zh-CN" w:bidi="ar"/>
              </w:rPr>
            </w:pPr>
            <w:r>
              <w:rPr>
                <w:rFonts w:hint="default" w:ascii="Times New Roman" w:hAnsi="Times New Roman" w:eastAsia="TimesNewRomanPSMT" w:cs="Times New Roman"/>
                <w:b/>
                <w:bCs/>
                <w:color w:val="000000"/>
                <w:kern w:val="0"/>
                <w:sz w:val="24"/>
                <w:szCs w:val="24"/>
                <w:lang w:val="en-US" w:eastAsia="zh-CN" w:bidi="ar"/>
              </w:rPr>
              <w:t>图1-15 A-d10型综合管廊标准断面</w:t>
            </w:r>
          </w:p>
          <w:p w14:paraId="2E8620C4">
            <w:pPr>
              <w:keepNext w:val="0"/>
              <w:keepLines w:val="0"/>
              <w:widowControl/>
              <w:suppressLineNumbers w:val="0"/>
              <w:ind w:firstLine="480" w:firstLineChars="200"/>
              <w:jc w:val="both"/>
              <w:rPr>
                <w:rFonts w:hint="eastAsia" w:eastAsia="TimesNewRomanPSMT" w:cs="Times New Roman"/>
                <w:b w:val="0"/>
                <w:bCs w:val="0"/>
                <w:color w:val="000000"/>
                <w:kern w:val="0"/>
                <w:sz w:val="24"/>
                <w:szCs w:val="24"/>
                <w:lang w:val="en-US" w:eastAsia="zh-CN" w:bidi="ar"/>
              </w:rPr>
            </w:pPr>
            <w:r>
              <w:rPr>
                <w:rFonts w:hint="eastAsia" w:eastAsia="TimesNewRomanPSMT" w:cs="Times New Roman"/>
                <w:b w:val="0"/>
                <w:bCs w:val="0"/>
                <w:color w:val="000000"/>
                <w:kern w:val="0"/>
                <w:sz w:val="24"/>
                <w:szCs w:val="24"/>
                <w:lang w:val="en-US" w:eastAsia="zh-CN" w:bidi="ar"/>
              </w:rPr>
              <w:t>⑥B-d1型综合管廊</w:t>
            </w:r>
          </w:p>
          <w:p w14:paraId="4D2FD44B">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该断面应用于勐焕路（西二环</w:t>
            </w:r>
            <w:r>
              <w:rPr>
                <w:rFonts w:hint="eastAsia" w:cs="Times New Roman"/>
                <w:color w:val="000000"/>
                <w:kern w:val="0"/>
                <w:sz w:val="24"/>
                <w:szCs w:val="24"/>
                <w:lang w:val="en-US" w:eastAsia="zh-CN" w:bidi="ar"/>
              </w:rPr>
              <w:t>至</w:t>
            </w:r>
            <w:r>
              <w:rPr>
                <w:rFonts w:hint="default" w:ascii="Times New Roman" w:hAnsi="Times New Roman" w:eastAsia="宋体" w:cs="Times New Roman"/>
                <w:color w:val="000000"/>
                <w:kern w:val="0"/>
                <w:sz w:val="24"/>
                <w:szCs w:val="24"/>
                <w:lang w:val="en-US" w:eastAsia="zh-CN" w:bidi="ar"/>
              </w:rPr>
              <w:t>芒市大街）、胞波路（西二环</w:t>
            </w:r>
            <w:r>
              <w:rPr>
                <w:rFonts w:hint="eastAsia" w:cs="Times New Roman"/>
                <w:color w:val="000000"/>
                <w:kern w:val="0"/>
                <w:sz w:val="24"/>
                <w:szCs w:val="24"/>
                <w:lang w:val="en-US" w:eastAsia="zh-CN" w:bidi="ar"/>
              </w:rPr>
              <w:t>至</w:t>
            </w:r>
            <w:r>
              <w:rPr>
                <w:rFonts w:hint="default" w:ascii="Times New Roman" w:hAnsi="Times New Roman" w:eastAsia="宋体" w:cs="Times New Roman"/>
                <w:color w:val="000000"/>
                <w:kern w:val="0"/>
                <w:sz w:val="24"/>
                <w:szCs w:val="24"/>
                <w:lang w:val="en-US" w:eastAsia="zh-CN" w:bidi="ar"/>
              </w:rPr>
              <w:t>芒市大街），顶、底板及壁厚均为</w:t>
            </w:r>
            <w:r>
              <w:rPr>
                <w:rFonts w:hint="eastAsia" w:cs="Times New Roman"/>
                <w:color w:val="000000"/>
                <w:kern w:val="0"/>
                <w:sz w:val="24"/>
                <w:szCs w:val="24"/>
                <w:lang w:val="en-US" w:eastAsia="zh-CN" w:bidi="ar"/>
              </w:rPr>
              <w:t>0.</w:t>
            </w:r>
            <w:r>
              <w:rPr>
                <w:rFonts w:hint="default" w:ascii="Times New Roman" w:hAnsi="Times New Roman" w:eastAsia="TimesNewRomanPSMT" w:cs="Times New Roman"/>
                <w:color w:val="000000"/>
                <w:kern w:val="0"/>
                <w:sz w:val="24"/>
                <w:szCs w:val="24"/>
                <w:lang w:val="en-US" w:eastAsia="zh-CN" w:bidi="ar"/>
              </w:rPr>
              <w:t>2m</w:t>
            </w:r>
            <w:r>
              <w:rPr>
                <w:rFonts w:hint="default" w:ascii="Times New Roman" w:hAnsi="Times New Roman" w:eastAsia="宋体" w:cs="Times New Roman"/>
                <w:color w:val="000000"/>
                <w:kern w:val="0"/>
                <w:sz w:val="24"/>
                <w:szCs w:val="24"/>
                <w:lang w:val="en-US" w:eastAsia="zh-CN" w:bidi="ar"/>
              </w:rPr>
              <w:t>，管廊内净空高</w:t>
            </w:r>
            <w:r>
              <w:rPr>
                <w:rFonts w:hint="default" w:ascii="Times New Roman" w:hAnsi="Times New Roman" w:eastAsia="TimesNewRomanPSMT" w:cs="Times New Roman"/>
                <w:color w:val="000000"/>
                <w:kern w:val="0"/>
                <w:sz w:val="24"/>
                <w:szCs w:val="24"/>
                <w:lang w:val="en-US" w:eastAsia="zh-CN" w:bidi="ar"/>
              </w:rPr>
              <w:t>1</w:t>
            </w:r>
            <w:r>
              <w:rPr>
                <w:rFonts w:hint="eastAsia" w:eastAsia="TimesNewRomanPSMT" w:cs="Times New Roman"/>
                <w:color w:val="000000"/>
                <w:kern w:val="0"/>
                <w:sz w:val="24"/>
                <w:szCs w:val="24"/>
                <w:lang w:val="en-US" w:eastAsia="zh-CN" w:bidi="ar"/>
              </w:rPr>
              <w:t>.</w:t>
            </w:r>
            <w:r>
              <w:rPr>
                <w:rFonts w:hint="default" w:ascii="Times New Roman" w:hAnsi="Times New Roman" w:eastAsia="TimesNewRomanPSMT" w:cs="Times New Roman"/>
                <w:color w:val="000000"/>
                <w:kern w:val="0"/>
                <w:sz w:val="24"/>
                <w:szCs w:val="24"/>
                <w:lang w:val="en-US" w:eastAsia="zh-CN" w:bidi="ar"/>
              </w:rPr>
              <w:t>45m</w:t>
            </w:r>
            <w:r>
              <w:rPr>
                <w:rFonts w:hint="default" w:ascii="Times New Roman" w:hAnsi="Times New Roman" w:eastAsia="宋体" w:cs="Times New Roman"/>
                <w:color w:val="000000"/>
                <w:kern w:val="0"/>
                <w:sz w:val="24"/>
                <w:szCs w:val="24"/>
                <w:lang w:val="en-US" w:eastAsia="zh-CN" w:bidi="ar"/>
              </w:rPr>
              <w:t>；左侧设</w:t>
            </w:r>
            <w:r>
              <w:rPr>
                <w:rFonts w:hint="default" w:ascii="Times New Roman" w:hAnsi="Times New Roman" w:eastAsia="TimesNewRomanPSMT" w:cs="Times New Roman"/>
                <w:color w:val="000000"/>
                <w:kern w:val="0"/>
                <w:sz w:val="24"/>
                <w:szCs w:val="24"/>
                <w:lang w:val="en-US" w:eastAsia="zh-CN" w:bidi="ar"/>
              </w:rPr>
              <w:t>10kv</w:t>
            </w:r>
            <w:r>
              <w:rPr>
                <w:rFonts w:hint="default" w:ascii="Times New Roman" w:hAnsi="Times New Roman" w:eastAsia="宋体" w:cs="Times New Roman"/>
                <w:color w:val="000000"/>
                <w:kern w:val="0"/>
                <w:sz w:val="24"/>
                <w:szCs w:val="24"/>
                <w:lang w:val="en-US" w:eastAsia="zh-CN" w:bidi="ar"/>
              </w:rPr>
              <w:t>电力电缆排架</w:t>
            </w:r>
            <w:r>
              <w:rPr>
                <w:rFonts w:hint="default" w:ascii="Times New Roman" w:hAnsi="Times New Roman" w:eastAsia="TimesNewRomanPSMT"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层，右侧设</w:t>
            </w:r>
            <w:r>
              <w:rPr>
                <w:rFonts w:hint="default" w:ascii="Times New Roman" w:hAnsi="Times New Roman" w:eastAsia="TimesNewRomanPSMT" w:cs="Times New Roman"/>
                <w:color w:val="000000"/>
                <w:kern w:val="0"/>
                <w:sz w:val="24"/>
                <w:szCs w:val="24"/>
                <w:lang w:val="en-US" w:eastAsia="zh-CN" w:bidi="ar"/>
              </w:rPr>
              <w:t>10kv</w:t>
            </w:r>
            <w:r>
              <w:rPr>
                <w:rFonts w:hint="default" w:ascii="Times New Roman" w:hAnsi="Times New Roman" w:eastAsia="宋体" w:cs="Times New Roman"/>
                <w:color w:val="000000"/>
                <w:kern w:val="0"/>
                <w:sz w:val="24"/>
                <w:szCs w:val="24"/>
                <w:lang w:val="en-US" w:eastAsia="zh-CN" w:bidi="ar"/>
              </w:rPr>
              <w:t>电力电缆排架</w:t>
            </w:r>
            <w:r>
              <w:rPr>
                <w:rFonts w:hint="default" w:ascii="Times New Roman" w:hAnsi="Times New Roman" w:eastAsia="TimesNewRomanPSMT" w:cs="Times New Roman"/>
                <w:color w:val="000000"/>
                <w:kern w:val="0"/>
                <w:sz w:val="24"/>
                <w:szCs w:val="24"/>
                <w:lang w:val="en-US" w:eastAsia="zh-CN" w:bidi="ar"/>
              </w:rPr>
              <w:t>3</w:t>
            </w:r>
            <w:r>
              <w:rPr>
                <w:rFonts w:hint="default" w:ascii="Times New Roman" w:hAnsi="Times New Roman" w:eastAsia="宋体" w:cs="Times New Roman"/>
                <w:color w:val="000000"/>
                <w:kern w:val="0"/>
                <w:sz w:val="24"/>
                <w:szCs w:val="24"/>
                <w:lang w:val="en-US" w:eastAsia="zh-CN" w:bidi="ar"/>
              </w:rPr>
              <w:t>层，通信排架</w:t>
            </w:r>
            <w:r>
              <w:rPr>
                <w:rFonts w:hint="eastAsia"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层；排架宽</w:t>
            </w:r>
            <w:r>
              <w:rPr>
                <w:rFonts w:hint="eastAsia" w:cs="Times New Roman"/>
                <w:color w:val="000000"/>
                <w:kern w:val="0"/>
                <w:sz w:val="24"/>
                <w:szCs w:val="24"/>
                <w:lang w:val="en-US" w:eastAsia="zh-CN" w:bidi="ar"/>
              </w:rPr>
              <w:t>0.</w:t>
            </w:r>
            <w:r>
              <w:rPr>
                <w:rFonts w:hint="default" w:ascii="Times New Roman" w:hAnsi="Times New Roman" w:eastAsia="TimesNewRomanPSMT" w:cs="Times New Roman"/>
                <w:color w:val="000000"/>
                <w:kern w:val="0"/>
                <w:sz w:val="24"/>
                <w:szCs w:val="24"/>
                <w:lang w:val="en-US" w:eastAsia="zh-CN" w:bidi="ar"/>
              </w:rPr>
              <w:t>375m</w:t>
            </w:r>
            <w:r>
              <w:rPr>
                <w:rFonts w:hint="default" w:ascii="Times New Roman" w:hAnsi="Times New Roman" w:eastAsia="宋体" w:cs="Times New Roman"/>
                <w:color w:val="000000"/>
                <w:kern w:val="0"/>
                <w:sz w:val="24"/>
                <w:szCs w:val="24"/>
                <w:lang w:val="en-US" w:eastAsia="zh-CN" w:bidi="ar"/>
              </w:rPr>
              <w:t>，间距</w:t>
            </w:r>
            <w:r>
              <w:rPr>
                <w:rFonts w:hint="eastAsia" w:cs="Times New Roman"/>
                <w:color w:val="000000"/>
                <w:kern w:val="0"/>
                <w:sz w:val="24"/>
                <w:szCs w:val="24"/>
                <w:lang w:val="en-US" w:eastAsia="zh-CN" w:bidi="ar"/>
              </w:rPr>
              <w:t>0.</w:t>
            </w:r>
            <w:r>
              <w:rPr>
                <w:rFonts w:hint="default" w:ascii="Times New Roman" w:hAnsi="Times New Roman" w:eastAsia="TimesNewRomanPSMT" w:cs="Times New Roman"/>
                <w:color w:val="000000"/>
                <w:kern w:val="0"/>
                <w:sz w:val="24"/>
                <w:szCs w:val="24"/>
                <w:lang w:val="en-US" w:eastAsia="zh-CN" w:bidi="ar"/>
              </w:rPr>
              <w:t>25m</w:t>
            </w:r>
            <w:r>
              <w:rPr>
                <w:rFonts w:hint="default" w:ascii="Times New Roman" w:hAnsi="Times New Roman" w:eastAsia="宋体" w:cs="Times New Roman"/>
                <w:color w:val="000000"/>
                <w:kern w:val="0"/>
                <w:sz w:val="24"/>
                <w:szCs w:val="24"/>
                <w:lang w:val="en-US" w:eastAsia="zh-CN" w:bidi="ar"/>
              </w:rPr>
              <w:t>，最下方排架距离管廊底</w:t>
            </w:r>
            <w:r>
              <w:rPr>
                <w:rFonts w:hint="eastAsia" w:cs="Times New Roman"/>
                <w:color w:val="000000"/>
                <w:kern w:val="0"/>
                <w:sz w:val="24"/>
                <w:szCs w:val="24"/>
                <w:lang w:val="en-US" w:eastAsia="zh-CN" w:bidi="ar"/>
              </w:rPr>
              <w:t>0.</w:t>
            </w:r>
            <w:r>
              <w:rPr>
                <w:rFonts w:hint="default" w:ascii="Times New Roman" w:hAnsi="Times New Roman" w:eastAsia="TimesNewRomanPSMT" w:cs="Times New Roman"/>
                <w:color w:val="000000"/>
                <w:kern w:val="0"/>
                <w:sz w:val="24"/>
                <w:szCs w:val="24"/>
                <w:lang w:val="en-US" w:eastAsia="zh-CN" w:bidi="ar"/>
              </w:rPr>
              <w:t>2m</w:t>
            </w:r>
            <w:r>
              <w:rPr>
                <w:rFonts w:hint="default" w:ascii="Times New Roman" w:hAnsi="Times New Roman" w:eastAsia="宋体" w:cs="Times New Roman"/>
                <w:color w:val="000000"/>
                <w:kern w:val="0"/>
                <w:sz w:val="24"/>
                <w:szCs w:val="24"/>
                <w:lang w:val="en-US" w:eastAsia="zh-CN" w:bidi="ar"/>
              </w:rPr>
              <w:t>，最顶端排架距管廊顶</w:t>
            </w:r>
            <w:r>
              <w:rPr>
                <w:rFonts w:hint="eastAsia" w:cs="Times New Roman"/>
                <w:color w:val="000000"/>
                <w:kern w:val="0"/>
                <w:sz w:val="24"/>
                <w:szCs w:val="24"/>
                <w:lang w:val="en-US" w:eastAsia="zh-CN" w:bidi="ar"/>
              </w:rPr>
              <w:t>0.</w:t>
            </w:r>
            <w:r>
              <w:rPr>
                <w:rFonts w:hint="default" w:ascii="Times New Roman" w:hAnsi="Times New Roman" w:eastAsia="TimesNewRomanPSMT" w:cs="Times New Roman"/>
                <w:color w:val="000000"/>
                <w:kern w:val="0"/>
                <w:sz w:val="24"/>
                <w:szCs w:val="24"/>
                <w:lang w:val="en-US" w:eastAsia="zh-CN" w:bidi="ar"/>
              </w:rPr>
              <w:t>25m</w:t>
            </w:r>
            <w:r>
              <w:rPr>
                <w:rFonts w:hint="default" w:ascii="Times New Roman" w:hAnsi="Times New Roman" w:eastAsia="宋体" w:cs="Times New Roman"/>
                <w:color w:val="000000"/>
                <w:kern w:val="0"/>
                <w:sz w:val="24"/>
                <w:szCs w:val="24"/>
                <w:lang w:val="en-US" w:eastAsia="zh-CN" w:bidi="ar"/>
              </w:rPr>
              <w:t>，中间通道宽</w:t>
            </w:r>
            <w:r>
              <w:rPr>
                <w:rFonts w:hint="eastAsia" w:cs="Times New Roman"/>
                <w:color w:val="000000"/>
                <w:kern w:val="0"/>
                <w:sz w:val="24"/>
                <w:szCs w:val="24"/>
                <w:lang w:val="en-US" w:eastAsia="zh-CN" w:bidi="ar"/>
              </w:rPr>
              <w:t>0.</w:t>
            </w:r>
            <w:r>
              <w:rPr>
                <w:rFonts w:hint="default" w:ascii="Times New Roman" w:hAnsi="Times New Roman" w:eastAsia="TimesNewRomanPSMT" w:cs="Times New Roman"/>
                <w:color w:val="000000"/>
                <w:kern w:val="0"/>
                <w:sz w:val="24"/>
                <w:szCs w:val="24"/>
                <w:lang w:val="en-US" w:eastAsia="zh-CN" w:bidi="ar"/>
              </w:rPr>
              <w:t>7m</w:t>
            </w:r>
            <w:r>
              <w:rPr>
                <w:rFonts w:hint="default" w:ascii="Times New Roman" w:hAnsi="Times New Roman" w:eastAsia="宋体" w:cs="Times New Roman"/>
                <w:color w:val="000000"/>
                <w:kern w:val="0"/>
                <w:sz w:val="24"/>
                <w:szCs w:val="24"/>
                <w:lang w:val="en-US" w:eastAsia="zh-CN" w:bidi="ar"/>
              </w:rPr>
              <w:t>。</w:t>
            </w:r>
          </w:p>
          <w:p w14:paraId="7C8A29D3">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drawing>
                <wp:inline distT="0" distB="0" distL="114300" distR="114300">
                  <wp:extent cx="5276850" cy="2813050"/>
                  <wp:effectExtent l="0" t="0" r="0" b="6350"/>
                  <wp:docPr id="15" name="图片 15" descr="B-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d1"/>
                          <pic:cNvPicPr>
                            <a:picLocks noChangeAspect="1"/>
                          </pic:cNvPicPr>
                        </pic:nvPicPr>
                        <pic:blipFill>
                          <a:blip r:embed="rId28"/>
                          <a:stretch>
                            <a:fillRect/>
                          </a:stretch>
                        </pic:blipFill>
                        <pic:spPr>
                          <a:xfrm>
                            <a:off x="0" y="0"/>
                            <a:ext cx="5276850" cy="2813050"/>
                          </a:xfrm>
                          <a:prstGeom prst="rect">
                            <a:avLst/>
                          </a:prstGeom>
                        </pic:spPr>
                      </pic:pic>
                    </a:graphicData>
                  </a:graphic>
                </wp:inline>
              </w:drawing>
            </w:r>
          </w:p>
          <w:p w14:paraId="4E07D028">
            <w:pPr>
              <w:keepNext w:val="0"/>
              <w:keepLines w:val="0"/>
              <w:widowControl/>
              <w:suppressLineNumbers w:val="0"/>
              <w:jc w:val="center"/>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图1-16 B-d1型综合管廊标准断面</w:t>
            </w:r>
          </w:p>
          <w:p w14:paraId="517F9F11">
            <w:pPr>
              <w:keepNext w:val="0"/>
              <w:keepLines w:val="0"/>
              <w:widowControl/>
              <w:numPr>
                <w:ilvl w:val="0"/>
                <w:numId w:val="7"/>
              </w:numPr>
              <w:suppressLineNumbers w:val="0"/>
              <w:ind w:firstLine="480" w:firstLineChars="200"/>
              <w:jc w:val="both"/>
              <w:rPr>
                <w:rFonts w:hint="eastAsia" w:cs="Times New Roman"/>
                <w:b w:val="0"/>
                <w:bCs w:val="0"/>
                <w:color w:val="000000"/>
                <w:kern w:val="0"/>
                <w:sz w:val="24"/>
                <w:szCs w:val="24"/>
                <w:lang w:val="en-US" w:eastAsia="zh-CN" w:bidi="ar"/>
              </w:rPr>
            </w:pPr>
            <w:r>
              <w:rPr>
                <w:rFonts w:hint="eastAsia" w:cs="Times New Roman"/>
                <w:b w:val="0"/>
                <w:bCs w:val="0"/>
                <w:color w:val="000000"/>
                <w:kern w:val="0"/>
                <w:sz w:val="24"/>
                <w:szCs w:val="24"/>
                <w:lang w:val="en-US" w:eastAsia="zh-CN" w:bidi="ar"/>
              </w:rPr>
              <w:t>功能段</w:t>
            </w:r>
          </w:p>
          <w:p w14:paraId="1A0A9AED">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功能段为综合管廊与污水管、河道交叉处需下沉的位置，其埋深根据交叉处污水管实际埋深及河道河底标高确定，一般情况下，综合管廊顶板顶标高宜低于污水管底标高</w:t>
            </w:r>
            <w:r>
              <w:rPr>
                <w:rFonts w:hint="default" w:ascii="Times New Roman" w:hAnsi="Times New Roman" w:eastAsia="TimesNewRomanPSMT" w:cs="Times New Roman"/>
                <w:color w:val="000000"/>
                <w:kern w:val="0"/>
                <w:sz w:val="24"/>
                <w:szCs w:val="24"/>
                <w:lang w:val="en-US" w:eastAsia="zh-CN" w:bidi="ar"/>
              </w:rPr>
              <w:t>0.5m</w:t>
            </w:r>
            <w:r>
              <w:rPr>
                <w:rFonts w:hint="default" w:ascii="Times New Roman" w:hAnsi="Times New Roman" w:eastAsia="宋体" w:cs="Times New Roman"/>
                <w:color w:val="000000"/>
                <w:kern w:val="0"/>
                <w:sz w:val="24"/>
                <w:szCs w:val="24"/>
                <w:lang w:val="en-US" w:eastAsia="zh-CN" w:bidi="ar"/>
              </w:rPr>
              <w:t>以上，低于河道河底标高</w:t>
            </w:r>
            <w:r>
              <w:rPr>
                <w:rFonts w:hint="default" w:ascii="Times New Roman" w:hAnsi="Times New Roman" w:eastAsia="TimesNewRomanPSMT" w:cs="Times New Roman"/>
                <w:color w:val="000000"/>
                <w:kern w:val="0"/>
                <w:sz w:val="24"/>
                <w:szCs w:val="24"/>
                <w:lang w:val="en-US" w:eastAsia="zh-CN" w:bidi="ar"/>
              </w:rPr>
              <w:t>1.5m</w:t>
            </w:r>
            <w:r>
              <w:rPr>
                <w:rFonts w:hint="default" w:ascii="Times New Roman" w:hAnsi="Times New Roman" w:eastAsia="宋体" w:cs="Times New Roman"/>
                <w:color w:val="000000"/>
                <w:kern w:val="0"/>
                <w:sz w:val="24"/>
                <w:szCs w:val="24"/>
                <w:lang w:val="en-US" w:eastAsia="zh-CN" w:bidi="ar"/>
              </w:rPr>
              <w:t>以上。由于功能段综合管廊覆土高度增加，截面尺寸应根据埋置深度进行调整，一般情况下，在标准段的截面尺寸条件下，埋深比标准段埋深每增加</w:t>
            </w:r>
            <w:r>
              <w:rPr>
                <w:rFonts w:hint="default" w:ascii="Times New Roman" w:hAnsi="Times New Roman" w:eastAsia="TimesNewRomanPSMT" w:cs="Times New Roman"/>
                <w:color w:val="000000"/>
                <w:kern w:val="0"/>
                <w:sz w:val="24"/>
                <w:szCs w:val="24"/>
                <w:lang w:val="en-US" w:eastAsia="zh-CN" w:bidi="ar"/>
              </w:rPr>
              <w:t>2m</w:t>
            </w:r>
            <w:r>
              <w:rPr>
                <w:rFonts w:hint="default" w:ascii="Times New Roman" w:hAnsi="Times New Roman" w:eastAsia="宋体" w:cs="Times New Roman"/>
                <w:color w:val="000000"/>
                <w:kern w:val="0"/>
                <w:sz w:val="24"/>
                <w:szCs w:val="24"/>
                <w:lang w:val="en-US" w:eastAsia="zh-CN" w:bidi="ar"/>
              </w:rPr>
              <w:t>，顶板与侧板尺寸增加</w:t>
            </w:r>
            <w:r>
              <w:rPr>
                <w:rFonts w:hint="eastAsia" w:cs="Times New Roman"/>
                <w:color w:val="000000"/>
                <w:kern w:val="0"/>
                <w:sz w:val="24"/>
                <w:szCs w:val="24"/>
                <w:lang w:val="en-US" w:eastAsia="zh-CN" w:bidi="ar"/>
              </w:rPr>
              <w:t>0.0</w:t>
            </w:r>
            <w:r>
              <w:rPr>
                <w:rFonts w:hint="default" w:ascii="Times New Roman" w:hAnsi="Times New Roman" w:eastAsia="TimesNewRomanPSMT" w:cs="Times New Roman"/>
                <w:color w:val="000000"/>
                <w:kern w:val="0"/>
                <w:sz w:val="24"/>
                <w:szCs w:val="24"/>
                <w:lang w:val="en-US" w:eastAsia="zh-CN" w:bidi="ar"/>
              </w:rPr>
              <w:t>5m</w:t>
            </w:r>
            <w:r>
              <w:rPr>
                <w:rFonts w:hint="default" w:ascii="Times New Roman" w:hAnsi="Times New Roman" w:eastAsia="宋体" w:cs="Times New Roman"/>
                <w:color w:val="000000"/>
                <w:kern w:val="0"/>
                <w:sz w:val="24"/>
                <w:szCs w:val="24"/>
                <w:lang w:val="en-US" w:eastAsia="zh-CN" w:bidi="ar"/>
              </w:rPr>
              <w:t>。</w:t>
            </w:r>
          </w:p>
          <w:p w14:paraId="2AA3B07D">
            <w:pPr>
              <w:keepNext w:val="0"/>
              <w:keepLines w:val="0"/>
              <w:widowControl/>
              <w:suppressLineNumbers w:val="0"/>
              <w:jc w:val="both"/>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drawing>
                <wp:inline distT="0" distB="0" distL="114300" distR="114300">
                  <wp:extent cx="5342255" cy="1999615"/>
                  <wp:effectExtent l="0" t="0" r="10795" b="635"/>
                  <wp:docPr id="16" name="图片 16" descr="过管线功能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过管线功能段"/>
                          <pic:cNvPicPr>
                            <a:picLocks noChangeAspect="1"/>
                          </pic:cNvPicPr>
                        </pic:nvPicPr>
                        <pic:blipFill>
                          <a:blip r:embed="rId29"/>
                          <a:stretch>
                            <a:fillRect/>
                          </a:stretch>
                        </pic:blipFill>
                        <pic:spPr>
                          <a:xfrm>
                            <a:off x="0" y="0"/>
                            <a:ext cx="5342255" cy="1999615"/>
                          </a:xfrm>
                          <a:prstGeom prst="rect">
                            <a:avLst/>
                          </a:prstGeom>
                        </pic:spPr>
                      </pic:pic>
                    </a:graphicData>
                  </a:graphic>
                </wp:inline>
              </w:drawing>
            </w:r>
          </w:p>
          <w:p w14:paraId="02AB800F">
            <w:pPr>
              <w:keepNext w:val="0"/>
              <w:keepLines w:val="0"/>
              <w:widowControl/>
              <w:suppressLineNumbers w:val="0"/>
              <w:jc w:val="center"/>
              <w:rPr>
                <w:rFonts w:hint="default" w:ascii="Times New Roman" w:hAnsi="Times New Roman" w:cs="Times New Roman"/>
                <w:b/>
                <w:bCs/>
                <w:color w:val="000000"/>
                <w:kern w:val="0"/>
                <w:sz w:val="24"/>
                <w:szCs w:val="24"/>
                <w:lang w:val="en-US" w:eastAsia="zh-CN" w:bidi="ar"/>
              </w:rPr>
            </w:pPr>
            <w:r>
              <w:rPr>
                <w:rFonts w:hint="default" w:ascii="Times New Roman" w:hAnsi="Times New Roman" w:cs="Times New Roman"/>
                <w:b/>
                <w:bCs/>
                <w:color w:val="000000"/>
                <w:kern w:val="0"/>
                <w:sz w:val="24"/>
                <w:szCs w:val="24"/>
                <w:lang w:val="en-US" w:eastAsia="zh-CN" w:bidi="ar"/>
              </w:rPr>
              <w:t>图1-17 综合管廊过管线功能段</w:t>
            </w:r>
          </w:p>
          <w:p w14:paraId="4C7083D2">
            <w:pPr>
              <w:keepNext w:val="0"/>
              <w:keepLines w:val="0"/>
              <w:widowControl/>
              <w:suppressLineNumbers w:val="0"/>
              <w:jc w:val="both"/>
              <w:rPr>
                <w:rFonts w:hint="default" w:ascii="Times New Roman" w:hAnsi="Times New Roman" w:cs="Times New Roman"/>
                <w:b/>
                <w:bCs/>
                <w:color w:val="000000"/>
                <w:kern w:val="0"/>
                <w:sz w:val="24"/>
                <w:szCs w:val="24"/>
                <w:lang w:val="en-US" w:eastAsia="zh-CN" w:bidi="ar"/>
              </w:rPr>
            </w:pPr>
            <w:r>
              <w:rPr>
                <w:rFonts w:hint="default" w:ascii="Times New Roman" w:hAnsi="Times New Roman" w:cs="Times New Roman"/>
                <w:b/>
                <w:bCs/>
                <w:color w:val="000000"/>
                <w:kern w:val="0"/>
                <w:sz w:val="24"/>
                <w:szCs w:val="24"/>
                <w:lang w:val="en-US" w:eastAsia="zh-CN" w:bidi="ar"/>
              </w:rPr>
              <w:drawing>
                <wp:inline distT="0" distB="0" distL="114300" distR="114300">
                  <wp:extent cx="5343525" cy="1833245"/>
                  <wp:effectExtent l="0" t="0" r="9525" b="14605"/>
                  <wp:docPr id="17" name="图片 17" descr="过河功能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过河功能段"/>
                          <pic:cNvPicPr>
                            <a:picLocks noChangeAspect="1"/>
                          </pic:cNvPicPr>
                        </pic:nvPicPr>
                        <pic:blipFill>
                          <a:blip r:embed="rId30"/>
                          <a:stretch>
                            <a:fillRect/>
                          </a:stretch>
                        </pic:blipFill>
                        <pic:spPr>
                          <a:xfrm>
                            <a:off x="0" y="0"/>
                            <a:ext cx="5343525" cy="1833245"/>
                          </a:xfrm>
                          <a:prstGeom prst="rect">
                            <a:avLst/>
                          </a:prstGeom>
                        </pic:spPr>
                      </pic:pic>
                    </a:graphicData>
                  </a:graphic>
                </wp:inline>
              </w:drawing>
            </w:r>
          </w:p>
          <w:p w14:paraId="128400DB">
            <w:pPr>
              <w:keepNext w:val="0"/>
              <w:keepLines w:val="0"/>
              <w:widowControl/>
              <w:suppressLineNumbers w:val="0"/>
              <w:jc w:val="center"/>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图1-18 综合管廊过河道功能段</w:t>
            </w:r>
          </w:p>
          <w:p w14:paraId="09334BE7">
            <w:pPr>
              <w:keepNext w:val="0"/>
              <w:keepLines w:val="0"/>
              <w:widowControl/>
              <w:numPr>
                <w:ilvl w:val="0"/>
                <w:numId w:val="5"/>
              </w:numPr>
              <w:suppressLineNumbers w:val="0"/>
              <w:ind w:left="0" w:leftChars="0" w:firstLine="0" w:firstLineChars="0"/>
              <w:jc w:val="both"/>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管廊结构设计</w:t>
            </w:r>
          </w:p>
          <w:p w14:paraId="2D2C7078">
            <w:pPr>
              <w:keepNext w:val="0"/>
              <w:keepLines w:val="0"/>
              <w:widowControl/>
              <w:numPr>
                <w:ilvl w:val="0"/>
                <w:numId w:val="8"/>
              </w:numPr>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标准段坑基围护设计</w:t>
            </w:r>
          </w:p>
          <w:p w14:paraId="2FCF73C3">
            <w:pPr>
              <w:keepNext w:val="0"/>
              <w:keepLines w:val="0"/>
              <w:widowControl/>
              <w:numPr>
                <w:ilvl w:val="0"/>
                <w:numId w:val="0"/>
              </w:numPr>
              <w:suppressLineNumbers w:val="0"/>
              <w:ind w:firstLine="480" w:firstLineChars="200"/>
              <w:jc w:val="left"/>
              <w:rPr>
                <w:rFonts w:hint="eastAsia" w:ascii="宋体" w:hAnsi="宋体" w:eastAsia="宋体" w:cs="宋体"/>
                <w:b w:val="0"/>
                <w:bCs/>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此次综合管廊的标准段的基坑开挖深度均在</w:t>
            </w:r>
            <w:r>
              <w:rPr>
                <w:rFonts w:ascii="TimesNewRomanPSMT" w:hAnsi="TimesNewRomanPSMT" w:eastAsia="TimesNewRomanPSMT" w:cs="TimesNewRomanPSMT"/>
                <w:color w:val="000000"/>
                <w:kern w:val="0"/>
                <w:sz w:val="24"/>
                <w:szCs w:val="24"/>
                <w:lang w:val="en-US" w:eastAsia="zh-CN" w:bidi="ar"/>
              </w:rPr>
              <w:t>4.4-6.8m</w:t>
            </w:r>
            <w:r>
              <w:rPr>
                <w:rFonts w:hint="eastAsia" w:ascii="宋体" w:hAnsi="宋体" w:eastAsia="宋体" w:cs="宋体"/>
                <w:color w:val="000000"/>
                <w:kern w:val="0"/>
                <w:sz w:val="24"/>
                <w:szCs w:val="24"/>
                <w:lang w:val="en-US" w:eastAsia="zh-CN" w:bidi="ar"/>
              </w:rPr>
              <w:t>左右，结合场地现状及土层性质，</w:t>
            </w:r>
            <w:r>
              <w:rPr>
                <w:rFonts w:hint="eastAsia" w:ascii="宋体" w:hAnsi="宋体" w:eastAsia="宋体" w:cs="宋体"/>
                <w:b w:val="0"/>
                <w:bCs/>
                <w:color w:val="000000"/>
                <w:kern w:val="0"/>
                <w:sz w:val="24"/>
                <w:szCs w:val="24"/>
                <w:lang w:val="en-US" w:eastAsia="zh-CN" w:bidi="ar"/>
              </w:rPr>
              <w:t>在周边场地尚未开发建设的区域采用大开挖的方式，在周边环境较复杂区域采用钢板桩支护施工。并根据基坑开挖深度在沟槽内部设置一道或、二道钢支撑，平面上采用对撑的形式。</w:t>
            </w:r>
          </w:p>
          <w:p w14:paraId="4C4E8608">
            <w:pPr>
              <w:keepNext w:val="0"/>
              <w:keepLines w:val="0"/>
              <w:widowControl/>
              <w:numPr>
                <w:ilvl w:val="0"/>
                <w:numId w:val="0"/>
              </w:numPr>
              <w:suppressLineNumbers w:val="0"/>
              <w:jc w:val="left"/>
              <w:rPr>
                <w:rFonts w:hint="eastAsia" w:ascii="宋体" w:hAnsi="宋体" w:eastAsia="宋体" w:cs="宋体"/>
                <w:b w:val="0"/>
                <w:bCs/>
                <w:color w:val="000000"/>
                <w:kern w:val="0"/>
                <w:sz w:val="24"/>
                <w:szCs w:val="24"/>
                <w:lang w:val="en-US" w:eastAsia="zh-CN" w:bidi="ar"/>
              </w:rPr>
            </w:pPr>
            <w:r>
              <w:rPr>
                <w:rFonts w:hint="eastAsia" w:ascii="宋体" w:hAnsi="宋体" w:eastAsia="宋体" w:cs="宋体"/>
                <w:b w:val="0"/>
                <w:bCs/>
                <w:color w:val="000000"/>
                <w:kern w:val="0"/>
                <w:sz w:val="24"/>
                <w:szCs w:val="24"/>
                <w:lang w:val="en-US" w:eastAsia="zh-CN" w:bidi="ar"/>
              </w:rPr>
              <w:drawing>
                <wp:inline distT="0" distB="0" distL="114300" distR="114300">
                  <wp:extent cx="5334000" cy="1857375"/>
                  <wp:effectExtent l="0" t="0" r="0" b="9525"/>
                  <wp:docPr id="39" name="图片 39" descr="大开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大开挖"/>
                          <pic:cNvPicPr>
                            <a:picLocks noChangeAspect="1"/>
                          </pic:cNvPicPr>
                        </pic:nvPicPr>
                        <pic:blipFill>
                          <a:blip r:embed="rId31"/>
                          <a:stretch>
                            <a:fillRect/>
                          </a:stretch>
                        </pic:blipFill>
                        <pic:spPr>
                          <a:xfrm>
                            <a:off x="0" y="0"/>
                            <a:ext cx="5334000" cy="1857375"/>
                          </a:xfrm>
                          <a:prstGeom prst="rect">
                            <a:avLst/>
                          </a:prstGeom>
                        </pic:spPr>
                      </pic:pic>
                    </a:graphicData>
                  </a:graphic>
                </wp:inline>
              </w:drawing>
            </w:r>
          </w:p>
          <w:p w14:paraId="36B904BF">
            <w:pPr>
              <w:keepNext w:val="0"/>
              <w:keepLines w:val="0"/>
              <w:widowControl/>
              <w:numPr>
                <w:ilvl w:val="0"/>
                <w:numId w:val="0"/>
              </w:numPr>
              <w:suppressLineNumbers w:val="0"/>
              <w:ind w:firstLine="482" w:firstLineChars="200"/>
              <w:jc w:val="center"/>
              <w:rPr>
                <w:rFonts w:hint="default" w:ascii="Times New Roman" w:hAnsi="Times New Roman" w:eastAsia="宋体" w:cs="Times New Roman"/>
                <w:b/>
                <w:bCs w:val="0"/>
                <w:color w:val="000000"/>
                <w:kern w:val="0"/>
                <w:sz w:val="24"/>
                <w:szCs w:val="24"/>
                <w:lang w:val="en-US" w:eastAsia="zh-CN" w:bidi="ar"/>
              </w:rPr>
            </w:pPr>
            <w:r>
              <w:rPr>
                <w:rFonts w:hint="default" w:ascii="Times New Roman" w:hAnsi="Times New Roman" w:eastAsia="宋体" w:cs="Times New Roman"/>
                <w:b/>
                <w:bCs w:val="0"/>
                <w:color w:val="000000"/>
                <w:kern w:val="0"/>
                <w:sz w:val="24"/>
                <w:szCs w:val="24"/>
                <w:lang w:val="en-US" w:eastAsia="zh-CN" w:bidi="ar"/>
              </w:rPr>
              <w:t>图1-19 综合管廊标准段大开挖横断面图</w:t>
            </w:r>
          </w:p>
          <w:p w14:paraId="636A7B05">
            <w:pPr>
              <w:keepNext w:val="0"/>
              <w:keepLines w:val="0"/>
              <w:widowControl/>
              <w:numPr>
                <w:ilvl w:val="0"/>
                <w:numId w:val="0"/>
              </w:numPr>
              <w:suppressLineNumbers w:val="0"/>
              <w:jc w:val="both"/>
              <w:rPr>
                <w:rFonts w:hint="default" w:ascii="Times New Roman" w:hAnsi="Times New Roman" w:eastAsia="宋体" w:cs="Times New Roman"/>
                <w:b w:val="0"/>
                <w:bCs/>
                <w:color w:val="000000"/>
                <w:kern w:val="0"/>
                <w:sz w:val="24"/>
                <w:szCs w:val="24"/>
                <w:lang w:val="en-US" w:eastAsia="zh-CN" w:bidi="ar"/>
              </w:rPr>
            </w:pPr>
            <w:r>
              <w:rPr>
                <w:rFonts w:hint="default" w:ascii="Times New Roman" w:hAnsi="Times New Roman" w:eastAsia="宋体" w:cs="Times New Roman"/>
                <w:b w:val="0"/>
                <w:bCs/>
                <w:color w:val="000000"/>
                <w:kern w:val="0"/>
                <w:sz w:val="24"/>
                <w:szCs w:val="24"/>
                <w:lang w:val="en-US" w:eastAsia="zh-CN" w:bidi="ar"/>
              </w:rPr>
              <w:drawing>
                <wp:inline distT="0" distB="0" distL="114300" distR="114300">
                  <wp:extent cx="5335270" cy="2226945"/>
                  <wp:effectExtent l="0" t="0" r="17780" b="1905"/>
                  <wp:docPr id="40" name="图片 40" descr="钢板桩支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钢板桩支护"/>
                          <pic:cNvPicPr>
                            <a:picLocks noChangeAspect="1"/>
                          </pic:cNvPicPr>
                        </pic:nvPicPr>
                        <pic:blipFill>
                          <a:blip r:embed="rId32"/>
                          <a:stretch>
                            <a:fillRect/>
                          </a:stretch>
                        </pic:blipFill>
                        <pic:spPr>
                          <a:xfrm>
                            <a:off x="0" y="0"/>
                            <a:ext cx="5335270" cy="2226945"/>
                          </a:xfrm>
                          <a:prstGeom prst="rect">
                            <a:avLst/>
                          </a:prstGeom>
                        </pic:spPr>
                      </pic:pic>
                    </a:graphicData>
                  </a:graphic>
                </wp:inline>
              </w:drawing>
            </w:r>
          </w:p>
          <w:p w14:paraId="2320A71E">
            <w:pPr>
              <w:keepNext w:val="0"/>
              <w:keepLines w:val="0"/>
              <w:widowControl/>
              <w:suppressLineNumbers w:val="0"/>
              <w:ind w:firstLine="482" w:firstLineChars="200"/>
              <w:jc w:val="cente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图1-20 综合管廊钢板桩支护结构</w:t>
            </w:r>
          </w:p>
          <w:p w14:paraId="33DFA8F0">
            <w:pPr>
              <w:keepNext w:val="0"/>
              <w:keepLines w:val="0"/>
              <w:widowControl/>
              <w:numPr>
                <w:ilvl w:val="0"/>
                <w:numId w:val="8"/>
              </w:numPr>
              <w:suppressLineNumbers w:val="0"/>
              <w:ind w:left="0" w:lef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下沉段/倒虹段基坑围护设计</w:t>
            </w:r>
          </w:p>
          <w:p w14:paraId="75B825F1">
            <w:pPr>
              <w:keepNext w:val="0"/>
              <w:keepLines w:val="0"/>
              <w:widowControl/>
              <w:suppressLineNumbers w:val="0"/>
              <w:ind w:firstLine="480" w:firstLineChars="200"/>
              <w:jc w:val="left"/>
              <w:rPr>
                <w:rFonts w:hint="default" w:ascii="Times New Roman" w:hAnsi="Times New Roman" w:eastAsia="宋体" w:cs="Times New Roman"/>
                <w:b w:val="0"/>
                <w:bCs/>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此次</w:t>
            </w:r>
            <w:r>
              <w:rPr>
                <w:rFonts w:hint="default" w:ascii="Times New Roman" w:hAnsi="Times New Roman" w:eastAsia="宋体" w:cs="Times New Roman"/>
                <w:color w:val="000000"/>
                <w:kern w:val="0"/>
                <w:sz w:val="24"/>
                <w:szCs w:val="24"/>
                <w:lang w:val="en-US" w:eastAsia="zh-CN" w:bidi="ar"/>
              </w:rPr>
              <w:t>综合管廊的下沉段</w:t>
            </w:r>
            <w:r>
              <w:rPr>
                <w:rFonts w:hint="default" w:ascii="Times New Roman" w:hAnsi="Times New Roman" w:eastAsia="TimesNewRomanPSMT"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倒虹段的基坑开挖深度在</w:t>
            </w:r>
            <w:r>
              <w:rPr>
                <w:rFonts w:hint="default" w:ascii="Times New Roman" w:hAnsi="Times New Roman" w:eastAsia="TimesNewRomanPSMT" w:cs="Times New Roman"/>
                <w:color w:val="000000"/>
                <w:kern w:val="0"/>
                <w:sz w:val="24"/>
                <w:szCs w:val="24"/>
                <w:lang w:val="en-US" w:eastAsia="zh-CN" w:bidi="ar"/>
              </w:rPr>
              <w:t>7.0m~11.0m</w:t>
            </w:r>
            <w:r>
              <w:rPr>
                <w:rFonts w:hint="default" w:ascii="Times New Roman" w:hAnsi="Times New Roman" w:eastAsia="宋体" w:cs="Times New Roman"/>
                <w:color w:val="000000"/>
                <w:kern w:val="0"/>
                <w:sz w:val="24"/>
                <w:szCs w:val="24"/>
                <w:lang w:val="en-US" w:eastAsia="zh-CN" w:bidi="ar"/>
              </w:rPr>
              <w:t>之间，结合场地现状及土层性质</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本工程采用φ800钻孔灌注桩作为倒虹段基坑围护结构</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color w:val="000000"/>
                <w:kern w:val="0"/>
                <w:sz w:val="24"/>
                <w:szCs w:val="24"/>
                <w:lang w:val="en-US" w:eastAsia="zh-CN" w:bidi="ar"/>
              </w:rPr>
              <w:t>在局部地下水较高的软土地基区域，下沉段</w:t>
            </w:r>
            <w:r>
              <w:rPr>
                <w:rFonts w:hint="default" w:ascii="Times New Roman" w:hAnsi="Times New Roman" w:eastAsia="TimesNewRomanPS-BoldMT" w:cs="Times New Roman"/>
                <w:b w:val="0"/>
                <w:bCs/>
                <w:color w:val="000000"/>
                <w:kern w:val="0"/>
                <w:sz w:val="24"/>
                <w:szCs w:val="24"/>
                <w:lang w:val="en-US" w:eastAsia="zh-CN" w:bidi="ar"/>
              </w:rPr>
              <w:t>/</w:t>
            </w:r>
            <w:r>
              <w:rPr>
                <w:rFonts w:hint="default" w:ascii="Times New Roman" w:hAnsi="Times New Roman" w:eastAsia="宋体" w:cs="Times New Roman"/>
                <w:b w:val="0"/>
                <w:bCs/>
                <w:color w:val="000000"/>
                <w:kern w:val="0"/>
                <w:sz w:val="24"/>
                <w:szCs w:val="24"/>
                <w:lang w:val="en-US" w:eastAsia="zh-CN" w:bidi="ar"/>
              </w:rPr>
              <w:t>倒虹段需配合采用高压旋喷桩基坑围护结构。</w:t>
            </w:r>
          </w:p>
          <w:p w14:paraId="6FD99932">
            <w:pPr>
              <w:keepNext w:val="0"/>
              <w:keepLines w:val="0"/>
              <w:widowControl/>
              <w:suppressLineNumbers w:val="0"/>
              <w:jc w:val="left"/>
              <w:rPr>
                <w:rFonts w:hint="default" w:ascii="Times New Roman" w:hAnsi="Times New Roman" w:eastAsia="宋体" w:cs="Times New Roman"/>
                <w:b w:val="0"/>
                <w:bCs/>
                <w:color w:val="000000"/>
                <w:kern w:val="0"/>
                <w:sz w:val="24"/>
                <w:szCs w:val="24"/>
                <w:lang w:val="en-US" w:eastAsia="zh-CN" w:bidi="ar"/>
              </w:rPr>
            </w:pPr>
            <w:r>
              <w:rPr>
                <w:rFonts w:hint="default" w:ascii="Times New Roman" w:hAnsi="Times New Roman" w:eastAsia="宋体" w:cs="Times New Roman"/>
                <w:b w:val="0"/>
                <w:bCs/>
                <w:color w:val="000000"/>
                <w:kern w:val="0"/>
                <w:sz w:val="24"/>
                <w:szCs w:val="24"/>
                <w:lang w:val="en-US" w:eastAsia="zh-CN" w:bidi="ar"/>
              </w:rPr>
              <w:drawing>
                <wp:inline distT="0" distB="0" distL="114300" distR="114300">
                  <wp:extent cx="5208270" cy="2047240"/>
                  <wp:effectExtent l="0" t="0" r="11430" b="10160"/>
                  <wp:docPr id="41" name="图片 41" descr="钻孔桩支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钻孔桩支护"/>
                          <pic:cNvPicPr>
                            <a:picLocks noChangeAspect="1"/>
                          </pic:cNvPicPr>
                        </pic:nvPicPr>
                        <pic:blipFill>
                          <a:blip r:embed="rId33"/>
                          <a:stretch>
                            <a:fillRect/>
                          </a:stretch>
                        </pic:blipFill>
                        <pic:spPr>
                          <a:xfrm>
                            <a:off x="0" y="0"/>
                            <a:ext cx="5208270" cy="2047240"/>
                          </a:xfrm>
                          <a:prstGeom prst="rect">
                            <a:avLst/>
                          </a:prstGeom>
                        </pic:spPr>
                      </pic:pic>
                    </a:graphicData>
                  </a:graphic>
                </wp:inline>
              </w:drawing>
            </w:r>
          </w:p>
          <w:p w14:paraId="74E88252">
            <w:pPr>
              <w:keepNext w:val="0"/>
              <w:keepLines w:val="0"/>
              <w:widowControl/>
              <w:suppressLineNumbers w:val="0"/>
              <w:jc w:val="center"/>
              <w:rPr>
                <w:rFonts w:hint="default" w:ascii="Times New Roman" w:hAnsi="Times New Roman" w:eastAsia="宋体" w:cs="Times New Roman"/>
                <w:b/>
                <w:bCs w:val="0"/>
                <w:color w:val="000000"/>
                <w:kern w:val="0"/>
                <w:sz w:val="24"/>
                <w:szCs w:val="24"/>
                <w:lang w:val="en-US" w:eastAsia="zh-CN" w:bidi="ar"/>
              </w:rPr>
            </w:pPr>
            <w:r>
              <w:rPr>
                <w:rFonts w:hint="default" w:ascii="Times New Roman" w:hAnsi="Times New Roman" w:eastAsia="宋体" w:cs="Times New Roman"/>
                <w:b/>
                <w:bCs w:val="0"/>
                <w:color w:val="000000"/>
                <w:kern w:val="0"/>
                <w:sz w:val="24"/>
                <w:szCs w:val="24"/>
                <w:lang w:val="en-US" w:eastAsia="zh-CN" w:bidi="ar"/>
              </w:rPr>
              <w:t>图1-21 钻孔桩支护结构</w:t>
            </w:r>
          </w:p>
          <w:p w14:paraId="644A83CF">
            <w:pPr>
              <w:keepNext w:val="0"/>
              <w:keepLines w:val="0"/>
              <w:widowControl/>
              <w:numPr>
                <w:ilvl w:val="0"/>
                <w:numId w:val="8"/>
              </w:numPr>
              <w:suppressLineNumbers w:val="0"/>
              <w:ind w:left="0" w:lef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主体结构设计</w:t>
            </w:r>
          </w:p>
          <w:p w14:paraId="4C204C3F">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综合管廊结构设计使用年限为100年。</w:t>
            </w:r>
            <w:r>
              <w:rPr>
                <w:rFonts w:hint="eastAsia" w:ascii="宋体" w:hAnsi="宋体" w:eastAsia="宋体" w:cs="宋体"/>
                <w:color w:val="000000"/>
                <w:kern w:val="0"/>
                <w:sz w:val="24"/>
                <w:szCs w:val="24"/>
                <w:lang w:val="en-US" w:eastAsia="zh-CN" w:bidi="ar"/>
              </w:rPr>
              <w:t>综合管廊顶、底板为大体积混凝土，为避免混凝土水化热过高，主体结构强度等级宜在</w:t>
            </w:r>
            <w:r>
              <w:rPr>
                <w:rFonts w:ascii="TimesNewRomanPSMT" w:hAnsi="TimesNewRomanPSMT" w:eastAsia="TimesNewRomanPSMT" w:cs="TimesNewRomanPSMT"/>
                <w:color w:val="000000"/>
                <w:kern w:val="0"/>
                <w:sz w:val="24"/>
                <w:szCs w:val="24"/>
                <w:lang w:val="en-US" w:eastAsia="zh-CN" w:bidi="ar"/>
              </w:rPr>
              <w:t>C20~C35</w:t>
            </w:r>
            <w:r>
              <w:rPr>
                <w:rFonts w:hint="eastAsia" w:ascii="宋体" w:hAnsi="宋体" w:eastAsia="宋体" w:cs="宋体"/>
                <w:color w:val="000000"/>
                <w:kern w:val="0"/>
                <w:sz w:val="24"/>
                <w:szCs w:val="24"/>
                <w:lang w:val="en-US" w:eastAsia="zh-CN" w:bidi="ar"/>
              </w:rPr>
              <w:t>之间，特殊情况下应控制在</w:t>
            </w:r>
            <w:r>
              <w:rPr>
                <w:rFonts w:hint="default" w:ascii="TimesNewRomanPSMT" w:hAnsi="TimesNewRomanPSMT" w:eastAsia="TimesNewRomanPSMT" w:cs="TimesNewRomanPSMT"/>
                <w:color w:val="000000"/>
                <w:kern w:val="0"/>
                <w:sz w:val="24"/>
                <w:szCs w:val="24"/>
                <w:lang w:val="en-US" w:eastAsia="zh-CN" w:bidi="ar"/>
              </w:rPr>
              <w:t>C40</w:t>
            </w:r>
            <w:r>
              <w:rPr>
                <w:rFonts w:hint="eastAsia" w:ascii="宋体" w:hAnsi="宋体" w:eastAsia="宋体" w:cs="宋体"/>
                <w:color w:val="000000"/>
                <w:kern w:val="0"/>
                <w:sz w:val="24"/>
                <w:szCs w:val="24"/>
                <w:lang w:val="en-US" w:eastAsia="zh-CN" w:bidi="ar"/>
              </w:rPr>
              <w:t>左右。钢筋除满足结构应力外，还应能承受因水泥水化热引起的温度应力及控制出现裂缝。</w:t>
            </w:r>
            <w:r>
              <w:rPr>
                <w:rFonts w:hint="default" w:ascii="Times New Roman" w:hAnsi="Times New Roman" w:eastAsia="宋体" w:cs="Times New Roman"/>
                <w:color w:val="000000"/>
                <w:kern w:val="0"/>
                <w:sz w:val="24"/>
                <w:szCs w:val="24"/>
                <w:lang w:val="en-US" w:eastAsia="zh-CN" w:bidi="ar"/>
              </w:rPr>
              <w:t>一般情况下上下钢筋的布置应尽可能采用小直径、小间距。主筋采用直径</w:t>
            </w:r>
            <w:r>
              <w:rPr>
                <w:rFonts w:hint="eastAsia" w:cs="Times New Roman"/>
                <w:color w:val="000000"/>
                <w:kern w:val="0"/>
                <w:sz w:val="24"/>
                <w:szCs w:val="24"/>
                <w:lang w:val="en-US" w:eastAsia="zh-CN" w:bidi="ar"/>
              </w:rPr>
              <w:t>为</w:t>
            </w:r>
            <w:r>
              <w:rPr>
                <w:rFonts w:hint="default" w:ascii="Times New Roman" w:hAnsi="Times New Roman" w:eastAsia="TimesNewRomanPSMT" w:cs="Times New Roman"/>
                <w:color w:val="000000"/>
                <w:kern w:val="0"/>
                <w:sz w:val="24"/>
                <w:szCs w:val="24"/>
                <w:lang w:val="en-US" w:eastAsia="zh-CN" w:bidi="ar"/>
              </w:rPr>
              <w:t xml:space="preserve">14~20mm </w:t>
            </w:r>
            <w:r>
              <w:rPr>
                <w:rFonts w:hint="default" w:ascii="Times New Roman" w:hAnsi="Times New Roman" w:eastAsia="宋体" w:cs="Times New Roman"/>
                <w:color w:val="000000"/>
                <w:kern w:val="0"/>
                <w:sz w:val="24"/>
                <w:szCs w:val="24"/>
                <w:lang w:val="en-US" w:eastAsia="zh-CN" w:bidi="ar"/>
              </w:rPr>
              <w:t>的钢筋、间距</w:t>
            </w:r>
            <w:r>
              <w:rPr>
                <w:rFonts w:hint="default" w:ascii="Times New Roman" w:hAnsi="Times New Roman" w:eastAsia="TimesNewRomanPSMT" w:cs="Times New Roman"/>
                <w:color w:val="000000"/>
                <w:kern w:val="0"/>
                <w:sz w:val="24"/>
                <w:szCs w:val="24"/>
                <w:lang w:val="en-US" w:eastAsia="zh-CN" w:bidi="ar"/>
              </w:rPr>
              <w:t>100~150mm</w:t>
            </w:r>
            <w:r>
              <w:rPr>
                <w:rFonts w:hint="default" w:ascii="Times New Roman" w:hAnsi="Times New Roman" w:eastAsia="宋体" w:cs="Times New Roman"/>
                <w:color w:val="000000"/>
                <w:kern w:val="0"/>
                <w:sz w:val="24"/>
                <w:szCs w:val="24"/>
                <w:lang w:val="en-US" w:eastAsia="zh-CN" w:bidi="ar"/>
              </w:rPr>
              <w:t>较为合适、构造筋直径</w:t>
            </w:r>
            <w:r>
              <w:rPr>
                <w:rFonts w:hint="default" w:ascii="Times New Roman" w:hAnsi="Times New Roman" w:eastAsia="TimesNewRomanPSMT" w:cs="Times New Roman"/>
                <w:color w:val="000000"/>
                <w:kern w:val="0"/>
                <w:sz w:val="24"/>
                <w:szCs w:val="24"/>
                <w:lang w:val="en-US" w:eastAsia="zh-CN" w:bidi="ar"/>
              </w:rPr>
              <w:t>10~14mm</w:t>
            </w:r>
            <w:r>
              <w:rPr>
                <w:rFonts w:hint="default" w:ascii="Times New Roman" w:hAnsi="Times New Roman" w:eastAsia="宋体" w:cs="Times New Roman"/>
                <w:color w:val="000000"/>
                <w:kern w:val="0"/>
                <w:sz w:val="24"/>
                <w:szCs w:val="24"/>
                <w:lang w:val="en-US" w:eastAsia="zh-CN" w:bidi="ar"/>
              </w:rPr>
              <w:t>，间距</w:t>
            </w:r>
            <w:r>
              <w:rPr>
                <w:rFonts w:hint="default" w:ascii="Times New Roman" w:hAnsi="Times New Roman" w:eastAsia="TimesNewRomanPSMT" w:cs="Times New Roman"/>
                <w:color w:val="000000"/>
                <w:kern w:val="0"/>
                <w:sz w:val="24"/>
                <w:szCs w:val="24"/>
                <w:lang w:val="en-US" w:eastAsia="zh-CN" w:bidi="ar"/>
              </w:rPr>
              <w:t>100~150mm</w:t>
            </w:r>
            <w:r>
              <w:rPr>
                <w:rFonts w:hint="default" w:ascii="Times New Roman" w:hAnsi="Times New Roman" w:eastAsia="宋体" w:cs="Times New Roman"/>
                <w:color w:val="000000"/>
                <w:kern w:val="0"/>
                <w:sz w:val="24"/>
                <w:szCs w:val="24"/>
                <w:lang w:val="en-US" w:eastAsia="zh-CN" w:bidi="ar"/>
              </w:rPr>
              <w:t>，特殊断面管沟钢筋直径可适当提高。</w:t>
            </w:r>
            <w:r>
              <w:rPr>
                <w:rFonts w:hint="eastAsia" w:ascii="宋体" w:hAnsi="宋体" w:eastAsia="宋体" w:cs="宋体"/>
                <w:color w:val="000000"/>
                <w:kern w:val="0"/>
                <w:sz w:val="24"/>
                <w:szCs w:val="24"/>
                <w:lang w:val="en-US" w:eastAsia="zh-CN" w:bidi="ar"/>
              </w:rPr>
              <w:t>在混凝土内部加入一定量的钢纤维，对控制混凝土裂缝效果更佳。结构拉结筋宜采用“梅花型”布置，必须严格保证混凝土迎水面</w:t>
            </w:r>
            <w:r>
              <w:rPr>
                <w:rFonts w:ascii="TimesNewRomanPSMT" w:hAnsi="TimesNewRomanPSMT" w:eastAsia="TimesNewRomanPSMT" w:cs="TimesNewRomanPSMT"/>
                <w:color w:val="000000"/>
                <w:kern w:val="0"/>
                <w:sz w:val="24"/>
                <w:szCs w:val="24"/>
                <w:lang w:val="en-US" w:eastAsia="zh-CN" w:bidi="ar"/>
              </w:rPr>
              <w:t>50mm</w:t>
            </w:r>
            <w:r>
              <w:rPr>
                <w:rFonts w:hint="eastAsia" w:ascii="宋体" w:hAnsi="宋体" w:eastAsia="宋体" w:cs="宋体"/>
                <w:color w:val="000000"/>
                <w:kern w:val="0"/>
                <w:sz w:val="24"/>
                <w:szCs w:val="24"/>
                <w:lang w:val="en-US" w:eastAsia="zh-CN" w:bidi="ar"/>
              </w:rPr>
              <w:t>的钢筋保护层厚度。</w:t>
            </w:r>
          </w:p>
          <w:p w14:paraId="0472895A">
            <w:pPr>
              <w:keepNext w:val="0"/>
              <w:keepLines w:val="0"/>
              <w:widowControl/>
              <w:numPr>
                <w:ilvl w:val="0"/>
                <w:numId w:val="8"/>
              </w:numPr>
              <w:suppressLineNumbers w:val="0"/>
              <w:ind w:left="0" w:lef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地基加固设计</w:t>
            </w:r>
          </w:p>
          <w:p w14:paraId="7A795B40">
            <w:pPr>
              <w:keepNext w:val="0"/>
              <w:keepLines w:val="0"/>
              <w:widowControl/>
              <w:suppressLineNumbers w:val="0"/>
              <w:ind w:firstLine="480" w:firstLineChars="200"/>
              <w:jc w:val="left"/>
              <w:rPr>
                <w:rFonts w:hint="default" w:ascii="Times New Roman" w:hAnsi="Times New Roman" w:eastAsia="宋体" w:cs="Times New Roman"/>
                <w:b w:val="0"/>
                <w:bCs w:val="0"/>
                <w:color w:val="000000"/>
                <w:kern w:val="0"/>
                <w:sz w:val="28"/>
                <w:szCs w:val="28"/>
                <w:lang w:val="en-US" w:eastAsia="zh-CN" w:bidi="ar"/>
              </w:rPr>
            </w:pPr>
            <w:r>
              <w:rPr>
                <w:rFonts w:hint="default" w:ascii="Times New Roman" w:hAnsi="Times New Roman" w:eastAsia="宋体" w:cs="Times New Roman"/>
                <w:b w:val="0"/>
                <w:bCs w:val="0"/>
                <w:color w:val="000000"/>
                <w:kern w:val="0"/>
                <w:sz w:val="24"/>
                <w:szCs w:val="24"/>
                <w:lang w:val="en-US" w:eastAsia="zh-CN" w:bidi="ar"/>
              </w:rPr>
              <w:t>工程实施过程中，会遇软土地基，需进行地基加固。结合本项目综合管沟所在区域地质及周边情况，在新建区域推荐采用</w:t>
            </w:r>
            <w:r>
              <w:rPr>
                <w:rFonts w:hint="default" w:ascii="Times New Roman" w:hAnsi="Times New Roman" w:eastAsia="TimesNewRomanPS-BoldMT" w:cs="Times New Roman"/>
                <w:b w:val="0"/>
                <w:bCs w:val="0"/>
                <w:color w:val="000000"/>
                <w:kern w:val="0"/>
                <w:sz w:val="24"/>
                <w:szCs w:val="24"/>
                <w:lang w:val="en-US" w:eastAsia="zh-CN" w:bidi="ar"/>
              </w:rPr>
              <w:t>CFG</w:t>
            </w:r>
            <w:r>
              <w:rPr>
                <w:rFonts w:hint="default" w:ascii="Times New Roman" w:hAnsi="Times New Roman" w:eastAsia="宋体" w:cs="Times New Roman"/>
                <w:b w:val="0"/>
                <w:bCs w:val="0"/>
                <w:color w:val="000000"/>
                <w:kern w:val="0"/>
                <w:sz w:val="24"/>
                <w:szCs w:val="24"/>
                <w:lang w:val="en-US" w:eastAsia="zh-CN" w:bidi="ar"/>
              </w:rPr>
              <w:t>桩</w:t>
            </w:r>
            <w:r>
              <w:rPr>
                <w:rFonts w:hint="eastAsia" w:ascii="Times New Roman" w:hAnsi="Times New Roman" w:eastAsia="宋体" w:cs="Times New Roman"/>
                <w:b w:val="0"/>
                <w:bCs w:val="0"/>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水泥粉煤灰碎石桩</w:t>
            </w:r>
            <w:r>
              <w:rPr>
                <w:rFonts w:hint="eastAsia" w:ascii="Times New Roman" w:hAnsi="Times New Roman" w:eastAsia="宋体" w:cs="Times New Roman"/>
                <w:b w:val="0"/>
                <w:bCs w:val="0"/>
                <w:color w:val="000000"/>
                <w:kern w:val="0"/>
                <w:sz w:val="24"/>
                <w:szCs w:val="24"/>
                <w:lang w:val="en-US" w:eastAsia="zh-CN" w:bidi="ar"/>
              </w:rPr>
              <w:t>）</w:t>
            </w:r>
            <w:r>
              <w:rPr>
                <w:rFonts w:hint="default" w:ascii="Times New Roman" w:hAnsi="Times New Roman" w:eastAsia="宋体" w:cs="Times New Roman"/>
                <w:b w:val="0"/>
                <w:bCs w:val="0"/>
                <w:color w:val="000000"/>
                <w:kern w:val="0"/>
                <w:sz w:val="24"/>
                <w:szCs w:val="24"/>
                <w:lang w:val="en-US" w:eastAsia="zh-CN" w:bidi="ar"/>
              </w:rPr>
              <w:t>，在已建成区域推荐采用预制桩。遇重度液化土质时，考虑抗拔设计。</w:t>
            </w:r>
            <w:r>
              <w:rPr>
                <w:rFonts w:hint="default" w:ascii="Times New Roman" w:hAnsi="Times New Roman" w:eastAsia="宋体" w:cs="Times New Roman"/>
                <w:b w:val="0"/>
                <w:bCs w:val="0"/>
                <w:color w:val="000000"/>
                <w:kern w:val="0"/>
                <w:sz w:val="28"/>
                <w:szCs w:val="28"/>
                <w:lang w:val="en-US" w:eastAsia="zh-CN" w:bidi="ar"/>
              </w:rPr>
              <w:t xml:space="preserve"> </w:t>
            </w:r>
          </w:p>
          <w:p w14:paraId="7164803E">
            <w:pPr>
              <w:keepNext w:val="0"/>
              <w:keepLines w:val="0"/>
              <w:widowControl/>
              <w:suppressLineNumbers w:val="0"/>
              <w:jc w:val="cente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表1-2 各道路地基加固法</w:t>
            </w:r>
          </w:p>
          <w:tbl>
            <w:tblPr>
              <w:tblStyle w:val="10"/>
              <w:tblW w:w="84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3615"/>
              <w:gridCol w:w="1815"/>
              <w:gridCol w:w="2258"/>
            </w:tblGrid>
            <w:tr w14:paraId="49FEC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14:paraId="3ADA2AC6">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序号</w:t>
                  </w:r>
                </w:p>
              </w:tc>
              <w:tc>
                <w:tcPr>
                  <w:tcW w:w="3615" w:type="dxa"/>
                  <w:vAlign w:val="center"/>
                </w:tcPr>
                <w:p w14:paraId="5F661ADF">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道路名称</w:t>
                  </w:r>
                </w:p>
              </w:tc>
              <w:tc>
                <w:tcPr>
                  <w:tcW w:w="1815" w:type="dxa"/>
                  <w:vAlign w:val="center"/>
                </w:tcPr>
                <w:p w14:paraId="66FBD44E">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所在区域概况</w:t>
                  </w:r>
                </w:p>
              </w:tc>
              <w:tc>
                <w:tcPr>
                  <w:tcW w:w="2258" w:type="dxa"/>
                  <w:vAlign w:val="center"/>
                </w:tcPr>
                <w:p w14:paraId="7F4E379D">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拟采用地基加固技术</w:t>
                  </w:r>
                </w:p>
              </w:tc>
            </w:tr>
            <w:tr w14:paraId="11951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14:paraId="234072E4">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1</w:t>
                  </w:r>
                </w:p>
              </w:tc>
              <w:tc>
                <w:tcPr>
                  <w:tcW w:w="3615" w:type="dxa"/>
                  <w:vAlign w:val="center"/>
                </w:tcPr>
                <w:p w14:paraId="6C5971A8">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西二环（芒象路至人保路）</w:t>
                  </w:r>
                </w:p>
              </w:tc>
              <w:tc>
                <w:tcPr>
                  <w:tcW w:w="1815" w:type="dxa"/>
                  <w:vAlign w:val="center"/>
                </w:tcPr>
                <w:p w14:paraId="5C13CE28">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新建区域</w:t>
                  </w:r>
                </w:p>
              </w:tc>
              <w:tc>
                <w:tcPr>
                  <w:tcW w:w="2258" w:type="dxa"/>
                  <w:vAlign w:val="center"/>
                </w:tcPr>
                <w:p w14:paraId="75CEBA7A">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TimesNewRomanPSMT" w:cs="Times New Roman"/>
                      <w:color w:val="000000"/>
                      <w:kern w:val="0"/>
                      <w:sz w:val="21"/>
                      <w:szCs w:val="21"/>
                      <w:lang w:val="en-US" w:eastAsia="zh-CN" w:bidi="ar"/>
                    </w:rPr>
                    <w:t>CFG</w:t>
                  </w:r>
                  <w:r>
                    <w:rPr>
                      <w:rFonts w:hint="default" w:ascii="Times New Roman" w:hAnsi="Times New Roman" w:eastAsia="宋体" w:cs="Times New Roman"/>
                      <w:color w:val="000000"/>
                      <w:kern w:val="0"/>
                      <w:sz w:val="21"/>
                      <w:szCs w:val="21"/>
                      <w:lang w:val="en-US" w:eastAsia="zh-CN" w:bidi="ar"/>
                    </w:rPr>
                    <w:t>桩遇重度液化土质设置抗拔桩</w:t>
                  </w:r>
                </w:p>
              </w:tc>
            </w:tr>
            <w:tr w14:paraId="46306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14:paraId="42FD1D23">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2</w:t>
                  </w:r>
                </w:p>
              </w:tc>
              <w:tc>
                <w:tcPr>
                  <w:tcW w:w="3615" w:type="dxa"/>
                  <w:vAlign w:val="center"/>
                </w:tcPr>
                <w:p w14:paraId="58D88129">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人保路（滨河路至芒市大街）</w:t>
                  </w:r>
                </w:p>
              </w:tc>
              <w:tc>
                <w:tcPr>
                  <w:tcW w:w="1815" w:type="dxa"/>
                  <w:vAlign w:val="center"/>
                </w:tcPr>
                <w:p w14:paraId="35C75644">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新建区域</w:t>
                  </w:r>
                </w:p>
              </w:tc>
              <w:tc>
                <w:tcPr>
                  <w:tcW w:w="2258" w:type="dxa"/>
                  <w:vAlign w:val="center"/>
                </w:tcPr>
                <w:p w14:paraId="12998C05">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TimesNewRomanPSMT" w:cs="Times New Roman"/>
                      <w:color w:val="000000"/>
                      <w:kern w:val="0"/>
                      <w:sz w:val="21"/>
                      <w:szCs w:val="21"/>
                      <w:lang w:val="en-US" w:eastAsia="zh-CN" w:bidi="ar"/>
                    </w:rPr>
                    <w:t>CFG</w:t>
                  </w:r>
                  <w:r>
                    <w:rPr>
                      <w:rFonts w:hint="default" w:ascii="Times New Roman" w:hAnsi="Times New Roman" w:eastAsia="宋体" w:cs="Times New Roman"/>
                      <w:color w:val="000000"/>
                      <w:kern w:val="0"/>
                      <w:sz w:val="21"/>
                      <w:szCs w:val="21"/>
                      <w:lang w:val="en-US" w:eastAsia="zh-CN" w:bidi="ar"/>
                    </w:rPr>
                    <w:t>桩</w:t>
                  </w:r>
                </w:p>
              </w:tc>
            </w:tr>
            <w:tr w14:paraId="2458E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14:paraId="2DC96B59">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3</w:t>
                  </w:r>
                </w:p>
              </w:tc>
              <w:tc>
                <w:tcPr>
                  <w:tcW w:w="3615" w:type="dxa"/>
                  <w:vAlign w:val="center"/>
                </w:tcPr>
                <w:p w14:paraId="2A8E73F8">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阔时路（金孔雀大街至芒市大街）</w:t>
                  </w:r>
                </w:p>
              </w:tc>
              <w:tc>
                <w:tcPr>
                  <w:tcW w:w="1815" w:type="dxa"/>
                  <w:vAlign w:val="center"/>
                </w:tcPr>
                <w:p w14:paraId="05EF42BA">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已建区域</w:t>
                  </w:r>
                </w:p>
              </w:tc>
              <w:tc>
                <w:tcPr>
                  <w:tcW w:w="2258" w:type="dxa"/>
                  <w:vAlign w:val="center"/>
                </w:tcPr>
                <w:p w14:paraId="23BA899C">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预制桩</w:t>
                  </w:r>
                </w:p>
              </w:tc>
            </w:tr>
            <w:tr w14:paraId="7E3A2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14:paraId="438452BC">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4</w:t>
                  </w:r>
                </w:p>
              </w:tc>
              <w:tc>
                <w:tcPr>
                  <w:tcW w:w="3615" w:type="dxa"/>
                  <w:vAlign w:val="center"/>
                </w:tcPr>
                <w:p w14:paraId="35184A0C">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芒市大街</w:t>
                  </w:r>
                </w:p>
              </w:tc>
              <w:tc>
                <w:tcPr>
                  <w:tcW w:w="1815" w:type="dxa"/>
                  <w:vAlign w:val="center"/>
                </w:tcPr>
                <w:p w14:paraId="7AE0E465">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已建区域</w:t>
                  </w:r>
                </w:p>
              </w:tc>
              <w:tc>
                <w:tcPr>
                  <w:tcW w:w="2258" w:type="dxa"/>
                  <w:vAlign w:val="center"/>
                </w:tcPr>
                <w:p w14:paraId="388B45C8">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预制桩</w:t>
                  </w:r>
                </w:p>
              </w:tc>
            </w:tr>
            <w:tr w14:paraId="5629E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14:paraId="1668C19A">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5</w:t>
                  </w:r>
                </w:p>
              </w:tc>
              <w:tc>
                <w:tcPr>
                  <w:tcW w:w="3615" w:type="dxa"/>
                  <w:vAlign w:val="center"/>
                </w:tcPr>
                <w:p w14:paraId="57AB0EA1">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勐焕路（西二环至芒市大街）</w:t>
                  </w:r>
                </w:p>
              </w:tc>
              <w:tc>
                <w:tcPr>
                  <w:tcW w:w="1815" w:type="dxa"/>
                  <w:vAlign w:val="center"/>
                </w:tcPr>
                <w:p w14:paraId="16A108DE">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已建区域</w:t>
                  </w:r>
                </w:p>
                <w:p w14:paraId="144BE256">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局部新建</w:t>
                  </w:r>
                </w:p>
              </w:tc>
              <w:tc>
                <w:tcPr>
                  <w:tcW w:w="2258" w:type="dxa"/>
                  <w:vAlign w:val="center"/>
                </w:tcPr>
                <w:p w14:paraId="3D6EA1C6">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预制桩结</w:t>
                  </w:r>
                  <w:r>
                    <w:rPr>
                      <w:rFonts w:hint="default" w:ascii="Times New Roman" w:hAnsi="Times New Roman" w:eastAsia="TimesNewRomanPSMT" w:cs="Times New Roman"/>
                      <w:color w:val="000000"/>
                      <w:kern w:val="0"/>
                      <w:sz w:val="21"/>
                      <w:szCs w:val="21"/>
                      <w:lang w:val="en-US" w:eastAsia="zh-CN" w:bidi="ar"/>
                    </w:rPr>
                    <w:t>CFG</w:t>
                  </w:r>
                  <w:r>
                    <w:rPr>
                      <w:rFonts w:hint="default" w:ascii="Times New Roman" w:hAnsi="Times New Roman" w:eastAsia="宋体" w:cs="Times New Roman"/>
                      <w:color w:val="000000"/>
                      <w:kern w:val="0"/>
                      <w:sz w:val="21"/>
                      <w:szCs w:val="21"/>
                      <w:lang w:val="en-US" w:eastAsia="zh-CN" w:bidi="ar"/>
                    </w:rPr>
                    <w:t>桩</w:t>
                  </w:r>
                </w:p>
              </w:tc>
            </w:tr>
            <w:tr w14:paraId="2C432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14:paraId="4C2B704A">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6</w:t>
                  </w:r>
                </w:p>
              </w:tc>
              <w:tc>
                <w:tcPr>
                  <w:tcW w:w="3615" w:type="dxa"/>
                  <w:vAlign w:val="center"/>
                </w:tcPr>
                <w:p w14:paraId="15A600F4">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胞波路（西二环至芒市大街）</w:t>
                  </w:r>
                </w:p>
              </w:tc>
              <w:tc>
                <w:tcPr>
                  <w:tcW w:w="1815" w:type="dxa"/>
                  <w:vAlign w:val="center"/>
                </w:tcPr>
                <w:p w14:paraId="6BE99726">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已建区域</w:t>
                  </w:r>
                </w:p>
                <w:p w14:paraId="496273DA">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局部新建</w:t>
                  </w:r>
                </w:p>
              </w:tc>
              <w:tc>
                <w:tcPr>
                  <w:tcW w:w="2258" w:type="dxa"/>
                  <w:vAlign w:val="center"/>
                </w:tcPr>
                <w:p w14:paraId="150AE94C">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预制桩结</w:t>
                  </w:r>
                  <w:r>
                    <w:rPr>
                      <w:rFonts w:hint="default" w:ascii="Times New Roman" w:hAnsi="Times New Roman" w:eastAsia="TimesNewRomanPSMT" w:cs="Times New Roman"/>
                      <w:color w:val="000000"/>
                      <w:kern w:val="0"/>
                      <w:sz w:val="21"/>
                      <w:szCs w:val="21"/>
                      <w:lang w:val="en-US" w:eastAsia="zh-CN" w:bidi="ar"/>
                    </w:rPr>
                    <w:t>CFG</w:t>
                  </w:r>
                  <w:r>
                    <w:rPr>
                      <w:rFonts w:hint="default" w:ascii="Times New Roman" w:hAnsi="Times New Roman" w:eastAsia="宋体" w:cs="Times New Roman"/>
                      <w:color w:val="000000"/>
                      <w:kern w:val="0"/>
                      <w:sz w:val="21"/>
                      <w:szCs w:val="21"/>
                      <w:lang w:val="en-US" w:eastAsia="zh-CN" w:bidi="ar"/>
                    </w:rPr>
                    <w:t>桩</w:t>
                  </w:r>
                </w:p>
              </w:tc>
            </w:tr>
            <w:tr w14:paraId="02924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14:paraId="64F84137">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7</w:t>
                  </w:r>
                </w:p>
              </w:tc>
              <w:tc>
                <w:tcPr>
                  <w:tcW w:w="3615" w:type="dxa"/>
                  <w:vAlign w:val="center"/>
                </w:tcPr>
                <w:p w14:paraId="383E752C">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阔时路已建段（滨河路至西二环）</w:t>
                  </w:r>
                </w:p>
              </w:tc>
              <w:tc>
                <w:tcPr>
                  <w:tcW w:w="1815" w:type="dxa"/>
                  <w:vAlign w:val="center"/>
                </w:tcPr>
                <w:p w14:paraId="1F1C0026">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新建区域</w:t>
                  </w:r>
                </w:p>
              </w:tc>
              <w:tc>
                <w:tcPr>
                  <w:tcW w:w="2258" w:type="dxa"/>
                  <w:vAlign w:val="center"/>
                </w:tcPr>
                <w:p w14:paraId="5F417963">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TimesNewRomanPSMT" w:cs="Times New Roman"/>
                      <w:color w:val="000000"/>
                      <w:kern w:val="0"/>
                      <w:sz w:val="21"/>
                      <w:szCs w:val="21"/>
                      <w:lang w:val="en-US" w:eastAsia="zh-CN" w:bidi="ar"/>
                    </w:rPr>
                    <w:t>CFG</w:t>
                  </w:r>
                  <w:r>
                    <w:rPr>
                      <w:rFonts w:hint="default" w:ascii="Times New Roman" w:hAnsi="Times New Roman" w:eastAsia="宋体" w:cs="Times New Roman"/>
                      <w:color w:val="000000"/>
                      <w:kern w:val="0"/>
                      <w:sz w:val="21"/>
                      <w:szCs w:val="21"/>
                      <w:lang w:val="en-US" w:eastAsia="zh-CN" w:bidi="ar"/>
                    </w:rPr>
                    <w:t>桩</w:t>
                  </w:r>
                </w:p>
              </w:tc>
            </w:tr>
            <w:tr w14:paraId="1131C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14:paraId="40F2698C">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8</w:t>
                  </w:r>
                </w:p>
              </w:tc>
              <w:tc>
                <w:tcPr>
                  <w:tcW w:w="3615" w:type="dxa"/>
                  <w:vAlign w:val="center"/>
                </w:tcPr>
                <w:p w14:paraId="35813F42">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阔时路已建段（西二环至金孔雀大街）</w:t>
                  </w:r>
                </w:p>
              </w:tc>
              <w:tc>
                <w:tcPr>
                  <w:tcW w:w="1815" w:type="dxa"/>
                  <w:vAlign w:val="center"/>
                </w:tcPr>
                <w:p w14:paraId="17E2D845">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新建区域</w:t>
                  </w:r>
                </w:p>
              </w:tc>
              <w:tc>
                <w:tcPr>
                  <w:tcW w:w="2258" w:type="dxa"/>
                  <w:vAlign w:val="center"/>
                </w:tcPr>
                <w:p w14:paraId="4D43BAB7">
                  <w:pPr>
                    <w:keepNext w:val="0"/>
                    <w:keepLines w:val="0"/>
                    <w:widowControl/>
                    <w:suppressLineNumbers w:val="0"/>
                    <w:spacing w:line="240" w:lineRule="auto"/>
                    <w:jc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TimesNewRomanPSMT" w:cs="Times New Roman"/>
                      <w:color w:val="000000"/>
                      <w:kern w:val="0"/>
                      <w:sz w:val="21"/>
                      <w:szCs w:val="21"/>
                      <w:lang w:val="en-US" w:eastAsia="zh-CN" w:bidi="ar"/>
                    </w:rPr>
                    <w:t>CFG</w:t>
                  </w:r>
                  <w:r>
                    <w:rPr>
                      <w:rFonts w:hint="default" w:ascii="Times New Roman" w:hAnsi="Times New Roman" w:eastAsia="宋体" w:cs="Times New Roman"/>
                      <w:color w:val="000000"/>
                      <w:kern w:val="0"/>
                      <w:sz w:val="21"/>
                      <w:szCs w:val="21"/>
                      <w:lang w:val="en-US" w:eastAsia="zh-CN" w:bidi="ar"/>
                    </w:rPr>
                    <w:t>桩</w:t>
                  </w:r>
                </w:p>
              </w:tc>
            </w:tr>
          </w:tbl>
          <w:p w14:paraId="227D7114">
            <w:pPr>
              <w:keepNext w:val="0"/>
              <w:keepLines w:val="0"/>
              <w:widowControl/>
              <w:numPr>
                <w:ilvl w:val="0"/>
                <w:numId w:val="5"/>
              </w:numPr>
              <w:suppressLineNumbers w:val="0"/>
              <w:ind w:left="0" w:leftChars="0" w:firstLine="0" w:firstLineChars="0"/>
              <w:jc w:val="both"/>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监控中心</w:t>
            </w:r>
          </w:p>
          <w:p w14:paraId="045ACB0F">
            <w:pPr>
              <w:keepNext w:val="0"/>
              <w:keepLines w:val="0"/>
              <w:widowControl/>
              <w:suppressLineNumbers w:val="0"/>
              <w:ind w:firstLine="480" w:firstLineChars="200"/>
              <w:jc w:val="left"/>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监控中心</w:t>
            </w:r>
            <w:r>
              <w:rPr>
                <w:rFonts w:hint="eastAsia" w:cs="Times New Roman"/>
                <w:color w:val="000000"/>
                <w:kern w:val="0"/>
                <w:sz w:val="24"/>
                <w:szCs w:val="24"/>
                <w:lang w:val="en-US" w:eastAsia="zh-CN" w:bidi="ar"/>
              </w:rPr>
              <w:t>与综合管廊同步实施，</w:t>
            </w:r>
            <w:r>
              <w:rPr>
                <w:rFonts w:hint="default" w:ascii="Times New Roman" w:hAnsi="Times New Roman" w:eastAsia="宋体" w:cs="Times New Roman"/>
                <w:color w:val="000000"/>
                <w:kern w:val="0"/>
                <w:sz w:val="24"/>
                <w:szCs w:val="24"/>
                <w:lang w:val="en-US" w:eastAsia="zh-CN" w:bidi="ar"/>
              </w:rPr>
              <w:t>芒市中心城区综合管廊监控中心根据用地及管廊布设情况，规划建</w:t>
            </w:r>
            <w:r>
              <w:rPr>
                <w:rFonts w:hint="default" w:ascii="Times New Roman" w:hAnsi="Times New Roman" w:eastAsia="TimesNewRomanPSMT"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 xml:space="preserve">个监控中心。 </w:t>
            </w:r>
          </w:p>
          <w:p w14:paraId="034C82DE">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监控中心位于人保路和西二环交叉口。监控中心设计为半地下式，这样既不破坏周边环境，同时也可以满足自然采光、通风的要求。在监控室和综合管廊之间设置一个地下联络通道，以便于人员的进出和综合管廊的内部管理。 </w:t>
            </w:r>
          </w:p>
          <w:p w14:paraId="5A54CCB0">
            <w:pPr>
              <w:keepNext w:val="0"/>
              <w:keepLines w:val="0"/>
              <w:widowControl/>
              <w:suppressLineNumbers w:val="0"/>
              <w:ind w:firstLine="480" w:firstLineChars="200"/>
              <w:jc w:val="both"/>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监控中心主要包括：</w:t>
            </w:r>
          </w:p>
          <w:p w14:paraId="06A48BB2">
            <w:pPr>
              <w:keepNext w:val="0"/>
              <w:keepLines w:val="0"/>
              <w:widowControl/>
              <w:numPr>
                <w:ilvl w:val="0"/>
                <w:numId w:val="9"/>
              </w:numPr>
              <w:suppressLineNumbers w:val="0"/>
              <w:ind w:firstLine="480" w:firstLineChars="200"/>
              <w:jc w:val="both"/>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附属设备监控系统</w:t>
            </w:r>
          </w:p>
          <w:p w14:paraId="6AE4001C">
            <w:pPr>
              <w:keepNext w:val="0"/>
              <w:keepLines w:val="0"/>
              <w:widowControl/>
              <w:suppressLineNumbers w:val="0"/>
              <w:ind w:firstLine="480" w:firstLineChars="200"/>
              <w:jc w:val="both"/>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设置两台监控计算机、一台管理计算机，一台工业以太网交换机</w:t>
            </w:r>
            <w:r>
              <w:rPr>
                <w:rFonts w:hint="default" w:ascii="Times New Roman" w:hAnsi="Times New Roman" w:eastAsia="TimesNewRomanPSMT"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带多模以太网光缆接口、具有环网功能</w:t>
            </w:r>
            <w:r>
              <w:rPr>
                <w:rFonts w:hint="default" w:ascii="Times New Roman" w:hAnsi="Times New Roman" w:eastAsia="TimesNewRomanPSMT"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、两台打印机、一台</w:t>
            </w:r>
            <w:r>
              <w:rPr>
                <w:rFonts w:hint="default" w:ascii="Times New Roman" w:hAnsi="Times New Roman" w:eastAsia="TimesNewRomanPSMT" w:cs="Times New Roman"/>
                <w:color w:val="000000"/>
                <w:kern w:val="0"/>
                <w:sz w:val="24"/>
                <w:szCs w:val="24"/>
                <w:lang w:val="en-US" w:eastAsia="zh-CN" w:bidi="ar"/>
              </w:rPr>
              <w:t>UPS</w:t>
            </w:r>
            <w:r>
              <w:rPr>
                <w:rFonts w:hint="default" w:ascii="Times New Roman" w:hAnsi="Times New Roman" w:eastAsia="宋体" w:cs="Times New Roman"/>
                <w:color w:val="000000"/>
                <w:kern w:val="0"/>
                <w:sz w:val="24"/>
                <w:szCs w:val="24"/>
                <w:lang w:val="en-US" w:eastAsia="zh-CN" w:bidi="ar"/>
              </w:rPr>
              <w:t>、一台服务器。</w:t>
            </w:r>
          </w:p>
          <w:p w14:paraId="05342B0A">
            <w:pPr>
              <w:keepNext w:val="0"/>
              <w:keepLines w:val="0"/>
              <w:widowControl/>
              <w:numPr>
                <w:ilvl w:val="0"/>
                <w:numId w:val="9"/>
              </w:numPr>
              <w:suppressLineNumbers w:val="0"/>
              <w:ind w:left="0" w:leftChars="0" w:firstLine="480" w:firstLineChars="200"/>
              <w:jc w:val="both"/>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火灾报警系统</w:t>
            </w:r>
          </w:p>
          <w:p w14:paraId="31F88D49">
            <w:pPr>
              <w:keepNext w:val="0"/>
              <w:keepLines w:val="0"/>
              <w:widowControl/>
              <w:suppressLineNumbers w:val="0"/>
              <w:ind w:firstLine="480" w:firstLineChars="200"/>
              <w:jc w:val="both"/>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设置火灾报警上位机一套、火灾报警控制器一套、分布式光纤测温控制单元一套</w:t>
            </w:r>
            <w:r>
              <w:rPr>
                <w:rFonts w:hint="default" w:ascii="Times New Roman" w:hAnsi="Times New Roman" w:eastAsia="TimesNewRomanPSMT"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四通道</w:t>
            </w:r>
            <w:r>
              <w:rPr>
                <w:rFonts w:hint="default" w:ascii="Times New Roman" w:hAnsi="Times New Roman" w:eastAsia="TimesNewRomanPSMT"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。控制室消防设备由监控</w:t>
            </w:r>
            <w:r>
              <w:rPr>
                <w:rFonts w:hint="default" w:ascii="Times New Roman" w:hAnsi="Times New Roman" w:eastAsia="TimesNewRomanPSMT" w:cs="Times New Roman"/>
                <w:color w:val="000000"/>
                <w:kern w:val="0"/>
                <w:sz w:val="24"/>
                <w:szCs w:val="24"/>
                <w:lang w:val="en-US" w:eastAsia="zh-CN" w:bidi="ar"/>
              </w:rPr>
              <w:t xml:space="preserve">UPS </w:t>
            </w:r>
            <w:r>
              <w:rPr>
                <w:rFonts w:hint="default" w:ascii="Times New Roman" w:hAnsi="Times New Roman" w:eastAsia="宋体" w:cs="Times New Roman"/>
                <w:color w:val="000000"/>
                <w:kern w:val="0"/>
                <w:sz w:val="24"/>
                <w:szCs w:val="24"/>
                <w:lang w:val="en-US" w:eastAsia="zh-CN" w:bidi="ar"/>
              </w:rPr>
              <w:t>供电。</w:t>
            </w:r>
          </w:p>
          <w:p w14:paraId="48882907">
            <w:pPr>
              <w:keepNext w:val="0"/>
              <w:keepLines w:val="0"/>
              <w:widowControl/>
              <w:numPr>
                <w:ilvl w:val="0"/>
                <w:numId w:val="9"/>
              </w:numPr>
              <w:suppressLineNumbers w:val="0"/>
              <w:ind w:left="0" w:leftChars="0" w:firstLine="480" w:firstLineChars="200"/>
              <w:jc w:val="both"/>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安保系统</w:t>
            </w:r>
          </w:p>
          <w:p w14:paraId="600E33C4">
            <w:pPr>
              <w:keepNext w:val="0"/>
              <w:keepLines w:val="0"/>
              <w:widowControl/>
              <w:suppressLineNumbers w:val="0"/>
              <w:ind w:firstLine="480" w:firstLineChars="200"/>
              <w:jc w:val="both"/>
              <w:rPr>
                <w:rFonts w:hint="eastAsia" w:ascii="宋体" w:hAnsi="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在各投料口设置双光束红外线自动对射探测器报警装置</w:t>
            </w:r>
            <w:r>
              <w:rPr>
                <w:rFonts w:ascii="TimesNewRomanPSMT" w:hAnsi="TimesNewRomanPSMT" w:eastAsia="TimesNewRomanPSMT" w:cs="TimesNewRomanPSMT"/>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简称红外探测仪</w:t>
            </w:r>
            <w:r>
              <w:rPr>
                <w:rFonts w:hint="default" w:ascii="TimesNewRomanPSMT" w:hAnsi="TimesNewRomanPSMT" w:eastAsia="TimesNewRomanPSMT" w:cs="TimesNewRomanPSMT"/>
                <w:color w:val="000000"/>
                <w:kern w:val="0"/>
                <w:sz w:val="24"/>
                <w:szCs w:val="24"/>
                <w:lang w:val="en-US" w:eastAsia="zh-CN" w:bidi="ar"/>
              </w:rPr>
              <w:t>)</w:t>
            </w:r>
            <w:r>
              <w:rPr>
                <w:rFonts w:hint="eastAsia" w:ascii="TimesNewRomanPSMT" w:hAnsi="TimesNewRomanPSMT" w:eastAsia="TimesNewRomanPSMT" w:cs="TimesNewRomanPSMT"/>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其无源触点报警信号通过现场</w:t>
            </w:r>
            <w:r>
              <w:rPr>
                <w:rFonts w:hint="default" w:ascii="TimesNewRomanPSMT" w:hAnsi="TimesNewRomanPSMT" w:eastAsia="TimesNewRomanPSMT" w:cs="TimesNewRomanPSMT"/>
                <w:color w:val="000000"/>
                <w:kern w:val="0"/>
                <w:sz w:val="24"/>
                <w:szCs w:val="24"/>
                <w:lang w:val="en-US" w:eastAsia="zh-CN" w:bidi="ar"/>
              </w:rPr>
              <w:t xml:space="preserve">ACU </w:t>
            </w:r>
            <w:r>
              <w:rPr>
                <w:rFonts w:hint="eastAsia" w:ascii="宋体" w:hAnsi="宋体" w:eastAsia="宋体" w:cs="宋体"/>
                <w:color w:val="000000"/>
                <w:kern w:val="0"/>
                <w:sz w:val="24"/>
                <w:szCs w:val="24"/>
                <w:lang w:val="en-US" w:eastAsia="zh-CN" w:bidi="ar"/>
              </w:rPr>
              <w:t>控制器送入控制中心监控计算机，使监控计算机显示器画面的相应区段和位置的图像元素闪烁，并产生语音报警信号</w:t>
            </w:r>
            <w:r>
              <w:rPr>
                <w:rFonts w:hint="eastAsia" w:ascii="宋体" w:hAnsi="宋体" w:cs="宋体"/>
                <w:color w:val="000000"/>
                <w:kern w:val="0"/>
                <w:sz w:val="24"/>
                <w:szCs w:val="24"/>
                <w:lang w:val="en-US" w:eastAsia="zh-CN" w:bidi="ar"/>
              </w:rPr>
              <w:t>。</w:t>
            </w:r>
          </w:p>
          <w:p w14:paraId="0C19F846">
            <w:pPr>
              <w:keepNext w:val="0"/>
              <w:keepLines w:val="0"/>
              <w:widowControl/>
              <w:numPr>
                <w:ilvl w:val="0"/>
                <w:numId w:val="9"/>
              </w:numPr>
              <w:suppressLineNumbers w:val="0"/>
              <w:ind w:left="0" w:leftChars="0" w:firstLine="480" w:firstLineChars="200"/>
              <w:jc w:val="both"/>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配套监测仪表</w:t>
            </w:r>
          </w:p>
          <w:p w14:paraId="59451D4A">
            <w:pPr>
              <w:keepNext w:val="0"/>
              <w:keepLines w:val="0"/>
              <w:widowControl/>
              <w:suppressLineNumbers w:val="0"/>
              <w:ind w:firstLine="480" w:firstLineChars="200"/>
              <w:jc w:val="both"/>
              <w:rPr>
                <w:rFonts w:hint="eastAsia"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在每个区段安装两台浮球液位开关，用以水管爆管事故发生时沟内水位上升报警。无源触点报警信号通过就近</w:t>
            </w:r>
            <w:r>
              <w:rPr>
                <w:rFonts w:hint="default" w:ascii="Times New Roman" w:hAnsi="Times New Roman" w:eastAsia="TimesNewRomanPSMT" w:cs="Times New Roman"/>
                <w:color w:val="000000"/>
                <w:kern w:val="0"/>
                <w:sz w:val="24"/>
                <w:szCs w:val="24"/>
                <w:lang w:val="en-US" w:eastAsia="zh-CN" w:bidi="ar"/>
              </w:rPr>
              <w:t xml:space="preserve">ACU </w:t>
            </w:r>
            <w:r>
              <w:rPr>
                <w:rFonts w:hint="default" w:ascii="Times New Roman" w:hAnsi="Times New Roman" w:eastAsia="宋体" w:cs="Times New Roman"/>
                <w:color w:val="000000"/>
                <w:kern w:val="0"/>
                <w:sz w:val="24"/>
                <w:szCs w:val="24"/>
                <w:lang w:val="en-US" w:eastAsia="zh-CN" w:bidi="ar"/>
              </w:rPr>
              <w:t>控制器送监控计算机。当两台浮球液位开</w:t>
            </w:r>
            <w:r>
              <w:rPr>
                <w:rFonts w:hint="default" w:ascii="Times New Roman" w:hAnsi="Times New Roman" w:cs="Times New Roman"/>
                <w:color w:val="000000"/>
                <w:kern w:val="0"/>
                <w:sz w:val="24"/>
                <w:szCs w:val="24"/>
                <w:lang w:val="en-US" w:eastAsia="zh-CN" w:bidi="ar"/>
              </w:rPr>
              <w:t>关</w:t>
            </w:r>
            <w:r>
              <w:rPr>
                <w:rFonts w:hint="default" w:ascii="Times New Roman" w:hAnsi="Times New Roman" w:eastAsia="宋体" w:cs="Times New Roman"/>
                <w:color w:val="000000"/>
                <w:kern w:val="0"/>
                <w:sz w:val="24"/>
                <w:szCs w:val="24"/>
                <w:lang w:val="en-US" w:eastAsia="zh-CN" w:bidi="ar"/>
              </w:rPr>
              <w:t>均输出报警信号时，操作员在专业管线公司授权的前提下可在监控计算机上关闭水管相应的电动阀门</w:t>
            </w:r>
            <w:r>
              <w:rPr>
                <w:rFonts w:hint="eastAsia" w:cs="Times New Roman"/>
                <w:color w:val="000000"/>
                <w:kern w:val="0"/>
                <w:sz w:val="24"/>
                <w:szCs w:val="24"/>
                <w:lang w:val="en-US" w:eastAsia="zh-CN" w:bidi="ar"/>
              </w:rPr>
              <w:t>。</w:t>
            </w:r>
          </w:p>
          <w:p w14:paraId="50E2BE1B">
            <w:pPr>
              <w:keepNext w:val="0"/>
              <w:keepLines w:val="0"/>
              <w:widowControl/>
              <w:numPr>
                <w:ilvl w:val="0"/>
                <w:numId w:val="9"/>
              </w:numPr>
              <w:suppressLineNumbers w:val="0"/>
              <w:ind w:left="0" w:leftChars="0" w:firstLine="480" w:firstLineChars="200"/>
              <w:jc w:val="both"/>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电话系统</w:t>
            </w:r>
          </w:p>
          <w:p w14:paraId="294B1728">
            <w:pPr>
              <w:keepNext w:val="0"/>
              <w:keepLines w:val="0"/>
              <w:widowControl/>
              <w:suppressLineNumbers w:val="0"/>
              <w:ind w:firstLine="480" w:firstLineChars="200"/>
              <w:jc w:val="both"/>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控制中心控制室配置网络综合通讯器一台，引入市话中继线</w:t>
            </w:r>
            <w:r>
              <w:rPr>
                <w:rFonts w:hint="default" w:ascii="Times New Roman" w:hAnsi="Times New Roman" w:eastAsia="TimesNewRomanPSMT" w:cs="Times New Roman"/>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对</w:t>
            </w:r>
            <w:r>
              <w:rPr>
                <w:rFonts w:hint="default" w:ascii="Times New Roman" w:hAnsi="Times New Roman" w:eastAsia="TimesNewRomanPSMT"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中继线引入由电信公司负责</w:t>
            </w:r>
            <w:r>
              <w:rPr>
                <w:rFonts w:hint="default" w:ascii="Times New Roman" w:hAnsi="Times New Roman" w:eastAsia="TimesNewRomanPSMT"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，用于控制中心内模拟电话通讯和与沟内</w:t>
            </w:r>
            <w:r>
              <w:rPr>
                <w:rFonts w:hint="default" w:ascii="Times New Roman" w:hAnsi="Times New Roman" w:eastAsia="TimesNewRomanPSMT" w:cs="Times New Roman"/>
                <w:color w:val="000000"/>
                <w:kern w:val="0"/>
                <w:sz w:val="24"/>
                <w:szCs w:val="24"/>
                <w:lang w:val="en-US" w:eastAsia="zh-CN" w:bidi="ar"/>
              </w:rPr>
              <w:t>IP</w:t>
            </w:r>
            <w:r>
              <w:rPr>
                <w:rFonts w:hint="default" w:ascii="Times New Roman" w:hAnsi="Times New Roman" w:eastAsia="宋体" w:cs="Times New Roman"/>
                <w:color w:val="000000"/>
                <w:kern w:val="0"/>
                <w:sz w:val="24"/>
                <w:szCs w:val="24"/>
                <w:lang w:val="en-US" w:eastAsia="zh-CN" w:bidi="ar"/>
              </w:rPr>
              <w:t>电话通讯。为便于综合管廊内工作人员与外部通讯，在每个区段设置</w:t>
            </w:r>
            <w:r>
              <w:rPr>
                <w:rFonts w:hint="default" w:ascii="Times New Roman" w:hAnsi="Times New Roman" w:eastAsia="TimesNewRomanPSMT" w:cs="Times New Roman"/>
                <w:color w:val="000000"/>
                <w:kern w:val="0"/>
                <w:sz w:val="24"/>
                <w:szCs w:val="24"/>
                <w:lang w:val="en-US" w:eastAsia="zh-CN" w:bidi="ar"/>
              </w:rPr>
              <w:t>IP</w:t>
            </w:r>
            <w:r>
              <w:rPr>
                <w:rFonts w:hint="default" w:ascii="Times New Roman" w:hAnsi="Times New Roman" w:eastAsia="宋体" w:cs="Times New Roman"/>
                <w:color w:val="000000"/>
                <w:kern w:val="0"/>
                <w:sz w:val="24"/>
                <w:szCs w:val="24"/>
                <w:lang w:val="en-US" w:eastAsia="zh-CN" w:bidi="ar"/>
              </w:rPr>
              <w:t>电话一套。网络综合通讯器与沟内现场</w:t>
            </w:r>
            <w:r>
              <w:rPr>
                <w:rFonts w:hint="default" w:ascii="Times New Roman" w:hAnsi="Times New Roman" w:eastAsia="TimesNewRomanPSMT" w:cs="Times New Roman"/>
                <w:color w:val="000000"/>
                <w:kern w:val="0"/>
                <w:sz w:val="24"/>
                <w:szCs w:val="24"/>
                <w:lang w:val="en-US" w:eastAsia="zh-CN" w:bidi="ar"/>
              </w:rPr>
              <w:t>IP</w:t>
            </w:r>
            <w:r>
              <w:rPr>
                <w:rFonts w:hint="default" w:ascii="Times New Roman" w:hAnsi="Times New Roman" w:eastAsia="宋体" w:cs="Times New Roman"/>
                <w:color w:val="000000"/>
                <w:kern w:val="0"/>
                <w:sz w:val="24"/>
                <w:szCs w:val="24"/>
                <w:lang w:val="en-US" w:eastAsia="zh-CN" w:bidi="ar"/>
              </w:rPr>
              <w:t>电话通过监控系统光缆传输信号。</w:t>
            </w:r>
          </w:p>
          <w:p w14:paraId="3AF5FE85">
            <w:pPr>
              <w:keepNext w:val="0"/>
              <w:keepLines w:val="0"/>
              <w:widowControl/>
              <w:numPr>
                <w:ilvl w:val="0"/>
                <w:numId w:val="3"/>
              </w:numPr>
              <w:suppressLineNumbers w:val="0"/>
              <w:ind w:left="0" w:leftChars="0" w:firstLine="0" w:firstLineChars="0"/>
              <w:jc w:val="both"/>
              <w:rPr>
                <w:rFonts w:hint="default"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道路整治</w:t>
            </w:r>
          </w:p>
          <w:p w14:paraId="5D30C48E">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因部分管廊实施范围位于已建成的市政道路红线内，在进行管廊施工时会对市政基础设置造成一定的损坏，结合综合管廊的实施对破坏的市政道路进行恢复。</w:t>
            </w:r>
          </w:p>
          <w:p w14:paraId="2F85AEC7">
            <w:pPr>
              <w:keepNext w:val="0"/>
              <w:keepLines w:val="0"/>
              <w:widowControl/>
              <w:numPr>
                <w:ilvl w:val="0"/>
                <w:numId w:val="10"/>
              </w:numPr>
              <w:suppressLineNumbers w:val="0"/>
              <w:ind w:firstLine="482" w:firstLineChars="200"/>
              <w:jc w:val="left"/>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芒市大街</w:t>
            </w:r>
          </w:p>
          <w:p w14:paraId="7FB28BF6">
            <w:pPr>
              <w:keepNext w:val="0"/>
              <w:keepLines w:val="0"/>
              <w:widowControl/>
              <w:suppressLineNumbers w:val="0"/>
              <w:ind w:firstLine="480" w:firstLineChars="200"/>
              <w:jc w:val="left"/>
              <w:rPr>
                <w:rFonts w:hint="eastAsia" w:ascii="TimesNewRomanPSMT" w:hAnsi="TimesNewRomanPSMT" w:eastAsia="TimesNewRomanPSMT" w:cs="TimesNewRomanPSMT"/>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芒市大街道路全长</w:t>
            </w:r>
            <w:r>
              <w:rPr>
                <w:rFonts w:ascii="TimesNewRomanPSMT" w:hAnsi="TimesNewRomanPSMT" w:eastAsia="TimesNewRomanPSMT" w:cs="TimesNewRomanPSMT"/>
                <w:color w:val="000000"/>
                <w:kern w:val="0"/>
                <w:sz w:val="24"/>
                <w:szCs w:val="24"/>
                <w:lang w:val="en-US" w:eastAsia="zh-CN" w:bidi="ar"/>
              </w:rPr>
              <w:t>3868m</w:t>
            </w:r>
            <w:r>
              <w:rPr>
                <w:rFonts w:hint="eastAsia" w:ascii="宋体" w:hAnsi="宋体" w:eastAsia="宋体" w:cs="宋体"/>
                <w:color w:val="000000"/>
                <w:kern w:val="0"/>
                <w:sz w:val="24"/>
                <w:szCs w:val="24"/>
                <w:lang w:val="en-US" w:eastAsia="zh-CN" w:bidi="ar"/>
              </w:rPr>
              <w:t>，道路宽</w:t>
            </w:r>
            <w:r>
              <w:rPr>
                <w:rFonts w:hint="eastAsia" w:ascii="宋体" w:hAnsi="宋体" w:cs="宋体"/>
                <w:color w:val="000000"/>
                <w:kern w:val="0"/>
                <w:sz w:val="24"/>
                <w:szCs w:val="24"/>
                <w:lang w:val="en-US" w:eastAsia="zh-CN" w:bidi="ar"/>
              </w:rPr>
              <w:t>度</w:t>
            </w:r>
            <w:r>
              <w:rPr>
                <w:rFonts w:hint="default" w:ascii="TimesNewRomanPSMT" w:hAnsi="TimesNewRomanPSMT" w:eastAsia="TimesNewRomanPSMT" w:cs="TimesNewRomanPSMT"/>
                <w:color w:val="000000"/>
                <w:kern w:val="0"/>
                <w:sz w:val="24"/>
                <w:szCs w:val="24"/>
                <w:lang w:val="en-US" w:eastAsia="zh-CN" w:bidi="ar"/>
              </w:rPr>
              <w:t>50m</w:t>
            </w:r>
            <w:r>
              <w:rPr>
                <w:rFonts w:hint="eastAsia" w:ascii="宋体" w:hAnsi="宋体" w:eastAsia="宋体" w:cs="宋体"/>
                <w:color w:val="000000"/>
                <w:kern w:val="0"/>
                <w:sz w:val="24"/>
                <w:szCs w:val="24"/>
                <w:lang w:val="en-US" w:eastAsia="zh-CN" w:bidi="ar"/>
              </w:rPr>
              <w:t>，为城市主干路，双向八车道，设计速度为</w:t>
            </w:r>
            <w:r>
              <w:rPr>
                <w:rFonts w:hint="default" w:ascii="TimesNewRomanPSMT" w:hAnsi="TimesNewRomanPSMT" w:eastAsia="TimesNewRomanPSMT" w:cs="TimesNewRomanPSMT"/>
                <w:color w:val="000000"/>
                <w:kern w:val="0"/>
                <w:sz w:val="24"/>
                <w:szCs w:val="24"/>
                <w:lang w:val="en-US" w:eastAsia="zh-CN" w:bidi="ar"/>
              </w:rPr>
              <w:t>40km/h</w:t>
            </w:r>
            <w:r>
              <w:rPr>
                <w:rFonts w:hint="eastAsia" w:ascii="TimesNewRomanPSMT" w:hAnsi="TimesNewRomanPSMT" w:eastAsia="TimesNewRomanPSMT" w:cs="TimesNewRomanPSMT"/>
                <w:color w:val="000000"/>
                <w:kern w:val="0"/>
                <w:sz w:val="24"/>
                <w:szCs w:val="24"/>
                <w:lang w:val="en-US" w:eastAsia="zh-CN" w:bidi="ar"/>
              </w:rPr>
              <w:t>。</w:t>
            </w:r>
          </w:p>
          <w:p w14:paraId="557C1D74">
            <w:pPr>
              <w:keepNext w:val="0"/>
              <w:keepLines w:val="0"/>
              <w:widowControl/>
              <w:numPr>
                <w:ilvl w:val="0"/>
                <w:numId w:val="11"/>
              </w:numPr>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路基回填</w:t>
            </w:r>
          </w:p>
          <w:p w14:paraId="3A73BB17">
            <w:pPr>
              <w:keepNext w:val="0"/>
              <w:keepLines w:val="0"/>
              <w:widowControl/>
              <w:numPr>
                <w:ilvl w:val="0"/>
                <w:numId w:val="0"/>
              </w:numPr>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路基回填必须采用分层回填分层压实，车行道下管道沟槽回填土压实标准同下表。</w:t>
            </w:r>
          </w:p>
          <w:p w14:paraId="3C0EA17B">
            <w:pPr>
              <w:keepNext w:val="0"/>
              <w:keepLines w:val="0"/>
              <w:widowControl/>
              <w:suppressLineNumbers w:val="0"/>
              <w:jc w:val="cente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表1-3 路基填料最小强度和最大粒径</w:t>
            </w:r>
          </w:p>
          <w:tbl>
            <w:tblPr>
              <w:tblStyle w:val="10"/>
              <w:tblW w:w="86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945"/>
              <w:gridCol w:w="2370"/>
              <w:gridCol w:w="2391"/>
              <w:gridCol w:w="2170"/>
            </w:tblGrid>
            <w:tr w14:paraId="49002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747" w:type="dxa"/>
                  <w:gridSpan w:val="2"/>
                  <w:vAlign w:val="center"/>
                </w:tcPr>
                <w:p w14:paraId="41F776B2">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项目分类</w:t>
                  </w:r>
                </w:p>
              </w:tc>
              <w:tc>
                <w:tcPr>
                  <w:tcW w:w="2370" w:type="dxa"/>
                  <w:vAlign w:val="center"/>
                </w:tcPr>
                <w:p w14:paraId="511A80AB">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路面底面以下深度（m）</w:t>
                  </w:r>
                </w:p>
              </w:tc>
              <w:tc>
                <w:tcPr>
                  <w:tcW w:w="2391" w:type="dxa"/>
                  <w:vAlign w:val="center"/>
                </w:tcPr>
                <w:p w14:paraId="0C4C1103">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填料最小强度 CBR（%）</w:t>
                  </w:r>
                </w:p>
              </w:tc>
              <w:tc>
                <w:tcPr>
                  <w:tcW w:w="2170" w:type="dxa"/>
                  <w:vAlign w:val="center"/>
                </w:tcPr>
                <w:p w14:paraId="4963BE59">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填料最大粒今径（cm）</w:t>
                  </w:r>
                </w:p>
              </w:tc>
            </w:tr>
            <w:tr w14:paraId="48EDE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02" w:type="dxa"/>
                  <w:vMerge w:val="restart"/>
                  <w:vAlign w:val="center"/>
                </w:tcPr>
                <w:p w14:paraId="4D2D775E">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填方路基</w:t>
                  </w:r>
                </w:p>
              </w:tc>
              <w:tc>
                <w:tcPr>
                  <w:tcW w:w="945" w:type="dxa"/>
                  <w:vAlign w:val="center"/>
                </w:tcPr>
                <w:p w14:paraId="01C71957">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上路床</w:t>
                  </w:r>
                </w:p>
              </w:tc>
              <w:tc>
                <w:tcPr>
                  <w:tcW w:w="2370" w:type="dxa"/>
                  <w:vAlign w:val="center"/>
                </w:tcPr>
                <w:p w14:paraId="40A4158E">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0～30</w:t>
                  </w:r>
                </w:p>
              </w:tc>
              <w:tc>
                <w:tcPr>
                  <w:tcW w:w="2391" w:type="dxa"/>
                  <w:vAlign w:val="center"/>
                </w:tcPr>
                <w:p w14:paraId="028E6E10">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8</w:t>
                  </w:r>
                </w:p>
              </w:tc>
              <w:tc>
                <w:tcPr>
                  <w:tcW w:w="2170" w:type="dxa"/>
                  <w:vAlign w:val="center"/>
                </w:tcPr>
                <w:p w14:paraId="28C7BB86">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10</w:t>
                  </w:r>
                </w:p>
              </w:tc>
            </w:tr>
            <w:tr w14:paraId="0C5B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02" w:type="dxa"/>
                  <w:vMerge w:val="continue"/>
                  <w:vAlign w:val="center"/>
                </w:tcPr>
                <w:p w14:paraId="65219ECC">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p>
              </w:tc>
              <w:tc>
                <w:tcPr>
                  <w:tcW w:w="945" w:type="dxa"/>
                  <w:vAlign w:val="center"/>
                </w:tcPr>
                <w:p w14:paraId="329AA0B3">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下路床</w:t>
                  </w:r>
                </w:p>
              </w:tc>
              <w:tc>
                <w:tcPr>
                  <w:tcW w:w="2370" w:type="dxa"/>
                  <w:vAlign w:val="center"/>
                </w:tcPr>
                <w:p w14:paraId="2E1ECAD0">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30～80</w:t>
                  </w:r>
                </w:p>
              </w:tc>
              <w:tc>
                <w:tcPr>
                  <w:tcW w:w="2391" w:type="dxa"/>
                  <w:vAlign w:val="center"/>
                </w:tcPr>
                <w:p w14:paraId="74176D0F">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5</w:t>
                  </w:r>
                </w:p>
              </w:tc>
              <w:tc>
                <w:tcPr>
                  <w:tcW w:w="2170" w:type="dxa"/>
                  <w:vAlign w:val="center"/>
                </w:tcPr>
                <w:p w14:paraId="1D19A1A7">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10</w:t>
                  </w:r>
                </w:p>
              </w:tc>
            </w:tr>
            <w:tr w14:paraId="29AA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02" w:type="dxa"/>
                  <w:vMerge w:val="continue"/>
                  <w:vAlign w:val="center"/>
                </w:tcPr>
                <w:p w14:paraId="1850CBC7">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p>
              </w:tc>
              <w:tc>
                <w:tcPr>
                  <w:tcW w:w="945" w:type="dxa"/>
                  <w:vAlign w:val="center"/>
                </w:tcPr>
                <w:p w14:paraId="3E33FD37">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上路提</w:t>
                  </w:r>
                </w:p>
              </w:tc>
              <w:tc>
                <w:tcPr>
                  <w:tcW w:w="2370" w:type="dxa"/>
                  <w:vAlign w:val="center"/>
                </w:tcPr>
                <w:p w14:paraId="210FB3B2">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80～150</w:t>
                  </w:r>
                </w:p>
              </w:tc>
              <w:tc>
                <w:tcPr>
                  <w:tcW w:w="2391" w:type="dxa"/>
                  <w:vAlign w:val="center"/>
                </w:tcPr>
                <w:p w14:paraId="20570F15">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4</w:t>
                  </w:r>
                </w:p>
              </w:tc>
              <w:tc>
                <w:tcPr>
                  <w:tcW w:w="2170" w:type="dxa"/>
                  <w:vAlign w:val="center"/>
                </w:tcPr>
                <w:p w14:paraId="760C10D6">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15</w:t>
                  </w:r>
                </w:p>
              </w:tc>
            </w:tr>
            <w:tr w14:paraId="133E8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02" w:type="dxa"/>
                  <w:vMerge w:val="continue"/>
                  <w:vAlign w:val="center"/>
                </w:tcPr>
                <w:p w14:paraId="236F82F8">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p>
              </w:tc>
              <w:tc>
                <w:tcPr>
                  <w:tcW w:w="945" w:type="dxa"/>
                  <w:vAlign w:val="center"/>
                </w:tcPr>
                <w:p w14:paraId="261F91DF">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下路提</w:t>
                  </w:r>
                </w:p>
              </w:tc>
              <w:tc>
                <w:tcPr>
                  <w:tcW w:w="2370" w:type="dxa"/>
                  <w:vAlign w:val="center"/>
                </w:tcPr>
                <w:p w14:paraId="0A64F71A">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150以下</w:t>
                  </w:r>
                </w:p>
              </w:tc>
              <w:tc>
                <w:tcPr>
                  <w:tcW w:w="2391" w:type="dxa"/>
                  <w:vAlign w:val="center"/>
                </w:tcPr>
                <w:p w14:paraId="2ABF81C6">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3</w:t>
                  </w:r>
                </w:p>
              </w:tc>
              <w:tc>
                <w:tcPr>
                  <w:tcW w:w="2170" w:type="dxa"/>
                  <w:vAlign w:val="center"/>
                </w:tcPr>
                <w:p w14:paraId="657FCFDC">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15</w:t>
                  </w:r>
                </w:p>
              </w:tc>
            </w:tr>
            <w:tr w14:paraId="2892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747" w:type="dxa"/>
                  <w:gridSpan w:val="2"/>
                  <w:vMerge w:val="restart"/>
                  <w:vAlign w:val="center"/>
                </w:tcPr>
                <w:p w14:paraId="34635072">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零填及路堑路床</w:t>
                  </w:r>
                </w:p>
              </w:tc>
              <w:tc>
                <w:tcPr>
                  <w:tcW w:w="2370" w:type="dxa"/>
                  <w:vAlign w:val="center"/>
                </w:tcPr>
                <w:p w14:paraId="332BB812">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0～30</w:t>
                  </w:r>
                </w:p>
              </w:tc>
              <w:tc>
                <w:tcPr>
                  <w:tcW w:w="2391" w:type="dxa"/>
                  <w:vAlign w:val="center"/>
                </w:tcPr>
                <w:p w14:paraId="4A35B29E">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8</w:t>
                  </w:r>
                </w:p>
              </w:tc>
              <w:tc>
                <w:tcPr>
                  <w:tcW w:w="2170" w:type="dxa"/>
                  <w:vAlign w:val="center"/>
                </w:tcPr>
                <w:p w14:paraId="3CC25449">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10</w:t>
                  </w:r>
                </w:p>
              </w:tc>
            </w:tr>
            <w:tr w14:paraId="5ADE7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747" w:type="dxa"/>
                  <w:gridSpan w:val="2"/>
                  <w:vMerge w:val="continue"/>
                  <w:vAlign w:val="center"/>
                </w:tcPr>
                <w:p w14:paraId="3DC518BD">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p>
              </w:tc>
              <w:tc>
                <w:tcPr>
                  <w:tcW w:w="2370" w:type="dxa"/>
                  <w:vAlign w:val="center"/>
                </w:tcPr>
                <w:p w14:paraId="1173B2DF">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30～80</w:t>
                  </w:r>
                </w:p>
              </w:tc>
              <w:tc>
                <w:tcPr>
                  <w:tcW w:w="2391" w:type="dxa"/>
                  <w:vAlign w:val="center"/>
                </w:tcPr>
                <w:p w14:paraId="63D40D8A">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eastAsia="宋体" w:cs="Times New Roman"/>
                      <w:color w:val="000000"/>
                      <w:kern w:val="0"/>
                      <w:sz w:val="21"/>
                      <w:szCs w:val="21"/>
                      <w:vertAlign w:val="baseline"/>
                      <w:lang w:val="en-US" w:eastAsia="zh-CN" w:bidi="ar"/>
                    </w:rPr>
                    <w:t>5</w:t>
                  </w:r>
                </w:p>
              </w:tc>
              <w:tc>
                <w:tcPr>
                  <w:tcW w:w="2170" w:type="dxa"/>
                  <w:vAlign w:val="center"/>
                </w:tcPr>
                <w:p w14:paraId="229B3508">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10</w:t>
                  </w:r>
                </w:p>
              </w:tc>
            </w:tr>
          </w:tbl>
          <w:p w14:paraId="0F2D507B">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注：当路基填料的 </w:t>
            </w:r>
            <w:r>
              <w:rPr>
                <w:rFonts w:ascii="TimesNewRomanPSMT" w:hAnsi="TimesNewRomanPSMT" w:eastAsia="TimesNewRomanPSMT" w:cs="TimesNewRomanPSMT"/>
                <w:color w:val="000000"/>
                <w:kern w:val="0"/>
                <w:sz w:val="21"/>
                <w:szCs w:val="21"/>
                <w:lang w:val="en-US" w:eastAsia="zh-CN" w:bidi="ar"/>
              </w:rPr>
              <w:t xml:space="preserve">CBR </w:t>
            </w:r>
            <w:r>
              <w:rPr>
                <w:rFonts w:hint="eastAsia" w:ascii="宋体" w:hAnsi="宋体" w:eastAsia="宋体" w:cs="宋体"/>
                <w:color w:val="000000"/>
                <w:kern w:val="0"/>
                <w:sz w:val="21"/>
                <w:szCs w:val="21"/>
                <w:lang w:val="en-US" w:eastAsia="zh-CN" w:bidi="ar"/>
              </w:rPr>
              <w:t>值达不到表列要求时，可掺石灰或其他稳定材料处理。</w:t>
            </w:r>
          </w:p>
          <w:p w14:paraId="4194FBCF">
            <w:pPr>
              <w:keepNext w:val="0"/>
              <w:keepLines w:val="0"/>
              <w:widowControl/>
              <w:suppressLineNumbers w:val="0"/>
              <w:jc w:val="cente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cs="Times New Roman"/>
                <w:b/>
                <w:bCs/>
                <w:color w:val="000000"/>
                <w:kern w:val="0"/>
                <w:sz w:val="24"/>
                <w:szCs w:val="24"/>
                <w:lang w:val="en-US" w:eastAsia="zh-CN" w:bidi="ar"/>
              </w:rPr>
              <w:t xml:space="preserve">表1-4 </w:t>
            </w:r>
            <w:r>
              <w:rPr>
                <w:rFonts w:hint="default" w:ascii="Times New Roman" w:hAnsi="Times New Roman" w:eastAsia="宋体" w:cs="Times New Roman"/>
                <w:b/>
                <w:bCs/>
                <w:color w:val="000000"/>
                <w:kern w:val="0"/>
                <w:sz w:val="24"/>
                <w:szCs w:val="24"/>
                <w:lang w:val="en-US" w:eastAsia="zh-CN" w:bidi="ar"/>
              </w:rPr>
              <w:t>路基压实度（</w:t>
            </w:r>
            <w:r>
              <w:rPr>
                <w:rFonts w:hint="default" w:ascii="Times New Roman" w:hAnsi="Times New Roman" w:eastAsia="TimesNewRomanPSMT" w:cs="Times New Roman"/>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）（重型）</w:t>
            </w:r>
          </w:p>
          <w:tbl>
            <w:tblPr>
              <w:tblStyle w:val="10"/>
              <w:tblW w:w="86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6"/>
              <w:gridCol w:w="2896"/>
              <w:gridCol w:w="2897"/>
            </w:tblGrid>
            <w:tr w14:paraId="0741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6" w:type="dxa"/>
                  <w:vAlign w:val="center"/>
                </w:tcPr>
                <w:p w14:paraId="6FA38D68">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填挖类型</w:t>
                  </w:r>
                </w:p>
              </w:tc>
              <w:tc>
                <w:tcPr>
                  <w:tcW w:w="2896" w:type="dxa"/>
                  <w:vAlign w:val="center"/>
                </w:tcPr>
                <w:p w14:paraId="77F35373">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路面底面以下深度（</w:t>
                  </w:r>
                  <w:r>
                    <w:rPr>
                      <w:rFonts w:hint="default" w:ascii="Times New Roman" w:hAnsi="Times New Roman" w:eastAsia="TimesNewRomanPSMT" w:cs="Times New Roman"/>
                      <w:color w:val="000000"/>
                      <w:kern w:val="0"/>
                      <w:sz w:val="21"/>
                      <w:szCs w:val="21"/>
                      <w:lang w:val="en-US" w:eastAsia="zh-CN" w:bidi="ar"/>
                    </w:rPr>
                    <w:t>cm</w:t>
                  </w:r>
                  <w:r>
                    <w:rPr>
                      <w:rFonts w:hint="default" w:ascii="Times New Roman" w:hAnsi="Times New Roman" w:eastAsia="宋体" w:cs="Times New Roman"/>
                      <w:color w:val="000000"/>
                      <w:kern w:val="0"/>
                      <w:sz w:val="21"/>
                      <w:szCs w:val="21"/>
                      <w:lang w:val="en-US" w:eastAsia="zh-CN" w:bidi="ar"/>
                    </w:rPr>
                    <w:t>）</w:t>
                  </w:r>
                </w:p>
              </w:tc>
              <w:tc>
                <w:tcPr>
                  <w:tcW w:w="2897" w:type="dxa"/>
                  <w:vAlign w:val="center"/>
                </w:tcPr>
                <w:p w14:paraId="77EC51CA">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压实度（%）</w:t>
                  </w:r>
                </w:p>
              </w:tc>
            </w:tr>
            <w:tr w14:paraId="61258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6" w:type="dxa"/>
                  <w:vMerge w:val="restart"/>
                  <w:vAlign w:val="center"/>
                </w:tcPr>
                <w:p w14:paraId="475D27B7">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填方</w:t>
                  </w:r>
                </w:p>
              </w:tc>
              <w:tc>
                <w:tcPr>
                  <w:tcW w:w="2896" w:type="dxa"/>
                  <w:vAlign w:val="center"/>
                </w:tcPr>
                <w:p w14:paraId="497A9BC5">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0～80</w:t>
                  </w:r>
                </w:p>
              </w:tc>
              <w:tc>
                <w:tcPr>
                  <w:tcW w:w="2897" w:type="dxa"/>
                  <w:vAlign w:val="center"/>
                </w:tcPr>
                <w:p w14:paraId="40EC1060">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≥96</w:t>
                  </w:r>
                </w:p>
              </w:tc>
            </w:tr>
            <w:tr w14:paraId="60444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6" w:type="dxa"/>
                  <w:vMerge w:val="continue"/>
                  <w:vAlign w:val="center"/>
                </w:tcPr>
                <w:p w14:paraId="1448F453">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p>
              </w:tc>
              <w:tc>
                <w:tcPr>
                  <w:tcW w:w="2896" w:type="dxa"/>
                  <w:vAlign w:val="center"/>
                </w:tcPr>
                <w:p w14:paraId="72A097BF">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80～150</w:t>
                  </w:r>
                </w:p>
              </w:tc>
              <w:tc>
                <w:tcPr>
                  <w:tcW w:w="2897" w:type="dxa"/>
                  <w:vAlign w:val="center"/>
                </w:tcPr>
                <w:p w14:paraId="321B4DC3">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≥94</w:t>
                  </w:r>
                </w:p>
              </w:tc>
            </w:tr>
            <w:tr w14:paraId="7A7BE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6" w:type="dxa"/>
                  <w:vMerge w:val="continue"/>
                  <w:vAlign w:val="center"/>
                </w:tcPr>
                <w:p w14:paraId="28B7CC56">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p>
              </w:tc>
              <w:tc>
                <w:tcPr>
                  <w:tcW w:w="2896" w:type="dxa"/>
                  <w:vAlign w:val="center"/>
                </w:tcPr>
                <w:p w14:paraId="65527355">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150以下</w:t>
                  </w:r>
                </w:p>
              </w:tc>
              <w:tc>
                <w:tcPr>
                  <w:tcW w:w="2897" w:type="dxa"/>
                  <w:vAlign w:val="center"/>
                </w:tcPr>
                <w:p w14:paraId="688233F2">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≥96</w:t>
                  </w:r>
                </w:p>
              </w:tc>
            </w:tr>
            <w:tr w14:paraId="11C0F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6" w:type="dxa"/>
                  <w:vAlign w:val="center"/>
                </w:tcPr>
                <w:p w14:paraId="432337DC">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零填及挖方</w:t>
                  </w:r>
                </w:p>
              </w:tc>
              <w:tc>
                <w:tcPr>
                  <w:tcW w:w="2896" w:type="dxa"/>
                  <w:vAlign w:val="center"/>
                </w:tcPr>
                <w:p w14:paraId="01421AB0">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0～80</w:t>
                  </w:r>
                </w:p>
              </w:tc>
              <w:tc>
                <w:tcPr>
                  <w:tcW w:w="2897" w:type="dxa"/>
                  <w:vAlign w:val="center"/>
                </w:tcPr>
                <w:p w14:paraId="7A579A32">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≥96</w:t>
                  </w:r>
                </w:p>
              </w:tc>
            </w:tr>
          </w:tbl>
          <w:p w14:paraId="2D62FF77">
            <w:pPr>
              <w:keepNext w:val="0"/>
              <w:keepLines w:val="0"/>
              <w:widowControl/>
              <w:numPr>
                <w:ilvl w:val="0"/>
                <w:numId w:val="11"/>
              </w:numPr>
              <w:suppressLineNumbers w:val="0"/>
              <w:ind w:left="0" w:leftChars="0"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路面恢复结构层如下： </w:t>
            </w:r>
          </w:p>
          <w:p w14:paraId="5B14CB6D">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 xml:space="preserve">①沥青面层设计 </w:t>
            </w:r>
          </w:p>
          <w:p w14:paraId="3F55385C">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第一层为细粒式沥青混凝土（</w:t>
            </w:r>
            <w:r>
              <w:rPr>
                <w:rFonts w:ascii="TimesNewRomanPSMT" w:hAnsi="TimesNewRomanPSMT" w:eastAsia="TimesNewRomanPSMT" w:cs="TimesNewRomanPSMT"/>
                <w:color w:val="000000"/>
                <w:kern w:val="0"/>
                <w:sz w:val="24"/>
                <w:szCs w:val="24"/>
                <w:lang w:val="en-US" w:eastAsia="zh-CN" w:bidi="ar"/>
              </w:rPr>
              <w:t>AC</w:t>
            </w:r>
            <w:r>
              <w:rPr>
                <w:rFonts w:hint="eastAsia" w:ascii="宋体" w:hAnsi="宋体" w:eastAsia="宋体" w:cs="宋体"/>
                <w:color w:val="000000"/>
                <w:kern w:val="0"/>
                <w:sz w:val="24"/>
                <w:szCs w:val="24"/>
                <w:lang w:val="en-US" w:eastAsia="zh-CN" w:bidi="ar"/>
              </w:rPr>
              <w:t>－</w:t>
            </w:r>
            <w:r>
              <w:rPr>
                <w:rFonts w:hint="default" w:ascii="TimesNewRomanPSMT" w:hAnsi="TimesNewRomanPSMT" w:eastAsia="TimesNewRomanPSMT" w:cs="TimesNewRomanPSMT"/>
                <w:color w:val="000000"/>
                <w:kern w:val="0"/>
                <w:sz w:val="24"/>
                <w:szCs w:val="24"/>
                <w:lang w:val="en-US" w:eastAsia="zh-CN" w:bidi="ar"/>
              </w:rPr>
              <w:t>13C</w:t>
            </w:r>
            <w:r>
              <w:rPr>
                <w:rFonts w:hint="eastAsia" w:ascii="宋体" w:hAnsi="宋体" w:eastAsia="宋体" w:cs="宋体"/>
                <w:color w:val="000000"/>
                <w:kern w:val="0"/>
                <w:sz w:val="24"/>
                <w:szCs w:val="24"/>
                <w:lang w:val="en-US" w:eastAsia="zh-CN" w:bidi="ar"/>
              </w:rPr>
              <w:t>），厚度为</w:t>
            </w:r>
            <w:r>
              <w:rPr>
                <w:rFonts w:hint="default" w:ascii="TimesNewRomanPSMT" w:hAnsi="TimesNewRomanPSMT" w:eastAsia="TimesNewRomanPSMT" w:cs="TimesNewRomanPSMT"/>
                <w:color w:val="000000"/>
                <w:kern w:val="0"/>
                <w:sz w:val="24"/>
                <w:szCs w:val="24"/>
                <w:lang w:val="en-US" w:eastAsia="zh-CN" w:bidi="ar"/>
              </w:rPr>
              <w:t>4cm</w:t>
            </w:r>
            <w:r>
              <w:rPr>
                <w:rFonts w:hint="eastAsia" w:ascii="宋体" w:hAnsi="宋体" w:eastAsia="宋体" w:cs="宋体"/>
                <w:color w:val="000000"/>
                <w:kern w:val="0"/>
                <w:sz w:val="24"/>
                <w:szCs w:val="24"/>
                <w:lang w:val="en-US" w:eastAsia="zh-CN" w:bidi="ar"/>
              </w:rPr>
              <w:t>，并在其中加入（重量比）为沥青混合料的</w:t>
            </w:r>
            <w:r>
              <w:rPr>
                <w:rFonts w:hint="default" w:ascii="TimesNewRomanPSMT" w:hAnsi="TimesNewRomanPSMT" w:eastAsia="TimesNewRomanPSMT" w:cs="TimesNewRomanPSMT"/>
                <w:color w:val="000000"/>
                <w:kern w:val="0"/>
                <w:sz w:val="24"/>
                <w:szCs w:val="24"/>
                <w:lang w:val="en-US" w:eastAsia="zh-CN" w:bidi="ar"/>
              </w:rPr>
              <w:t>0.3%</w:t>
            </w:r>
            <w:r>
              <w:rPr>
                <w:rFonts w:hint="eastAsia" w:ascii="宋体" w:hAnsi="宋体" w:eastAsia="宋体" w:cs="宋体"/>
                <w:color w:val="000000"/>
                <w:kern w:val="0"/>
                <w:sz w:val="24"/>
                <w:szCs w:val="24"/>
                <w:lang w:val="en-US" w:eastAsia="zh-CN" w:bidi="ar"/>
              </w:rPr>
              <w:t>（重量比）沥青路面专用抗车辙剂，以提高面层的强度，减少路面车辙。下设乳化粘层沥青（</w:t>
            </w:r>
            <w:r>
              <w:rPr>
                <w:rFonts w:hint="default" w:ascii="TimesNewRomanPSMT" w:hAnsi="TimesNewRomanPSMT" w:eastAsia="TimesNewRomanPSMT" w:cs="TimesNewRomanPSMT"/>
                <w:color w:val="000000"/>
                <w:kern w:val="0"/>
                <w:sz w:val="24"/>
                <w:szCs w:val="24"/>
                <w:lang w:val="en-US" w:eastAsia="zh-CN" w:bidi="ar"/>
              </w:rPr>
              <w:t>PC-3</w:t>
            </w:r>
            <w:r>
              <w:rPr>
                <w:rFonts w:hint="eastAsia" w:ascii="宋体" w:hAnsi="宋体" w:eastAsia="宋体" w:cs="宋体"/>
                <w:color w:val="000000"/>
                <w:kern w:val="0"/>
                <w:sz w:val="24"/>
                <w:szCs w:val="24"/>
                <w:lang w:val="en-US" w:eastAsia="zh-CN" w:bidi="ar"/>
              </w:rPr>
              <w:t xml:space="preserve">）。 </w:t>
            </w:r>
          </w:p>
          <w:p w14:paraId="75AB8BFB">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第二层为中粒式沥青混凝土（</w:t>
            </w:r>
            <w:r>
              <w:rPr>
                <w:rFonts w:hint="default" w:ascii="TimesNewRomanPSMT" w:hAnsi="TimesNewRomanPSMT" w:eastAsia="TimesNewRomanPSMT" w:cs="TimesNewRomanPSMT"/>
                <w:color w:val="000000"/>
                <w:kern w:val="0"/>
                <w:sz w:val="24"/>
                <w:szCs w:val="24"/>
                <w:lang w:val="en-US" w:eastAsia="zh-CN" w:bidi="ar"/>
              </w:rPr>
              <w:t>AC</w:t>
            </w:r>
            <w:r>
              <w:rPr>
                <w:rFonts w:hint="eastAsia" w:ascii="宋体" w:hAnsi="宋体" w:eastAsia="宋体" w:cs="宋体"/>
                <w:color w:val="000000"/>
                <w:kern w:val="0"/>
                <w:sz w:val="24"/>
                <w:szCs w:val="24"/>
                <w:lang w:val="en-US" w:eastAsia="zh-CN" w:bidi="ar"/>
              </w:rPr>
              <w:t>－</w:t>
            </w:r>
            <w:r>
              <w:rPr>
                <w:rFonts w:hint="default" w:ascii="TimesNewRomanPSMT" w:hAnsi="TimesNewRomanPSMT" w:eastAsia="TimesNewRomanPSMT" w:cs="TimesNewRomanPSMT"/>
                <w:color w:val="000000"/>
                <w:kern w:val="0"/>
                <w:sz w:val="24"/>
                <w:szCs w:val="24"/>
                <w:lang w:val="en-US" w:eastAsia="zh-CN" w:bidi="ar"/>
              </w:rPr>
              <w:t>20C</w:t>
            </w:r>
            <w:r>
              <w:rPr>
                <w:rFonts w:hint="eastAsia" w:ascii="宋体" w:hAnsi="宋体" w:eastAsia="宋体" w:cs="宋体"/>
                <w:color w:val="000000"/>
                <w:kern w:val="0"/>
                <w:sz w:val="24"/>
                <w:szCs w:val="24"/>
                <w:lang w:val="en-US" w:eastAsia="zh-CN" w:bidi="ar"/>
              </w:rPr>
              <w:t>），厚度为</w:t>
            </w:r>
            <w:r>
              <w:rPr>
                <w:rFonts w:hint="default" w:ascii="TimesNewRomanPSMT" w:hAnsi="TimesNewRomanPSMT" w:eastAsia="TimesNewRomanPSMT" w:cs="TimesNewRomanPSMT"/>
                <w:color w:val="000000"/>
                <w:kern w:val="0"/>
                <w:sz w:val="24"/>
                <w:szCs w:val="24"/>
                <w:lang w:val="en-US" w:eastAsia="zh-CN" w:bidi="ar"/>
              </w:rPr>
              <w:t>5cm</w:t>
            </w:r>
            <w:r>
              <w:rPr>
                <w:rFonts w:hint="eastAsia" w:ascii="宋体" w:hAnsi="宋体" w:eastAsia="宋体" w:cs="宋体"/>
                <w:color w:val="000000"/>
                <w:kern w:val="0"/>
                <w:sz w:val="24"/>
                <w:szCs w:val="24"/>
                <w:lang w:val="en-US" w:eastAsia="zh-CN" w:bidi="ar"/>
              </w:rPr>
              <w:t>，并在其中加入（重量比）为沥青混合料的</w:t>
            </w:r>
            <w:r>
              <w:rPr>
                <w:rFonts w:hint="default" w:ascii="TimesNewRomanPSMT" w:hAnsi="TimesNewRomanPSMT" w:eastAsia="TimesNewRomanPSMT" w:cs="TimesNewRomanPSMT"/>
                <w:color w:val="000000"/>
                <w:kern w:val="0"/>
                <w:sz w:val="24"/>
                <w:szCs w:val="24"/>
                <w:lang w:val="en-US" w:eastAsia="zh-CN" w:bidi="ar"/>
              </w:rPr>
              <w:t>0.3%</w:t>
            </w:r>
            <w:r>
              <w:rPr>
                <w:rFonts w:hint="eastAsia" w:ascii="宋体" w:hAnsi="宋体" w:eastAsia="宋体" w:cs="宋体"/>
                <w:color w:val="000000"/>
                <w:kern w:val="0"/>
                <w:sz w:val="24"/>
                <w:szCs w:val="24"/>
                <w:lang w:val="en-US" w:eastAsia="zh-CN" w:bidi="ar"/>
              </w:rPr>
              <w:t>（重量比）沥青路面专用抗车辙剂，以提高面层的强度，减少路面车辙。下设乳化粘层沥青（</w:t>
            </w:r>
            <w:r>
              <w:rPr>
                <w:rFonts w:hint="default" w:ascii="TimesNewRomanPSMT" w:hAnsi="TimesNewRomanPSMT" w:eastAsia="TimesNewRomanPSMT" w:cs="TimesNewRomanPSMT"/>
                <w:color w:val="000000"/>
                <w:kern w:val="0"/>
                <w:sz w:val="24"/>
                <w:szCs w:val="24"/>
                <w:lang w:val="en-US" w:eastAsia="zh-CN" w:bidi="ar"/>
              </w:rPr>
              <w:t>PC-3</w:t>
            </w:r>
            <w:r>
              <w:rPr>
                <w:rFonts w:hint="eastAsia" w:ascii="宋体" w:hAnsi="宋体" w:eastAsia="宋体" w:cs="宋体"/>
                <w:color w:val="000000"/>
                <w:kern w:val="0"/>
                <w:sz w:val="24"/>
                <w:szCs w:val="24"/>
                <w:lang w:val="en-US" w:eastAsia="zh-CN" w:bidi="ar"/>
              </w:rPr>
              <w:t xml:space="preserve">）。 </w:t>
            </w:r>
          </w:p>
          <w:p w14:paraId="6B947E5C">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第三层为粗粒式沥青混凝土（</w:t>
            </w:r>
            <w:r>
              <w:rPr>
                <w:rFonts w:hint="default" w:ascii="TimesNewRomanPSMT" w:hAnsi="TimesNewRomanPSMT" w:eastAsia="TimesNewRomanPSMT" w:cs="TimesNewRomanPSMT"/>
                <w:color w:val="000000"/>
                <w:kern w:val="0"/>
                <w:sz w:val="24"/>
                <w:szCs w:val="24"/>
                <w:lang w:val="en-US" w:eastAsia="zh-CN" w:bidi="ar"/>
              </w:rPr>
              <w:t>AC</w:t>
            </w:r>
            <w:r>
              <w:rPr>
                <w:rFonts w:hint="eastAsia" w:ascii="宋体" w:hAnsi="宋体" w:eastAsia="宋体" w:cs="宋体"/>
                <w:color w:val="000000"/>
                <w:kern w:val="0"/>
                <w:sz w:val="24"/>
                <w:szCs w:val="24"/>
                <w:lang w:val="en-US" w:eastAsia="zh-CN" w:bidi="ar"/>
              </w:rPr>
              <w:t>－</w:t>
            </w:r>
            <w:r>
              <w:rPr>
                <w:rFonts w:hint="default" w:ascii="TimesNewRomanPSMT" w:hAnsi="TimesNewRomanPSMT" w:eastAsia="TimesNewRomanPSMT" w:cs="TimesNewRomanPSMT"/>
                <w:color w:val="000000"/>
                <w:kern w:val="0"/>
                <w:sz w:val="24"/>
                <w:szCs w:val="24"/>
                <w:lang w:val="en-US" w:eastAsia="zh-CN" w:bidi="ar"/>
              </w:rPr>
              <w:t>25C</w:t>
            </w:r>
            <w:r>
              <w:rPr>
                <w:rFonts w:hint="eastAsia" w:ascii="宋体" w:hAnsi="宋体" w:eastAsia="宋体" w:cs="宋体"/>
                <w:color w:val="000000"/>
                <w:kern w:val="0"/>
                <w:sz w:val="24"/>
                <w:szCs w:val="24"/>
                <w:lang w:val="en-US" w:eastAsia="zh-CN" w:bidi="ar"/>
              </w:rPr>
              <w:t>），厚度为</w:t>
            </w:r>
            <w:r>
              <w:rPr>
                <w:rFonts w:hint="default" w:ascii="TimesNewRomanPSMT" w:hAnsi="TimesNewRomanPSMT" w:eastAsia="TimesNewRomanPSMT" w:cs="TimesNewRomanPSMT"/>
                <w:color w:val="000000"/>
                <w:kern w:val="0"/>
                <w:sz w:val="24"/>
                <w:szCs w:val="24"/>
                <w:lang w:val="en-US" w:eastAsia="zh-CN" w:bidi="ar"/>
              </w:rPr>
              <w:t>7cm</w:t>
            </w:r>
            <w:r>
              <w:rPr>
                <w:rFonts w:hint="eastAsia" w:ascii="宋体" w:hAnsi="宋体" w:eastAsia="宋体" w:cs="宋体"/>
                <w:color w:val="000000"/>
                <w:kern w:val="0"/>
                <w:sz w:val="24"/>
                <w:szCs w:val="24"/>
                <w:lang w:val="en-US" w:eastAsia="zh-CN" w:bidi="ar"/>
              </w:rPr>
              <w:t xml:space="preserve">，下设稀浆封层、透层沥青。 </w:t>
            </w:r>
          </w:p>
          <w:p w14:paraId="5C58E866">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 xml:space="preserve">②水泥稳定碎石厚度的确定 </w:t>
            </w:r>
          </w:p>
          <w:p w14:paraId="30E60BC4">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 xml:space="preserve">通过城市道路路面结构程序计算确定水泥稳定碎石（水泥掺量 </w:t>
            </w:r>
            <w:r>
              <w:rPr>
                <w:rFonts w:hint="default" w:ascii="TimesNewRomanPSMT" w:hAnsi="TimesNewRomanPSMT" w:eastAsia="TimesNewRomanPSMT" w:cs="TimesNewRomanPSMT"/>
                <w:color w:val="000000"/>
                <w:kern w:val="0"/>
                <w:sz w:val="24"/>
                <w:szCs w:val="24"/>
                <w:lang w:val="en-US" w:eastAsia="zh-CN" w:bidi="ar"/>
              </w:rPr>
              <w:t>5.5%</w:t>
            </w:r>
            <w:r>
              <w:rPr>
                <w:rFonts w:hint="eastAsia" w:ascii="宋体" w:hAnsi="宋体" w:eastAsia="宋体" w:cs="宋体"/>
                <w:color w:val="000000"/>
                <w:kern w:val="0"/>
                <w:sz w:val="24"/>
                <w:szCs w:val="24"/>
                <w:lang w:val="en-US" w:eastAsia="zh-CN" w:bidi="ar"/>
              </w:rPr>
              <w:t>）（</w:t>
            </w:r>
            <w:r>
              <w:rPr>
                <w:rFonts w:hint="default" w:ascii="TimesNewRomanPSMT" w:hAnsi="TimesNewRomanPSMT" w:eastAsia="TimesNewRomanPSMT" w:cs="TimesNewRomanPSMT"/>
                <w:color w:val="000000"/>
                <w:kern w:val="0"/>
                <w:sz w:val="24"/>
                <w:szCs w:val="24"/>
                <w:lang w:val="en-US" w:eastAsia="zh-CN" w:bidi="ar"/>
              </w:rPr>
              <w:t>K</w:t>
            </w:r>
            <w:r>
              <w:rPr>
                <w:rFonts w:hint="eastAsia" w:ascii="宋体" w:hAnsi="宋体" w:eastAsia="宋体" w:cs="宋体"/>
                <w:color w:val="000000"/>
                <w:kern w:val="0"/>
                <w:sz w:val="24"/>
                <w:szCs w:val="24"/>
                <w:lang w:val="en-US" w:eastAsia="zh-CN" w:bidi="ar"/>
              </w:rPr>
              <w:t>≥</w:t>
            </w:r>
            <w:r>
              <w:rPr>
                <w:rFonts w:hint="default" w:ascii="TimesNewRomanPSMT" w:hAnsi="TimesNewRomanPSMT" w:eastAsia="TimesNewRomanPSMT" w:cs="TimesNewRomanPSMT"/>
                <w:color w:val="000000"/>
                <w:kern w:val="0"/>
                <w:sz w:val="24"/>
                <w:szCs w:val="24"/>
                <w:lang w:val="en-US" w:eastAsia="zh-CN" w:bidi="ar"/>
              </w:rPr>
              <w:t>98%</w:t>
            </w:r>
            <w:r>
              <w:rPr>
                <w:rFonts w:hint="eastAsia" w:ascii="宋体" w:hAnsi="宋体" w:eastAsia="宋体" w:cs="宋体"/>
                <w:color w:val="000000"/>
                <w:kern w:val="0"/>
                <w:sz w:val="24"/>
                <w:szCs w:val="24"/>
                <w:lang w:val="en-US" w:eastAsia="zh-CN" w:bidi="ar"/>
              </w:rPr>
              <w:t xml:space="preserve">）厚度为 </w:t>
            </w:r>
            <w:r>
              <w:rPr>
                <w:rFonts w:hint="default" w:ascii="TimesNewRomanPSMT" w:hAnsi="TimesNewRomanPSMT" w:eastAsia="TimesNewRomanPSMT" w:cs="TimesNewRomanPSMT"/>
                <w:color w:val="000000"/>
                <w:kern w:val="0"/>
                <w:sz w:val="24"/>
                <w:szCs w:val="24"/>
                <w:lang w:val="en-US" w:eastAsia="zh-CN" w:bidi="ar"/>
              </w:rPr>
              <w:t>38cm</w:t>
            </w:r>
            <w:r>
              <w:rPr>
                <w:rFonts w:hint="eastAsia" w:ascii="宋体" w:hAnsi="宋体" w:eastAsia="宋体" w:cs="宋体"/>
                <w:color w:val="000000"/>
                <w:kern w:val="0"/>
                <w:sz w:val="24"/>
                <w:szCs w:val="24"/>
                <w:lang w:val="en-US" w:eastAsia="zh-CN" w:bidi="ar"/>
              </w:rPr>
              <w:t xml:space="preserve">。 </w:t>
            </w:r>
          </w:p>
          <w:p w14:paraId="6BD7A898">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 xml:space="preserve">③其它层 </w:t>
            </w:r>
          </w:p>
          <w:p w14:paraId="37DAFF40">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水泥稳定碎石层以下为</w:t>
            </w:r>
            <w:r>
              <w:rPr>
                <w:rFonts w:hint="default" w:ascii="TimesNewRomanPSMT" w:hAnsi="TimesNewRomanPSMT" w:eastAsia="TimesNewRomanPSMT" w:cs="TimesNewRomanPSMT"/>
                <w:color w:val="000000"/>
                <w:kern w:val="0"/>
                <w:sz w:val="24"/>
                <w:szCs w:val="24"/>
                <w:lang w:val="en-US" w:eastAsia="zh-CN" w:bidi="ar"/>
              </w:rPr>
              <w:t>15cm</w:t>
            </w:r>
            <w:r>
              <w:rPr>
                <w:rFonts w:hint="eastAsia" w:ascii="宋体" w:hAnsi="宋体" w:eastAsia="宋体" w:cs="宋体"/>
                <w:color w:val="000000"/>
                <w:kern w:val="0"/>
                <w:sz w:val="24"/>
                <w:szCs w:val="24"/>
                <w:lang w:val="en-US" w:eastAsia="zh-CN" w:bidi="ar"/>
              </w:rPr>
              <w:t>级配碎石，压实度</w:t>
            </w:r>
            <w:r>
              <w:rPr>
                <w:rFonts w:hint="default" w:ascii="TimesNewRomanPSMT" w:hAnsi="TimesNewRomanPSMT" w:eastAsia="TimesNewRomanPSMT" w:cs="TimesNewRomanPSMT"/>
                <w:color w:val="000000"/>
                <w:kern w:val="0"/>
                <w:sz w:val="24"/>
                <w:szCs w:val="24"/>
                <w:lang w:val="en-US" w:eastAsia="zh-CN" w:bidi="ar"/>
              </w:rPr>
              <w:t>K</w:t>
            </w:r>
            <w:r>
              <w:rPr>
                <w:rFonts w:hint="eastAsia" w:ascii="宋体" w:hAnsi="宋体" w:eastAsia="宋体" w:cs="宋体"/>
                <w:color w:val="000000"/>
                <w:kern w:val="0"/>
                <w:sz w:val="24"/>
                <w:szCs w:val="24"/>
                <w:lang w:val="en-US" w:eastAsia="zh-CN" w:bidi="ar"/>
              </w:rPr>
              <w:t>≥</w:t>
            </w:r>
            <w:r>
              <w:rPr>
                <w:rFonts w:hint="default" w:ascii="TimesNewRomanPSMT" w:hAnsi="TimesNewRomanPSMT" w:eastAsia="TimesNewRomanPSMT" w:cs="TimesNewRomanPSMT"/>
                <w:color w:val="000000"/>
                <w:kern w:val="0"/>
                <w:sz w:val="24"/>
                <w:szCs w:val="24"/>
                <w:lang w:val="en-US" w:eastAsia="zh-CN" w:bidi="ar"/>
              </w:rPr>
              <w:t>96</w:t>
            </w:r>
            <w:r>
              <w:rPr>
                <w:rFonts w:hint="eastAsia" w:ascii="宋体" w:hAnsi="宋体" w:eastAsia="宋体" w:cs="宋体"/>
                <w:color w:val="000000"/>
                <w:kern w:val="0"/>
                <w:sz w:val="24"/>
                <w:szCs w:val="24"/>
                <w:lang w:val="en-US" w:eastAsia="zh-CN" w:bidi="ar"/>
              </w:rPr>
              <w:t xml:space="preserve">％。 </w:t>
            </w:r>
          </w:p>
          <w:p w14:paraId="6A7F07E5">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 xml:space="preserve">④行车道路面结构各层竣工验收弯沉值： </w:t>
            </w:r>
          </w:p>
          <w:p w14:paraId="2C9C9C3D">
            <w:pPr>
              <w:keepNext w:val="0"/>
              <w:keepLines w:val="0"/>
              <w:widowControl/>
              <w:suppressLineNumbers w:val="0"/>
              <w:ind w:firstLine="480" w:firstLineChars="200"/>
              <w:jc w:val="left"/>
            </w:pPr>
            <w:r>
              <w:rPr>
                <w:rFonts w:hint="default" w:ascii="TimesNewRomanPSMT" w:hAnsi="TimesNewRomanPSMT" w:eastAsia="TimesNewRomanPSMT" w:cs="TimesNewRomanPSMT"/>
                <w:color w:val="000000"/>
                <w:kern w:val="0"/>
                <w:sz w:val="24"/>
                <w:szCs w:val="24"/>
                <w:lang w:val="en-US" w:eastAsia="zh-CN" w:bidi="ar"/>
              </w:rPr>
              <w:t xml:space="preserve">AC-13C 25.1mm/100 </w:t>
            </w:r>
          </w:p>
          <w:p w14:paraId="48E25D90">
            <w:pPr>
              <w:keepNext w:val="0"/>
              <w:keepLines w:val="0"/>
              <w:widowControl/>
              <w:suppressLineNumbers w:val="0"/>
              <w:ind w:firstLine="480" w:firstLineChars="200"/>
              <w:jc w:val="left"/>
            </w:pPr>
            <w:r>
              <w:rPr>
                <w:rFonts w:hint="default" w:ascii="TimesNewRomanPSMT" w:hAnsi="TimesNewRomanPSMT" w:eastAsia="TimesNewRomanPSMT" w:cs="TimesNewRomanPSMT"/>
                <w:color w:val="000000"/>
                <w:kern w:val="0"/>
                <w:sz w:val="24"/>
                <w:szCs w:val="24"/>
                <w:lang w:val="en-US" w:eastAsia="zh-CN" w:bidi="ar"/>
              </w:rPr>
              <w:t xml:space="preserve">AC-20C 27.6mm/100 </w:t>
            </w:r>
          </w:p>
          <w:p w14:paraId="0682BE80">
            <w:pPr>
              <w:keepNext w:val="0"/>
              <w:keepLines w:val="0"/>
              <w:widowControl/>
              <w:suppressLineNumbers w:val="0"/>
              <w:ind w:firstLine="480" w:firstLineChars="200"/>
              <w:jc w:val="left"/>
            </w:pPr>
            <w:r>
              <w:rPr>
                <w:rFonts w:hint="default" w:ascii="TimesNewRomanPSMT" w:hAnsi="TimesNewRomanPSMT" w:eastAsia="TimesNewRomanPSMT" w:cs="TimesNewRomanPSMT"/>
                <w:color w:val="000000"/>
                <w:kern w:val="0"/>
                <w:sz w:val="24"/>
                <w:szCs w:val="24"/>
                <w:lang w:val="en-US" w:eastAsia="zh-CN" w:bidi="ar"/>
              </w:rPr>
              <w:t xml:space="preserve">AC-25C 31.2mm/100 </w:t>
            </w:r>
          </w:p>
          <w:p w14:paraId="33F2F46E">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水泥稳定碎石</w:t>
            </w:r>
            <w:r>
              <w:rPr>
                <w:rFonts w:hint="default" w:ascii="TimesNewRomanPSMT" w:hAnsi="TimesNewRomanPSMT" w:eastAsia="TimesNewRomanPSMT" w:cs="TimesNewRomanPSMT"/>
                <w:color w:val="000000"/>
                <w:kern w:val="0"/>
                <w:sz w:val="24"/>
                <w:szCs w:val="24"/>
                <w:lang w:val="en-US" w:eastAsia="zh-CN" w:bidi="ar"/>
              </w:rPr>
              <w:t xml:space="preserve">36.9mm/100 </w:t>
            </w:r>
          </w:p>
          <w:p w14:paraId="0BA11831">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级配碎石</w:t>
            </w:r>
            <w:r>
              <w:rPr>
                <w:rFonts w:ascii="TimesNewRomanPSMT" w:hAnsi="TimesNewRomanPSMT" w:eastAsia="TimesNewRomanPSMT" w:cs="TimesNewRomanPSMT"/>
                <w:color w:val="000000"/>
                <w:kern w:val="0"/>
                <w:sz w:val="24"/>
                <w:szCs w:val="24"/>
                <w:lang w:val="en-US" w:eastAsia="zh-CN" w:bidi="ar"/>
              </w:rPr>
              <w:t xml:space="preserve">173.5mm/100 </w:t>
            </w:r>
          </w:p>
          <w:p w14:paraId="7B7F5148">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路基顶面交工验收弯沉值</w:t>
            </w:r>
            <w:r>
              <w:rPr>
                <w:rFonts w:hint="default" w:ascii="TimesNewRomanPSMT" w:hAnsi="TimesNewRomanPSMT" w:eastAsia="TimesNewRomanPSMT" w:cs="TimesNewRomanPSMT"/>
                <w:color w:val="000000"/>
                <w:kern w:val="0"/>
                <w:sz w:val="24"/>
                <w:szCs w:val="24"/>
                <w:lang w:val="en-US" w:eastAsia="zh-CN" w:bidi="ar"/>
              </w:rPr>
              <w:t xml:space="preserve">232.9mm/100 </w:t>
            </w:r>
          </w:p>
          <w:p w14:paraId="3FF8921C">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⑤新做人行道基础顶竣工验收弯沉值</w:t>
            </w:r>
            <w:r>
              <w:rPr>
                <w:rFonts w:hint="eastAsia" w:ascii="宋体" w:hAnsi="宋体" w:cs="宋体"/>
                <w:color w:val="000000"/>
                <w:kern w:val="0"/>
                <w:sz w:val="24"/>
                <w:szCs w:val="24"/>
                <w:lang w:val="en-US" w:eastAsia="zh-CN" w:bidi="ar"/>
              </w:rPr>
              <w:t>：</w:t>
            </w:r>
            <w:r>
              <w:rPr>
                <w:rFonts w:hint="default" w:ascii="TimesNewRomanPSMT" w:hAnsi="TimesNewRomanPSMT" w:eastAsia="TimesNewRomanPSMT" w:cs="TimesNewRomanPSMT"/>
                <w:color w:val="000000"/>
                <w:kern w:val="0"/>
                <w:sz w:val="24"/>
                <w:szCs w:val="24"/>
                <w:lang w:val="en-US" w:eastAsia="zh-CN" w:bidi="ar"/>
              </w:rPr>
              <w:t>LS</w:t>
            </w:r>
            <w:r>
              <w:rPr>
                <w:rFonts w:hint="default" w:ascii="Times New Roman" w:hAnsi="Times New Roman" w:eastAsia="宋体" w:cs="Times New Roman"/>
                <w:color w:val="000000"/>
                <w:kern w:val="0"/>
                <w:sz w:val="24"/>
                <w:szCs w:val="24"/>
                <w:lang w:val="en-US" w:eastAsia="zh-CN" w:bidi="ar"/>
              </w:rPr>
              <w:t>≤</w:t>
            </w:r>
            <w:r>
              <w:rPr>
                <w:rFonts w:hint="default" w:ascii="TimesNewRomanPSMT" w:hAnsi="TimesNewRomanPSMT" w:eastAsia="TimesNewRomanPSMT" w:cs="TimesNewRomanPSMT"/>
                <w:color w:val="000000"/>
                <w:kern w:val="0"/>
                <w:sz w:val="24"/>
                <w:szCs w:val="24"/>
                <w:lang w:val="en-US" w:eastAsia="zh-CN" w:bidi="ar"/>
              </w:rPr>
              <w:t xml:space="preserve">465.8(0.01mm) </w:t>
            </w:r>
          </w:p>
          <w:p w14:paraId="0A1A94F4">
            <w:pPr>
              <w:keepNext w:val="0"/>
              <w:keepLines w:val="0"/>
              <w:widowControl/>
              <w:numPr>
                <w:ilvl w:val="0"/>
                <w:numId w:val="11"/>
              </w:numPr>
              <w:suppressLineNumbers w:val="0"/>
              <w:ind w:left="0" w:leftChars="0" w:firstLine="480" w:firstLineChars="200"/>
              <w:jc w:val="both"/>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路面搭接处理</w:t>
            </w:r>
          </w:p>
          <w:p w14:paraId="053D3625">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沟槽回填至管廊顶部标高时，在管廊顶部设置一层土工格栅，管廊顶部回填按照路基回填要求进行。管廊基坑外侧开挖</w:t>
            </w:r>
            <w:r>
              <w:rPr>
                <w:rFonts w:ascii="TimesNewRomanPSMT" w:hAnsi="TimesNewRomanPSMT" w:eastAsia="TimesNewRomanPSMT" w:cs="TimesNewRomanPSMT"/>
                <w:color w:val="000000"/>
                <w:kern w:val="0"/>
                <w:sz w:val="24"/>
                <w:szCs w:val="24"/>
                <w:lang w:val="en-US" w:eastAsia="zh-CN" w:bidi="ar"/>
              </w:rPr>
              <w:t>1m</w:t>
            </w:r>
            <w:r>
              <w:rPr>
                <w:rFonts w:hint="eastAsia" w:ascii="宋体" w:hAnsi="宋体" w:eastAsia="宋体" w:cs="宋体"/>
                <w:color w:val="000000"/>
                <w:kern w:val="0"/>
                <w:sz w:val="24"/>
                <w:szCs w:val="24"/>
                <w:lang w:val="en-US" w:eastAsia="zh-CN" w:bidi="ar"/>
              </w:rPr>
              <w:t>的宽度，新做级配碎石及水稳层，碎石底部设置一层土工格栅（</w:t>
            </w:r>
            <w:r>
              <w:rPr>
                <w:rFonts w:hint="default" w:ascii="TimesNewRomanPSMT" w:hAnsi="TimesNewRomanPSMT" w:eastAsia="TimesNewRomanPSMT" w:cs="TimesNewRomanPSMT"/>
                <w:color w:val="000000"/>
                <w:kern w:val="0"/>
                <w:sz w:val="24"/>
                <w:szCs w:val="24"/>
                <w:lang w:val="en-US" w:eastAsia="zh-CN" w:bidi="ar"/>
              </w:rPr>
              <w:t>QLGS50-50</w:t>
            </w:r>
            <w:r>
              <w:rPr>
                <w:rFonts w:hint="eastAsia" w:ascii="宋体" w:hAnsi="宋体" w:eastAsia="宋体" w:cs="宋体"/>
                <w:color w:val="000000"/>
                <w:kern w:val="0"/>
                <w:sz w:val="24"/>
                <w:szCs w:val="24"/>
                <w:lang w:val="en-US" w:eastAsia="zh-CN" w:bidi="ar"/>
              </w:rPr>
              <w:t>）。沥青面层下设置一层玻纤格栅（</w:t>
            </w:r>
            <w:r>
              <w:rPr>
                <w:rFonts w:hint="default" w:ascii="TimesNewRomanPSMT" w:hAnsi="TimesNewRomanPSMT" w:eastAsia="TimesNewRomanPSMT" w:cs="TimesNewRomanPSMT"/>
                <w:color w:val="000000"/>
                <w:kern w:val="0"/>
                <w:sz w:val="24"/>
                <w:szCs w:val="24"/>
                <w:lang w:val="en-US" w:eastAsia="zh-CN" w:bidi="ar"/>
              </w:rPr>
              <w:t>50</w:t>
            </w:r>
            <w:r>
              <w:rPr>
                <w:rFonts w:hint="eastAsia" w:ascii="宋体" w:hAnsi="宋体" w:eastAsia="宋体" w:cs="宋体"/>
                <w:color w:val="000000"/>
                <w:kern w:val="0"/>
                <w:sz w:val="24"/>
                <w:szCs w:val="24"/>
                <w:lang w:val="en-US" w:eastAsia="zh-CN" w:bidi="ar"/>
              </w:rPr>
              <w:t>×</w:t>
            </w:r>
            <w:r>
              <w:rPr>
                <w:rFonts w:hint="default" w:ascii="TimesNewRomanPSMT" w:hAnsi="TimesNewRomanPSMT" w:eastAsia="TimesNewRomanPSMT" w:cs="TimesNewRomanPSMT"/>
                <w:color w:val="000000"/>
                <w:kern w:val="0"/>
                <w:sz w:val="24"/>
                <w:szCs w:val="24"/>
                <w:lang w:val="en-US" w:eastAsia="zh-CN" w:bidi="ar"/>
              </w:rPr>
              <w:t>50</w:t>
            </w:r>
            <w:r>
              <w:rPr>
                <w:rFonts w:hint="eastAsia" w:ascii="TimesNewRomanPSMT" w:hAnsi="TimesNewRomanPSMT" w:eastAsia="TimesNewRomanPSMT" w:cs="TimesNewRomanPSMT"/>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宽度</w:t>
            </w:r>
            <w:r>
              <w:rPr>
                <w:rFonts w:hint="default" w:ascii="TimesNewRomanPSMT" w:hAnsi="TimesNewRomanPSMT" w:eastAsia="TimesNewRomanPSMT" w:cs="TimesNewRomanPSMT"/>
                <w:color w:val="000000"/>
                <w:kern w:val="0"/>
                <w:sz w:val="24"/>
                <w:szCs w:val="24"/>
                <w:lang w:val="en-US" w:eastAsia="zh-CN" w:bidi="ar"/>
              </w:rPr>
              <w:t>2.0m</w:t>
            </w:r>
            <w:r>
              <w:rPr>
                <w:rFonts w:hint="eastAsia" w:ascii="宋体" w:hAnsi="宋体" w:eastAsia="宋体" w:cs="宋体"/>
                <w:color w:val="000000"/>
                <w:kern w:val="0"/>
                <w:sz w:val="24"/>
                <w:szCs w:val="24"/>
                <w:lang w:val="en-US" w:eastAsia="zh-CN" w:bidi="ar"/>
              </w:rPr>
              <w:t>。新做路面应与老路面顺接，各交叉出入口应与道路顺接，并保障路面排水通畅。</w:t>
            </w:r>
          </w:p>
          <w:p w14:paraId="370362C1">
            <w:pPr>
              <w:keepNext w:val="0"/>
              <w:keepLines w:val="0"/>
              <w:widowControl/>
              <w:numPr>
                <w:ilvl w:val="0"/>
                <w:numId w:val="11"/>
              </w:numPr>
              <w:suppressLineNumbers w:val="0"/>
              <w:ind w:left="0" w:leftChars="0" w:firstLine="480" w:firstLineChars="200"/>
              <w:jc w:val="left"/>
            </w:pPr>
            <w:r>
              <w:rPr>
                <w:rFonts w:hint="eastAsia" w:ascii="宋体" w:hAnsi="宋体" w:eastAsia="宋体" w:cs="宋体"/>
                <w:color w:val="000000"/>
                <w:kern w:val="0"/>
                <w:sz w:val="24"/>
                <w:szCs w:val="24"/>
                <w:lang w:val="en-US" w:eastAsia="zh-CN" w:bidi="ar"/>
              </w:rPr>
              <w:t>对管廊、管道开挖破坏人行道进行恢复。在进行人行道修复的同时，对盲道进行修复。</w:t>
            </w:r>
          </w:p>
          <w:p w14:paraId="30B8A974">
            <w:pPr>
              <w:keepNext w:val="0"/>
              <w:keepLines w:val="0"/>
              <w:widowControl/>
              <w:numPr>
                <w:ilvl w:val="0"/>
                <w:numId w:val="0"/>
              </w:numPr>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 xml:space="preserve">人行道结构： </w:t>
            </w:r>
          </w:p>
          <w:p w14:paraId="36E267B7">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 xml:space="preserve">第一层为混凝土块材，厚度为5cm。 </w:t>
            </w:r>
          </w:p>
          <w:p w14:paraId="3D87655B">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 xml:space="preserve">第二层为M10水泥砂浆，厚度为3cm。 </w:t>
            </w:r>
          </w:p>
          <w:p w14:paraId="5C3FBCB1">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第三层为C20混凝土基层，厚度</w:t>
            </w:r>
            <w:r>
              <w:rPr>
                <w:rFonts w:hint="eastAsia" w:cs="Times New Roman"/>
                <w:color w:val="000000"/>
                <w:kern w:val="0"/>
                <w:sz w:val="24"/>
                <w:szCs w:val="24"/>
                <w:lang w:val="en-US" w:eastAsia="zh-CN" w:bidi="ar"/>
              </w:rPr>
              <w:t>为</w:t>
            </w:r>
            <w:r>
              <w:rPr>
                <w:rFonts w:hint="default" w:ascii="Times New Roman" w:hAnsi="Times New Roman" w:eastAsia="宋体" w:cs="Times New Roman"/>
                <w:color w:val="000000"/>
                <w:kern w:val="0"/>
                <w:sz w:val="24"/>
                <w:szCs w:val="24"/>
                <w:lang w:val="en-US" w:eastAsia="zh-CN" w:bidi="ar"/>
              </w:rPr>
              <w:t xml:space="preserve">10cm。 </w:t>
            </w:r>
          </w:p>
          <w:p w14:paraId="5FFBE3F2">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 xml:space="preserve">第四层为级配碎石垫层，厚度为12cm。 </w:t>
            </w:r>
          </w:p>
          <w:p w14:paraId="3E12CA0D">
            <w:pPr>
              <w:keepNext w:val="0"/>
              <w:keepLines w:val="0"/>
              <w:widowControl/>
              <w:suppressLineNumbers w:val="0"/>
              <w:ind w:firstLine="480" w:firstLineChars="20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4"/>
                <w:szCs w:val="24"/>
                <w:lang w:val="en-US" w:eastAsia="zh-CN" w:bidi="ar"/>
              </w:rPr>
              <w:t>人行道结构总厚度</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30cm </w:t>
            </w:r>
          </w:p>
          <w:p w14:paraId="652633DE">
            <w:pPr>
              <w:keepNext w:val="0"/>
              <w:keepLines w:val="0"/>
              <w:widowControl/>
              <w:numPr>
                <w:ilvl w:val="0"/>
                <w:numId w:val="10"/>
              </w:numPr>
              <w:suppressLineNumbers w:val="0"/>
              <w:ind w:left="0" w:leftChars="0" w:firstLine="480" w:firstLineChars="200"/>
              <w:jc w:val="left"/>
              <w:rPr>
                <w:rFonts w:hint="eastAsia" w:ascii="TimesNewRomanPSMT" w:hAnsi="TimesNewRomanPSMT" w:eastAsia="TimesNewRomanPSMT" w:cs="TimesNewRomanPSMT"/>
                <w:b/>
                <w:bCs/>
                <w:color w:val="000000"/>
                <w:kern w:val="0"/>
                <w:sz w:val="24"/>
                <w:szCs w:val="24"/>
                <w:lang w:val="en-US" w:eastAsia="zh-CN" w:bidi="ar"/>
              </w:rPr>
            </w:pPr>
            <w:r>
              <w:rPr>
                <w:rFonts w:hint="eastAsia" w:ascii="TimesNewRomanPSMT" w:hAnsi="TimesNewRomanPSMT" w:eastAsia="TimesNewRomanPSMT" w:cs="TimesNewRomanPSMT"/>
                <w:b/>
                <w:bCs/>
                <w:color w:val="000000"/>
                <w:kern w:val="0"/>
                <w:sz w:val="24"/>
                <w:szCs w:val="24"/>
                <w:lang w:val="en-US" w:eastAsia="zh-CN" w:bidi="ar"/>
              </w:rPr>
              <w:t>勐焕路</w:t>
            </w:r>
          </w:p>
          <w:p w14:paraId="5AF17252">
            <w:pPr>
              <w:keepNext w:val="0"/>
              <w:keepLines w:val="0"/>
              <w:widowControl/>
              <w:suppressLineNumbers w:val="0"/>
              <w:ind w:firstLine="480" w:firstLineChars="200"/>
              <w:jc w:val="left"/>
              <w:rPr>
                <w:rFonts w:hint="default" w:ascii="Times New Roman" w:hAnsi="Times New Roman" w:eastAsia="TimesNewRomanPSMT"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勐焕路（金孔雀大街至芒市大街）段道路全长</w:t>
            </w:r>
            <w:r>
              <w:rPr>
                <w:rFonts w:hint="default" w:ascii="Times New Roman" w:hAnsi="Times New Roman" w:eastAsia="TimesNewRomanPSMT" w:cs="Times New Roman"/>
                <w:color w:val="000000"/>
                <w:kern w:val="0"/>
                <w:sz w:val="24"/>
                <w:szCs w:val="24"/>
                <w:lang w:val="en-US" w:eastAsia="zh-CN" w:bidi="ar"/>
              </w:rPr>
              <w:t>962m</w:t>
            </w:r>
            <w:r>
              <w:rPr>
                <w:rFonts w:hint="default" w:ascii="Times New Roman" w:hAnsi="Times New Roman" w:eastAsia="宋体" w:cs="Times New Roman"/>
                <w:color w:val="000000"/>
                <w:kern w:val="0"/>
                <w:sz w:val="24"/>
                <w:szCs w:val="24"/>
                <w:lang w:val="en-US" w:eastAsia="zh-CN" w:bidi="ar"/>
              </w:rPr>
              <w:t>，道路宽度</w:t>
            </w:r>
            <w:r>
              <w:rPr>
                <w:rFonts w:hint="default" w:ascii="Times New Roman" w:hAnsi="Times New Roman" w:eastAsia="TimesNewRomanPSMT" w:cs="Times New Roman"/>
                <w:color w:val="000000"/>
                <w:kern w:val="0"/>
                <w:sz w:val="24"/>
                <w:szCs w:val="24"/>
                <w:lang w:val="en-US" w:eastAsia="zh-CN" w:bidi="ar"/>
              </w:rPr>
              <w:t>44m</w:t>
            </w:r>
            <w:r>
              <w:rPr>
                <w:rFonts w:hint="default" w:ascii="Times New Roman" w:hAnsi="Times New Roman" w:eastAsia="宋体" w:cs="Times New Roman"/>
                <w:color w:val="000000"/>
                <w:kern w:val="0"/>
                <w:sz w:val="24"/>
                <w:szCs w:val="24"/>
                <w:lang w:val="en-US" w:eastAsia="zh-CN" w:bidi="ar"/>
              </w:rPr>
              <w:t>，道路为城市次干路，双向四车道，设计速度为</w:t>
            </w:r>
            <w:r>
              <w:rPr>
                <w:rFonts w:hint="default" w:ascii="Times New Roman" w:hAnsi="Times New Roman" w:eastAsia="TimesNewRomanPSMT" w:cs="Times New Roman"/>
                <w:color w:val="000000"/>
                <w:kern w:val="0"/>
                <w:sz w:val="24"/>
                <w:szCs w:val="24"/>
                <w:lang w:val="en-US" w:eastAsia="zh-CN" w:bidi="ar"/>
              </w:rPr>
              <w:t>30km/h。</w:t>
            </w:r>
          </w:p>
          <w:p w14:paraId="4FC5C60E">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勐焕路（芒市大街至团结大街）道路全</w:t>
            </w:r>
            <w:r>
              <w:rPr>
                <w:rFonts w:hint="default" w:ascii="Times New Roman" w:hAnsi="Times New Roman" w:cs="Times New Roman"/>
                <w:color w:val="000000"/>
                <w:kern w:val="0"/>
                <w:sz w:val="24"/>
                <w:szCs w:val="24"/>
                <w:lang w:val="en-US" w:eastAsia="zh-CN" w:bidi="ar"/>
              </w:rPr>
              <w:t>长</w:t>
            </w:r>
            <w:r>
              <w:rPr>
                <w:rFonts w:hint="default" w:ascii="Times New Roman" w:hAnsi="Times New Roman" w:eastAsia="TimesNewRomanPSMT" w:cs="Times New Roman"/>
                <w:color w:val="000000"/>
                <w:kern w:val="0"/>
                <w:sz w:val="24"/>
                <w:szCs w:val="24"/>
                <w:lang w:val="en-US" w:eastAsia="zh-CN" w:bidi="ar"/>
              </w:rPr>
              <w:t>726m</w:t>
            </w:r>
            <w:r>
              <w:rPr>
                <w:rFonts w:hint="default" w:ascii="Times New Roman" w:hAnsi="Times New Roman" w:eastAsia="宋体" w:cs="Times New Roman"/>
                <w:color w:val="000000"/>
                <w:kern w:val="0"/>
                <w:sz w:val="24"/>
                <w:szCs w:val="24"/>
                <w:lang w:val="en-US" w:eastAsia="zh-CN" w:bidi="ar"/>
              </w:rPr>
              <w:t>，道路宽度</w:t>
            </w:r>
            <w:r>
              <w:rPr>
                <w:rFonts w:hint="default" w:ascii="Times New Roman" w:hAnsi="Times New Roman" w:eastAsia="TimesNewRomanPSMT" w:cs="Times New Roman"/>
                <w:color w:val="000000"/>
                <w:kern w:val="0"/>
                <w:sz w:val="24"/>
                <w:szCs w:val="24"/>
                <w:lang w:val="en-US" w:eastAsia="zh-CN" w:bidi="ar"/>
              </w:rPr>
              <w:t>28m</w:t>
            </w:r>
            <w:r>
              <w:rPr>
                <w:rFonts w:hint="default" w:ascii="Times New Roman" w:hAnsi="Times New Roman" w:eastAsia="宋体" w:cs="Times New Roman"/>
                <w:color w:val="000000"/>
                <w:kern w:val="0"/>
                <w:sz w:val="24"/>
                <w:szCs w:val="24"/>
                <w:lang w:val="en-US" w:eastAsia="zh-CN" w:bidi="ar"/>
              </w:rPr>
              <w:t>，道路为城市次干路，双向四车道，设计速度</w:t>
            </w:r>
            <w:r>
              <w:rPr>
                <w:rFonts w:hint="eastAsia" w:cs="Times New Roman"/>
                <w:color w:val="000000"/>
                <w:kern w:val="0"/>
                <w:sz w:val="24"/>
                <w:szCs w:val="24"/>
                <w:lang w:val="en-US" w:eastAsia="zh-CN" w:bidi="ar"/>
              </w:rPr>
              <w:t>为</w:t>
            </w:r>
            <w:r>
              <w:rPr>
                <w:rFonts w:hint="default" w:ascii="Times New Roman" w:hAnsi="Times New Roman" w:eastAsia="TimesNewRomanPSMT" w:cs="Times New Roman"/>
                <w:color w:val="000000"/>
                <w:kern w:val="0"/>
                <w:sz w:val="24"/>
                <w:szCs w:val="24"/>
                <w:lang w:val="en-US" w:eastAsia="zh-CN" w:bidi="ar"/>
              </w:rPr>
              <w:t>30km/h</w:t>
            </w:r>
            <w:r>
              <w:rPr>
                <w:rFonts w:hint="default" w:ascii="Times New Roman" w:hAnsi="Times New Roman" w:eastAsia="宋体" w:cs="Times New Roman"/>
                <w:color w:val="000000"/>
                <w:kern w:val="0"/>
                <w:sz w:val="24"/>
                <w:szCs w:val="24"/>
                <w:lang w:val="en-US" w:eastAsia="zh-CN" w:bidi="ar"/>
              </w:rPr>
              <w:t>。</w:t>
            </w:r>
          </w:p>
          <w:p w14:paraId="433A8E8D">
            <w:pPr>
              <w:keepNext w:val="0"/>
              <w:keepLines w:val="0"/>
              <w:widowControl/>
              <w:numPr>
                <w:ilvl w:val="0"/>
                <w:numId w:val="12"/>
              </w:numPr>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路基回填</w:t>
            </w:r>
          </w:p>
          <w:p w14:paraId="2CA534C1">
            <w:pPr>
              <w:keepNext w:val="0"/>
              <w:keepLines w:val="0"/>
              <w:widowControl/>
              <w:numPr>
                <w:ilvl w:val="0"/>
                <w:numId w:val="0"/>
              </w:numPr>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路基回填必须采用分层回填分层压实，车行道下管道沟槽回填土压实标准同下表。</w:t>
            </w:r>
          </w:p>
          <w:p w14:paraId="3716F48A">
            <w:pPr>
              <w:keepNext w:val="0"/>
              <w:keepLines w:val="0"/>
              <w:widowControl/>
              <w:numPr>
                <w:ilvl w:val="0"/>
                <w:numId w:val="0"/>
              </w:numPr>
              <w:suppressLineNumbers w:val="0"/>
              <w:ind w:firstLine="482" w:firstLineChars="200"/>
              <w:jc w:val="cente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cs="Times New Roman"/>
                <w:b/>
                <w:bCs/>
                <w:color w:val="000000"/>
                <w:kern w:val="0"/>
                <w:sz w:val="24"/>
                <w:szCs w:val="24"/>
                <w:lang w:val="en-US" w:eastAsia="zh-CN" w:bidi="ar"/>
              </w:rPr>
              <w:t xml:space="preserve">表1-5 </w:t>
            </w:r>
            <w:r>
              <w:rPr>
                <w:rFonts w:hint="default" w:ascii="Times New Roman" w:hAnsi="Times New Roman" w:eastAsia="宋体" w:cs="Times New Roman"/>
                <w:b/>
                <w:bCs/>
                <w:color w:val="000000"/>
                <w:kern w:val="0"/>
                <w:sz w:val="24"/>
                <w:szCs w:val="24"/>
                <w:lang w:val="en-US" w:eastAsia="zh-CN" w:bidi="ar"/>
              </w:rPr>
              <w:t>路基填料最小强度和最大粒径</w:t>
            </w:r>
          </w:p>
          <w:tbl>
            <w:tblPr>
              <w:tblStyle w:val="10"/>
              <w:tblW w:w="86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945"/>
              <w:gridCol w:w="2370"/>
              <w:gridCol w:w="2391"/>
              <w:gridCol w:w="2170"/>
            </w:tblGrid>
            <w:tr w14:paraId="58E51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747" w:type="dxa"/>
                  <w:gridSpan w:val="2"/>
                  <w:vAlign w:val="center"/>
                </w:tcPr>
                <w:p w14:paraId="2E11161D">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项目分类</w:t>
                  </w:r>
                </w:p>
              </w:tc>
              <w:tc>
                <w:tcPr>
                  <w:tcW w:w="2370" w:type="dxa"/>
                  <w:vAlign w:val="center"/>
                </w:tcPr>
                <w:p w14:paraId="2A95DE5E">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路面底面以下深度（m）</w:t>
                  </w:r>
                </w:p>
              </w:tc>
              <w:tc>
                <w:tcPr>
                  <w:tcW w:w="2391" w:type="dxa"/>
                  <w:vAlign w:val="center"/>
                </w:tcPr>
                <w:p w14:paraId="43CFED1F">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填料最小强度 CBR（%）</w:t>
                  </w:r>
                </w:p>
              </w:tc>
              <w:tc>
                <w:tcPr>
                  <w:tcW w:w="2170" w:type="dxa"/>
                  <w:vAlign w:val="center"/>
                </w:tcPr>
                <w:p w14:paraId="09DFE974">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填料最大粒今径（cm）</w:t>
                  </w:r>
                </w:p>
              </w:tc>
            </w:tr>
            <w:tr w14:paraId="62DF0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02" w:type="dxa"/>
                  <w:vMerge w:val="restart"/>
                  <w:vAlign w:val="center"/>
                </w:tcPr>
                <w:p w14:paraId="033C431E">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填方路基</w:t>
                  </w:r>
                </w:p>
              </w:tc>
              <w:tc>
                <w:tcPr>
                  <w:tcW w:w="945" w:type="dxa"/>
                  <w:vAlign w:val="center"/>
                </w:tcPr>
                <w:p w14:paraId="757E26DC">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上路床</w:t>
                  </w:r>
                </w:p>
              </w:tc>
              <w:tc>
                <w:tcPr>
                  <w:tcW w:w="2370" w:type="dxa"/>
                  <w:vAlign w:val="center"/>
                </w:tcPr>
                <w:p w14:paraId="793ABA5E">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0～30</w:t>
                  </w:r>
                </w:p>
              </w:tc>
              <w:tc>
                <w:tcPr>
                  <w:tcW w:w="2391" w:type="dxa"/>
                  <w:vAlign w:val="center"/>
                </w:tcPr>
                <w:p w14:paraId="647570B9">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6</w:t>
                  </w:r>
                </w:p>
              </w:tc>
              <w:tc>
                <w:tcPr>
                  <w:tcW w:w="2170" w:type="dxa"/>
                  <w:vAlign w:val="center"/>
                </w:tcPr>
                <w:p w14:paraId="152D69ED">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10</w:t>
                  </w:r>
                </w:p>
              </w:tc>
            </w:tr>
            <w:tr w14:paraId="0E3BB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02" w:type="dxa"/>
                  <w:vMerge w:val="continue"/>
                  <w:vAlign w:val="center"/>
                </w:tcPr>
                <w:p w14:paraId="5CF19211">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p>
              </w:tc>
              <w:tc>
                <w:tcPr>
                  <w:tcW w:w="945" w:type="dxa"/>
                  <w:vAlign w:val="center"/>
                </w:tcPr>
                <w:p w14:paraId="1001514E">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下路床</w:t>
                  </w:r>
                </w:p>
              </w:tc>
              <w:tc>
                <w:tcPr>
                  <w:tcW w:w="2370" w:type="dxa"/>
                  <w:vAlign w:val="center"/>
                </w:tcPr>
                <w:p w14:paraId="6D076AAC">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30～80</w:t>
                  </w:r>
                </w:p>
              </w:tc>
              <w:tc>
                <w:tcPr>
                  <w:tcW w:w="2391" w:type="dxa"/>
                  <w:vAlign w:val="center"/>
                </w:tcPr>
                <w:p w14:paraId="716D57FC">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4</w:t>
                  </w:r>
                </w:p>
              </w:tc>
              <w:tc>
                <w:tcPr>
                  <w:tcW w:w="2170" w:type="dxa"/>
                  <w:vAlign w:val="center"/>
                </w:tcPr>
                <w:p w14:paraId="72C62090">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10</w:t>
                  </w:r>
                </w:p>
              </w:tc>
            </w:tr>
            <w:tr w14:paraId="57373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02" w:type="dxa"/>
                  <w:vMerge w:val="continue"/>
                  <w:vAlign w:val="center"/>
                </w:tcPr>
                <w:p w14:paraId="5FF37370">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p>
              </w:tc>
              <w:tc>
                <w:tcPr>
                  <w:tcW w:w="945" w:type="dxa"/>
                  <w:vAlign w:val="center"/>
                </w:tcPr>
                <w:p w14:paraId="19C26036">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上路提</w:t>
                  </w:r>
                </w:p>
              </w:tc>
              <w:tc>
                <w:tcPr>
                  <w:tcW w:w="2370" w:type="dxa"/>
                  <w:vAlign w:val="center"/>
                </w:tcPr>
                <w:p w14:paraId="15079EC9">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80～150</w:t>
                  </w:r>
                </w:p>
              </w:tc>
              <w:tc>
                <w:tcPr>
                  <w:tcW w:w="2391" w:type="dxa"/>
                  <w:vAlign w:val="center"/>
                </w:tcPr>
                <w:p w14:paraId="266AFC74">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3</w:t>
                  </w:r>
                </w:p>
              </w:tc>
              <w:tc>
                <w:tcPr>
                  <w:tcW w:w="2170" w:type="dxa"/>
                  <w:vAlign w:val="center"/>
                </w:tcPr>
                <w:p w14:paraId="043BDDEC">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15</w:t>
                  </w:r>
                </w:p>
              </w:tc>
            </w:tr>
            <w:tr w14:paraId="51EDD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02" w:type="dxa"/>
                  <w:vMerge w:val="continue"/>
                  <w:vAlign w:val="center"/>
                </w:tcPr>
                <w:p w14:paraId="03537F2E">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p>
              </w:tc>
              <w:tc>
                <w:tcPr>
                  <w:tcW w:w="945" w:type="dxa"/>
                  <w:vAlign w:val="center"/>
                </w:tcPr>
                <w:p w14:paraId="5A8F6D2A">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下路提</w:t>
                  </w:r>
                </w:p>
              </w:tc>
              <w:tc>
                <w:tcPr>
                  <w:tcW w:w="2370" w:type="dxa"/>
                  <w:vAlign w:val="center"/>
                </w:tcPr>
                <w:p w14:paraId="425E9DD0">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150以下</w:t>
                  </w:r>
                </w:p>
              </w:tc>
              <w:tc>
                <w:tcPr>
                  <w:tcW w:w="2391" w:type="dxa"/>
                  <w:vAlign w:val="center"/>
                </w:tcPr>
                <w:p w14:paraId="38994D8E">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2</w:t>
                  </w:r>
                </w:p>
              </w:tc>
              <w:tc>
                <w:tcPr>
                  <w:tcW w:w="2170" w:type="dxa"/>
                  <w:vAlign w:val="center"/>
                </w:tcPr>
                <w:p w14:paraId="15446042">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15</w:t>
                  </w:r>
                </w:p>
              </w:tc>
            </w:tr>
            <w:tr w14:paraId="0823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747" w:type="dxa"/>
                  <w:gridSpan w:val="2"/>
                  <w:vMerge w:val="restart"/>
                  <w:vAlign w:val="center"/>
                </w:tcPr>
                <w:p w14:paraId="79225064">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零填及路堑路床</w:t>
                  </w:r>
                </w:p>
              </w:tc>
              <w:tc>
                <w:tcPr>
                  <w:tcW w:w="2370" w:type="dxa"/>
                  <w:vAlign w:val="center"/>
                </w:tcPr>
                <w:p w14:paraId="71DB354B">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0～30</w:t>
                  </w:r>
                </w:p>
              </w:tc>
              <w:tc>
                <w:tcPr>
                  <w:tcW w:w="2391" w:type="dxa"/>
                  <w:vAlign w:val="center"/>
                </w:tcPr>
                <w:p w14:paraId="4E08C2F7">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6</w:t>
                  </w:r>
                </w:p>
              </w:tc>
              <w:tc>
                <w:tcPr>
                  <w:tcW w:w="2170" w:type="dxa"/>
                  <w:vAlign w:val="center"/>
                </w:tcPr>
                <w:p w14:paraId="2B11A039">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10</w:t>
                  </w:r>
                </w:p>
              </w:tc>
            </w:tr>
            <w:tr w14:paraId="69911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747" w:type="dxa"/>
                  <w:gridSpan w:val="2"/>
                  <w:vMerge w:val="continue"/>
                  <w:vAlign w:val="center"/>
                </w:tcPr>
                <w:p w14:paraId="05CBF873">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p>
              </w:tc>
              <w:tc>
                <w:tcPr>
                  <w:tcW w:w="2370" w:type="dxa"/>
                  <w:vAlign w:val="center"/>
                </w:tcPr>
                <w:p w14:paraId="532FB733">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30～80</w:t>
                  </w:r>
                </w:p>
              </w:tc>
              <w:tc>
                <w:tcPr>
                  <w:tcW w:w="2391" w:type="dxa"/>
                  <w:vAlign w:val="center"/>
                </w:tcPr>
                <w:p w14:paraId="690A77CF">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4</w:t>
                  </w:r>
                </w:p>
              </w:tc>
              <w:tc>
                <w:tcPr>
                  <w:tcW w:w="2170" w:type="dxa"/>
                  <w:vAlign w:val="center"/>
                </w:tcPr>
                <w:p w14:paraId="267CAE86">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10</w:t>
                  </w:r>
                </w:p>
              </w:tc>
            </w:tr>
          </w:tbl>
          <w:p w14:paraId="790FD72B">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1"/>
                <w:szCs w:val="21"/>
                <w:lang w:val="en-US" w:eastAsia="zh-CN" w:bidi="ar"/>
              </w:rPr>
              <w:t xml:space="preserve">注：当路基填料的 </w:t>
            </w:r>
            <w:r>
              <w:rPr>
                <w:rFonts w:hint="default" w:ascii="Times New Roman" w:hAnsi="Times New Roman" w:eastAsia="TimesNewRomanPSMT" w:cs="Times New Roman"/>
                <w:color w:val="000000"/>
                <w:kern w:val="0"/>
                <w:sz w:val="21"/>
                <w:szCs w:val="21"/>
                <w:lang w:val="en-US" w:eastAsia="zh-CN" w:bidi="ar"/>
              </w:rPr>
              <w:t xml:space="preserve">CBR </w:t>
            </w:r>
            <w:r>
              <w:rPr>
                <w:rFonts w:hint="default" w:ascii="Times New Roman" w:hAnsi="Times New Roman" w:eastAsia="宋体" w:cs="Times New Roman"/>
                <w:color w:val="000000"/>
                <w:kern w:val="0"/>
                <w:sz w:val="21"/>
                <w:szCs w:val="21"/>
                <w:lang w:val="en-US" w:eastAsia="zh-CN" w:bidi="ar"/>
              </w:rPr>
              <w:t>值达不到表列要求时，可掺石灰或其他稳定材料处理。</w:t>
            </w:r>
          </w:p>
          <w:p w14:paraId="4979389F">
            <w:pPr>
              <w:keepNext w:val="0"/>
              <w:keepLines w:val="0"/>
              <w:widowControl/>
              <w:suppressLineNumbers w:val="0"/>
              <w:jc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b/>
                <w:bCs/>
                <w:color w:val="000000"/>
                <w:kern w:val="0"/>
                <w:sz w:val="24"/>
                <w:szCs w:val="24"/>
                <w:lang w:val="en-US" w:eastAsia="zh-CN" w:bidi="ar"/>
              </w:rPr>
              <w:t xml:space="preserve">表1-6 </w:t>
            </w:r>
            <w:r>
              <w:rPr>
                <w:rFonts w:hint="default" w:ascii="Times New Roman" w:hAnsi="Times New Roman" w:eastAsia="宋体" w:cs="Times New Roman"/>
                <w:b/>
                <w:bCs/>
                <w:color w:val="000000"/>
                <w:kern w:val="0"/>
                <w:sz w:val="24"/>
                <w:szCs w:val="24"/>
                <w:lang w:val="en-US" w:eastAsia="zh-CN" w:bidi="ar"/>
              </w:rPr>
              <w:t>路基压实度（</w:t>
            </w:r>
            <w:r>
              <w:rPr>
                <w:rFonts w:hint="default" w:ascii="Times New Roman" w:hAnsi="Times New Roman" w:eastAsia="TimesNewRomanPSMT" w:cs="Times New Roman"/>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）（重型）</w:t>
            </w:r>
          </w:p>
          <w:tbl>
            <w:tblPr>
              <w:tblStyle w:val="10"/>
              <w:tblW w:w="86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6"/>
              <w:gridCol w:w="2896"/>
              <w:gridCol w:w="2897"/>
            </w:tblGrid>
            <w:tr w14:paraId="4118A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6" w:type="dxa"/>
                  <w:vAlign w:val="center"/>
                </w:tcPr>
                <w:p w14:paraId="50D4A3BE">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填挖类型</w:t>
                  </w:r>
                </w:p>
              </w:tc>
              <w:tc>
                <w:tcPr>
                  <w:tcW w:w="2896" w:type="dxa"/>
                  <w:vAlign w:val="center"/>
                </w:tcPr>
                <w:p w14:paraId="2E28CF6D">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路面底面以下深度（</w:t>
                  </w:r>
                  <w:r>
                    <w:rPr>
                      <w:rFonts w:hint="default" w:ascii="Times New Roman" w:hAnsi="Times New Roman" w:eastAsia="TimesNewRomanPSMT" w:cs="Times New Roman"/>
                      <w:color w:val="000000"/>
                      <w:kern w:val="0"/>
                      <w:sz w:val="21"/>
                      <w:szCs w:val="21"/>
                      <w:lang w:val="en-US" w:eastAsia="zh-CN" w:bidi="ar"/>
                    </w:rPr>
                    <w:t>cm</w:t>
                  </w:r>
                  <w:r>
                    <w:rPr>
                      <w:rFonts w:hint="default" w:ascii="Times New Roman" w:hAnsi="Times New Roman" w:eastAsia="宋体" w:cs="Times New Roman"/>
                      <w:color w:val="000000"/>
                      <w:kern w:val="0"/>
                      <w:sz w:val="21"/>
                      <w:szCs w:val="21"/>
                      <w:lang w:val="en-US" w:eastAsia="zh-CN" w:bidi="ar"/>
                    </w:rPr>
                    <w:t>）</w:t>
                  </w:r>
                </w:p>
              </w:tc>
              <w:tc>
                <w:tcPr>
                  <w:tcW w:w="2897" w:type="dxa"/>
                  <w:vAlign w:val="center"/>
                </w:tcPr>
                <w:p w14:paraId="2006329E">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压实度（%）</w:t>
                  </w:r>
                </w:p>
              </w:tc>
            </w:tr>
            <w:tr w14:paraId="2532A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6" w:type="dxa"/>
                  <w:vMerge w:val="restart"/>
                  <w:vAlign w:val="center"/>
                </w:tcPr>
                <w:p w14:paraId="30691453">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填方</w:t>
                  </w:r>
                </w:p>
              </w:tc>
              <w:tc>
                <w:tcPr>
                  <w:tcW w:w="2896" w:type="dxa"/>
                  <w:vAlign w:val="center"/>
                </w:tcPr>
                <w:p w14:paraId="5C26AD3A">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0～80</w:t>
                  </w:r>
                </w:p>
              </w:tc>
              <w:tc>
                <w:tcPr>
                  <w:tcW w:w="2897" w:type="dxa"/>
                  <w:vAlign w:val="center"/>
                </w:tcPr>
                <w:p w14:paraId="500B7D32">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≥9</w:t>
                  </w:r>
                  <w:r>
                    <w:rPr>
                      <w:rFonts w:hint="default" w:ascii="Times New Roman" w:hAnsi="Times New Roman" w:cs="Times New Roman"/>
                      <w:color w:val="000000"/>
                      <w:kern w:val="0"/>
                      <w:sz w:val="21"/>
                      <w:szCs w:val="21"/>
                      <w:vertAlign w:val="baseline"/>
                      <w:lang w:val="en-US" w:eastAsia="zh-CN" w:bidi="ar"/>
                    </w:rPr>
                    <w:t>4</w:t>
                  </w:r>
                </w:p>
              </w:tc>
            </w:tr>
            <w:tr w14:paraId="56BD6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6" w:type="dxa"/>
                  <w:vMerge w:val="continue"/>
                  <w:vAlign w:val="center"/>
                </w:tcPr>
                <w:p w14:paraId="27974E15">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p>
              </w:tc>
              <w:tc>
                <w:tcPr>
                  <w:tcW w:w="2896" w:type="dxa"/>
                  <w:vAlign w:val="center"/>
                </w:tcPr>
                <w:p w14:paraId="42623456">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80～150</w:t>
                  </w:r>
                </w:p>
              </w:tc>
              <w:tc>
                <w:tcPr>
                  <w:tcW w:w="2897" w:type="dxa"/>
                  <w:vAlign w:val="center"/>
                </w:tcPr>
                <w:p w14:paraId="0E9B447B">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≥9</w:t>
                  </w:r>
                  <w:r>
                    <w:rPr>
                      <w:rFonts w:hint="default" w:ascii="Times New Roman" w:hAnsi="Times New Roman" w:cs="Times New Roman"/>
                      <w:color w:val="000000"/>
                      <w:kern w:val="0"/>
                      <w:sz w:val="21"/>
                      <w:szCs w:val="21"/>
                      <w:vertAlign w:val="baseline"/>
                      <w:lang w:val="en-US" w:eastAsia="zh-CN" w:bidi="ar"/>
                    </w:rPr>
                    <w:t>2</w:t>
                  </w:r>
                </w:p>
              </w:tc>
            </w:tr>
            <w:tr w14:paraId="24F21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6" w:type="dxa"/>
                  <w:vMerge w:val="continue"/>
                  <w:vAlign w:val="center"/>
                </w:tcPr>
                <w:p w14:paraId="4DD433A5">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p>
              </w:tc>
              <w:tc>
                <w:tcPr>
                  <w:tcW w:w="2896" w:type="dxa"/>
                  <w:vAlign w:val="center"/>
                </w:tcPr>
                <w:p w14:paraId="126067D1">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150以下</w:t>
                  </w:r>
                </w:p>
              </w:tc>
              <w:tc>
                <w:tcPr>
                  <w:tcW w:w="2897" w:type="dxa"/>
                  <w:vAlign w:val="center"/>
                </w:tcPr>
                <w:p w14:paraId="17E6233F">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≥9</w:t>
                  </w:r>
                  <w:r>
                    <w:rPr>
                      <w:rFonts w:hint="default" w:ascii="Times New Roman" w:hAnsi="Times New Roman" w:cs="Times New Roman"/>
                      <w:color w:val="000000"/>
                      <w:kern w:val="0"/>
                      <w:sz w:val="21"/>
                      <w:szCs w:val="21"/>
                      <w:vertAlign w:val="baseline"/>
                      <w:lang w:val="en-US" w:eastAsia="zh-CN" w:bidi="ar"/>
                    </w:rPr>
                    <w:t>1</w:t>
                  </w:r>
                </w:p>
              </w:tc>
            </w:tr>
            <w:tr w14:paraId="3FC61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6" w:type="dxa"/>
                  <w:vAlign w:val="center"/>
                </w:tcPr>
                <w:p w14:paraId="543AF2F8">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零填及挖方</w:t>
                  </w:r>
                </w:p>
              </w:tc>
              <w:tc>
                <w:tcPr>
                  <w:tcW w:w="2896" w:type="dxa"/>
                  <w:vAlign w:val="center"/>
                </w:tcPr>
                <w:p w14:paraId="125F5EC0">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0～80</w:t>
                  </w:r>
                </w:p>
              </w:tc>
              <w:tc>
                <w:tcPr>
                  <w:tcW w:w="2897" w:type="dxa"/>
                  <w:vAlign w:val="center"/>
                </w:tcPr>
                <w:p w14:paraId="7E0FDFA4">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≥9</w:t>
                  </w:r>
                  <w:r>
                    <w:rPr>
                      <w:rFonts w:hint="default" w:ascii="Times New Roman" w:hAnsi="Times New Roman" w:cs="Times New Roman"/>
                      <w:color w:val="000000"/>
                      <w:kern w:val="0"/>
                      <w:sz w:val="21"/>
                      <w:szCs w:val="21"/>
                      <w:vertAlign w:val="baseline"/>
                      <w:lang w:val="en-US" w:eastAsia="zh-CN" w:bidi="ar"/>
                    </w:rPr>
                    <w:t>4</w:t>
                  </w:r>
                </w:p>
              </w:tc>
            </w:tr>
          </w:tbl>
          <w:p w14:paraId="52FD04DF">
            <w:pPr>
              <w:keepNext w:val="0"/>
              <w:keepLines w:val="0"/>
              <w:widowControl/>
              <w:numPr>
                <w:ilvl w:val="0"/>
                <w:numId w:val="12"/>
              </w:numPr>
              <w:suppressLineNumbers w:val="0"/>
              <w:ind w:left="0" w:lef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路面恢复结构层如下： </w:t>
            </w:r>
          </w:p>
          <w:p w14:paraId="466F1E44">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 xml:space="preserve">①沥青面层设计 </w:t>
            </w:r>
          </w:p>
          <w:p w14:paraId="21C0C913">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第一层为细粒式沥青混凝土（</w:t>
            </w:r>
            <w:r>
              <w:rPr>
                <w:rFonts w:hint="default" w:ascii="Times New Roman" w:hAnsi="Times New Roman" w:eastAsia="TimesNewRomanPSMT" w:cs="Times New Roman"/>
                <w:color w:val="000000"/>
                <w:kern w:val="0"/>
                <w:sz w:val="24"/>
                <w:szCs w:val="24"/>
                <w:lang w:val="en-US" w:eastAsia="zh-CN" w:bidi="ar"/>
              </w:rPr>
              <w:t>AC</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TimesNewRomanPSMT" w:cs="Times New Roman"/>
                <w:color w:val="000000"/>
                <w:kern w:val="0"/>
                <w:sz w:val="24"/>
                <w:szCs w:val="24"/>
                <w:lang w:val="en-US" w:eastAsia="zh-CN" w:bidi="ar"/>
              </w:rPr>
              <w:t>13C</w:t>
            </w:r>
            <w:r>
              <w:rPr>
                <w:rFonts w:hint="default" w:ascii="Times New Roman" w:hAnsi="Times New Roman" w:eastAsia="宋体" w:cs="Times New Roman"/>
                <w:color w:val="000000"/>
                <w:kern w:val="0"/>
                <w:sz w:val="24"/>
                <w:szCs w:val="24"/>
                <w:lang w:val="en-US" w:eastAsia="zh-CN" w:bidi="ar"/>
              </w:rPr>
              <w:t>），厚度为</w:t>
            </w:r>
            <w:r>
              <w:rPr>
                <w:rFonts w:hint="default" w:ascii="Times New Roman" w:hAnsi="Times New Roman" w:eastAsia="TimesNewRomanPSMT" w:cs="Times New Roman"/>
                <w:color w:val="000000"/>
                <w:kern w:val="0"/>
                <w:sz w:val="24"/>
                <w:szCs w:val="24"/>
                <w:lang w:val="en-US" w:eastAsia="zh-CN" w:bidi="ar"/>
              </w:rPr>
              <w:t>4cm</w:t>
            </w:r>
            <w:r>
              <w:rPr>
                <w:rFonts w:hint="default" w:ascii="Times New Roman" w:hAnsi="Times New Roman" w:eastAsia="宋体" w:cs="Times New Roman"/>
                <w:color w:val="000000"/>
                <w:kern w:val="0"/>
                <w:sz w:val="24"/>
                <w:szCs w:val="24"/>
                <w:lang w:val="en-US" w:eastAsia="zh-CN" w:bidi="ar"/>
              </w:rPr>
              <w:t>，并在其中加入（重量比）为沥青混合料的</w:t>
            </w:r>
            <w:r>
              <w:rPr>
                <w:rFonts w:hint="default" w:ascii="Times New Roman" w:hAnsi="Times New Roman" w:eastAsia="TimesNewRomanPSMT" w:cs="Times New Roman"/>
                <w:color w:val="000000"/>
                <w:kern w:val="0"/>
                <w:sz w:val="24"/>
                <w:szCs w:val="24"/>
                <w:lang w:val="en-US" w:eastAsia="zh-CN" w:bidi="ar"/>
              </w:rPr>
              <w:t>0.3%</w:t>
            </w:r>
            <w:r>
              <w:rPr>
                <w:rFonts w:hint="default" w:ascii="Times New Roman" w:hAnsi="Times New Roman" w:eastAsia="宋体" w:cs="Times New Roman"/>
                <w:color w:val="000000"/>
                <w:kern w:val="0"/>
                <w:sz w:val="24"/>
                <w:szCs w:val="24"/>
                <w:lang w:val="en-US" w:eastAsia="zh-CN" w:bidi="ar"/>
              </w:rPr>
              <w:t>（重量比）沥青路面专用抗车辙剂，以提高面层的强度，减少路面车辙。下设乳化粘层沥青（</w:t>
            </w:r>
            <w:r>
              <w:rPr>
                <w:rFonts w:hint="default" w:ascii="Times New Roman" w:hAnsi="Times New Roman" w:eastAsia="TimesNewRomanPSMT" w:cs="Times New Roman"/>
                <w:color w:val="000000"/>
                <w:kern w:val="0"/>
                <w:sz w:val="24"/>
                <w:szCs w:val="24"/>
                <w:lang w:val="en-US" w:eastAsia="zh-CN" w:bidi="ar"/>
              </w:rPr>
              <w:t>PC-3</w:t>
            </w:r>
            <w:r>
              <w:rPr>
                <w:rFonts w:hint="default" w:ascii="Times New Roman" w:hAnsi="Times New Roman" w:eastAsia="宋体" w:cs="Times New Roman"/>
                <w:color w:val="000000"/>
                <w:kern w:val="0"/>
                <w:sz w:val="24"/>
                <w:szCs w:val="24"/>
                <w:lang w:val="en-US" w:eastAsia="zh-CN" w:bidi="ar"/>
              </w:rPr>
              <w:t xml:space="preserve">）。 </w:t>
            </w:r>
          </w:p>
          <w:p w14:paraId="479EE22B">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第二层为中粒式沥青混凝土（</w:t>
            </w:r>
            <w:r>
              <w:rPr>
                <w:rFonts w:hint="default" w:ascii="Times New Roman" w:hAnsi="Times New Roman" w:eastAsia="TimesNewRomanPSMT" w:cs="Times New Roman"/>
                <w:color w:val="000000"/>
                <w:kern w:val="0"/>
                <w:sz w:val="24"/>
                <w:szCs w:val="24"/>
                <w:lang w:val="en-US" w:eastAsia="zh-CN" w:bidi="ar"/>
              </w:rPr>
              <w:t>AC</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TimesNewRomanPSMT" w:cs="Times New Roman"/>
                <w:color w:val="000000"/>
                <w:kern w:val="0"/>
                <w:sz w:val="24"/>
                <w:szCs w:val="24"/>
                <w:lang w:val="en-US" w:eastAsia="zh-CN" w:bidi="ar"/>
              </w:rPr>
              <w:t>20C</w:t>
            </w:r>
            <w:r>
              <w:rPr>
                <w:rFonts w:hint="default" w:ascii="Times New Roman" w:hAnsi="Times New Roman" w:eastAsia="宋体" w:cs="Times New Roman"/>
                <w:color w:val="000000"/>
                <w:kern w:val="0"/>
                <w:sz w:val="24"/>
                <w:szCs w:val="24"/>
                <w:lang w:val="en-US" w:eastAsia="zh-CN" w:bidi="ar"/>
              </w:rPr>
              <w:t>），厚度为</w:t>
            </w:r>
            <w:r>
              <w:rPr>
                <w:rFonts w:hint="default" w:ascii="Times New Roman" w:hAnsi="Times New Roman" w:eastAsia="TimesNewRomanPSMT" w:cs="Times New Roman"/>
                <w:color w:val="000000"/>
                <w:kern w:val="0"/>
                <w:sz w:val="24"/>
                <w:szCs w:val="24"/>
                <w:lang w:val="en-US" w:eastAsia="zh-CN" w:bidi="ar"/>
              </w:rPr>
              <w:t>6cm</w:t>
            </w:r>
            <w:r>
              <w:rPr>
                <w:rFonts w:hint="default" w:ascii="Times New Roman" w:hAnsi="Times New Roman" w:eastAsia="宋体" w:cs="Times New Roman"/>
                <w:color w:val="000000"/>
                <w:kern w:val="0"/>
                <w:sz w:val="24"/>
                <w:szCs w:val="24"/>
                <w:lang w:val="en-US" w:eastAsia="zh-CN" w:bidi="ar"/>
              </w:rPr>
              <w:t>，并在其中加入（重量比）为沥青混合料的</w:t>
            </w:r>
            <w:r>
              <w:rPr>
                <w:rFonts w:hint="default" w:ascii="Times New Roman" w:hAnsi="Times New Roman" w:eastAsia="TimesNewRomanPSMT" w:cs="Times New Roman"/>
                <w:color w:val="000000"/>
                <w:kern w:val="0"/>
                <w:sz w:val="24"/>
                <w:szCs w:val="24"/>
                <w:lang w:val="en-US" w:eastAsia="zh-CN" w:bidi="ar"/>
              </w:rPr>
              <w:t>0.3%</w:t>
            </w:r>
            <w:r>
              <w:rPr>
                <w:rFonts w:hint="default" w:ascii="Times New Roman" w:hAnsi="Times New Roman" w:eastAsia="宋体" w:cs="Times New Roman"/>
                <w:color w:val="000000"/>
                <w:kern w:val="0"/>
                <w:sz w:val="24"/>
                <w:szCs w:val="24"/>
                <w:lang w:val="en-US" w:eastAsia="zh-CN" w:bidi="ar"/>
              </w:rPr>
              <w:t xml:space="preserve">（重量比）沥青路面专用抗车辙剂，以提高面层的强度，减少路面车辙。下设稀浆封层、透层沥青。 </w:t>
            </w:r>
          </w:p>
          <w:p w14:paraId="2A301869">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 xml:space="preserve">②水泥稳定碎石厚度的确定 </w:t>
            </w:r>
          </w:p>
          <w:p w14:paraId="17BD12A2">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通过城市道路路面结构程序计算确定水泥稳定碎石（水泥掺量</w:t>
            </w:r>
            <w:r>
              <w:rPr>
                <w:rFonts w:hint="default" w:ascii="Times New Roman" w:hAnsi="Times New Roman" w:eastAsia="TimesNewRomanPSMT" w:cs="Times New Roman"/>
                <w:color w:val="000000"/>
                <w:kern w:val="0"/>
                <w:sz w:val="24"/>
                <w:szCs w:val="24"/>
                <w:lang w:val="en-US" w:eastAsia="zh-CN" w:bidi="ar"/>
              </w:rPr>
              <w:t>5.5%）</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TimesNewRomanPSMT" w:cs="Times New Roman"/>
                <w:color w:val="000000"/>
                <w:kern w:val="0"/>
                <w:sz w:val="24"/>
                <w:szCs w:val="24"/>
                <w:lang w:val="en-US" w:eastAsia="zh-CN" w:bidi="ar"/>
              </w:rPr>
              <w:t>K</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TimesNewRomanPSMT" w:cs="Times New Roman"/>
                <w:color w:val="000000"/>
                <w:kern w:val="0"/>
                <w:sz w:val="24"/>
                <w:szCs w:val="24"/>
                <w:lang w:val="en-US" w:eastAsia="zh-CN" w:bidi="ar"/>
              </w:rPr>
              <w:t>98%</w:t>
            </w:r>
            <w:r>
              <w:rPr>
                <w:rFonts w:hint="default" w:ascii="Times New Roman" w:hAnsi="Times New Roman" w:eastAsia="宋体" w:cs="Times New Roman"/>
                <w:color w:val="000000"/>
                <w:kern w:val="0"/>
                <w:sz w:val="24"/>
                <w:szCs w:val="24"/>
                <w:lang w:val="en-US" w:eastAsia="zh-CN" w:bidi="ar"/>
              </w:rPr>
              <w:t xml:space="preserve">）厚度为 </w:t>
            </w:r>
            <w:r>
              <w:rPr>
                <w:rFonts w:hint="default" w:ascii="Times New Roman" w:hAnsi="Times New Roman" w:eastAsia="TimesNewRomanPSMT" w:cs="Times New Roman"/>
                <w:color w:val="000000"/>
                <w:kern w:val="0"/>
                <w:sz w:val="24"/>
                <w:szCs w:val="24"/>
                <w:lang w:val="en-US" w:eastAsia="zh-CN" w:bidi="ar"/>
              </w:rPr>
              <w:t>35cm</w:t>
            </w:r>
            <w:r>
              <w:rPr>
                <w:rFonts w:hint="default" w:ascii="Times New Roman" w:hAnsi="Times New Roman" w:eastAsia="宋体" w:cs="Times New Roman"/>
                <w:color w:val="000000"/>
                <w:kern w:val="0"/>
                <w:sz w:val="24"/>
                <w:szCs w:val="24"/>
                <w:lang w:val="en-US" w:eastAsia="zh-CN" w:bidi="ar"/>
              </w:rPr>
              <w:t xml:space="preserve">。 </w:t>
            </w:r>
          </w:p>
          <w:p w14:paraId="69547057">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 xml:space="preserve">③其它层 </w:t>
            </w:r>
          </w:p>
          <w:p w14:paraId="0EED3206">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水泥稳定碎石层以下为</w:t>
            </w:r>
            <w:r>
              <w:rPr>
                <w:rFonts w:hint="default" w:ascii="Times New Roman" w:hAnsi="Times New Roman" w:eastAsia="TimesNewRomanPSMT" w:cs="Times New Roman"/>
                <w:color w:val="000000"/>
                <w:kern w:val="0"/>
                <w:sz w:val="24"/>
                <w:szCs w:val="24"/>
                <w:lang w:val="en-US" w:eastAsia="zh-CN" w:bidi="ar"/>
              </w:rPr>
              <w:t>15cm</w:t>
            </w:r>
            <w:r>
              <w:rPr>
                <w:rFonts w:hint="default" w:ascii="Times New Roman" w:hAnsi="Times New Roman" w:eastAsia="宋体" w:cs="Times New Roman"/>
                <w:color w:val="000000"/>
                <w:kern w:val="0"/>
                <w:sz w:val="24"/>
                <w:szCs w:val="24"/>
                <w:lang w:val="en-US" w:eastAsia="zh-CN" w:bidi="ar"/>
              </w:rPr>
              <w:t>级配碎石，压实度</w:t>
            </w:r>
            <w:r>
              <w:rPr>
                <w:rFonts w:hint="default" w:ascii="Times New Roman" w:hAnsi="Times New Roman" w:eastAsia="TimesNewRomanPSMT" w:cs="Times New Roman"/>
                <w:color w:val="000000"/>
                <w:kern w:val="0"/>
                <w:sz w:val="24"/>
                <w:szCs w:val="24"/>
                <w:lang w:val="en-US" w:eastAsia="zh-CN" w:bidi="ar"/>
              </w:rPr>
              <w:t>K</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TimesNewRomanPSMT" w:cs="Times New Roman"/>
                <w:color w:val="000000"/>
                <w:kern w:val="0"/>
                <w:sz w:val="24"/>
                <w:szCs w:val="24"/>
                <w:lang w:val="en-US" w:eastAsia="zh-CN" w:bidi="ar"/>
              </w:rPr>
              <w:t>96</w:t>
            </w:r>
            <w:r>
              <w:rPr>
                <w:rFonts w:hint="default" w:ascii="Times New Roman" w:hAnsi="Times New Roman" w:eastAsia="宋体" w:cs="Times New Roman"/>
                <w:color w:val="000000"/>
                <w:kern w:val="0"/>
                <w:sz w:val="24"/>
                <w:szCs w:val="24"/>
                <w:lang w:val="en-US" w:eastAsia="zh-CN" w:bidi="ar"/>
              </w:rPr>
              <w:t xml:space="preserve">％。 </w:t>
            </w:r>
          </w:p>
          <w:p w14:paraId="375B7327">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 xml:space="preserve">④行车道路面结构各层竣工验收弯沉值： </w:t>
            </w:r>
          </w:p>
          <w:p w14:paraId="65A2532E">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TimesNewRomanPSMT" w:cs="Times New Roman"/>
                <w:color w:val="000000"/>
                <w:kern w:val="0"/>
                <w:sz w:val="24"/>
                <w:szCs w:val="24"/>
                <w:lang w:val="en-US" w:eastAsia="zh-CN" w:bidi="ar"/>
              </w:rPr>
              <w:t xml:space="preserve">AC-13C 32.1mm/100 </w:t>
            </w:r>
          </w:p>
          <w:p w14:paraId="698222E7">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TimesNewRomanPSMT" w:cs="Times New Roman"/>
                <w:color w:val="000000"/>
                <w:kern w:val="0"/>
                <w:sz w:val="24"/>
                <w:szCs w:val="24"/>
                <w:lang w:val="en-US" w:eastAsia="zh-CN" w:bidi="ar"/>
              </w:rPr>
              <w:t xml:space="preserve">AC-20C 39.9mm/100 </w:t>
            </w:r>
          </w:p>
          <w:p w14:paraId="51245AD2">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水泥稳定碎石</w:t>
            </w:r>
            <w:r>
              <w:rPr>
                <w:rFonts w:hint="default" w:ascii="Times New Roman" w:hAnsi="Times New Roman" w:eastAsia="TimesNewRomanPSMT" w:cs="Times New Roman"/>
                <w:color w:val="000000"/>
                <w:kern w:val="0"/>
                <w:sz w:val="24"/>
                <w:szCs w:val="24"/>
                <w:lang w:val="en-US" w:eastAsia="zh-CN" w:bidi="ar"/>
              </w:rPr>
              <w:t xml:space="preserve">48.7mm/100 </w:t>
            </w:r>
          </w:p>
          <w:p w14:paraId="554D0D1F">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级配碎石</w:t>
            </w:r>
            <w:r>
              <w:rPr>
                <w:rFonts w:hint="default" w:ascii="Times New Roman" w:hAnsi="Times New Roman" w:eastAsia="TimesNewRomanPSMT" w:cs="Times New Roman"/>
                <w:color w:val="000000"/>
                <w:kern w:val="0"/>
                <w:sz w:val="24"/>
                <w:szCs w:val="24"/>
                <w:lang w:val="en-US" w:eastAsia="zh-CN" w:bidi="ar"/>
              </w:rPr>
              <w:t xml:space="preserve">162.8mm/100 </w:t>
            </w:r>
          </w:p>
          <w:p w14:paraId="54BFFBF9">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路基顶面交工验收弯沉值</w:t>
            </w:r>
            <w:r>
              <w:rPr>
                <w:rFonts w:hint="default" w:ascii="Times New Roman" w:hAnsi="Times New Roman" w:eastAsia="TimesNewRomanPSMT" w:cs="Times New Roman"/>
                <w:color w:val="000000"/>
                <w:kern w:val="0"/>
                <w:sz w:val="24"/>
                <w:szCs w:val="24"/>
                <w:lang w:val="en-US" w:eastAsia="zh-CN" w:bidi="ar"/>
              </w:rPr>
              <w:t xml:space="preserve"> 232.9mm/100 </w:t>
            </w:r>
          </w:p>
          <w:p w14:paraId="631B2EEA">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⑤新做人行道基础顶竣工验收弯沉值：</w:t>
            </w:r>
            <w:r>
              <w:rPr>
                <w:rFonts w:hint="default" w:ascii="Times New Roman" w:hAnsi="Times New Roman" w:eastAsia="TimesNewRomanPSMT" w:cs="Times New Roman"/>
                <w:color w:val="000000"/>
                <w:kern w:val="0"/>
                <w:sz w:val="24"/>
                <w:szCs w:val="24"/>
                <w:lang w:val="en-US" w:eastAsia="zh-CN" w:bidi="ar"/>
              </w:rPr>
              <w:t xml:space="preserve">LS= 465.8(0.01mm) </w:t>
            </w:r>
          </w:p>
          <w:p w14:paraId="5CB1A8C8">
            <w:pPr>
              <w:keepNext w:val="0"/>
              <w:keepLines w:val="0"/>
              <w:widowControl/>
              <w:numPr>
                <w:ilvl w:val="0"/>
                <w:numId w:val="12"/>
              </w:numPr>
              <w:suppressLineNumbers w:val="0"/>
              <w:ind w:left="0" w:leftChars="0" w:firstLine="480" w:firstLineChars="200"/>
              <w:jc w:val="both"/>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路面搭接处理</w:t>
            </w:r>
          </w:p>
          <w:p w14:paraId="13C7B78B">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沟槽回填至管廊顶部标高时，在管廊顶部设置一层土工格栅，管廊顶部回填按照路基回填要求进行。管廊基坑外侧开挖 </w:t>
            </w:r>
            <w:r>
              <w:rPr>
                <w:rFonts w:hint="default" w:ascii="Times New Roman" w:hAnsi="Times New Roman" w:eastAsia="TimesNewRomanPSMT" w:cs="Times New Roman"/>
                <w:color w:val="000000"/>
                <w:kern w:val="0"/>
                <w:sz w:val="24"/>
                <w:szCs w:val="24"/>
                <w:lang w:val="en-US" w:eastAsia="zh-CN" w:bidi="ar"/>
              </w:rPr>
              <w:t xml:space="preserve">1m </w:t>
            </w:r>
            <w:r>
              <w:rPr>
                <w:rFonts w:hint="default" w:ascii="Times New Roman" w:hAnsi="Times New Roman" w:eastAsia="宋体" w:cs="Times New Roman"/>
                <w:color w:val="000000"/>
                <w:kern w:val="0"/>
                <w:sz w:val="24"/>
                <w:szCs w:val="24"/>
                <w:lang w:val="en-US" w:eastAsia="zh-CN" w:bidi="ar"/>
              </w:rPr>
              <w:t>的宽度，新做级配碎石及水稳层，碎石底部设置一层土工格栅（</w:t>
            </w:r>
            <w:r>
              <w:rPr>
                <w:rFonts w:hint="default" w:ascii="Times New Roman" w:hAnsi="Times New Roman" w:eastAsia="TimesNewRomanPSMT" w:cs="Times New Roman"/>
                <w:color w:val="000000"/>
                <w:kern w:val="0"/>
                <w:sz w:val="24"/>
                <w:szCs w:val="24"/>
                <w:lang w:val="en-US" w:eastAsia="zh-CN" w:bidi="ar"/>
              </w:rPr>
              <w:t>QLGS50-50</w:t>
            </w:r>
            <w:r>
              <w:rPr>
                <w:rFonts w:hint="default" w:ascii="Times New Roman" w:hAnsi="Times New Roman" w:eastAsia="宋体" w:cs="Times New Roman"/>
                <w:color w:val="000000"/>
                <w:kern w:val="0"/>
                <w:sz w:val="24"/>
                <w:szCs w:val="24"/>
                <w:lang w:val="en-US" w:eastAsia="zh-CN" w:bidi="ar"/>
              </w:rPr>
              <w:t>）。沥青面层下设置一层玻纤格栅（</w:t>
            </w:r>
            <w:r>
              <w:rPr>
                <w:rFonts w:hint="default" w:ascii="Times New Roman" w:hAnsi="Times New Roman" w:eastAsia="TimesNewRomanPSMT" w:cs="Times New Roman"/>
                <w:color w:val="000000"/>
                <w:kern w:val="0"/>
                <w:sz w:val="24"/>
                <w:szCs w:val="24"/>
                <w:lang w:val="en-US" w:eastAsia="zh-CN" w:bidi="ar"/>
              </w:rPr>
              <w:t>50</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TimesNewRomanPSMT" w:cs="Times New Roman"/>
                <w:color w:val="000000"/>
                <w:kern w:val="0"/>
                <w:sz w:val="24"/>
                <w:szCs w:val="24"/>
                <w:lang w:val="en-US" w:eastAsia="zh-CN" w:bidi="ar"/>
              </w:rPr>
              <w:t>50</w:t>
            </w:r>
            <w:r>
              <w:rPr>
                <w:rFonts w:hint="default" w:ascii="Times New Roman" w:hAnsi="Times New Roman" w:eastAsia="宋体" w:cs="Times New Roman"/>
                <w:color w:val="000000"/>
                <w:kern w:val="0"/>
                <w:sz w:val="24"/>
                <w:szCs w:val="24"/>
                <w:lang w:val="en-US" w:eastAsia="zh-CN" w:bidi="ar"/>
              </w:rPr>
              <w:t>），宽度</w:t>
            </w:r>
            <w:r>
              <w:rPr>
                <w:rFonts w:hint="default" w:ascii="Times New Roman" w:hAnsi="Times New Roman" w:eastAsia="TimesNewRomanPSMT" w:cs="Times New Roman"/>
                <w:color w:val="000000"/>
                <w:kern w:val="0"/>
                <w:sz w:val="24"/>
                <w:szCs w:val="24"/>
                <w:lang w:val="en-US" w:eastAsia="zh-CN" w:bidi="ar"/>
              </w:rPr>
              <w:t>2.0m</w:t>
            </w:r>
            <w:r>
              <w:rPr>
                <w:rFonts w:hint="default" w:ascii="Times New Roman" w:hAnsi="Times New Roman" w:eastAsia="宋体" w:cs="Times New Roman"/>
                <w:color w:val="000000"/>
                <w:kern w:val="0"/>
                <w:sz w:val="24"/>
                <w:szCs w:val="24"/>
                <w:lang w:val="en-US" w:eastAsia="zh-CN" w:bidi="ar"/>
              </w:rPr>
              <w:t>。新做路面应与老路面顺接，各交叉出入口应与道路顺接，并保障路面排水通畅。</w:t>
            </w:r>
          </w:p>
          <w:p w14:paraId="143B8632">
            <w:pPr>
              <w:keepNext w:val="0"/>
              <w:keepLines w:val="0"/>
              <w:widowControl/>
              <w:numPr>
                <w:ilvl w:val="0"/>
                <w:numId w:val="12"/>
              </w:numPr>
              <w:suppressLineNumbers w:val="0"/>
              <w:ind w:left="0" w:lef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对管廊、管道开挖破坏人行道进行恢复。在进行人行道修复的同时，对盲道进行修复。 </w:t>
            </w:r>
          </w:p>
          <w:p w14:paraId="7A48CEF7">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 xml:space="preserve">人行道结构： </w:t>
            </w:r>
          </w:p>
          <w:p w14:paraId="5DC073C0">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 xml:space="preserve">第一层为混凝土块材，厚度为5cm。 </w:t>
            </w:r>
          </w:p>
          <w:p w14:paraId="13C13BF5">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 xml:space="preserve">第二层为M10水泥砂浆，厚度为3cm。 </w:t>
            </w:r>
          </w:p>
          <w:p w14:paraId="7B60FE72">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 xml:space="preserve">第三层为C20混凝土基层，厚度为10cm。 </w:t>
            </w:r>
          </w:p>
          <w:p w14:paraId="7F5AA770">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 xml:space="preserve">第四层为级配碎石垫层，厚度为12cm。 </w:t>
            </w:r>
          </w:p>
          <w:p w14:paraId="1D245EFD">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人行道结构总厚度</w:t>
            </w:r>
            <w:r>
              <w:rPr>
                <w:rFonts w:hint="eastAsia" w:ascii="Times New Roman" w:hAnsi="Times New Roman"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30cm </w:t>
            </w:r>
          </w:p>
          <w:p w14:paraId="5D279A03">
            <w:pPr>
              <w:keepNext w:val="0"/>
              <w:keepLines w:val="0"/>
              <w:widowControl/>
              <w:numPr>
                <w:ilvl w:val="0"/>
                <w:numId w:val="10"/>
              </w:numPr>
              <w:suppressLineNumbers w:val="0"/>
              <w:ind w:left="0" w:leftChars="0" w:firstLine="482" w:firstLineChars="200"/>
              <w:jc w:val="left"/>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团结大街（南蚌路至遮安路）</w:t>
            </w:r>
          </w:p>
          <w:p w14:paraId="657C5B6D">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团结大街南起于南蚌路，由南向北，止于遮安路，道路全长</w:t>
            </w:r>
            <w:r>
              <w:rPr>
                <w:rFonts w:ascii="TimesNewRomanPSMT" w:hAnsi="TimesNewRomanPSMT" w:eastAsia="TimesNewRomanPSMT" w:cs="TimesNewRomanPSMT"/>
                <w:color w:val="000000"/>
                <w:kern w:val="0"/>
                <w:sz w:val="24"/>
                <w:szCs w:val="24"/>
                <w:lang w:val="en-US" w:eastAsia="zh-CN" w:bidi="ar"/>
              </w:rPr>
              <w:t>283</w:t>
            </w:r>
            <w:r>
              <w:rPr>
                <w:rFonts w:hint="eastAsia" w:ascii="TimesNewRomanPSMT" w:hAnsi="TimesNewRomanPSMT" w:eastAsia="TimesNewRomanPSMT" w:cs="TimesNewRomanPSMT"/>
                <w:color w:val="000000"/>
                <w:kern w:val="0"/>
                <w:sz w:val="24"/>
                <w:szCs w:val="24"/>
                <w:lang w:val="en-US" w:eastAsia="zh-CN" w:bidi="ar"/>
              </w:rPr>
              <w:t>1</w:t>
            </w:r>
            <w:r>
              <w:rPr>
                <w:rFonts w:ascii="TimesNewRomanPSMT" w:hAnsi="TimesNewRomanPSMT" w:eastAsia="TimesNewRomanPSMT" w:cs="TimesNewRomanPSMT"/>
                <w:color w:val="000000"/>
                <w:kern w:val="0"/>
                <w:sz w:val="24"/>
                <w:szCs w:val="24"/>
                <w:lang w:val="en-US" w:eastAsia="zh-CN" w:bidi="ar"/>
              </w:rPr>
              <w:t>m</w:t>
            </w:r>
            <w:r>
              <w:rPr>
                <w:rFonts w:hint="eastAsia" w:ascii="宋体" w:hAnsi="宋体" w:eastAsia="宋体" w:cs="宋体"/>
                <w:color w:val="000000"/>
                <w:kern w:val="0"/>
                <w:sz w:val="24"/>
                <w:szCs w:val="24"/>
                <w:lang w:val="en-US" w:eastAsia="zh-CN" w:bidi="ar"/>
              </w:rPr>
              <w:t>，道路宽度</w:t>
            </w:r>
            <w:r>
              <w:rPr>
                <w:rFonts w:hint="default" w:ascii="TimesNewRomanPSMT" w:hAnsi="TimesNewRomanPSMT" w:eastAsia="TimesNewRomanPSMT" w:cs="TimesNewRomanPSMT"/>
                <w:color w:val="000000"/>
                <w:kern w:val="0"/>
                <w:sz w:val="24"/>
                <w:szCs w:val="24"/>
                <w:lang w:val="en-US" w:eastAsia="zh-CN" w:bidi="ar"/>
              </w:rPr>
              <w:t>35m</w:t>
            </w:r>
            <w:r>
              <w:rPr>
                <w:rFonts w:hint="eastAsia" w:ascii="宋体" w:hAnsi="宋体" w:eastAsia="宋体" w:cs="宋体"/>
                <w:color w:val="000000"/>
                <w:kern w:val="0"/>
                <w:sz w:val="24"/>
                <w:szCs w:val="24"/>
                <w:lang w:val="en-US" w:eastAsia="zh-CN" w:bidi="ar"/>
              </w:rPr>
              <w:t>，道路为城市次干路，双向四车道，设计速度为</w:t>
            </w:r>
            <w:r>
              <w:rPr>
                <w:rFonts w:hint="default" w:ascii="TimesNewRomanPSMT" w:hAnsi="TimesNewRomanPSMT" w:eastAsia="TimesNewRomanPSMT" w:cs="TimesNewRomanPSMT"/>
                <w:color w:val="000000"/>
                <w:kern w:val="0"/>
                <w:sz w:val="24"/>
                <w:szCs w:val="24"/>
                <w:lang w:val="en-US" w:eastAsia="zh-CN" w:bidi="ar"/>
              </w:rPr>
              <w:t>30km/h</w:t>
            </w:r>
            <w:r>
              <w:rPr>
                <w:rFonts w:hint="eastAsia" w:ascii="宋体" w:hAnsi="宋体" w:eastAsia="宋体" w:cs="宋体"/>
                <w:color w:val="000000"/>
                <w:kern w:val="0"/>
                <w:sz w:val="24"/>
                <w:szCs w:val="24"/>
                <w:lang w:val="en-US" w:eastAsia="zh-CN" w:bidi="ar"/>
              </w:rPr>
              <w:t>。</w:t>
            </w:r>
          </w:p>
          <w:p w14:paraId="08B603D3">
            <w:pPr>
              <w:keepNext w:val="0"/>
              <w:keepLines w:val="0"/>
              <w:widowControl/>
              <w:numPr>
                <w:ilvl w:val="0"/>
                <w:numId w:val="13"/>
              </w:numPr>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路基回填</w:t>
            </w:r>
          </w:p>
          <w:p w14:paraId="2AA8DA88">
            <w:pPr>
              <w:keepNext w:val="0"/>
              <w:keepLines w:val="0"/>
              <w:widowControl/>
              <w:numPr>
                <w:ilvl w:val="0"/>
                <w:numId w:val="0"/>
              </w:numPr>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路基回填必须采用分层回填分层压实，车行道下管道沟槽回填土压实标准同下表。</w:t>
            </w:r>
          </w:p>
          <w:p w14:paraId="0C7BEEC9">
            <w:pPr>
              <w:keepNext w:val="0"/>
              <w:keepLines w:val="0"/>
              <w:widowControl/>
              <w:numPr>
                <w:ilvl w:val="0"/>
                <w:numId w:val="0"/>
              </w:numPr>
              <w:suppressLineNumbers w:val="0"/>
              <w:ind w:firstLine="482" w:firstLineChars="200"/>
              <w:jc w:val="center"/>
              <w:rPr>
                <w:rFonts w:hint="default" w:ascii="Times New Roman" w:hAnsi="Times New Roman" w:eastAsia="宋体"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 xml:space="preserve">表1-7 </w:t>
            </w:r>
            <w:r>
              <w:rPr>
                <w:rFonts w:hint="default" w:ascii="Times New Roman" w:hAnsi="Times New Roman" w:eastAsia="宋体" w:cs="Times New Roman"/>
                <w:b/>
                <w:bCs/>
                <w:color w:val="000000"/>
                <w:kern w:val="0"/>
                <w:sz w:val="24"/>
                <w:szCs w:val="24"/>
                <w:lang w:val="en-US" w:eastAsia="zh-CN" w:bidi="ar"/>
              </w:rPr>
              <w:t>路基填料最小强度和最大粒径</w:t>
            </w:r>
          </w:p>
          <w:tbl>
            <w:tblPr>
              <w:tblStyle w:val="10"/>
              <w:tblW w:w="86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945"/>
              <w:gridCol w:w="2370"/>
              <w:gridCol w:w="2391"/>
              <w:gridCol w:w="2170"/>
            </w:tblGrid>
            <w:tr w14:paraId="74D7A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747" w:type="dxa"/>
                  <w:gridSpan w:val="2"/>
                  <w:vAlign w:val="center"/>
                </w:tcPr>
                <w:p w14:paraId="192375F0">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项目分类</w:t>
                  </w:r>
                </w:p>
              </w:tc>
              <w:tc>
                <w:tcPr>
                  <w:tcW w:w="2370" w:type="dxa"/>
                  <w:vAlign w:val="center"/>
                </w:tcPr>
                <w:p w14:paraId="730B7418">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路面底面以下深度（m）</w:t>
                  </w:r>
                </w:p>
              </w:tc>
              <w:tc>
                <w:tcPr>
                  <w:tcW w:w="2391" w:type="dxa"/>
                  <w:vAlign w:val="center"/>
                </w:tcPr>
                <w:p w14:paraId="4ABAD11C">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填料最小强度 CBR（%）</w:t>
                  </w:r>
                </w:p>
              </w:tc>
              <w:tc>
                <w:tcPr>
                  <w:tcW w:w="2170" w:type="dxa"/>
                  <w:vAlign w:val="center"/>
                </w:tcPr>
                <w:p w14:paraId="64FACE74">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填料最大粒今径（cm）</w:t>
                  </w:r>
                </w:p>
              </w:tc>
            </w:tr>
            <w:tr w14:paraId="57DE8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02" w:type="dxa"/>
                  <w:vMerge w:val="restart"/>
                  <w:vAlign w:val="center"/>
                </w:tcPr>
                <w:p w14:paraId="50A2FF3A">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填方路基</w:t>
                  </w:r>
                </w:p>
              </w:tc>
              <w:tc>
                <w:tcPr>
                  <w:tcW w:w="945" w:type="dxa"/>
                  <w:vAlign w:val="center"/>
                </w:tcPr>
                <w:p w14:paraId="6FA73FCC">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上路床</w:t>
                  </w:r>
                </w:p>
              </w:tc>
              <w:tc>
                <w:tcPr>
                  <w:tcW w:w="2370" w:type="dxa"/>
                  <w:vAlign w:val="center"/>
                </w:tcPr>
                <w:p w14:paraId="65DD0441">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0～30</w:t>
                  </w:r>
                </w:p>
              </w:tc>
              <w:tc>
                <w:tcPr>
                  <w:tcW w:w="2391" w:type="dxa"/>
                  <w:vAlign w:val="center"/>
                </w:tcPr>
                <w:p w14:paraId="5C4D66A6">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6</w:t>
                  </w:r>
                </w:p>
              </w:tc>
              <w:tc>
                <w:tcPr>
                  <w:tcW w:w="2170" w:type="dxa"/>
                  <w:vAlign w:val="center"/>
                </w:tcPr>
                <w:p w14:paraId="6E18CE71">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10</w:t>
                  </w:r>
                </w:p>
              </w:tc>
            </w:tr>
            <w:tr w14:paraId="1342A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02" w:type="dxa"/>
                  <w:vMerge w:val="continue"/>
                  <w:vAlign w:val="center"/>
                </w:tcPr>
                <w:p w14:paraId="01908511">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p>
              </w:tc>
              <w:tc>
                <w:tcPr>
                  <w:tcW w:w="945" w:type="dxa"/>
                  <w:vAlign w:val="center"/>
                </w:tcPr>
                <w:p w14:paraId="72C87386">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下路床</w:t>
                  </w:r>
                </w:p>
              </w:tc>
              <w:tc>
                <w:tcPr>
                  <w:tcW w:w="2370" w:type="dxa"/>
                  <w:vAlign w:val="center"/>
                </w:tcPr>
                <w:p w14:paraId="344BDECC">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30～80</w:t>
                  </w:r>
                </w:p>
              </w:tc>
              <w:tc>
                <w:tcPr>
                  <w:tcW w:w="2391" w:type="dxa"/>
                  <w:vAlign w:val="center"/>
                </w:tcPr>
                <w:p w14:paraId="210DCDA2">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4</w:t>
                  </w:r>
                </w:p>
              </w:tc>
              <w:tc>
                <w:tcPr>
                  <w:tcW w:w="2170" w:type="dxa"/>
                  <w:vAlign w:val="center"/>
                </w:tcPr>
                <w:p w14:paraId="65DF6408">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10</w:t>
                  </w:r>
                </w:p>
              </w:tc>
            </w:tr>
            <w:tr w14:paraId="5F259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02" w:type="dxa"/>
                  <w:vMerge w:val="continue"/>
                  <w:vAlign w:val="center"/>
                </w:tcPr>
                <w:p w14:paraId="2F5D4EFB">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p>
              </w:tc>
              <w:tc>
                <w:tcPr>
                  <w:tcW w:w="945" w:type="dxa"/>
                  <w:vAlign w:val="center"/>
                </w:tcPr>
                <w:p w14:paraId="4ACFDEBB">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上路提</w:t>
                  </w:r>
                </w:p>
              </w:tc>
              <w:tc>
                <w:tcPr>
                  <w:tcW w:w="2370" w:type="dxa"/>
                  <w:vAlign w:val="center"/>
                </w:tcPr>
                <w:p w14:paraId="2E3402FF">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80～150</w:t>
                  </w:r>
                </w:p>
              </w:tc>
              <w:tc>
                <w:tcPr>
                  <w:tcW w:w="2391" w:type="dxa"/>
                  <w:vAlign w:val="center"/>
                </w:tcPr>
                <w:p w14:paraId="34938DDB">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3</w:t>
                  </w:r>
                </w:p>
              </w:tc>
              <w:tc>
                <w:tcPr>
                  <w:tcW w:w="2170" w:type="dxa"/>
                  <w:vAlign w:val="center"/>
                </w:tcPr>
                <w:p w14:paraId="4EA4FBBF">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15</w:t>
                  </w:r>
                </w:p>
              </w:tc>
            </w:tr>
            <w:tr w14:paraId="5D6FA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802" w:type="dxa"/>
                  <w:vMerge w:val="continue"/>
                  <w:vAlign w:val="center"/>
                </w:tcPr>
                <w:p w14:paraId="0EF4C7F9">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p>
              </w:tc>
              <w:tc>
                <w:tcPr>
                  <w:tcW w:w="945" w:type="dxa"/>
                  <w:vAlign w:val="center"/>
                </w:tcPr>
                <w:p w14:paraId="6F413666">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下路提</w:t>
                  </w:r>
                </w:p>
              </w:tc>
              <w:tc>
                <w:tcPr>
                  <w:tcW w:w="2370" w:type="dxa"/>
                  <w:vAlign w:val="center"/>
                </w:tcPr>
                <w:p w14:paraId="0CBA17E7">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150以下</w:t>
                  </w:r>
                </w:p>
              </w:tc>
              <w:tc>
                <w:tcPr>
                  <w:tcW w:w="2391" w:type="dxa"/>
                  <w:vAlign w:val="center"/>
                </w:tcPr>
                <w:p w14:paraId="3167002D">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2</w:t>
                  </w:r>
                </w:p>
              </w:tc>
              <w:tc>
                <w:tcPr>
                  <w:tcW w:w="2170" w:type="dxa"/>
                  <w:vAlign w:val="center"/>
                </w:tcPr>
                <w:p w14:paraId="120DEC0F">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15</w:t>
                  </w:r>
                </w:p>
              </w:tc>
            </w:tr>
            <w:tr w14:paraId="5773B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747" w:type="dxa"/>
                  <w:gridSpan w:val="2"/>
                  <w:vMerge w:val="restart"/>
                  <w:vAlign w:val="center"/>
                </w:tcPr>
                <w:p w14:paraId="06581929">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零填及路堑路床</w:t>
                  </w:r>
                </w:p>
              </w:tc>
              <w:tc>
                <w:tcPr>
                  <w:tcW w:w="2370" w:type="dxa"/>
                  <w:vAlign w:val="center"/>
                </w:tcPr>
                <w:p w14:paraId="5C966CC3">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0～30</w:t>
                  </w:r>
                </w:p>
              </w:tc>
              <w:tc>
                <w:tcPr>
                  <w:tcW w:w="2391" w:type="dxa"/>
                  <w:vAlign w:val="center"/>
                </w:tcPr>
                <w:p w14:paraId="6EAB09C7">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6</w:t>
                  </w:r>
                </w:p>
              </w:tc>
              <w:tc>
                <w:tcPr>
                  <w:tcW w:w="2170" w:type="dxa"/>
                  <w:vAlign w:val="center"/>
                </w:tcPr>
                <w:p w14:paraId="69AC3080">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10</w:t>
                  </w:r>
                </w:p>
              </w:tc>
            </w:tr>
            <w:tr w14:paraId="3B702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747" w:type="dxa"/>
                  <w:gridSpan w:val="2"/>
                  <w:vMerge w:val="continue"/>
                  <w:vAlign w:val="center"/>
                </w:tcPr>
                <w:p w14:paraId="3907D177">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p>
              </w:tc>
              <w:tc>
                <w:tcPr>
                  <w:tcW w:w="2370" w:type="dxa"/>
                  <w:vAlign w:val="center"/>
                </w:tcPr>
                <w:p w14:paraId="31D14AEC">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30～80</w:t>
                  </w:r>
                </w:p>
              </w:tc>
              <w:tc>
                <w:tcPr>
                  <w:tcW w:w="2391" w:type="dxa"/>
                  <w:vAlign w:val="center"/>
                </w:tcPr>
                <w:p w14:paraId="7FF0C77F">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4</w:t>
                  </w:r>
                </w:p>
              </w:tc>
              <w:tc>
                <w:tcPr>
                  <w:tcW w:w="2170" w:type="dxa"/>
                  <w:vAlign w:val="center"/>
                </w:tcPr>
                <w:p w14:paraId="2E881E71">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10</w:t>
                  </w:r>
                </w:p>
              </w:tc>
            </w:tr>
          </w:tbl>
          <w:p w14:paraId="7504DA98">
            <w:pPr>
              <w:keepNext w:val="0"/>
              <w:keepLines w:val="0"/>
              <w:widowControl/>
              <w:suppressLineNumbers w:val="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1"/>
                <w:szCs w:val="21"/>
                <w:lang w:val="en-US" w:eastAsia="zh-CN" w:bidi="ar"/>
              </w:rPr>
              <w:t xml:space="preserve">注：当路基填料的 </w:t>
            </w:r>
            <w:r>
              <w:rPr>
                <w:rFonts w:hint="default" w:ascii="Times New Roman" w:hAnsi="Times New Roman" w:eastAsia="TimesNewRomanPSMT" w:cs="Times New Roman"/>
                <w:color w:val="000000"/>
                <w:kern w:val="0"/>
                <w:sz w:val="21"/>
                <w:szCs w:val="21"/>
                <w:lang w:val="en-US" w:eastAsia="zh-CN" w:bidi="ar"/>
              </w:rPr>
              <w:t xml:space="preserve">CBR </w:t>
            </w:r>
            <w:r>
              <w:rPr>
                <w:rFonts w:hint="default" w:ascii="Times New Roman" w:hAnsi="Times New Roman" w:eastAsia="宋体" w:cs="Times New Roman"/>
                <w:color w:val="000000"/>
                <w:kern w:val="0"/>
                <w:sz w:val="21"/>
                <w:szCs w:val="21"/>
                <w:lang w:val="en-US" w:eastAsia="zh-CN" w:bidi="ar"/>
              </w:rPr>
              <w:t>值达不到表列要求时，可掺石灰或其他稳定材料处理。</w:t>
            </w:r>
          </w:p>
          <w:p w14:paraId="3A655B52">
            <w:pPr>
              <w:keepNext w:val="0"/>
              <w:keepLines w:val="0"/>
              <w:widowControl/>
              <w:suppressLineNumbers w:val="0"/>
              <w:jc w:val="center"/>
              <w:rPr>
                <w:rFonts w:hint="default" w:ascii="Times New Roman" w:hAnsi="Times New Roman" w:eastAsia="宋体" w:cs="Times New Roman"/>
                <w:color w:val="000000"/>
                <w:kern w:val="0"/>
                <w:sz w:val="24"/>
                <w:szCs w:val="24"/>
                <w:lang w:val="en-US" w:eastAsia="zh-CN" w:bidi="ar"/>
              </w:rPr>
            </w:pPr>
            <w:r>
              <w:rPr>
                <w:rFonts w:hint="eastAsia" w:cs="Times New Roman"/>
                <w:b/>
                <w:bCs/>
                <w:color w:val="000000"/>
                <w:kern w:val="0"/>
                <w:sz w:val="24"/>
                <w:szCs w:val="24"/>
                <w:lang w:val="en-US" w:eastAsia="zh-CN" w:bidi="ar"/>
              </w:rPr>
              <w:t xml:space="preserve">表1-8 </w:t>
            </w:r>
            <w:r>
              <w:rPr>
                <w:rFonts w:hint="default" w:ascii="Times New Roman" w:hAnsi="Times New Roman" w:eastAsia="宋体" w:cs="Times New Roman"/>
                <w:b/>
                <w:bCs/>
                <w:color w:val="000000"/>
                <w:kern w:val="0"/>
                <w:sz w:val="24"/>
                <w:szCs w:val="24"/>
                <w:lang w:val="en-US" w:eastAsia="zh-CN" w:bidi="ar"/>
              </w:rPr>
              <w:t>路基压实度（</w:t>
            </w:r>
            <w:r>
              <w:rPr>
                <w:rFonts w:hint="default" w:ascii="Times New Roman" w:hAnsi="Times New Roman" w:eastAsia="TimesNewRomanPSMT" w:cs="Times New Roman"/>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）（重型）</w:t>
            </w:r>
          </w:p>
          <w:tbl>
            <w:tblPr>
              <w:tblStyle w:val="10"/>
              <w:tblW w:w="86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6"/>
              <w:gridCol w:w="2896"/>
              <w:gridCol w:w="2897"/>
            </w:tblGrid>
            <w:tr w14:paraId="3E81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6" w:type="dxa"/>
                  <w:vAlign w:val="center"/>
                </w:tcPr>
                <w:p w14:paraId="0772079E">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填挖类型</w:t>
                  </w:r>
                </w:p>
              </w:tc>
              <w:tc>
                <w:tcPr>
                  <w:tcW w:w="2896" w:type="dxa"/>
                  <w:vAlign w:val="center"/>
                </w:tcPr>
                <w:p w14:paraId="4AF409D7">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lang w:val="en-US" w:eastAsia="zh-CN" w:bidi="ar"/>
                    </w:rPr>
                    <w:t>路面底面以下深度（</w:t>
                  </w:r>
                  <w:r>
                    <w:rPr>
                      <w:rFonts w:hint="default" w:ascii="Times New Roman" w:hAnsi="Times New Roman" w:eastAsia="TimesNewRomanPSMT" w:cs="Times New Roman"/>
                      <w:color w:val="000000"/>
                      <w:kern w:val="0"/>
                      <w:sz w:val="21"/>
                      <w:szCs w:val="21"/>
                      <w:lang w:val="en-US" w:eastAsia="zh-CN" w:bidi="ar"/>
                    </w:rPr>
                    <w:t>cm</w:t>
                  </w:r>
                  <w:r>
                    <w:rPr>
                      <w:rFonts w:hint="default" w:ascii="Times New Roman" w:hAnsi="Times New Roman" w:eastAsia="宋体" w:cs="Times New Roman"/>
                      <w:color w:val="000000"/>
                      <w:kern w:val="0"/>
                      <w:sz w:val="21"/>
                      <w:szCs w:val="21"/>
                      <w:lang w:val="en-US" w:eastAsia="zh-CN" w:bidi="ar"/>
                    </w:rPr>
                    <w:t>）</w:t>
                  </w:r>
                </w:p>
              </w:tc>
              <w:tc>
                <w:tcPr>
                  <w:tcW w:w="2897" w:type="dxa"/>
                  <w:vAlign w:val="center"/>
                </w:tcPr>
                <w:p w14:paraId="6D681BD0">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压实度（%）</w:t>
                  </w:r>
                </w:p>
              </w:tc>
            </w:tr>
            <w:tr w14:paraId="283C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6" w:type="dxa"/>
                  <w:vMerge w:val="restart"/>
                  <w:vAlign w:val="center"/>
                </w:tcPr>
                <w:p w14:paraId="7664E999">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填方</w:t>
                  </w:r>
                </w:p>
              </w:tc>
              <w:tc>
                <w:tcPr>
                  <w:tcW w:w="2896" w:type="dxa"/>
                  <w:vAlign w:val="center"/>
                </w:tcPr>
                <w:p w14:paraId="5760F1A2">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0～80</w:t>
                  </w:r>
                </w:p>
              </w:tc>
              <w:tc>
                <w:tcPr>
                  <w:tcW w:w="2897" w:type="dxa"/>
                  <w:vAlign w:val="center"/>
                </w:tcPr>
                <w:p w14:paraId="02FD99AB">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≥9</w:t>
                  </w:r>
                  <w:r>
                    <w:rPr>
                      <w:rFonts w:hint="default" w:ascii="Times New Roman" w:hAnsi="Times New Roman" w:cs="Times New Roman"/>
                      <w:color w:val="000000"/>
                      <w:kern w:val="0"/>
                      <w:sz w:val="21"/>
                      <w:szCs w:val="21"/>
                      <w:vertAlign w:val="baseline"/>
                      <w:lang w:val="en-US" w:eastAsia="zh-CN" w:bidi="ar"/>
                    </w:rPr>
                    <w:t>4</w:t>
                  </w:r>
                </w:p>
              </w:tc>
            </w:tr>
            <w:tr w14:paraId="61059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6" w:type="dxa"/>
                  <w:vMerge w:val="continue"/>
                  <w:vAlign w:val="center"/>
                </w:tcPr>
                <w:p w14:paraId="63577011">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p>
              </w:tc>
              <w:tc>
                <w:tcPr>
                  <w:tcW w:w="2896" w:type="dxa"/>
                  <w:vAlign w:val="center"/>
                </w:tcPr>
                <w:p w14:paraId="48D40595">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80～150</w:t>
                  </w:r>
                </w:p>
              </w:tc>
              <w:tc>
                <w:tcPr>
                  <w:tcW w:w="2897" w:type="dxa"/>
                  <w:vAlign w:val="center"/>
                </w:tcPr>
                <w:p w14:paraId="48F7271E">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≥9</w:t>
                  </w:r>
                  <w:r>
                    <w:rPr>
                      <w:rFonts w:hint="default" w:ascii="Times New Roman" w:hAnsi="Times New Roman" w:cs="Times New Roman"/>
                      <w:color w:val="000000"/>
                      <w:kern w:val="0"/>
                      <w:sz w:val="21"/>
                      <w:szCs w:val="21"/>
                      <w:vertAlign w:val="baseline"/>
                      <w:lang w:val="en-US" w:eastAsia="zh-CN" w:bidi="ar"/>
                    </w:rPr>
                    <w:t>2</w:t>
                  </w:r>
                </w:p>
              </w:tc>
            </w:tr>
            <w:tr w14:paraId="6703D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6" w:type="dxa"/>
                  <w:vMerge w:val="continue"/>
                  <w:vAlign w:val="center"/>
                </w:tcPr>
                <w:p w14:paraId="296AC3CD">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p>
              </w:tc>
              <w:tc>
                <w:tcPr>
                  <w:tcW w:w="2896" w:type="dxa"/>
                  <w:vAlign w:val="center"/>
                </w:tcPr>
                <w:p w14:paraId="38A8EDB4">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150以下</w:t>
                  </w:r>
                </w:p>
              </w:tc>
              <w:tc>
                <w:tcPr>
                  <w:tcW w:w="2897" w:type="dxa"/>
                  <w:vAlign w:val="center"/>
                </w:tcPr>
                <w:p w14:paraId="526BA21C">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≥9</w:t>
                  </w:r>
                  <w:r>
                    <w:rPr>
                      <w:rFonts w:hint="default" w:ascii="Times New Roman" w:hAnsi="Times New Roman" w:cs="Times New Roman"/>
                      <w:color w:val="000000"/>
                      <w:kern w:val="0"/>
                      <w:sz w:val="21"/>
                      <w:szCs w:val="21"/>
                      <w:vertAlign w:val="baseline"/>
                      <w:lang w:val="en-US" w:eastAsia="zh-CN" w:bidi="ar"/>
                    </w:rPr>
                    <w:t>1</w:t>
                  </w:r>
                </w:p>
              </w:tc>
            </w:tr>
            <w:tr w14:paraId="46160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6" w:type="dxa"/>
                  <w:vAlign w:val="center"/>
                </w:tcPr>
                <w:p w14:paraId="0DC242CE">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cs="Times New Roman"/>
                      <w:color w:val="000000"/>
                      <w:kern w:val="0"/>
                      <w:sz w:val="21"/>
                      <w:szCs w:val="21"/>
                      <w:vertAlign w:val="baseline"/>
                      <w:lang w:val="en-US" w:eastAsia="zh-CN" w:bidi="ar"/>
                    </w:rPr>
                    <w:t>零填及挖方</w:t>
                  </w:r>
                </w:p>
              </w:tc>
              <w:tc>
                <w:tcPr>
                  <w:tcW w:w="2896" w:type="dxa"/>
                  <w:vAlign w:val="center"/>
                </w:tcPr>
                <w:p w14:paraId="2277F5F2">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0～80</w:t>
                  </w:r>
                </w:p>
              </w:tc>
              <w:tc>
                <w:tcPr>
                  <w:tcW w:w="2897" w:type="dxa"/>
                  <w:vAlign w:val="center"/>
                </w:tcPr>
                <w:p w14:paraId="6E3F8700">
                  <w:pPr>
                    <w:keepNext w:val="0"/>
                    <w:keepLines w:val="0"/>
                    <w:widowControl/>
                    <w:suppressLineNumbers w:val="0"/>
                    <w:spacing w:line="240" w:lineRule="auto"/>
                    <w:jc w:val="center"/>
                    <w:rPr>
                      <w:rFonts w:hint="default" w:ascii="Times New Roman" w:hAnsi="Times New Roman" w:eastAsia="宋体" w:cs="Times New Roman"/>
                      <w:color w:val="000000"/>
                      <w:kern w:val="0"/>
                      <w:sz w:val="21"/>
                      <w:szCs w:val="21"/>
                      <w:vertAlign w:val="baseline"/>
                      <w:lang w:val="en-US" w:eastAsia="zh-CN" w:bidi="ar"/>
                    </w:rPr>
                  </w:pPr>
                  <w:r>
                    <w:rPr>
                      <w:rFonts w:hint="default" w:ascii="Times New Roman" w:hAnsi="Times New Roman" w:eastAsia="宋体" w:cs="Times New Roman"/>
                      <w:color w:val="000000"/>
                      <w:kern w:val="0"/>
                      <w:sz w:val="21"/>
                      <w:szCs w:val="21"/>
                      <w:vertAlign w:val="baseline"/>
                      <w:lang w:val="en-US" w:eastAsia="zh-CN" w:bidi="ar"/>
                    </w:rPr>
                    <w:t>≥9</w:t>
                  </w:r>
                  <w:r>
                    <w:rPr>
                      <w:rFonts w:hint="default" w:ascii="Times New Roman" w:hAnsi="Times New Roman" w:cs="Times New Roman"/>
                      <w:color w:val="000000"/>
                      <w:kern w:val="0"/>
                      <w:sz w:val="21"/>
                      <w:szCs w:val="21"/>
                      <w:vertAlign w:val="baseline"/>
                      <w:lang w:val="en-US" w:eastAsia="zh-CN" w:bidi="ar"/>
                    </w:rPr>
                    <w:t>4</w:t>
                  </w:r>
                </w:p>
              </w:tc>
            </w:tr>
          </w:tbl>
          <w:p w14:paraId="6255FF5F">
            <w:pPr>
              <w:keepNext w:val="0"/>
              <w:keepLines w:val="0"/>
              <w:widowControl/>
              <w:numPr>
                <w:ilvl w:val="0"/>
                <w:numId w:val="12"/>
              </w:numPr>
              <w:suppressLineNumbers w:val="0"/>
              <w:ind w:left="0" w:lef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路面恢复结构层如下： </w:t>
            </w:r>
          </w:p>
          <w:p w14:paraId="3042FCFC">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 xml:space="preserve">①沥青面层设计 </w:t>
            </w:r>
          </w:p>
          <w:p w14:paraId="4248EE99">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第一层为细粒式沥青混凝土（</w:t>
            </w:r>
            <w:r>
              <w:rPr>
                <w:rFonts w:hint="default" w:ascii="Times New Roman" w:hAnsi="Times New Roman" w:eastAsia="TimesNewRomanPSMT" w:cs="Times New Roman"/>
                <w:color w:val="000000"/>
                <w:kern w:val="0"/>
                <w:sz w:val="24"/>
                <w:szCs w:val="24"/>
                <w:lang w:val="en-US" w:eastAsia="zh-CN" w:bidi="ar"/>
              </w:rPr>
              <w:t>AC</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TimesNewRomanPSMT" w:cs="Times New Roman"/>
                <w:color w:val="000000"/>
                <w:kern w:val="0"/>
                <w:sz w:val="24"/>
                <w:szCs w:val="24"/>
                <w:lang w:val="en-US" w:eastAsia="zh-CN" w:bidi="ar"/>
              </w:rPr>
              <w:t>13C</w:t>
            </w:r>
            <w:r>
              <w:rPr>
                <w:rFonts w:hint="default" w:ascii="Times New Roman" w:hAnsi="Times New Roman" w:eastAsia="宋体" w:cs="Times New Roman"/>
                <w:color w:val="000000"/>
                <w:kern w:val="0"/>
                <w:sz w:val="24"/>
                <w:szCs w:val="24"/>
                <w:lang w:val="en-US" w:eastAsia="zh-CN" w:bidi="ar"/>
              </w:rPr>
              <w:t>），厚度为</w:t>
            </w:r>
            <w:r>
              <w:rPr>
                <w:rFonts w:hint="default" w:ascii="Times New Roman" w:hAnsi="Times New Roman" w:eastAsia="TimesNewRomanPSMT" w:cs="Times New Roman"/>
                <w:color w:val="000000"/>
                <w:kern w:val="0"/>
                <w:sz w:val="24"/>
                <w:szCs w:val="24"/>
                <w:lang w:val="en-US" w:eastAsia="zh-CN" w:bidi="ar"/>
              </w:rPr>
              <w:t>4cm</w:t>
            </w:r>
            <w:r>
              <w:rPr>
                <w:rFonts w:hint="default" w:ascii="Times New Roman" w:hAnsi="Times New Roman" w:eastAsia="宋体" w:cs="Times New Roman"/>
                <w:color w:val="000000"/>
                <w:kern w:val="0"/>
                <w:sz w:val="24"/>
                <w:szCs w:val="24"/>
                <w:lang w:val="en-US" w:eastAsia="zh-CN" w:bidi="ar"/>
              </w:rPr>
              <w:t>，并在其中加入（重量比）为沥青混合料的</w:t>
            </w:r>
            <w:r>
              <w:rPr>
                <w:rFonts w:hint="default" w:ascii="Times New Roman" w:hAnsi="Times New Roman" w:eastAsia="TimesNewRomanPSMT" w:cs="Times New Roman"/>
                <w:color w:val="000000"/>
                <w:kern w:val="0"/>
                <w:sz w:val="24"/>
                <w:szCs w:val="24"/>
                <w:lang w:val="en-US" w:eastAsia="zh-CN" w:bidi="ar"/>
              </w:rPr>
              <w:t>0.3%</w:t>
            </w:r>
            <w:r>
              <w:rPr>
                <w:rFonts w:hint="default" w:ascii="Times New Roman" w:hAnsi="Times New Roman" w:eastAsia="宋体" w:cs="Times New Roman"/>
                <w:color w:val="000000"/>
                <w:kern w:val="0"/>
                <w:sz w:val="24"/>
                <w:szCs w:val="24"/>
                <w:lang w:val="en-US" w:eastAsia="zh-CN" w:bidi="ar"/>
              </w:rPr>
              <w:t>（重量比）沥青路面专用抗车辙剂，以提高面层的强度，减少路面车辙。下设乳化粘层沥青（</w:t>
            </w:r>
            <w:r>
              <w:rPr>
                <w:rFonts w:hint="default" w:ascii="Times New Roman" w:hAnsi="Times New Roman" w:eastAsia="TimesNewRomanPSMT" w:cs="Times New Roman"/>
                <w:color w:val="000000"/>
                <w:kern w:val="0"/>
                <w:sz w:val="24"/>
                <w:szCs w:val="24"/>
                <w:lang w:val="en-US" w:eastAsia="zh-CN" w:bidi="ar"/>
              </w:rPr>
              <w:t>PC-3</w:t>
            </w:r>
            <w:r>
              <w:rPr>
                <w:rFonts w:hint="default" w:ascii="Times New Roman" w:hAnsi="Times New Roman" w:eastAsia="宋体" w:cs="Times New Roman"/>
                <w:color w:val="000000"/>
                <w:kern w:val="0"/>
                <w:sz w:val="24"/>
                <w:szCs w:val="24"/>
                <w:lang w:val="en-US" w:eastAsia="zh-CN" w:bidi="ar"/>
              </w:rPr>
              <w:t xml:space="preserve">）。 </w:t>
            </w:r>
          </w:p>
          <w:p w14:paraId="715F9F64">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第二层为中粒式沥青混凝土（</w:t>
            </w:r>
            <w:r>
              <w:rPr>
                <w:rFonts w:hint="default" w:ascii="Times New Roman" w:hAnsi="Times New Roman" w:eastAsia="TimesNewRomanPSMT" w:cs="Times New Roman"/>
                <w:color w:val="000000"/>
                <w:kern w:val="0"/>
                <w:sz w:val="24"/>
                <w:szCs w:val="24"/>
                <w:lang w:val="en-US" w:eastAsia="zh-CN" w:bidi="ar"/>
              </w:rPr>
              <w:t>AC</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TimesNewRomanPSMT" w:cs="Times New Roman"/>
                <w:color w:val="000000"/>
                <w:kern w:val="0"/>
                <w:sz w:val="24"/>
                <w:szCs w:val="24"/>
                <w:lang w:val="en-US" w:eastAsia="zh-CN" w:bidi="ar"/>
              </w:rPr>
              <w:t>20C</w:t>
            </w:r>
            <w:r>
              <w:rPr>
                <w:rFonts w:hint="default" w:ascii="Times New Roman" w:hAnsi="Times New Roman" w:eastAsia="宋体" w:cs="Times New Roman"/>
                <w:color w:val="000000"/>
                <w:kern w:val="0"/>
                <w:sz w:val="24"/>
                <w:szCs w:val="24"/>
                <w:lang w:val="en-US" w:eastAsia="zh-CN" w:bidi="ar"/>
              </w:rPr>
              <w:t>），厚度为</w:t>
            </w:r>
            <w:r>
              <w:rPr>
                <w:rFonts w:hint="default" w:ascii="Times New Roman" w:hAnsi="Times New Roman" w:eastAsia="TimesNewRomanPSMT" w:cs="Times New Roman"/>
                <w:color w:val="000000"/>
                <w:kern w:val="0"/>
                <w:sz w:val="24"/>
                <w:szCs w:val="24"/>
                <w:lang w:val="en-US" w:eastAsia="zh-CN" w:bidi="ar"/>
              </w:rPr>
              <w:t>6cm</w:t>
            </w:r>
            <w:r>
              <w:rPr>
                <w:rFonts w:hint="default" w:ascii="Times New Roman" w:hAnsi="Times New Roman" w:eastAsia="宋体" w:cs="Times New Roman"/>
                <w:color w:val="000000"/>
                <w:kern w:val="0"/>
                <w:sz w:val="24"/>
                <w:szCs w:val="24"/>
                <w:lang w:val="en-US" w:eastAsia="zh-CN" w:bidi="ar"/>
              </w:rPr>
              <w:t>，并在其中加入（重量比）为沥青混合料的</w:t>
            </w:r>
            <w:r>
              <w:rPr>
                <w:rFonts w:hint="default" w:ascii="Times New Roman" w:hAnsi="Times New Roman" w:eastAsia="TimesNewRomanPSMT" w:cs="Times New Roman"/>
                <w:color w:val="000000"/>
                <w:kern w:val="0"/>
                <w:sz w:val="24"/>
                <w:szCs w:val="24"/>
                <w:lang w:val="en-US" w:eastAsia="zh-CN" w:bidi="ar"/>
              </w:rPr>
              <w:t>0.3%</w:t>
            </w:r>
            <w:r>
              <w:rPr>
                <w:rFonts w:hint="default" w:ascii="Times New Roman" w:hAnsi="Times New Roman" w:eastAsia="宋体" w:cs="Times New Roman"/>
                <w:color w:val="000000"/>
                <w:kern w:val="0"/>
                <w:sz w:val="24"/>
                <w:szCs w:val="24"/>
                <w:lang w:val="en-US" w:eastAsia="zh-CN" w:bidi="ar"/>
              </w:rPr>
              <w:t xml:space="preserve">（重量比）沥青路面专用抗车辙剂，以提高面层的强度，减少路面车辙。下设稀浆封层、透层沥青。 </w:t>
            </w:r>
          </w:p>
          <w:p w14:paraId="45FA75F1">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 xml:space="preserve">②水泥稳定碎石厚度的确定 </w:t>
            </w:r>
          </w:p>
          <w:p w14:paraId="22E65C61">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通过城市道路路面结构程序计算确定水泥稳定碎石（水泥掺量</w:t>
            </w:r>
            <w:r>
              <w:rPr>
                <w:rFonts w:hint="default" w:ascii="Times New Roman" w:hAnsi="Times New Roman" w:eastAsia="TimesNewRomanPSMT" w:cs="Times New Roman"/>
                <w:color w:val="000000"/>
                <w:kern w:val="0"/>
                <w:sz w:val="24"/>
                <w:szCs w:val="24"/>
                <w:lang w:val="en-US" w:eastAsia="zh-CN" w:bidi="ar"/>
              </w:rPr>
              <w:t>5.5%）</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TimesNewRomanPSMT" w:cs="Times New Roman"/>
                <w:color w:val="000000"/>
                <w:kern w:val="0"/>
                <w:sz w:val="24"/>
                <w:szCs w:val="24"/>
                <w:lang w:val="en-US" w:eastAsia="zh-CN" w:bidi="ar"/>
              </w:rPr>
              <w:t>K</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TimesNewRomanPSMT" w:cs="Times New Roman"/>
                <w:color w:val="000000"/>
                <w:kern w:val="0"/>
                <w:sz w:val="24"/>
                <w:szCs w:val="24"/>
                <w:lang w:val="en-US" w:eastAsia="zh-CN" w:bidi="ar"/>
              </w:rPr>
              <w:t>98%</w:t>
            </w:r>
            <w:r>
              <w:rPr>
                <w:rFonts w:hint="default" w:ascii="Times New Roman" w:hAnsi="Times New Roman" w:eastAsia="宋体" w:cs="Times New Roman"/>
                <w:color w:val="000000"/>
                <w:kern w:val="0"/>
                <w:sz w:val="24"/>
                <w:szCs w:val="24"/>
                <w:lang w:val="en-US" w:eastAsia="zh-CN" w:bidi="ar"/>
              </w:rPr>
              <w:t>）厚度为</w:t>
            </w:r>
            <w:r>
              <w:rPr>
                <w:rFonts w:hint="default" w:ascii="Times New Roman" w:hAnsi="Times New Roman" w:eastAsia="TimesNewRomanPSMT" w:cs="Times New Roman"/>
                <w:color w:val="000000"/>
                <w:kern w:val="0"/>
                <w:sz w:val="24"/>
                <w:szCs w:val="24"/>
                <w:lang w:val="en-US" w:eastAsia="zh-CN" w:bidi="ar"/>
              </w:rPr>
              <w:t>35cm</w:t>
            </w:r>
            <w:r>
              <w:rPr>
                <w:rFonts w:hint="default" w:ascii="Times New Roman" w:hAnsi="Times New Roman" w:eastAsia="宋体" w:cs="Times New Roman"/>
                <w:color w:val="000000"/>
                <w:kern w:val="0"/>
                <w:sz w:val="24"/>
                <w:szCs w:val="24"/>
                <w:lang w:val="en-US" w:eastAsia="zh-CN" w:bidi="ar"/>
              </w:rPr>
              <w:t xml:space="preserve">。 </w:t>
            </w:r>
          </w:p>
          <w:p w14:paraId="0436E771">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 xml:space="preserve">③其它层 </w:t>
            </w:r>
          </w:p>
          <w:p w14:paraId="7FCB6839">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水泥稳定碎石层以下为</w:t>
            </w:r>
            <w:r>
              <w:rPr>
                <w:rFonts w:hint="default" w:ascii="Times New Roman" w:hAnsi="Times New Roman" w:eastAsia="TimesNewRomanPSMT" w:cs="Times New Roman"/>
                <w:color w:val="000000"/>
                <w:kern w:val="0"/>
                <w:sz w:val="24"/>
                <w:szCs w:val="24"/>
                <w:lang w:val="en-US" w:eastAsia="zh-CN" w:bidi="ar"/>
              </w:rPr>
              <w:t>15cm</w:t>
            </w:r>
            <w:r>
              <w:rPr>
                <w:rFonts w:hint="default" w:ascii="Times New Roman" w:hAnsi="Times New Roman" w:eastAsia="宋体" w:cs="Times New Roman"/>
                <w:color w:val="000000"/>
                <w:kern w:val="0"/>
                <w:sz w:val="24"/>
                <w:szCs w:val="24"/>
                <w:lang w:val="en-US" w:eastAsia="zh-CN" w:bidi="ar"/>
              </w:rPr>
              <w:t>级配碎石，压实度</w:t>
            </w:r>
            <w:r>
              <w:rPr>
                <w:rFonts w:hint="default" w:ascii="Times New Roman" w:hAnsi="Times New Roman" w:eastAsia="TimesNewRomanPSMT" w:cs="Times New Roman"/>
                <w:color w:val="000000"/>
                <w:kern w:val="0"/>
                <w:sz w:val="24"/>
                <w:szCs w:val="24"/>
                <w:lang w:val="en-US" w:eastAsia="zh-CN" w:bidi="ar"/>
              </w:rPr>
              <w:t>K</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TimesNewRomanPSMT" w:cs="Times New Roman"/>
                <w:color w:val="000000"/>
                <w:kern w:val="0"/>
                <w:sz w:val="24"/>
                <w:szCs w:val="24"/>
                <w:lang w:val="en-US" w:eastAsia="zh-CN" w:bidi="ar"/>
              </w:rPr>
              <w:t>96</w:t>
            </w:r>
            <w:r>
              <w:rPr>
                <w:rFonts w:hint="default" w:ascii="Times New Roman" w:hAnsi="Times New Roman" w:eastAsia="宋体" w:cs="Times New Roman"/>
                <w:color w:val="000000"/>
                <w:kern w:val="0"/>
                <w:sz w:val="24"/>
                <w:szCs w:val="24"/>
                <w:lang w:val="en-US" w:eastAsia="zh-CN" w:bidi="ar"/>
              </w:rPr>
              <w:t xml:space="preserve">％。 </w:t>
            </w:r>
          </w:p>
          <w:p w14:paraId="722CDFA2">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 xml:space="preserve">④行车道路面结构各层竣工验收弯沉值： </w:t>
            </w:r>
          </w:p>
          <w:p w14:paraId="736F3EBB">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TimesNewRomanPSMT" w:cs="Times New Roman"/>
                <w:color w:val="000000"/>
                <w:kern w:val="0"/>
                <w:sz w:val="24"/>
                <w:szCs w:val="24"/>
                <w:lang w:val="en-US" w:eastAsia="zh-CN" w:bidi="ar"/>
              </w:rPr>
              <w:t xml:space="preserve">AC-13C 32.1mm/100 </w:t>
            </w:r>
          </w:p>
          <w:p w14:paraId="3DDC1B46">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TimesNewRomanPSMT" w:cs="Times New Roman"/>
                <w:color w:val="000000"/>
                <w:kern w:val="0"/>
                <w:sz w:val="24"/>
                <w:szCs w:val="24"/>
                <w:lang w:val="en-US" w:eastAsia="zh-CN" w:bidi="ar"/>
              </w:rPr>
              <w:t xml:space="preserve">AC-20C 39.9mm/100 </w:t>
            </w:r>
          </w:p>
          <w:p w14:paraId="32E1CC63">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水泥稳定碎石</w:t>
            </w:r>
            <w:r>
              <w:rPr>
                <w:rFonts w:hint="default" w:ascii="Times New Roman" w:hAnsi="Times New Roman" w:eastAsia="TimesNewRomanPSMT" w:cs="Times New Roman"/>
                <w:color w:val="000000"/>
                <w:kern w:val="0"/>
                <w:sz w:val="24"/>
                <w:szCs w:val="24"/>
                <w:lang w:val="en-US" w:eastAsia="zh-CN" w:bidi="ar"/>
              </w:rPr>
              <w:t xml:space="preserve">48.7mm/100 </w:t>
            </w:r>
          </w:p>
          <w:p w14:paraId="3B60B688">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级配碎石</w:t>
            </w:r>
            <w:r>
              <w:rPr>
                <w:rFonts w:hint="default" w:ascii="Times New Roman" w:hAnsi="Times New Roman" w:eastAsia="TimesNewRomanPSMT" w:cs="Times New Roman"/>
                <w:color w:val="000000"/>
                <w:kern w:val="0"/>
                <w:sz w:val="24"/>
                <w:szCs w:val="24"/>
                <w:lang w:val="en-US" w:eastAsia="zh-CN" w:bidi="ar"/>
              </w:rPr>
              <w:t xml:space="preserve">162.8mm/100 </w:t>
            </w:r>
          </w:p>
          <w:p w14:paraId="3BCAF777">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路基顶面交工验收弯沉值</w:t>
            </w:r>
            <w:r>
              <w:rPr>
                <w:rFonts w:hint="default" w:ascii="Times New Roman" w:hAnsi="Times New Roman" w:eastAsia="TimesNewRomanPSMT" w:cs="Times New Roman"/>
                <w:color w:val="000000"/>
                <w:kern w:val="0"/>
                <w:sz w:val="24"/>
                <w:szCs w:val="24"/>
                <w:lang w:val="en-US" w:eastAsia="zh-CN" w:bidi="ar"/>
              </w:rPr>
              <w:t xml:space="preserve">232.9mm/100 </w:t>
            </w:r>
          </w:p>
          <w:p w14:paraId="2B70F51C">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⑤新做人行道基础顶竣工验收弯沉值：</w:t>
            </w:r>
            <w:r>
              <w:rPr>
                <w:rFonts w:hint="default" w:ascii="Times New Roman" w:hAnsi="Times New Roman" w:eastAsia="TimesNewRomanPSMT" w:cs="Times New Roman"/>
                <w:color w:val="000000"/>
                <w:kern w:val="0"/>
                <w:sz w:val="24"/>
                <w:szCs w:val="24"/>
                <w:lang w:val="en-US" w:eastAsia="zh-CN" w:bidi="ar"/>
              </w:rPr>
              <w:t xml:space="preserve">LS= 465.8(0.01mm) </w:t>
            </w:r>
          </w:p>
          <w:p w14:paraId="72E27778">
            <w:pPr>
              <w:keepNext w:val="0"/>
              <w:keepLines w:val="0"/>
              <w:widowControl/>
              <w:numPr>
                <w:ilvl w:val="0"/>
                <w:numId w:val="12"/>
              </w:numPr>
              <w:suppressLineNumbers w:val="0"/>
              <w:ind w:left="0" w:leftChars="0" w:firstLine="480" w:firstLineChars="200"/>
              <w:jc w:val="both"/>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路面搭接处理</w:t>
            </w:r>
          </w:p>
          <w:p w14:paraId="4287C2E6">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沟槽回填至管廊顶部标高时，在管廊顶部设置一层土工格栅，管廊顶部回填按照路基回填要求进行。管廊基坑外侧开挖</w:t>
            </w:r>
            <w:r>
              <w:rPr>
                <w:rFonts w:hint="default" w:ascii="Times New Roman" w:hAnsi="Times New Roman" w:eastAsia="TimesNewRomanPSMT" w:cs="Times New Roman"/>
                <w:color w:val="000000"/>
                <w:kern w:val="0"/>
                <w:sz w:val="24"/>
                <w:szCs w:val="24"/>
                <w:lang w:val="en-US" w:eastAsia="zh-CN" w:bidi="ar"/>
              </w:rPr>
              <w:t>1m</w:t>
            </w:r>
            <w:r>
              <w:rPr>
                <w:rFonts w:hint="default" w:ascii="Times New Roman" w:hAnsi="Times New Roman" w:eastAsia="宋体" w:cs="Times New Roman"/>
                <w:color w:val="000000"/>
                <w:kern w:val="0"/>
                <w:sz w:val="24"/>
                <w:szCs w:val="24"/>
                <w:lang w:val="en-US" w:eastAsia="zh-CN" w:bidi="ar"/>
              </w:rPr>
              <w:t>的宽度，新做级配碎石及水稳层，碎石底部设置一层土工格栅（</w:t>
            </w:r>
            <w:r>
              <w:rPr>
                <w:rFonts w:hint="default" w:ascii="Times New Roman" w:hAnsi="Times New Roman" w:eastAsia="TimesNewRomanPSMT" w:cs="Times New Roman"/>
                <w:color w:val="000000"/>
                <w:kern w:val="0"/>
                <w:sz w:val="24"/>
                <w:szCs w:val="24"/>
                <w:lang w:val="en-US" w:eastAsia="zh-CN" w:bidi="ar"/>
              </w:rPr>
              <w:t>QLGS50-50</w:t>
            </w:r>
            <w:r>
              <w:rPr>
                <w:rFonts w:hint="default" w:ascii="Times New Roman" w:hAnsi="Times New Roman" w:eastAsia="宋体" w:cs="Times New Roman"/>
                <w:color w:val="000000"/>
                <w:kern w:val="0"/>
                <w:sz w:val="24"/>
                <w:szCs w:val="24"/>
                <w:lang w:val="en-US" w:eastAsia="zh-CN" w:bidi="ar"/>
              </w:rPr>
              <w:t>）。沥青面层下设置一层玻纤格栅（</w:t>
            </w:r>
            <w:r>
              <w:rPr>
                <w:rFonts w:hint="default" w:ascii="Times New Roman" w:hAnsi="Times New Roman" w:eastAsia="TimesNewRomanPSMT" w:cs="Times New Roman"/>
                <w:color w:val="000000"/>
                <w:kern w:val="0"/>
                <w:sz w:val="24"/>
                <w:szCs w:val="24"/>
                <w:lang w:val="en-US" w:eastAsia="zh-CN" w:bidi="ar"/>
              </w:rPr>
              <w:t>50</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TimesNewRomanPSMT" w:cs="Times New Roman"/>
                <w:color w:val="000000"/>
                <w:kern w:val="0"/>
                <w:sz w:val="24"/>
                <w:szCs w:val="24"/>
                <w:lang w:val="en-US" w:eastAsia="zh-CN" w:bidi="ar"/>
              </w:rPr>
              <w:t>50</w:t>
            </w:r>
            <w:r>
              <w:rPr>
                <w:rFonts w:hint="default" w:ascii="Times New Roman" w:hAnsi="Times New Roman" w:eastAsia="宋体" w:cs="Times New Roman"/>
                <w:color w:val="000000"/>
                <w:kern w:val="0"/>
                <w:sz w:val="24"/>
                <w:szCs w:val="24"/>
                <w:lang w:val="en-US" w:eastAsia="zh-CN" w:bidi="ar"/>
              </w:rPr>
              <w:t>），宽度</w:t>
            </w:r>
            <w:r>
              <w:rPr>
                <w:rFonts w:hint="default" w:ascii="Times New Roman" w:hAnsi="Times New Roman" w:eastAsia="TimesNewRomanPSMT" w:cs="Times New Roman"/>
                <w:color w:val="000000"/>
                <w:kern w:val="0"/>
                <w:sz w:val="24"/>
                <w:szCs w:val="24"/>
                <w:lang w:val="en-US" w:eastAsia="zh-CN" w:bidi="ar"/>
              </w:rPr>
              <w:t>2.0m</w:t>
            </w:r>
            <w:r>
              <w:rPr>
                <w:rFonts w:hint="default" w:ascii="Times New Roman" w:hAnsi="Times New Roman" w:eastAsia="宋体" w:cs="Times New Roman"/>
                <w:color w:val="000000"/>
                <w:kern w:val="0"/>
                <w:sz w:val="24"/>
                <w:szCs w:val="24"/>
                <w:lang w:val="en-US" w:eastAsia="zh-CN" w:bidi="ar"/>
              </w:rPr>
              <w:t>。新做路面应与老路面顺接，各交叉出入口应与道路顺接，并保障路面排水通畅。</w:t>
            </w:r>
          </w:p>
          <w:p w14:paraId="231F4374">
            <w:pPr>
              <w:keepNext w:val="0"/>
              <w:keepLines w:val="0"/>
              <w:widowControl/>
              <w:numPr>
                <w:ilvl w:val="0"/>
                <w:numId w:val="12"/>
              </w:numPr>
              <w:suppressLineNumbers w:val="0"/>
              <w:ind w:left="0" w:lef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对管廊、管道开挖破坏人行道进行恢复。在进行人行道修复的同时，对盲道进行修复。 </w:t>
            </w:r>
          </w:p>
          <w:p w14:paraId="52A40C52">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 xml:space="preserve">人行道结构： </w:t>
            </w:r>
          </w:p>
          <w:p w14:paraId="384088D8">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 xml:space="preserve">第一层为混凝土块材，厚度为5cm。 </w:t>
            </w:r>
          </w:p>
          <w:p w14:paraId="28759BAE">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 xml:space="preserve">第二层为M10水泥砂浆，厚度为3cm。 </w:t>
            </w:r>
          </w:p>
          <w:p w14:paraId="1B1D4A0A">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 xml:space="preserve">第三层为C20混凝土基层，厚度为10cm。 </w:t>
            </w:r>
          </w:p>
          <w:p w14:paraId="0D9746C0">
            <w:pPr>
              <w:keepNext w:val="0"/>
              <w:keepLines w:val="0"/>
              <w:widowControl/>
              <w:suppressLineNumbers w:val="0"/>
              <w:ind w:firstLine="480" w:firstLineChars="200"/>
              <w:jc w:val="left"/>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第四层为级配碎石垫层，厚度</w:t>
            </w:r>
            <w:r>
              <w:rPr>
                <w:rFonts w:hint="eastAsia" w:cs="Times New Roman"/>
                <w:color w:val="000000"/>
                <w:kern w:val="0"/>
                <w:sz w:val="24"/>
                <w:szCs w:val="24"/>
                <w:lang w:val="en-US" w:eastAsia="zh-CN" w:bidi="ar"/>
              </w:rPr>
              <w:t>为</w:t>
            </w:r>
            <w:r>
              <w:rPr>
                <w:rFonts w:hint="default" w:ascii="Times New Roman" w:hAnsi="Times New Roman" w:eastAsia="宋体" w:cs="Times New Roman"/>
                <w:color w:val="000000"/>
                <w:kern w:val="0"/>
                <w:sz w:val="24"/>
                <w:szCs w:val="24"/>
                <w:lang w:val="en-US" w:eastAsia="zh-CN" w:bidi="ar"/>
              </w:rPr>
              <w:t xml:space="preserve">12cm。 </w:t>
            </w:r>
          </w:p>
          <w:p w14:paraId="2C1460BC">
            <w:pPr>
              <w:keepNext w:val="0"/>
              <w:keepLines w:val="0"/>
              <w:widowControl/>
              <w:suppressLineNumbers w:val="0"/>
              <w:ind w:firstLine="480" w:firstLineChars="200"/>
              <w:jc w:val="left"/>
              <w:rPr>
                <w:rFonts w:hint="default" w:ascii="宋体" w:hAnsi="宋体" w:eastAsia="宋体" w:cs="宋体"/>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人行道结构总厚度</w:t>
            </w:r>
            <w:r>
              <w:rPr>
                <w:rFonts w:hint="eastAsia" w:ascii="Times New Roman" w:hAnsi="Times New Roman"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30cm </w:t>
            </w:r>
          </w:p>
          <w:p w14:paraId="7D5BA7B4">
            <w:pPr>
              <w:keepNext w:val="0"/>
              <w:keepLines w:val="0"/>
              <w:widowControl/>
              <w:numPr>
                <w:ilvl w:val="0"/>
                <w:numId w:val="3"/>
              </w:numPr>
              <w:suppressLineNumbers w:val="0"/>
              <w:ind w:left="0" w:leftChars="0" w:firstLine="0" w:firstLineChars="0"/>
              <w:jc w:val="both"/>
              <w:rPr>
                <w:rFonts w:hint="eastAsia" w:cs="Times New Roman"/>
                <w:color w:val="000000"/>
                <w:kern w:val="0"/>
                <w:sz w:val="24"/>
                <w:szCs w:val="24"/>
                <w:lang w:val="en-US" w:eastAsia="zh-CN" w:bidi="ar"/>
              </w:rPr>
            </w:pPr>
            <w:r>
              <w:rPr>
                <w:rFonts w:hint="eastAsia" w:cs="Times New Roman"/>
                <w:b/>
                <w:bCs/>
                <w:color w:val="000000"/>
                <w:kern w:val="0"/>
                <w:sz w:val="24"/>
                <w:szCs w:val="24"/>
                <w:lang w:val="en-US" w:eastAsia="zh-CN" w:bidi="ar"/>
              </w:rPr>
              <w:t>污水管道</w:t>
            </w:r>
          </w:p>
          <w:p w14:paraId="48C3909C">
            <w:pPr>
              <w:keepNext w:val="0"/>
              <w:keepLines w:val="0"/>
              <w:widowControl/>
              <w:numPr>
                <w:ilvl w:val="0"/>
                <w:numId w:val="14"/>
              </w:numPr>
              <w:suppressLineNumbers w:val="0"/>
              <w:ind w:leftChars="0" w:firstLine="482" w:firstLineChars="200"/>
              <w:jc w:val="both"/>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西二环（芒象路至人保路）</w:t>
            </w:r>
          </w:p>
          <w:p w14:paraId="68720936">
            <w:pPr>
              <w:keepNext w:val="0"/>
              <w:keepLines w:val="0"/>
              <w:widowControl/>
              <w:suppressLineNumbers w:val="0"/>
              <w:ind w:firstLine="480" w:firstLineChars="200"/>
              <w:jc w:val="left"/>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污水管布设于道路西侧人行道距红线边2.2m处，排水方向字东南向西北，排入道路后段污水干管，最终进入已建污水处理厂。污水管径DN1200，管道坡度0.003-0.005，管道覆土厚度2.9m-5.8m。</w:t>
            </w:r>
          </w:p>
          <w:p w14:paraId="4DE74541">
            <w:pPr>
              <w:keepNext w:val="0"/>
              <w:keepLines w:val="0"/>
              <w:widowControl/>
              <w:suppressLineNumbers w:val="0"/>
              <w:ind w:firstLine="480" w:firstLineChars="200"/>
              <w:jc w:val="left"/>
            </w:pPr>
            <w:r>
              <w:drawing>
                <wp:inline distT="0" distB="0" distL="114300" distR="114300">
                  <wp:extent cx="4912995" cy="1841500"/>
                  <wp:effectExtent l="0" t="0" r="1905" b="635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34"/>
                          <a:stretch>
                            <a:fillRect/>
                          </a:stretch>
                        </pic:blipFill>
                        <pic:spPr>
                          <a:xfrm>
                            <a:off x="0" y="0"/>
                            <a:ext cx="4912995" cy="1841500"/>
                          </a:xfrm>
                          <a:prstGeom prst="rect">
                            <a:avLst/>
                          </a:prstGeom>
                          <a:noFill/>
                          <a:ln>
                            <a:noFill/>
                          </a:ln>
                        </pic:spPr>
                      </pic:pic>
                    </a:graphicData>
                  </a:graphic>
                </wp:inline>
              </w:drawing>
            </w:r>
          </w:p>
          <w:p w14:paraId="517EA122">
            <w:pPr>
              <w:keepNext w:val="0"/>
              <w:keepLines w:val="0"/>
              <w:widowControl/>
              <w:suppressLineNumbers w:val="0"/>
              <w:ind w:firstLine="482" w:firstLineChars="200"/>
              <w:jc w:val="center"/>
              <w:rPr>
                <w:rFonts w:hint="default" w:eastAsia="宋体"/>
                <w:b/>
                <w:bCs/>
                <w:lang w:val="en-US" w:eastAsia="zh-CN"/>
              </w:rPr>
            </w:pPr>
            <w:r>
              <w:rPr>
                <w:rFonts w:hint="eastAsia"/>
                <w:b/>
                <w:bCs/>
                <w:lang w:eastAsia="zh-CN"/>
              </w:rPr>
              <w:t>图</w:t>
            </w:r>
            <w:r>
              <w:rPr>
                <w:rFonts w:hint="eastAsia"/>
                <w:b/>
                <w:bCs/>
                <w:lang w:val="en-US" w:eastAsia="zh-CN"/>
              </w:rPr>
              <w:t>1-22 西二环（芒象路至人保路）污水管道横断面图</w:t>
            </w:r>
          </w:p>
          <w:p w14:paraId="280E6D09">
            <w:pPr>
              <w:keepNext w:val="0"/>
              <w:keepLines w:val="0"/>
              <w:widowControl/>
              <w:numPr>
                <w:ilvl w:val="0"/>
                <w:numId w:val="14"/>
              </w:numPr>
              <w:suppressLineNumbers w:val="0"/>
              <w:ind w:left="0" w:leftChars="0" w:firstLine="482" w:firstLineChars="200"/>
              <w:jc w:val="left"/>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芒市大街</w:t>
            </w:r>
          </w:p>
          <w:p w14:paraId="3E6DB211">
            <w:pPr>
              <w:keepNext w:val="0"/>
              <w:keepLines w:val="0"/>
              <w:widowControl/>
              <w:numPr>
                <w:ilvl w:val="0"/>
                <w:numId w:val="0"/>
              </w:numPr>
              <w:suppressLineNumbers w:val="0"/>
              <w:ind w:firstLine="480" w:firstLineChars="200"/>
              <w:jc w:val="left"/>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污水管布设于道路东侧人行道外侧3.75m处。排水分八段排放：</w:t>
            </w:r>
          </w:p>
          <w:p w14:paraId="4DB6D1E1">
            <w:pPr>
              <w:keepNext w:val="0"/>
              <w:keepLines w:val="0"/>
              <w:widowControl/>
              <w:numPr>
                <w:ilvl w:val="0"/>
                <w:numId w:val="15"/>
              </w:numPr>
              <w:suppressLineNumbers w:val="0"/>
              <w:ind w:firstLine="480" w:firstLineChars="200"/>
              <w:jc w:val="left"/>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由南向北排入南秀河污水管，管道坡度0.001，覆土厚度1.3m-2.3m；</w:t>
            </w:r>
          </w:p>
          <w:p w14:paraId="35983D2D">
            <w:pPr>
              <w:keepNext w:val="0"/>
              <w:keepLines w:val="0"/>
              <w:widowControl/>
              <w:numPr>
                <w:ilvl w:val="0"/>
                <w:numId w:val="15"/>
              </w:numPr>
              <w:suppressLineNumbers w:val="0"/>
              <w:ind w:firstLine="480" w:firstLineChars="200"/>
              <w:jc w:val="left"/>
              <w:rPr>
                <w:rFonts w:hint="default" w:cs="Times New Roman"/>
                <w:color w:val="000000"/>
                <w:kern w:val="0"/>
                <w:sz w:val="24"/>
                <w:szCs w:val="24"/>
                <w:lang w:val="en-US" w:eastAsia="zh-CN" w:bidi="ar"/>
              </w:rPr>
            </w:pPr>
            <w:r>
              <w:rPr>
                <w:rFonts w:hint="eastAsia" w:cs="Times New Roman"/>
                <w:color w:val="000000"/>
                <w:kern w:val="0"/>
                <w:sz w:val="24"/>
                <w:szCs w:val="24"/>
                <w:lang w:val="en-US" w:eastAsia="zh-CN" w:bidi="ar"/>
              </w:rPr>
              <w:t>由北向南排入下游现状DN500污水管，管道坡度0.006，覆土厚度1.6m；</w:t>
            </w:r>
          </w:p>
          <w:p w14:paraId="2F059B2F">
            <w:pPr>
              <w:keepNext w:val="0"/>
              <w:keepLines w:val="0"/>
              <w:widowControl/>
              <w:numPr>
                <w:ilvl w:val="0"/>
                <w:numId w:val="15"/>
              </w:numPr>
              <w:suppressLineNumbers w:val="0"/>
              <w:ind w:firstLine="480" w:firstLineChars="200"/>
              <w:jc w:val="left"/>
              <w:rPr>
                <w:rFonts w:hint="default" w:cs="Times New Roman"/>
                <w:color w:val="000000"/>
                <w:kern w:val="0"/>
                <w:sz w:val="24"/>
                <w:szCs w:val="24"/>
                <w:lang w:val="en-US" w:eastAsia="zh-CN" w:bidi="ar"/>
              </w:rPr>
            </w:pPr>
            <w:r>
              <w:rPr>
                <w:rFonts w:hint="eastAsia" w:cs="Times New Roman"/>
                <w:color w:val="000000"/>
                <w:kern w:val="0"/>
                <w:sz w:val="24"/>
                <w:szCs w:val="24"/>
                <w:lang w:val="en-US" w:eastAsia="zh-CN" w:bidi="ar"/>
              </w:rPr>
              <w:t>由北向南排入丙午路DN600污水管，管道坡度0.006，覆土厚度1.5m-1.7m；</w:t>
            </w:r>
          </w:p>
          <w:p w14:paraId="51C8990D">
            <w:pPr>
              <w:keepNext w:val="0"/>
              <w:keepLines w:val="0"/>
              <w:widowControl/>
              <w:numPr>
                <w:ilvl w:val="0"/>
                <w:numId w:val="15"/>
              </w:numPr>
              <w:suppressLineNumbers w:val="0"/>
              <w:ind w:firstLine="480" w:firstLineChars="200"/>
              <w:jc w:val="left"/>
              <w:rPr>
                <w:rFonts w:hint="default" w:cs="Times New Roman"/>
                <w:color w:val="000000"/>
                <w:kern w:val="0"/>
                <w:sz w:val="24"/>
                <w:szCs w:val="24"/>
                <w:lang w:val="en-US" w:eastAsia="zh-CN" w:bidi="ar"/>
              </w:rPr>
            </w:pPr>
            <w:r>
              <w:rPr>
                <w:rFonts w:hint="eastAsia" w:cs="Times New Roman"/>
                <w:color w:val="000000"/>
                <w:kern w:val="0"/>
                <w:sz w:val="24"/>
                <w:szCs w:val="24"/>
                <w:lang w:val="en-US" w:eastAsia="zh-CN" w:bidi="ar"/>
              </w:rPr>
              <w:t>由北向南排入勐焕路DN500污水管，管道坡度0.0036，覆土厚度1.5m-1.6m；</w:t>
            </w:r>
          </w:p>
          <w:p w14:paraId="1BB65970">
            <w:pPr>
              <w:keepNext w:val="0"/>
              <w:keepLines w:val="0"/>
              <w:widowControl/>
              <w:numPr>
                <w:ilvl w:val="0"/>
                <w:numId w:val="15"/>
              </w:numPr>
              <w:suppressLineNumbers w:val="0"/>
              <w:ind w:firstLine="480" w:firstLineChars="200"/>
              <w:jc w:val="left"/>
              <w:rPr>
                <w:rFonts w:hint="default" w:cs="Times New Roman"/>
                <w:color w:val="000000"/>
                <w:kern w:val="0"/>
                <w:sz w:val="24"/>
                <w:szCs w:val="24"/>
                <w:lang w:val="en-US" w:eastAsia="zh-CN" w:bidi="ar"/>
              </w:rPr>
            </w:pPr>
            <w:r>
              <w:rPr>
                <w:rFonts w:hint="eastAsia" w:cs="Times New Roman"/>
                <w:color w:val="000000"/>
                <w:kern w:val="0"/>
                <w:sz w:val="24"/>
                <w:szCs w:val="24"/>
                <w:lang w:val="en-US" w:eastAsia="zh-CN" w:bidi="ar"/>
              </w:rPr>
              <w:t>由北向南排入胞波路DN600污水管，管道坡度0.0036，覆土厚度1.5m-1.6m；</w:t>
            </w:r>
          </w:p>
          <w:p w14:paraId="33B5B43D">
            <w:pPr>
              <w:keepNext w:val="0"/>
              <w:keepLines w:val="0"/>
              <w:widowControl/>
              <w:numPr>
                <w:ilvl w:val="0"/>
                <w:numId w:val="15"/>
              </w:numPr>
              <w:suppressLineNumbers w:val="0"/>
              <w:ind w:firstLine="480" w:firstLineChars="200"/>
              <w:jc w:val="left"/>
              <w:rPr>
                <w:rFonts w:hint="default" w:cs="Times New Roman"/>
                <w:color w:val="000000"/>
                <w:kern w:val="0"/>
                <w:sz w:val="24"/>
                <w:szCs w:val="24"/>
                <w:lang w:val="en-US" w:eastAsia="zh-CN" w:bidi="ar"/>
              </w:rPr>
            </w:pPr>
            <w:r>
              <w:rPr>
                <w:rFonts w:hint="eastAsia" w:cs="Times New Roman"/>
                <w:color w:val="000000"/>
                <w:kern w:val="0"/>
                <w:sz w:val="24"/>
                <w:szCs w:val="24"/>
                <w:lang w:val="en-US" w:eastAsia="zh-CN" w:bidi="ar"/>
              </w:rPr>
              <w:t>由南向北排入南麻河污水管，管道坡度0.002，覆土厚度1.5m-1.7m；</w:t>
            </w:r>
          </w:p>
          <w:p w14:paraId="73DB2792">
            <w:pPr>
              <w:keepNext w:val="0"/>
              <w:keepLines w:val="0"/>
              <w:widowControl/>
              <w:numPr>
                <w:ilvl w:val="0"/>
                <w:numId w:val="15"/>
              </w:numPr>
              <w:suppressLineNumbers w:val="0"/>
              <w:ind w:firstLine="480" w:firstLineChars="200"/>
              <w:jc w:val="left"/>
              <w:rPr>
                <w:rFonts w:hint="default" w:cs="Times New Roman"/>
                <w:color w:val="000000"/>
                <w:kern w:val="0"/>
                <w:sz w:val="24"/>
                <w:szCs w:val="24"/>
                <w:lang w:val="en-US" w:eastAsia="zh-CN" w:bidi="ar"/>
              </w:rPr>
            </w:pPr>
            <w:r>
              <w:rPr>
                <w:rFonts w:hint="eastAsia" w:cs="Times New Roman"/>
                <w:color w:val="000000"/>
                <w:kern w:val="0"/>
                <w:sz w:val="24"/>
                <w:szCs w:val="24"/>
                <w:lang w:val="en-US" w:eastAsia="zh-CN" w:bidi="ar"/>
              </w:rPr>
              <w:t>由南向北排入南喊河污水管，管道坡度0.0148，覆土厚度1.4m-1.6m；</w:t>
            </w:r>
          </w:p>
          <w:p w14:paraId="09CE15A5">
            <w:pPr>
              <w:keepNext w:val="0"/>
              <w:keepLines w:val="0"/>
              <w:widowControl/>
              <w:numPr>
                <w:ilvl w:val="0"/>
                <w:numId w:val="15"/>
              </w:numPr>
              <w:suppressLineNumbers w:val="0"/>
              <w:ind w:firstLine="480" w:firstLineChars="200"/>
              <w:jc w:val="left"/>
              <w:rPr>
                <w:rFonts w:hint="default" w:cs="Times New Roman"/>
                <w:color w:val="000000"/>
                <w:kern w:val="0"/>
                <w:sz w:val="24"/>
                <w:szCs w:val="24"/>
                <w:lang w:val="en-US" w:eastAsia="zh-CN" w:bidi="ar"/>
              </w:rPr>
            </w:pPr>
            <w:r>
              <w:rPr>
                <w:rFonts w:hint="eastAsia" w:cs="Times New Roman"/>
                <w:color w:val="000000"/>
                <w:kern w:val="0"/>
                <w:sz w:val="24"/>
                <w:szCs w:val="24"/>
                <w:lang w:val="en-US" w:eastAsia="zh-CN" w:bidi="ar"/>
              </w:rPr>
              <w:t>由南向北排入下游现状DN600污水管，管道坡度0.0035-0.007，覆土厚度1.4m-1.6m；</w:t>
            </w:r>
          </w:p>
          <w:p w14:paraId="0D10DEE7">
            <w:pPr>
              <w:keepNext w:val="0"/>
              <w:keepLines w:val="0"/>
              <w:widowControl/>
              <w:numPr>
                <w:ilvl w:val="0"/>
                <w:numId w:val="0"/>
              </w:numPr>
              <w:suppressLineNumbers w:val="0"/>
              <w:jc w:val="left"/>
              <w:rPr>
                <w:rFonts w:hint="eastAsia" w:cs="Times New Roman"/>
                <w:color w:val="000000"/>
                <w:kern w:val="0"/>
                <w:sz w:val="24"/>
                <w:szCs w:val="24"/>
                <w:lang w:val="en-US" w:eastAsia="zh-CN" w:bidi="ar"/>
              </w:rPr>
            </w:pPr>
            <w:r>
              <w:drawing>
                <wp:inline distT="0" distB="0" distL="114300" distR="114300">
                  <wp:extent cx="5513705" cy="2292350"/>
                  <wp:effectExtent l="0" t="0" r="10795" b="12700"/>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35"/>
                          <a:stretch>
                            <a:fillRect/>
                          </a:stretch>
                        </pic:blipFill>
                        <pic:spPr>
                          <a:xfrm>
                            <a:off x="0" y="0"/>
                            <a:ext cx="5513705" cy="2292350"/>
                          </a:xfrm>
                          <a:prstGeom prst="rect">
                            <a:avLst/>
                          </a:prstGeom>
                          <a:noFill/>
                          <a:ln>
                            <a:noFill/>
                          </a:ln>
                        </pic:spPr>
                      </pic:pic>
                    </a:graphicData>
                  </a:graphic>
                </wp:inline>
              </w:drawing>
            </w:r>
          </w:p>
          <w:p w14:paraId="0C29EF5D">
            <w:pPr>
              <w:keepNext w:val="0"/>
              <w:keepLines w:val="0"/>
              <w:widowControl/>
              <w:numPr>
                <w:ilvl w:val="0"/>
                <w:numId w:val="0"/>
              </w:numPr>
              <w:suppressLineNumbers w:val="0"/>
              <w:jc w:val="center"/>
              <w:rPr>
                <w:rFonts w:hint="eastAsia" w:cs="Times New Roman"/>
                <w:color w:val="000000"/>
                <w:kern w:val="0"/>
                <w:sz w:val="24"/>
                <w:szCs w:val="24"/>
                <w:lang w:val="en-US" w:eastAsia="zh-CN" w:bidi="ar"/>
              </w:rPr>
            </w:pPr>
            <w:r>
              <w:rPr>
                <w:rFonts w:hint="eastAsia" w:cs="Times New Roman"/>
                <w:b/>
                <w:bCs/>
                <w:color w:val="000000"/>
                <w:kern w:val="0"/>
                <w:sz w:val="24"/>
                <w:szCs w:val="24"/>
                <w:lang w:val="en-US" w:eastAsia="zh-CN" w:bidi="ar"/>
              </w:rPr>
              <w:t>图1-23 芒市大街污水管道横断面图</w:t>
            </w:r>
          </w:p>
          <w:p w14:paraId="50393E24">
            <w:pPr>
              <w:keepNext w:val="0"/>
              <w:keepLines w:val="0"/>
              <w:widowControl/>
              <w:numPr>
                <w:ilvl w:val="0"/>
                <w:numId w:val="0"/>
              </w:numPr>
              <w:suppressLineNumbers w:val="0"/>
              <w:ind w:leftChars="0"/>
              <w:jc w:val="both"/>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七、投资估算</w:t>
            </w:r>
          </w:p>
          <w:p w14:paraId="70188EA0">
            <w:pPr>
              <w:keepNext w:val="0"/>
              <w:keepLines w:val="0"/>
              <w:widowControl/>
              <w:numPr>
                <w:ilvl w:val="0"/>
                <w:numId w:val="0"/>
              </w:numPr>
              <w:suppressLineNumbers w:val="0"/>
              <w:ind w:leftChars="0" w:firstLine="480" w:firstLineChars="200"/>
              <w:jc w:val="both"/>
              <w:rPr>
                <w:rFonts w:hint="eastAsia" w:cs="Times New Roman"/>
                <w:color w:val="000000"/>
                <w:kern w:val="0"/>
                <w:sz w:val="24"/>
                <w:szCs w:val="24"/>
                <w:lang w:val="en-US" w:eastAsia="zh-CN" w:bidi="ar"/>
              </w:rPr>
            </w:pPr>
            <w:r>
              <w:rPr>
                <w:rFonts w:hint="eastAsia" w:cs="Times New Roman"/>
                <w:b w:val="0"/>
                <w:bCs w:val="0"/>
                <w:color w:val="000000"/>
                <w:kern w:val="0"/>
                <w:sz w:val="24"/>
                <w:szCs w:val="24"/>
                <w:lang w:val="en-US" w:eastAsia="zh-CN" w:bidi="ar"/>
              </w:rPr>
              <w:t>本项目总投资110786.26万元</w:t>
            </w:r>
          </w:p>
          <w:p w14:paraId="1619EFAC">
            <w:pPr>
              <w:keepNext w:val="0"/>
              <w:keepLines w:val="0"/>
              <w:widowControl/>
              <w:numPr>
                <w:ilvl w:val="0"/>
                <w:numId w:val="0"/>
              </w:numPr>
              <w:suppressLineNumbers w:val="0"/>
              <w:ind w:leftChars="0"/>
              <w:jc w:val="center"/>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表1-9 投资估算表</w:t>
            </w:r>
          </w:p>
          <w:tbl>
            <w:tblPr>
              <w:tblStyle w:val="10"/>
              <w:tblW w:w="86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0"/>
              <w:gridCol w:w="4320"/>
            </w:tblGrid>
            <w:tr w14:paraId="19087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320" w:type="dxa"/>
                  <w:vAlign w:val="center"/>
                </w:tcPr>
                <w:p w14:paraId="7021B130">
                  <w:pPr>
                    <w:keepNext w:val="0"/>
                    <w:keepLines w:val="0"/>
                    <w:widowControl/>
                    <w:numPr>
                      <w:ilvl w:val="0"/>
                      <w:numId w:val="0"/>
                    </w:numPr>
                    <w:suppressLineNumbers w:val="0"/>
                    <w:spacing w:line="240" w:lineRule="auto"/>
                    <w:jc w:val="center"/>
                    <w:rPr>
                      <w:rFonts w:hint="default" w:cs="Times New Roman"/>
                      <w:color w:val="000000"/>
                      <w:kern w:val="0"/>
                      <w:sz w:val="21"/>
                      <w:szCs w:val="21"/>
                      <w:vertAlign w:val="baseline"/>
                      <w:lang w:val="en-US" w:eastAsia="zh-CN" w:bidi="ar"/>
                    </w:rPr>
                  </w:pPr>
                  <w:r>
                    <w:rPr>
                      <w:rFonts w:hint="eastAsia" w:cs="Times New Roman"/>
                      <w:color w:val="000000"/>
                      <w:kern w:val="0"/>
                      <w:sz w:val="21"/>
                      <w:szCs w:val="21"/>
                      <w:vertAlign w:val="baseline"/>
                      <w:lang w:val="en-US" w:eastAsia="zh-CN" w:bidi="ar"/>
                    </w:rPr>
                    <w:t>费用名称</w:t>
                  </w:r>
                </w:p>
              </w:tc>
              <w:tc>
                <w:tcPr>
                  <w:tcW w:w="4320" w:type="dxa"/>
                  <w:vAlign w:val="center"/>
                </w:tcPr>
                <w:p w14:paraId="132BBCB7">
                  <w:pPr>
                    <w:keepNext w:val="0"/>
                    <w:keepLines w:val="0"/>
                    <w:widowControl/>
                    <w:numPr>
                      <w:ilvl w:val="0"/>
                      <w:numId w:val="0"/>
                    </w:numPr>
                    <w:suppressLineNumbers w:val="0"/>
                    <w:spacing w:line="240" w:lineRule="auto"/>
                    <w:jc w:val="center"/>
                    <w:rPr>
                      <w:rFonts w:hint="default" w:cs="Times New Roman"/>
                      <w:color w:val="000000"/>
                      <w:kern w:val="0"/>
                      <w:sz w:val="21"/>
                      <w:szCs w:val="21"/>
                      <w:vertAlign w:val="baseline"/>
                      <w:lang w:val="en-US" w:eastAsia="zh-CN" w:bidi="ar"/>
                    </w:rPr>
                  </w:pPr>
                  <w:r>
                    <w:rPr>
                      <w:rFonts w:hint="eastAsia" w:cs="Times New Roman"/>
                      <w:color w:val="000000"/>
                      <w:kern w:val="0"/>
                      <w:sz w:val="21"/>
                      <w:szCs w:val="21"/>
                      <w:vertAlign w:val="baseline"/>
                      <w:lang w:val="en-US" w:eastAsia="zh-CN" w:bidi="ar"/>
                    </w:rPr>
                    <w:t>费用金额（万元）</w:t>
                  </w:r>
                </w:p>
              </w:tc>
            </w:tr>
            <w:tr w14:paraId="04C0D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320" w:type="dxa"/>
                  <w:vAlign w:val="center"/>
                </w:tcPr>
                <w:p w14:paraId="5B32BDF9">
                  <w:pPr>
                    <w:keepNext w:val="0"/>
                    <w:keepLines w:val="0"/>
                    <w:widowControl/>
                    <w:numPr>
                      <w:ilvl w:val="0"/>
                      <w:numId w:val="0"/>
                    </w:numPr>
                    <w:suppressLineNumbers w:val="0"/>
                    <w:spacing w:line="240" w:lineRule="auto"/>
                    <w:jc w:val="center"/>
                    <w:rPr>
                      <w:rFonts w:hint="default" w:cs="Times New Roman"/>
                      <w:color w:val="000000"/>
                      <w:kern w:val="0"/>
                      <w:sz w:val="21"/>
                      <w:szCs w:val="21"/>
                      <w:vertAlign w:val="baseline"/>
                      <w:lang w:val="en-US" w:eastAsia="zh-CN" w:bidi="ar"/>
                    </w:rPr>
                  </w:pPr>
                  <w:r>
                    <w:rPr>
                      <w:rFonts w:hint="eastAsia" w:cs="Times New Roman"/>
                      <w:color w:val="000000"/>
                      <w:kern w:val="0"/>
                      <w:sz w:val="21"/>
                      <w:szCs w:val="21"/>
                      <w:vertAlign w:val="baseline"/>
                      <w:lang w:val="en-US" w:eastAsia="zh-CN" w:bidi="ar"/>
                    </w:rPr>
                    <w:t>建筑安装工程费</w:t>
                  </w:r>
                </w:p>
              </w:tc>
              <w:tc>
                <w:tcPr>
                  <w:tcW w:w="4320" w:type="dxa"/>
                  <w:vAlign w:val="center"/>
                </w:tcPr>
                <w:p w14:paraId="0AF9B662">
                  <w:pPr>
                    <w:keepNext w:val="0"/>
                    <w:keepLines w:val="0"/>
                    <w:widowControl/>
                    <w:numPr>
                      <w:ilvl w:val="0"/>
                      <w:numId w:val="0"/>
                    </w:numPr>
                    <w:suppressLineNumbers w:val="0"/>
                    <w:spacing w:line="240" w:lineRule="auto"/>
                    <w:jc w:val="center"/>
                    <w:rPr>
                      <w:rFonts w:hint="default" w:cs="Times New Roman"/>
                      <w:color w:val="000000"/>
                      <w:kern w:val="0"/>
                      <w:sz w:val="21"/>
                      <w:szCs w:val="21"/>
                      <w:vertAlign w:val="baseline"/>
                      <w:lang w:val="en-US" w:eastAsia="zh-CN" w:bidi="ar"/>
                    </w:rPr>
                  </w:pPr>
                  <w:r>
                    <w:rPr>
                      <w:rFonts w:hint="eastAsia" w:cs="Times New Roman"/>
                      <w:color w:val="000000"/>
                      <w:kern w:val="0"/>
                      <w:sz w:val="21"/>
                      <w:szCs w:val="21"/>
                      <w:vertAlign w:val="baseline"/>
                      <w:lang w:val="en-US" w:eastAsia="zh-CN" w:bidi="ar"/>
                    </w:rPr>
                    <w:t>80856.56</w:t>
                  </w:r>
                </w:p>
              </w:tc>
            </w:tr>
            <w:tr w14:paraId="05CE0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320" w:type="dxa"/>
                  <w:vAlign w:val="center"/>
                </w:tcPr>
                <w:p w14:paraId="4428A3BF">
                  <w:pPr>
                    <w:keepNext w:val="0"/>
                    <w:keepLines w:val="0"/>
                    <w:widowControl/>
                    <w:numPr>
                      <w:ilvl w:val="0"/>
                      <w:numId w:val="0"/>
                    </w:numPr>
                    <w:suppressLineNumbers w:val="0"/>
                    <w:spacing w:line="240" w:lineRule="auto"/>
                    <w:jc w:val="center"/>
                    <w:rPr>
                      <w:rFonts w:hint="default" w:cs="Times New Roman"/>
                      <w:color w:val="000000"/>
                      <w:kern w:val="0"/>
                      <w:sz w:val="21"/>
                      <w:szCs w:val="21"/>
                      <w:vertAlign w:val="baseline"/>
                      <w:lang w:val="en-US" w:eastAsia="zh-CN" w:bidi="ar"/>
                    </w:rPr>
                  </w:pPr>
                  <w:r>
                    <w:rPr>
                      <w:rFonts w:hint="eastAsia" w:cs="Times New Roman"/>
                      <w:color w:val="000000"/>
                      <w:kern w:val="0"/>
                      <w:sz w:val="21"/>
                      <w:szCs w:val="21"/>
                      <w:vertAlign w:val="baseline"/>
                      <w:lang w:val="en-US" w:eastAsia="zh-CN" w:bidi="ar"/>
                    </w:rPr>
                    <w:t>工程建设其他费用</w:t>
                  </w:r>
                </w:p>
              </w:tc>
              <w:tc>
                <w:tcPr>
                  <w:tcW w:w="4320" w:type="dxa"/>
                  <w:vAlign w:val="center"/>
                </w:tcPr>
                <w:p w14:paraId="4BC4B4F4">
                  <w:pPr>
                    <w:keepNext w:val="0"/>
                    <w:keepLines w:val="0"/>
                    <w:widowControl/>
                    <w:numPr>
                      <w:ilvl w:val="0"/>
                      <w:numId w:val="0"/>
                    </w:numPr>
                    <w:suppressLineNumbers w:val="0"/>
                    <w:spacing w:line="240" w:lineRule="auto"/>
                    <w:jc w:val="center"/>
                    <w:rPr>
                      <w:rFonts w:hint="default" w:cs="Times New Roman"/>
                      <w:color w:val="000000"/>
                      <w:kern w:val="0"/>
                      <w:sz w:val="21"/>
                      <w:szCs w:val="21"/>
                      <w:vertAlign w:val="baseline"/>
                      <w:lang w:val="en-US" w:eastAsia="zh-CN" w:bidi="ar"/>
                    </w:rPr>
                  </w:pPr>
                  <w:r>
                    <w:rPr>
                      <w:rFonts w:hint="eastAsia" w:cs="Times New Roman"/>
                      <w:color w:val="000000"/>
                      <w:kern w:val="0"/>
                      <w:sz w:val="21"/>
                      <w:szCs w:val="21"/>
                      <w:vertAlign w:val="baseline"/>
                      <w:lang w:val="en-US" w:eastAsia="zh-CN" w:bidi="ar"/>
                    </w:rPr>
                    <w:t>18076.00</w:t>
                  </w:r>
                </w:p>
              </w:tc>
            </w:tr>
            <w:tr w14:paraId="458E2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320" w:type="dxa"/>
                  <w:vAlign w:val="center"/>
                </w:tcPr>
                <w:p w14:paraId="0CF77C30">
                  <w:pPr>
                    <w:keepNext w:val="0"/>
                    <w:keepLines w:val="0"/>
                    <w:widowControl/>
                    <w:numPr>
                      <w:ilvl w:val="0"/>
                      <w:numId w:val="0"/>
                    </w:numPr>
                    <w:suppressLineNumbers w:val="0"/>
                    <w:spacing w:line="240" w:lineRule="auto"/>
                    <w:jc w:val="center"/>
                    <w:rPr>
                      <w:rFonts w:hint="eastAsia" w:cs="Times New Roman"/>
                      <w:color w:val="000000"/>
                      <w:kern w:val="0"/>
                      <w:sz w:val="21"/>
                      <w:szCs w:val="21"/>
                      <w:vertAlign w:val="baseline"/>
                      <w:lang w:val="en-US" w:eastAsia="zh-CN" w:bidi="ar"/>
                    </w:rPr>
                  </w:pPr>
                  <w:r>
                    <w:rPr>
                      <w:rFonts w:hint="eastAsia" w:cs="Times New Roman"/>
                      <w:color w:val="000000"/>
                      <w:kern w:val="0"/>
                      <w:sz w:val="21"/>
                      <w:szCs w:val="21"/>
                      <w:vertAlign w:val="baseline"/>
                      <w:lang w:val="en-US" w:eastAsia="zh-CN" w:bidi="ar"/>
                    </w:rPr>
                    <w:t>工程预备费</w:t>
                  </w:r>
                </w:p>
              </w:tc>
              <w:tc>
                <w:tcPr>
                  <w:tcW w:w="4320" w:type="dxa"/>
                  <w:vAlign w:val="center"/>
                </w:tcPr>
                <w:p w14:paraId="75F4158E">
                  <w:pPr>
                    <w:keepNext w:val="0"/>
                    <w:keepLines w:val="0"/>
                    <w:widowControl/>
                    <w:numPr>
                      <w:ilvl w:val="0"/>
                      <w:numId w:val="0"/>
                    </w:numPr>
                    <w:suppressLineNumbers w:val="0"/>
                    <w:spacing w:line="240" w:lineRule="auto"/>
                    <w:jc w:val="center"/>
                    <w:rPr>
                      <w:rFonts w:hint="default" w:cs="Times New Roman"/>
                      <w:color w:val="000000"/>
                      <w:kern w:val="0"/>
                      <w:sz w:val="21"/>
                      <w:szCs w:val="21"/>
                      <w:vertAlign w:val="baseline"/>
                      <w:lang w:val="en-US" w:eastAsia="zh-CN" w:bidi="ar"/>
                    </w:rPr>
                  </w:pPr>
                  <w:r>
                    <w:rPr>
                      <w:rFonts w:hint="eastAsia" w:cs="Times New Roman"/>
                      <w:color w:val="000000"/>
                      <w:kern w:val="0"/>
                      <w:sz w:val="21"/>
                      <w:szCs w:val="21"/>
                      <w:vertAlign w:val="baseline"/>
                      <w:lang w:val="en-US" w:eastAsia="zh-CN" w:bidi="ar"/>
                    </w:rPr>
                    <w:t>7914.61</w:t>
                  </w:r>
                </w:p>
              </w:tc>
            </w:tr>
            <w:tr w14:paraId="4EEBB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320" w:type="dxa"/>
                  <w:vAlign w:val="center"/>
                </w:tcPr>
                <w:p w14:paraId="0A9C35EC">
                  <w:pPr>
                    <w:keepNext w:val="0"/>
                    <w:keepLines w:val="0"/>
                    <w:widowControl/>
                    <w:numPr>
                      <w:ilvl w:val="0"/>
                      <w:numId w:val="0"/>
                    </w:numPr>
                    <w:suppressLineNumbers w:val="0"/>
                    <w:spacing w:line="240" w:lineRule="auto"/>
                    <w:jc w:val="center"/>
                    <w:rPr>
                      <w:rFonts w:hint="eastAsia" w:cs="Times New Roman"/>
                      <w:color w:val="000000"/>
                      <w:kern w:val="0"/>
                      <w:sz w:val="21"/>
                      <w:szCs w:val="21"/>
                      <w:vertAlign w:val="baseline"/>
                      <w:lang w:val="en-US" w:eastAsia="zh-CN" w:bidi="ar"/>
                    </w:rPr>
                  </w:pPr>
                  <w:r>
                    <w:rPr>
                      <w:rFonts w:hint="eastAsia" w:cs="Times New Roman"/>
                      <w:color w:val="000000"/>
                      <w:kern w:val="0"/>
                      <w:sz w:val="21"/>
                      <w:szCs w:val="21"/>
                      <w:vertAlign w:val="baseline"/>
                      <w:lang w:val="en-US" w:eastAsia="zh-CN" w:bidi="ar"/>
                    </w:rPr>
                    <w:t>建设期贷款利息</w:t>
                  </w:r>
                </w:p>
              </w:tc>
              <w:tc>
                <w:tcPr>
                  <w:tcW w:w="4320" w:type="dxa"/>
                  <w:vAlign w:val="center"/>
                </w:tcPr>
                <w:p w14:paraId="482B7C93">
                  <w:pPr>
                    <w:keepNext w:val="0"/>
                    <w:keepLines w:val="0"/>
                    <w:widowControl/>
                    <w:numPr>
                      <w:ilvl w:val="0"/>
                      <w:numId w:val="0"/>
                    </w:numPr>
                    <w:suppressLineNumbers w:val="0"/>
                    <w:spacing w:line="240" w:lineRule="auto"/>
                    <w:jc w:val="center"/>
                    <w:rPr>
                      <w:rFonts w:hint="default" w:cs="Times New Roman"/>
                      <w:color w:val="000000"/>
                      <w:kern w:val="0"/>
                      <w:sz w:val="21"/>
                      <w:szCs w:val="21"/>
                      <w:vertAlign w:val="baseline"/>
                      <w:lang w:val="en-US" w:eastAsia="zh-CN" w:bidi="ar"/>
                    </w:rPr>
                  </w:pPr>
                  <w:r>
                    <w:rPr>
                      <w:rFonts w:hint="eastAsia" w:cs="Times New Roman"/>
                      <w:color w:val="000000"/>
                      <w:kern w:val="0"/>
                      <w:sz w:val="21"/>
                      <w:szCs w:val="21"/>
                      <w:vertAlign w:val="baseline"/>
                      <w:lang w:val="en-US" w:eastAsia="zh-CN" w:bidi="ar"/>
                    </w:rPr>
                    <w:t>3939.09</w:t>
                  </w:r>
                </w:p>
              </w:tc>
            </w:tr>
            <w:tr w14:paraId="0411B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4320" w:type="dxa"/>
                  <w:vAlign w:val="center"/>
                </w:tcPr>
                <w:p w14:paraId="796A3373">
                  <w:pPr>
                    <w:keepNext w:val="0"/>
                    <w:keepLines w:val="0"/>
                    <w:widowControl/>
                    <w:numPr>
                      <w:ilvl w:val="0"/>
                      <w:numId w:val="0"/>
                    </w:numPr>
                    <w:suppressLineNumbers w:val="0"/>
                    <w:spacing w:line="240" w:lineRule="auto"/>
                    <w:jc w:val="center"/>
                    <w:rPr>
                      <w:rFonts w:hint="eastAsia" w:cs="Times New Roman"/>
                      <w:color w:val="000000"/>
                      <w:kern w:val="0"/>
                      <w:sz w:val="21"/>
                      <w:szCs w:val="21"/>
                      <w:vertAlign w:val="baseline"/>
                      <w:lang w:val="en-US" w:eastAsia="zh-CN" w:bidi="ar"/>
                    </w:rPr>
                  </w:pPr>
                  <w:r>
                    <w:rPr>
                      <w:rFonts w:hint="eastAsia" w:cs="Times New Roman"/>
                      <w:color w:val="000000"/>
                      <w:kern w:val="0"/>
                      <w:sz w:val="21"/>
                      <w:szCs w:val="21"/>
                      <w:vertAlign w:val="baseline"/>
                      <w:lang w:val="en-US" w:eastAsia="zh-CN" w:bidi="ar"/>
                    </w:rPr>
                    <w:t>合计</w:t>
                  </w:r>
                </w:p>
              </w:tc>
              <w:tc>
                <w:tcPr>
                  <w:tcW w:w="4320" w:type="dxa"/>
                  <w:vAlign w:val="center"/>
                </w:tcPr>
                <w:p w14:paraId="2BAB0D3C">
                  <w:pPr>
                    <w:keepNext w:val="0"/>
                    <w:keepLines w:val="0"/>
                    <w:widowControl/>
                    <w:numPr>
                      <w:ilvl w:val="0"/>
                      <w:numId w:val="0"/>
                    </w:numPr>
                    <w:suppressLineNumbers w:val="0"/>
                    <w:spacing w:line="240" w:lineRule="auto"/>
                    <w:jc w:val="center"/>
                    <w:rPr>
                      <w:rFonts w:hint="default" w:cs="Times New Roman"/>
                      <w:color w:val="000000"/>
                      <w:kern w:val="0"/>
                      <w:sz w:val="21"/>
                      <w:szCs w:val="21"/>
                      <w:vertAlign w:val="baseline"/>
                      <w:lang w:val="en-US" w:eastAsia="zh-CN" w:bidi="ar"/>
                    </w:rPr>
                  </w:pPr>
                  <w:r>
                    <w:rPr>
                      <w:rFonts w:hint="eastAsia" w:cs="Times New Roman"/>
                      <w:color w:val="000000"/>
                      <w:kern w:val="0"/>
                      <w:sz w:val="21"/>
                      <w:szCs w:val="21"/>
                      <w:vertAlign w:val="baseline"/>
                      <w:lang w:val="en-US" w:eastAsia="zh-CN" w:bidi="ar"/>
                    </w:rPr>
                    <w:t>110786.26</w:t>
                  </w:r>
                </w:p>
              </w:tc>
            </w:tr>
          </w:tbl>
          <w:p w14:paraId="5D8DB1C8">
            <w:pPr>
              <w:keepNext w:val="0"/>
              <w:keepLines w:val="0"/>
              <w:widowControl/>
              <w:numPr>
                <w:ilvl w:val="0"/>
                <w:numId w:val="3"/>
              </w:numPr>
              <w:suppressLineNumbers w:val="0"/>
              <w:ind w:left="0" w:leftChars="0" w:firstLine="0" w:firstLineChars="0"/>
              <w:jc w:val="both"/>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施工组织</w:t>
            </w:r>
          </w:p>
          <w:p w14:paraId="2A37A6EC">
            <w:pPr>
              <w:keepNext w:val="0"/>
              <w:keepLines w:val="0"/>
              <w:widowControl/>
              <w:numPr>
                <w:ilvl w:val="0"/>
                <w:numId w:val="16"/>
              </w:numPr>
              <w:suppressLineNumbers w:val="0"/>
              <w:ind w:firstLine="482" w:firstLineChars="200"/>
              <w:jc w:val="both"/>
              <w:rPr>
                <w:rFonts w:hint="default" w:ascii="Times New Roman" w:hAnsi="Times New Roman" w:cs="Times New Roman"/>
                <w:b/>
                <w:bCs/>
                <w:color w:val="000000"/>
                <w:kern w:val="0"/>
                <w:sz w:val="24"/>
                <w:szCs w:val="24"/>
                <w:lang w:val="en-US" w:eastAsia="zh-CN" w:bidi="ar"/>
              </w:rPr>
            </w:pPr>
            <w:r>
              <w:rPr>
                <w:rFonts w:hint="default" w:ascii="Times New Roman" w:hAnsi="Times New Roman" w:cs="Times New Roman"/>
                <w:b/>
                <w:bCs/>
                <w:color w:val="000000"/>
                <w:kern w:val="0"/>
                <w:sz w:val="24"/>
                <w:szCs w:val="24"/>
                <w:lang w:val="en-US" w:eastAsia="zh-CN" w:bidi="ar"/>
              </w:rPr>
              <w:t>施工水、电供应及通信设施</w:t>
            </w:r>
          </w:p>
          <w:p w14:paraId="15A216FF">
            <w:pPr>
              <w:keepNext w:val="0"/>
              <w:keepLines w:val="0"/>
              <w:widowControl/>
              <w:numPr>
                <w:ilvl w:val="0"/>
                <w:numId w:val="0"/>
              </w:numPr>
              <w:suppressLineNumbers w:val="0"/>
              <w:ind w:firstLine="480" w:firstLineChars="200"/>
              <w:jc w:val="both"/>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项目的施工用水、用电可就近利用市政水电接入点进行引接</w:t>
            </w:r>
          </w:p>
          <w:p w14:paraId="6D589BB8">
            <w:pPr>
              <w:keepNext w:val="0"/>
              <w:keepLines w:val="0"/>
              <w:widowControl/>
              <w:numPr>
                <w:ilvl w:val="0"/>
                <w:numId w:val="16"/>
              </w:numPr>
              <w:suppressLineNumbers w:val="0"/>
              <w:ind w:left="0" w:leftChars="0" w:firstLine="482" w:firstLineChars="200"/>
              <w:jc w:val="both"/>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施工营地</w:t>
            </w:r>
          </w:p>
          <w:p w14:paraId="015CDB6A">
            <w:pPr>
              <w:keepNext w:val="0"/>
              <w:keepLines w:val="0"/>
              <w:widowControl/>
              <w:numPr>
                <w:ilvl w:val="0"/>
                <w:numId w:val="0"/>
              </w:numPr>
              <w:suppressLineNumbers w:val="0"/>
              <w:ind w:firstLine="480" w:firstLineChars="200"/>
              <w:jc w:val="left"/>
              <w:rPr>
                <w:rFonts w:hint="eastAsia" w:ascii="Times New Roman" w:hAnsi="Times New Roman" w:cs="Times New Roman"/>
                <w:b w:val="0"/>
                <w:bCs w:val="0"/>
                <w:lang w:val="en-US" w:eastAsia="zh-CN"/>
              </w:rPr>
            </w:pPr>
            <w:r>
              <w:rPr>
                <w:rFonts w:hint="default" w:cs="Times New Roman"/>
                <w:color w:val="000000"/>
                <w:kern w:val="0"/>
                <w:sz w:val="24"/>
                <w:szCs w:val="24"/>
                <w:lang w:val="en-US" w:eastAsia="zh-CN" w:bidi="ar"/>
              </w:rPr>
              <w:t>本工程施工区不设置生活设施包括宿舍、办公室和食堂。施工场地</w:t>
            </w:r>
            <w:r>
              <w:rPr>
                <w:rFonts w:hint="eastAsia" w:cs="Times New Roman"/>
                <w:color w:val="000000"/>
                <w:kern w:val="0"/>
                <w:sz w:val="24"/>
                <w:szCs w:val="24"/>
                <w:lang w:val="en-US" w:eastAsia="zh-CN" w:bidi="ar"/>
              </w:rPr>
              <w:t>搭建临时工棚</w:t>
            </w:r>
            <w:r>
              <w:rPr>
                <w:rFonts w:hint="eastAsia" w:ascii="Times New Roman" w:hAnsi="Times New Roman" w:cs="Times New Roman"/>
                <w:b w:val="0"/>
                <w:bCs w:val="0"/>
                <w:lang w:val="en-US" w:eastAsia="zh-CN"/>
              </w:rPr>
              <w:t>用于看管材料，待施工结束后作拆除清理。</w:t>
            </w:r>
          </w:p>
          <w:p w14:paraId="21AAE936">
            <w:pPr>
              <w:keepNext w:val="0"/>
              <w:keepLines w:val="0"/>
              <w:widowControl/>
              <w:numPr>
                <w:ilvl w:val="0"/>
                <w:numId w:val="16"/>
              </w:numPr>
              <w:suppressLineNumbers w:val="0"/>
              <w:ind w:left="0" w:leftChars="0" w:firstLine="482" w:firstLineChars="200"/>
              <w:jc w:val="both"/>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建材供应</w:t>
            </w:r>
          </w:p>
          <w:p w14:paraId="052C3078">
            <w:pPr>
              <w:keepNext w:val="0"/>
              <w:keepLines w:val="0"/>
              <w:widowControl/>
              <w:numPr>
                <w:ilvl w:val="0"/>
                <w:numId w:val="0"/>
              </w:numPr>
              <w:suppressLineNumbers w:val="0"/>
              <w:ind w:firstLine="480" w:firstLineChars="200"/>
              <w:jc w:val="both"/>
              <w:rPr>
                <w:rFonts w:hint="default" w:cs="Times New Roman"/>
                <w:color w:val="000000"/>
                <w:kern w:val="0"/>
                <w:sz w:val="24"/>
                <w:szCs w:val="24"/>
                <w:lang w:val="en-US" w:eastAsia="zh-CN" w:bidi="ar"/>
              </w:rPr>
            </w:pPr>
            <w:r>
              <w:rPr>
                <w:rFonts w:hint="eastAsia" w:cs="Times New Roman"/>
                <w:color w:val="000000"/>
                <w:kern w:val="0"/>
                <w:sz w:val="24"/>
                <w:szCs w:val="24"/>
                <w:lang w:val="en-US" w:eastAsia="zh-CN" w:bidi="ar"/>
              </w:rPr>
              <w:t>本工程全部使用商品混凝土。所需钢筋及钢材、木材、油料及零星建材、生产及生活物资就近在当地购买。道路整治所需的沥青就近购买。</w:t>
            </w:r>
          </w:p>
          <w:p w14:paraId="75E7A2A9">
            <w:pPr>
              <w:keepNext w:val="0"/>
              <w:keepLines w:val="0"/>
              <w:widowControl/>
              <w:numPr>
                <w:ilvl w:val="0"/>
                <w:numId w:val="16"/>
              </w:numPr>
              <w:suppressLineNumbers w:val="0"/>
              <w:ind w:left="0" w:leftChars="0" w:firstLine="482" w:firstLineChars="200"/>
              <w:jc w:val="both"/>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劳动人员</w:t>
            </w:r>
          </w:p>
          <w:p w14:paraId="0DB5BC00">
            <w:pPr>
              <w:keepNext w:val="0"/>
              <w:keepLines w:val="0"/>
              <w:widowControl/>
              <w:numPr>
                <w:ilvl w:val="0"/>
                <w:numId w:val="0"/>
              </w:numPr>
              <w:suppressLineNumbers w:val="0"/>
              <w:ind w:firstLine="480" w:firstLineChars="200"/>
              <w:jc w:val="both"/>
              <w:rPr>
                <w:rFonts w:hint="eastAsia" w:cs="Times New Roman"/>
                <w:color w:val="000000"/>
                <w:kern w:val="0"/>
                <w:sz w:val="24"/>
                <w:szCs w:val="24"/>
                <w:lang w:val="en-US" w:eastAsia="zh-CN" w:bidi="ar"/>
              </w:rPr>
            </w:pPr>
            <w:r>
              <w:rPr>
                <w:rFonts w:hint="eastAsia" w:cs="Times New Roman"/>
                <w:color w:val="000000"/>
                <w:kern w:val="0"/>
                <w:sz w:val="24"/>
                <w:szCs w:val="24"/>
                <w:lang w:val="en-US" w:eastAsia="zh-CN" w:bidi="ar"/>
              </w:rPr>
              <w:t>项目施工期管理人员有80人，施工人员有310人。</w:t>
            </w:r>
          </w:p>
          <w:p w14:paraId="2BD98C0D">
            <w:pPr>
              <w:keepNext w:val="0"/>
              <w:keepLines w:val="0"/>
              <w:widowControl/>
              <w:numPr>
                <w:ilvl w:val="0"/>
                <w:numId w:val="16"/>
              </w:numPr>
              <w:suppressLineNumbers w:val="0"/>
              <w:ind w:left="0" w:leftChars="0" w:firstLine="482" w:firstLineChars="200"/>
              <w:jc w:val="both"/>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临时弃土场</w:t>
            </w:r>
          </w:p>
          <w:p w14:paraId="594051DF">
            <w:pPr>
              <w:keepNext w:val="0"/>
              <w:keepLines w:val="0"/>
              <w:widowControl/>
              <w:numPr>
                <w:ilvl w:val="0"/>
                <w:numId w:val="0"/>
              </w:numPr>
              <w:suppressLineNumbers w:val="0"/>
              <w:ind w:firstLine="480" w:firstLineChars="200"/>
              <w:jc w:val="both"/>
              <w:rPr>
                <w:rFonts w:hint="default" w:cs="Times New Roman"/>
                <w:color w:val="000000"/>
                <w:kern w:val="0"/>
                <w:sz w:val="24"/>
                <w:szCs w:val="24"/>
                <w:lang w:val="en-US" w:eastAsia="zh-CN" w:bidi="ar"/>
              </w:rPr>
            </w:pPr>
            <w:r>
              <w:rPr>
                <w:rFonts w:hint="eastAsia" w:cs="Times New Roman"/>
                <w:color w:val="000000"/>
                <w:kern w:val="0"/>
                <w:sz w:val="24"/>
                <w:szCs w:val="24"/>
                <w:lang w:val="en-US" w:eastAsia="zh-CN" w:bidi="ar"/>
              </w:rPr>
              <w:t>本项目临时弃土场选定在芒市帕底分场水库，开挖的土石方运至临时弃土场，回填时将土石方运回。</w:t>
            </w:r>
          </w:p>
          <w:p w14:paraId="5327879E">
            <w:pPr>
              <w:keepNext w:val="0"/>
              <w:keepLines w:val="0"/>
              <w:widowControl/>
              <w:numPr>
                <w:ilvl w:val="0"/>
                <w:numId w:val="3"/>
              </w:numPr>
              <w:suppressLineNumbers w:val="0"/>
              <w:ind w:left="0" w:leftChars="0" w:firstLine="0" w:firstLineChars="0"/>
              <w:jc w:val="both"/>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项目建设进度</w:t>
            </w:r>
          </w:p>
          <w:p w14:paraId="60782209">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本项目主要目的是建设综合管廊系统，一次性建设到位，方便日后管线的更改及维护，避免管道反复建设对城市道路的破坏以及投资浪费、施工后对施工作业面的修复等问题，主要分期实施思路考虑以下几点：</w:t>
            </w:r>
          </w:p>
          <w:p w14:paraId="28B7B178">
            <w:pPr>
              <w:keepNext w:val="0"/>
              <w:keepLines w:val="0"/>
              <w:widowControl/>
              <w:numPr>
                <w:ilvl w:val="0"/>
                <w:numId w:val="17"/>
              </w:numPr>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本次工程涉及建设综合管廊较多，其建设宜结合道路的建设进行，根据芒市建设情况；</w:t>
            </w:r>
          </w:p>
          <w:p w14:paraId="0DEA0003">
            <w:pPr>
              <w:keepNext w:val="0"/>
              <w:keepLines w:val="0"/>
              <w:widowControl/>
              <w:numPr>
                <w:ilvl w:val="0"/>
                <w:numId w:val="17"/>
              </w:numPr>
              <w:suppressLineNumbers w:val="0"/>
              <w:ind w:left="0" w:lef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本项目部分道路已建，为避免综合管廊施工时影响道路通行能力，易待周边路网建设完成、交通可以分流后进行；</w:t>
            </w:r>
          </w:p>
          <w:p w14:paraId="1C78F034">
            <w:pPr>
              <w:keepNext w:val="0"/>
              <w:keepLines w:val="0"/>
              <w:widowControl/>
              <w:numPr>
                <w:ilvl w:val="0"/>
                <w:numId w:val="17"/>
              </w:numPr>
              <w:suppressLineNumbers w:val="0"/>
              <w:ind w:left="0" w:lef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此次综合管廊建设工程有位于城市已建段，也有位于未开发区域，位于城市已建段的，城市已建成段，控制条件较多，为避免综合管廊的建设影响两侧既有建筑，同时避免较大程度的破坏已建道路，宜采用</w:t>
            </w:r>
            <w:r>
              <w:rPr>
                <w:rFonts w:hint="default" w:ascii="Times New Roman" w:hAnsi="Times New Roman" w:eastAsia="TimesNewRomanPSMT" w:cs="Times New Roman"/>
                <w:color w:val="000000"/>
                <w:kern w:val="0"/>
                <w:sz w:val="24"/>
                <w:szCs w:val="24"/>
                <w:lang w:val="en-US" w:eastAsia="zh-CN" w:bidi="ar"/>
              </w:rPr>
              <w:t>SMW</w:t>
            </w:r>
            <w:r>
              <w:rPr>
                <w:rFonts w:hint="default" w:ascii="Times New Roman" w:hAnsi="Times New Roman" w:eastAsia="宋体" w:cs="Times New Roman"/>
                <w:color w:val="000000"/>
                <w:kern w:val="0"/>
                <w:sz w:val="24"/>
                <w:szCs w:val="24"/>
                <w:lang w:val="en-US" w:eastAsia="zh-CN" w:bidi="ar"/>
              </w:rPr>
              <w:t>工法实施，部分建设的位置，宜采用垂直开挖</w:t>
            </w:r>
            <w:r>
              <w:rPr>
                <w:rFonts w:hint="default" w:ascii="Times New Roman" w:hAnsi="Times New Roman" w:eastAsia="TimesNewRomanPSMT"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基坑支护</w:t>
            </w:r>
            <w:r>
              <w:rPr>
                <w:rFonts w:hint="default" w:ascii="Times New Roman" w:hAnsi="Times New Roman" w:eastAsia="TimesNewRomanPSMT"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钢板桩</w:t>
            </w:r>
            <w:r>
              <w:rPr>
                <w:rFonts w:hint="default" w:ascii="Times New Roman" w:hAnsi="Times New Roman" w:eastAsia="TimesNewRomanPSMT"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的方式实施，位于未开发区域的，可采用放坡开挖</w:t>
            </w:r>
            <w:r>
              <w:rPr>
                <w:rFonts w:hint="default" w:ascii="Times New Roman" w:hAnsi="Times New Roman" w:eastAsia="TimesNewRomanPSMT"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坡面支护</w:t>
            </w:r>
            <w:r>
              <w:rPr>
                <w:rFonts w:hint="default" w:ascii="Times New Roman" w:hAnsi="Times New Roman" w:eastAsia="TimesNewRomanPSMT"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坡面水泥砂浆抹面</w:t>
            </w:r>
            <w:r>
              <w:rPr>
                <w:rFonts w:hint="default" w:ascii="Times New Roman" w:hAnsi="Times New Roman" w:eastAsia="TimesNewRomanPSMT"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的方式实施。同一条道路若三种路段都存在的，宜先将两侧有建筑的路段建设完成后再实施未开发区域。</w:t>
            </w:r>
          </w:p>
          <w:p w14:paraId="32FB68F7">
            <w:pPr>
              <w:keepNext w:val="0"/>
              <w:keepLines w:val="0"/>
              <w:widowControl/>
              <w:numPr>
                <w:ilvl w:val="0"/>
                <w:numId w:val="0"/>
              </w:numPr>
              <w:suppressLineNumbers w:val="0"/>
              <w:ind w:firstLine="480" w:firstLineChars="200"/>
              <w:jc w:val="left"/>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综合以上几点</w:t>
            </w:r>
            <w:r>
              <w:rPr>
                <w:rFonts w:hint="eastAsia" w:cs="Times New Roman"/>
                <w:color w:val="000000"/>
                <w:kern w:val="0"/>
                <w:sz w:val="24"/>
                <w:szCs w:val="24"/>
                <w:lang w:val="en-US" w:eastAsia="zh-CN" w:bidi="ar"/>
              </w:rPr>
              <w:t>，此次</w:t>
            </w:r>
            <w:r>
              <w:rPr>
                <w:rFonts w:hint="eastAsia" w:ascii="Times New Roman" w:hAnsi="Times New Roman" w:eastAsia="宋体" w:cs="Times New Roman"/>
                <w:color w:val="000000"/>
                <w:kern w:val="0"/>
                <w:sz w:val="24"/>
                <w:szCs w:val="24"/>
                <w:lang w:val="en-US" w:eastAsia="zh-CN" w:bidi="ar"/>
              </w:rPr>
              <w:t>综合管廊建设工程分阶段实施：</w:t>
            </w:r>
          </w:p>
          <w:p w14:paraId="4EA09FF6">
            <w:pPr>
              <w:keepNext w:val="0"/>
              <w:keepLines w:val="0"/>
              <w:widowControl/>
              <w:suppressLineNumbers w:val="0"/>
              <w:ind w:firstLine="480" w:firstLineChars="200"/>
              <w:jc w:val="left"/>
              <w:rPr>
                <w:rFonts w:hint="eastAsia"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第一阶段：主要实施阔时路（金孔雀大街至芒市大街）、阔时路（芒市大街至团结大街）</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人保路（</w:t>
            </w:r>
            <w:r>
              <w:rPr>
                <w:rFonts w:hint="eastAsia" w:ascii="Times New Roman" w:hAnsi="Times New Roman" w:eastAsia="宋体" w:cs="Times New Roman"/>
                <w:color w:val="000000"/>
                <w:kern w:val="0"/>
                <w:sz w:val="24"/>
                <w:szCs w:val="24"/>
                <w:lang w:val="en-US" w:eastAsia="zh-CN" w:bidi="ar"/>
              </w:rPr>
              <w:t>滨河路</w:t>
            </w:r>
            <w:r>
              <w:rPr>
                <w:rFonts w:hint="default" w:ascii="Times New Roman" w:hAnsi="Times New Roman" w:eastAsia="宋体" w:cs="Times New Roman"/>
                <w:color w:val="000000"/>
                <w:kern w:val="0"/>
                <w:sz w:val="24"/>
                <w:szCs w:val="24"/>
                <w:lang w:val="en-US" w:eastAsia="zh-CN" w:bidi="ar"/>
              </w:rPr>
              <w:t>至芒市大街）、勐焕路（西二环至</w:t>
            </w:r>
            <w:r>
              <w:rPr>
                <w:rFonts w:hint="eastAsia" w:ascii="Times New Roman" w:hAnsi="Times New Roman" w:eastAsia="宋体" w:cs="Times New Roman"/>
                <w:color w:val="000000"/>
                <w:kern w:val="0"/>
                <w:sz w:val="24"/>
                <w:szCs w:val="24"/>
                <w:lang w:val="en-US" w:eastAsia="zh-CN" w:bidi="ar"/>
              </w:rPr>
              <w:t>芒市</w:t>
            </w:r>
            <w:r>
              <w:rPr>
                <w:rFonts w:hint="default" w:ascii="Times New Roman" w:hAnsi="Times New Roman" w:eastAsia="宋体" w:cs="Times New Roman"/>
                <w:color w:val="000000"/>
                <w:kern w:val="0"/>
                <w:sz w:val="24"/>
                <w:szCs w:val="24"/>
                <w:lang w:val="en-US" w:eastAsia="zh-CN" w:bidi="ar"/>
              </w:rPr>
              <w:t>大街）的综合管廊</w:t>
            </w:r>
            <w:r>
              <w:rPr>
                <w:rFonts w:hint="eastAsia" w:cs="Times New Roman"/>
                <w:color w:val="000000"/>
                <w:kern w:val="0"/>
                <w:sz w:val="24"/>
                <w:szCs w:val="24"/>
                <w:lang w:val="en-US" w:eastAsia="zh-CN" w:bidi="ar"/>
              </w:rPr>
              <w:t>及</w:t>
            </w:r>
            <w:r>
              <w:rPr>
                <w:rFonts w:hint="default" w:ascii="Times New Roman" w:hAnsi="Times New Roman" w:eastAsia="宋体" w:cs="Times New Roman"/>
                <w:color w:val="000000"/>
                <w:kern w:val="0"/>
                <w:sz w:val="24"/>
                <w:szCs w:val="24"/>
                <w:lang w:val="en-US" w:eastAsia="zh-CN" w:bidi="ar"/>
              </w:rPr>
              <w:t xml:space="preserve">配套的 </w:t>
            </w:r>
            <w:r>
              <w:rPr>
                <w:rFonts w:hint="default" w:ascii="Times New Roman" w:hAnsi="Times New Roman" w:eastAsia="TimesNewRomanPSMT" w:cs="Times New Roman"/>
                <w:color w:val="000000"/>
                <w:kern w:val="0"/>
                <w:sz w:val="24"/>
                <w:szCs w:val="24"/>
                <w:lang w:val="en-US" w:eastAsia="zh-CN" w:bidi="ar"/>
              </w:rPr>
              <w:t xml:space="preserve">1 </w:t>
            </w:r>
            <w:r>
              <w:rPr>
                <w:rFonts w:hint="default" w:ascii="Times New Roman" w:hAnsi="Times New Roman" w:eastAsia="宋体" w:cs="Times New Roman"/>
                <w:color w:val="000000"/>
                <w:kern w:val="0"/>
                <w:sz w:val="24"/>
                <w:szCs w:val="24"/>
                <w:lang w:val="en-US" w:eastAsia="zh-CN" w:bidi="ar"/>
              </w:rPr>
              <w:t>个监控中心，主要保证综合管廊建设可与道路建设同步进行，避免道路的反复施工，同时也为了完善主城区主次路网，为其他道路综合管廊的建设做准备工作</w:t>
            </w:r>
            <w:r>
              <w:rPr>
                <w:rFonts w:hint="eastAsia" w:ascii="Times New Roman" w:hAnsi="Times New Roman" w:eastAsia="宋体" w:cs="Times New Roman"/>
                <w:color w:val="000000"/>
                <w:kern w:val="0"/>
                <w:sz w:val="24"/>
                <w:szCs w:val="24"/>
                <w:lang w:val="en-US" w:eastAsia="zh-CN" w:bidi="ar"/>
              </w:rPr>
              <w:t>。</w:t>
            </w:r>
          </w:p>
          <w:p w14:paraId="3763881D">
            <w:pPr>
              <w:keepNext w:val="0"/>
              <w:keepLines w:val="0"/>
              <w:widowControl/>
              <w:suppressLineNumbers w:val="0"/>
              <w:ind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第二阶段：</w:t>
            </w:r>
            <w:r>
              <w:rPr>
                <w:rFonts w:hint="default" w:ascii="Times New Roman" w:hAnsi="Times New Roman" w:eastAsia="宋体" w:cs="Times New Roman"/>
                <w:color w:val="000000"/>
                <w:kern w:val="0"/>
                <w:sz w:val="24"/>
                <w:szCs w:val="24"/>
                <w:lang w:val="en-US" w:eastAsia="zh-CN" w:bidi="ar"/>
              </w:rPr>
              <w:t>主要实施芒市大街、西二环（</w:t>
            </w:r>
            <w:r>
              <w:rPr>
                <w:rFonts w:hint="eastAsia" w:ascii="Times New Roman" w:hAnsi="Times New Roman" w:eastAsia="宋体" w:cs="Times New Roman"/>
                <w:color w:val="000000"/>
                <w:kern w:val="0"/>
                <w:sz w:val="24"/>
                <w:szCs w:val="24"/>
                <w:lang w:val="en-US" w:eastAsia="zh-CN" w:bidi="ar"/>
              </w:rPr>
              <w:t>芒象路至</w:t>
            </w:r>
            <w:r>
              <w:rPr>
                <w:rFonts w:hint="default" w:ascii="Times New Roman" w:hAnsi="Times New Roman" w:eastAsia="宋体" w:cs="Times New Roman"/>
                <w:color w:val="000000"/>
                <w:kern w:val="0"/>
                <w:sz w:val="24"/>
                <w:szCs w:val="24"/>
                <w:lang w:val="en-US" w:eastAsia="zh-CN" w:bidi="ar"/>
              </w:rPr>
              <w:t>人保路）</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胞波路（西二环至</w:t>
            </w:r>
            <w:r>
              <w:rPr>
                <w:rFonts w:hint="eastAsia" w:ascii="Times New Roman" w:hAnsi="Times New Roman" w:eastAsia="宋体" w:cs="Times New Roman"/>
                <w:color w:val="000000"/>
                <w:kern w:val="0"/>
                <w:sz w:val="24"/>
                <w:szCs w:val="24"/>
                <w:lang w:val="en-US" w:eastAsia="zh-CN" w:bidi="ar"/>
              </w:rPr>
              <w:t>芒市</w:t>
            </w:r>
            <w:r>
              <w:rPr>
                <w:rFonts w:hint="default" w:ascii="Times New Roman" w:hAnsi="Times New Roman" w:eastAsia="宋体" w:cs="Times New Roman"/>
                <w:color w:val="000000"/>
                <w:kern w:val="0"/>
                <w:sz w:val="24"/>
                <w:szCs w:val="24"/>
                <w:lang w:val="en-US" w:eastAsia="zh-CN" w:bidi="ar"/>
              </w:rPr>
              <w:t xml:space="preserve">大街）综合管廊，为主城区地下管网连通提供保障。 </w:t>
            </w:r>
          </w:p>
          <w:p w14:paraId="5EC62F46">
            <w:pPr>
              <w:keepNext w:val="0"/>
              <w:keepLines w:val="0"/>
              <w:widowControl/>
              <w:numPr>
                <w:ilvl w:val="0"/>
                <w:numId w:val="3"/>
              </w:numPr>
              <w:suppressLineNumbers w:val="0"/>
              <w:ind w:left="0" w:leftChars="0" w:firstLine="0" w:firstLineChars="0"/>
              <w:jc w:val="both"/>
              <w:rPr>
                <w:rFonts w:hint="default"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环保投资</w:t>
            </w:r>
          </w:p>
          <w:p w14:paraId="04F829F0">
            <w:pPr>
              <w:keepNext w:val="0"/>
              <w:keepLines w:val="0"/>
              <w:widowControl/>
              <w:numPr>
                <w:ilvl w:val="0"/>
                <w:numId w:val="0"/>
              </w:numPr>
              <w:suppressLineNumbers w:val="0"/>
              <w:ind w:leftChars="0"/>
              <w:jc w:val="center"/>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表1-10 环保投资一览表</w:t>
            </w:r>
          </w:p>
          <w:tbl>
            <w:tblPr>
              <w:tblStyle w:val="10"/>
              <w:tblW w:w="86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3707"/>
              <w:gridCol w:w="2172"/>
              <w:gridCol w:w="2173"/>
            </w:tblGrid>
            <w:tr w14:paraId="406D7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14:paraId="68ECC724">
                  <w:pPr>
                    <w:keepNext w:val="0"/>
                    <w:keepLines w:val="0"/>
                    <w:widowControl/>
                    <w:numPr>
                      <w:ilvl w:val="0"/>
                      <w:numId w:val="0"/>
                    </w:numPr>
                    <w:suppressLineNumbers w:val="0"/>
                    <w:spacing w:line="240" w:lineRule="auto"/>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序号</w:t>
                  </w:r>
                </w:p>
              </w:tc>
              <w:tc>
                <w:tcPr>
                  <w:tcW w:w="3707" w:type="dxa"/>
                  <w:vAlign w:val="center"/>
                </w:tcPr>
                <w:p w14:paraId="50EEB941">
                  <w:pPr>
                    <w:keepNext w:val="0"/>
                    <w:keepLines w:val="0"/>
                    <w:widowControl/>
                    <w:numPr>
                      <w:ilvl w:val="0"/>
                      <w:numId w:val="0"/>
                    </w:numPr>
                    <w:suppressLineNumbers w:val="0"/>
                    <w:spacing w:line="240" w:lineRule="auto"/>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投资项目</w:t>
                  </w:r>
                </w:p>
              </w:tc>
              <w:tc>
                <w:tcPr>
                  <w:tcW w:w="2172" w:type="dxa"/>
                  <w:vAlign w:val="center"/>
                </w:tcPr>
                <w:p w14:paraId="2D441EB5">
                  <w:pPr>
                    <w:keepNext w:val="0"/>
                    <w:keepLines w:val="0"/>
                    <w:widowControl/>
                    <w:numPr>
                      <w:ilvl w:val="0"/>
                      <w:numId w:val="0"/>
                    </w:numPr>
                    <w:suppressLineNumbers w:val="0"/>
                    <w:spacing w:line="240" w:lineRule="auto"/>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单位</w:t>
                  </w:r>
                </w:p>
              </w:tc>
              <w:tc>
                <w:tcPr>
                  <w:tcW w:w="2173" w:type="dxa"/>
                  <w:vAlign w:val="center"/>
                </w:tcPr>
                <w:p w14:paraId="3AEF97D4">
                  <w:pPr>
                    <w:keepNext w:val="0"/>
                    <w:keepLines w:val="0"/>
                    <w:widowControl/>
                    <w:numPr>
                      <w:ilvl w:val="0"/>
                      <w:numId w:val="0"/>
                    </w:numPr>
                    <w:suppressLineNumbers w:val="0"/>
                    <w:spacing w:line="240" w:lineRule="auto"/>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投资</w:t>
                  </w:r>
                </w:p>
              </w:tc>
            </w:tr>
            <w:tr w14:paraId="693F8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14:paraId="70F54849">
                  <w:pPr>
                    <w:keepNext w:val="0"/>
                    <w:keepLines w:val="0"/>
                    <w:widowControl/>
                    <w:numPr>
                      <w:ilvl w:val="0"/>
                      <w:numId w:val="0"/>
                    </w:numPr>
                    <w:suppressLineNumbers w:val="0"/>
                    <w:spacing w:line="240" w:lineRule="auto"/>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1</w:t>
                  </w:r>
                </w:p>
              </w:tc>
              <w:tc>
                <w:tcPr>
                  <w:tcW w:w="3707" w:type="dxa"/>
                  <w:vAlign w:val="center"/>
                </w:tcPr>
                <w:p w14:paraId="4A905A76">
                  <w:pPr>
                    <w:keepNext w:val="0"/>
                    <w:keepLines w:val="0"/>
                    <w:widowControl/>
                    <w:numPr>
                      <w:ilvl w:val="0"/>
                      <w:numId w:val="0"/>
                    </w:numPr>
                    <w:suppressLineNumbers w:val="0"/>
                    <w:spacing w:line="240" w:lineRule="auto"/>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5m</w:t>
                  </w:r>
                  <w:r>
                    <w:rPr>
                      <w:rFonts w:hint="eastAsia" w:cs="Times New Roman"/>
                      <w:b w:val="0"/>
                      <w:bCs w:val="0"/>
                      <w:color w:val="000000"/>
                      <w:kern w:val="0"/>
                      <w:sz w:val="21"/>
                      <w:szCs w:val="21"/>
                      <w:vertAlign w:val="superscript"/>
                      <w:lang w:val="en-US" w:eastAsia="zh-CN" w:bidi="ar"/>
                    </w:rPr>
                    <w:t>3</w:t>
                  </w:r>
                  <w:r>
                    <w:rPr>
                      <w:rFonts w:hint="eastAsia" w:cs="Times New Roman"/>
                      <w:b w:val="0"/>
                      <w:bCs w:val="0"/>
                      <w:color w:val="000000"/>
                      <w:kern w:val="0"/>
                      <w:sz w:val="21"/>
                      <w:szCs w:val="21"/>
                      <w:vertAlign w:val="baseline"/>
                      <w:lang w:val="en-US" w:eastAsia="zh-CN" w:bidi="ar"/>
                    </w:rPr>
                    <w:t>临时沉砂池8个及水泵软管8套</w:t>
                  </w:r>
                </w:p>
              </w:tc>
              <w:tc>
                <w:tcPr>
                  <w:tcW w:w="2172" w:type="dxa"/>
                  <w:vAlign w:val="center"/>
                </w:tcPr>
                <w:p w14:paraId="06BE74F7">
                  <w:pPr>
                    <w:keepNext w:val="0"/>
                    <w:keepLines w:val="0"/>
                    <w:widowControl/>
                    <w:numPr>
                      <w:ilvl w:val="0"/>
                      <w:numId w:val="0"/>
                    </w:numPr>
                    <w:suppressLineNumbers w:val="0"/>
                    <w:spacing w:line="240" w:lineRule="auto"/>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万元</w:t>
                  </w:r>
                </w:p>
              </w:tc>
              <w:tc>
                <w:tcPr>
                  <w:tcW w:w="2173" w:type="dxa"/>
                  <w:vAlign w:val="center"/>
                </w:tcPr>
                <w:p w14:paraId="3EC44632">
                  <w:pPr>
                    <w:keepNext w:val="0"/>
                    <w:keepLines w:val="0"/>
                    <w:widowControl/>
                    <w:numPr>
                      <w:ilvl w:val="0"/>
                      <w:numId w:val="0"/>
                    </w:numPr>
                    <w:suppressLineNumbers w:val="0"/>
                    <w:spacing w:line="240" w:lineRule="auto"/>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30</w:t>
                  </w:r>
                </w:p>
              </w:tc>
            </w:tr>
            <w:tr w14:paraId="3431B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14:paraId="50551290">
                  <w:pPr>
                    <w:keepNext w:val="0"/>
                    <w:keepLines w:val="0"/>
                    <w:widowControl/>
                    <w:numPr>
                      <w:ilvl w:val="0"/>
                      <w:numId w:val="0"/>
                    </w:numPr>
                    <w:suppressLineNumbers w:val="0"/>
                    <w:spacing w:line="240" w:lineRule="auto"/>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2</w:t>
                  </w:r>
                </w:p>
              </w:tc>
              <w:tc>
                <w:tcPr>
                  <w:tcW w:w="3707" w:type="dxa"/>
                  <w:vAlign w:val="center"/>
                </w:tcPr>
                <w:p w14:paraId="07A93500">
                  <w:pPr>
                    <w:keepNext w:val="0"/>
                    <w:keepLines w:val="0"/>
                    <w:widowControl/>
                    <w:numPr>
                      <w:ilvl w:val="0"/>
                      <w:numId w:val="0"/>
                    </w:numPr>
                    <w:suppressLineNumbers w:val="0"/>
                    <w:spacing w:line="240" w:lineRule="auto"/>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围护2.5</w:t>
                  </w:r>
                  <w:r>
                    <w:rPr>
                      <w:rFonts w:hint="default" w:cs="Times New Roman"/>
                      <w:b w:val="0"/>
                      <w:bCs w:val="0"/>
                      <w:color w:val="000000"/>
                      <w:kern w:val="0"/>
                      <w:sz w:val="21"/>
                      <w:szCs w:val="21"/>
                      <w:vertAlign w:val="baseline"/>
                      <w:lang w:val="en-US" w:eastAsia="zh-CN" w:bidi="ar"/>
                    </w:rPr>
                    <w:t>m，考虑到本项目各施工时间分段围挡可以重复用故年最长施工长度计算按15km</w:t>
                  </w:r>
                </w:p>
              </w:tc>
              <w:tc>
                <w:tcPr>
                  <w:tcW w:w="2172" w:type="dxa"/>
                  <w:vAlign w:val="center"/>
                </w:tcPr>
                <w:p w14:paraId="520D418E">
                  <w:pPr>
                    <w:keepNext w:val="0"/>
                    <w:keepLines w:val="0"/>
                    <w:widowControl/>
                    <w:numPr>
                      <w:ilvl w:val="0"/>
                      <w:numId w:val="0"/>
                    </w:numPr>
                    <w:suppressLineNumbers w:val="0"/>
                    <w:spacing w:line="240" w:lineRule="auto"/>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万元</w:t>
                  </w:r>
                </w:p>
              </w:tc>
              <w:tc>
                <w:tcPr>
                  <w:tcW w:w="2173" w:type="dxa"/>
                  <w:vAlign w:val="center"/>
                </w:tcPr>
                <w:p w14:paraId="3C233202">
                  <w:pPr>
                    <w:keepNext w:val="0"/>
                    <w:keepLines w:val="0"/>
                    <w:widowControl/>
                    <w:numPr>
                      <w:ilvl w:val="0"/>
                      <w:numId w:val="0"/>
                    </w:numPr>
                    <w:suppressLineNumbers w:val="0"/>
                    <w:spacing w:line="240" w:lineRule="auto"/>
                    <w:ind w:left="0" w:leftChars="0" w:firstLine="0" w:firstLineChars="0"/>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98</w:t>
                  </w:r>
                </w:p>
              </w:tc>
            </w:tr>
            <w:tr w14:paraId="1A5E1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14:paraId="49BA0991">
                  <w:pPr>
                    <w:keepNext w:val="0"/>
                    <w:keepLines w:val="0"/>
                    <w:widowControl/>
                    <w:numPr>
                      <w:ilvl w:val="0"/>
                      <w:numId w:val="0"/>
                    </w:numPr>
                    <w:suppressLineNumbers w:val="0"/>
                    <w:spacing w:line="240" w:lineRule="auto"/>
                    <w:ind w:left="0" w:leftChars="0" w:firstLine="0" w:firstLineChars="0"/>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3</w:t>
                  </w:r>
                </w:p>
              </w:tc>
              <w:tc>
                <w:tcPr>
                  <w:tcW w:w="3707" w:type="dxa"/>
                  <w:vAlign w:val="center"/>
                </w:tcPr>
                <w:p w14:paraId="1171F5AD">
                  <w:pPr>
                    <w:keepNext w:val="0"/>
                    <w:keepLines w:val="0"/>
                    <w:widowControl/>
                    <w:numPr>
                      <w:ilvl w:val="0"/>
                      <w:numId w:val="0"/>
                    </w:numPr>
                    <w:suppressLineNumbers w:val="0"/>
                    <w:spacing w:line="240" w:lineRule="auto"/>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施工期洒水降尘</w:t>
                  </w:r>
                </w:p>
              </w:tc>
              <w:tc>
                <w:tcPr>
                  <w:tcW w:w="2172" w:type="dxa"/>
                  <w:vAlign w:val="center"/>
                </w:tcPr>
                <w:p w14:paraId="67C66FFE">
                  <w:pPr>
                    <w:keepNext w:val="0"/>
                    <w:keepLines w:val="0"/>
                    <w:widowControl/>
                    <w:numPr>
                      <w:ilvl w:val="0"/>
                      <w:numId w:val="0"/>
                    </w:numPr>
                    <w:suppressLineNumbers w:val="0"/>
                    <w:spacing w:line="240" w:lineRule="auto"/>
                    <w:jc w:val="center"/>
                    <w:rPr>
                      <w:rFonts w:hint="eastAsia"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万元</w:t>
                  </w:r>
                </w:p>
              </w:tc>
              <w:tc>
                <w:tcPr>
                  <w:tcW w:w="2173" w:type="dxa"/>
                  <w:vAlign w:val="center"/>
                </w:tcPr>
                <w:p w14:paraId="150D7FE3">
                  <w:pPr>
                    <w:keepNext w:val="0"/>
                    <w:keepLines w:val="0"/>
                    <w:widowControl/>
                    <w:numPr>
                      <w:ilvl w:val="0"/>
                      <w:numId w:val="0"/>
                    </w:numPr>
                    <w:suppressLineNumbers w:val="0"/>
                    <w:spacing w:line="240" w:lineRule="auto"/>
                    <w:ind w:left="0" w:leftChars="0" w:firstLine="0" w:firstLineChars="0"/>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20</w:t>
                  </w:r>
                </w:p>
              </w:tc>
            </w:tr>
            <w:tr w14:paraId="039ED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14:paraId="7AAD3C34">
                  <w:pPr>
                    <w:keepNext w:val="0"/>
                    <w:keepLines w:val="0"/>
                    <w:widowControl/>
                    <w:numPr>
                      <w:ilvl w:val="0"/>
                      <w:numId w:val="0"/>
                    </w:numPr>
                    <w:suppressLineNumbers w:val="0"/>
                    <w:spacing w:line="240" w:lineRule="auto"/>
                    <w:ind w:left="0" w:leftChars="0" w:firstLine="0" w:firstLineChars="0"/>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4</w:t>
                  </w:r>
                </w:p>
              </w:tc>
              <w:tc>
                <w:tcPr>
                  <w:tcW w:w="3707" w:type="dxa"/>
                  <w:vAlign w:val="center"/>
                </w:tcPr>
                <w:p w14:paraId="48075199">
                  <w:pPr>
                    <w:keepNext w:val="0"/>
                    <w:keepLines w:val="0"/>
                    <w:widowControl/>
                    <w:numPr>
                      <w:ilvl w:val="0"/>
                      <w:numId w:val="0"/>
                    </w:numPr>
                    <w:suppressLineNumbers w:val="0"/>
                    <w:spacing w:line="240" w:lineRule="auto"/>
                    <w:jc w:val="center"/>
                    <w:rPr>
                      <w:rFonts w:hint="default" w:cs="Times New Roman"/>
                      <w:b w:val="0"/>
                      <w:bCs w:val="0"/>
                      <w:color w:val="000000"/>
                      <w:kern w:val="0"/>
                      <w:sz w:val="21"/>
                      <w:szCs w:val="21"/>
                      <w:vertAlign w:val="baseline"/>
                      <w:lang w:val="en-US" w:eastAsia="zh-CN" w:bidi="ar"/>
                    </w:rPr>
                  </w:pPr>
                  <w:r>
                    <w:rPr>
                      <w:rFonts w:hint="default" w:cs="Times New Roman"/>
                      <w:b w:val="0"/>
                      <w:bCs w:val="0"/>
                      <w:color w:val="000000"/>
                      <w:kern w:val="0"/>
                      <w:sz w:val="21"/>
                      <w:szCs w:val="21"/>
                      <w:vertAlign w:val="baseline"/>
                      <w:lang w:val="en-US" w:eastAsia="zh-CN" w:bidi="ar"/>
                    </w:rPr>
                    <w:t>车辆密封油布</w:t>
                  </w:r>
                </w:p>
              </w:tc>
              <w:tc>
                <w:tcPr>
                  <w:tcW w:w="2172" w:type="dxa"/>
                  <w:vAlign w:val="center"/>
                </w:tcPr>
                <w:p w14:paraId="72AC8536">
                  <w:pPr>
                    <w:keepNext w:val="0"/>
                    <w:keepLines w:val="0"/>
                    <w:widowControl/>
                    <w:numPr>
                      <w:ilvl w:val="0"/>
                      <w:numId w:val="0"/>
                    </w:numPr>
                    <w:suppressLineNumbers w:val="0"/>
                    <w:spacing w:line="240" w:lineRule="auto"/>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万元</w:t>
                  </w:r>
                </w:p>
              </w:tc>
              <w:tc>
                <w:tcPr>
                  <w:tcW w:w="2173" w:type="dxa"/>
                  <w:vAlign w:val="center"/>
                </w:tcPr>
                <w:p w14:paraId="65EA921A">
                  <w:pPr>
                    <w:keepNext w:val="0"/>
                    <w:keepLines w:val="0"/>
                    <w:widowControl/>
                    <w:numPr>
                      <w:ilvl w:val="0"/>
                      <w:numId w:val="0"/>
                    </w:numPr>
                    <w:suppressLineNumbers w:val="0"/>
                    <w:spacing w:line="240" w:lineRule="auto"/>
                    <w:ind w:left="0" w:leftChars="0" w:firstLine="0" w:firstLineChars="0"/>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8</w:t>
                  </w:r>
                </w:p>
              </w:tc>
            </w:tr>
            <w:tr w14:paraId="0DE3E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14:paraId="7664FF34">
                  <w:pPr>
                    <w:keepNext w:val="0"/>
                    <w:keepLines w:val="0"/>
                    <w:widowControl/>
                    <w:numPr>
                      <w:ilvl w:val="0"/>
                      <w:numId w:val="0"/>
                    </w:numPr>
                    <w:suppressLineNumbers w:val="0"/>
                    <w:spacing w:line="240" w:lineRule="auto"/>
                    <w:ind w:left="0" w:leftChars="0" w:firstLine="0" w:firstLineChars="0"/>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5</w:t>
                  </w:r>
                </w:p>
              </w:tc>
              <w:tc>
                <w:tcPr>
                  <w:tcW w:w="3707" w:type="dxa"/>
                  <w:vAlign w:val="center"/>
                </w:tcPr>
                <w:p w14:paraId="2CEB90DD">
                  <w:pPr>
                    <w:keepNext w:val="0"/>
                    <w:keepLines w:val="0"/>
                    <w:widowControl/>
                    <w:numPr>
                      <w:ilvl w:val="0"/>
                      <w:numId w:val="0"/>
                    </w:numPr>
                    <w:suppressLineNumbers w:val="0"/>
                    <w:spacing w:line="240" w:lineRule="auto"/>
                    <w:jc w:val="center"/>
                    <w:rPr>
                      <w:rFonts w:hint="default" w:cs="Times New Roman"/>
                      <w:b w:val="0"/>
                      <w:bCs w:val="0"/>
                      <w:color w:val="000000"/>
                      <w:kern w:val="0"/>
                      <w:sz w:val="21"/>
                      <w:szCs w:val="21"/>
                      <w:vertAlign w:val="baseline"/>
                      <w:lang w:val="en-US" w:eastAsia="zh-CN" w:bidi="ar"/>
                    </w:rPr>
                  </w:pPr>
                  <w:r>
                    <w:rPr>
                      <w:rFonts w:hint="default" w:cs="Times New Roman"/>
                      <w:b w:val="0"/>
                      <w:bCs w:val="0"/>
                      <w:color w:val="000000"/>
                      <w:kern w:val="0"/>
                      <w:sz w:val="21"/>
                      <w:szCs w:val="21"/>
                      <w:vertAlign w:val="baseline"/>
                      <w:lang w:val="en-US" w:eastAsia="zh-CN" w:bidi="ar"/>
                    </w:rPr>
                    <w:t>施工场地遮盖油布</w:t>
                  </w:r>
                </w:p>
              </w:tc>
              <w:tc>
                <w:tcPr>
                  <w:tcW w:w="2172" w:type="dxa"/>
                  <w:vAlign w:val="center"/>
                </w:tcPr>
                <w:p w14:paraId="73687BEE">
                  <w:pPr>
                    <w:keepNext w:val="0"/>
                    <w:keepLines w:val="0"/>
                    <w:widowControl/>
                    <w:numPr>
                      <w:ilvl w:val="0"/>
                      <w:numId w:val="0"/>
                    </w:numPr>
                    <w:suppressLineNumbers w:val="0"/>
                    <w:spacing w:line="240" w:lineRule="auto"/>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万元</w:t>
                  </w:r>
                </w:p>
              </w:tc>
              <w:tc>
                <w:tcPr>
                  <w:tcW w:w="2173" w:type="dxa"/>
                  <w:vAlign w:val="center"/>
                </w:tcPr>
                <w:p w14:paraId="7C34BCC3">
                  <w:pPr>
                    <w:keepNext w:val="0"/>
                    <w:keepLines w:val="0"/>
                    <w:widowControl/>
                    <w:numPr>
                      <w:ilvl w:val="0"/>
                      <w:numId w:val="0"/>
                    </w:numPr>
                    <w:suppressLineNumbers w:val="0"/>
                    <w:spacing w:line="240" w:lineRule="auto"/>
                    <w:ind w:left="0" w:leftChars="0" w:firstLine="0" w:firstLineChars="0"/>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9</w:t>
                  </w:r>
                </w:p>
              </w:tc>
            </w:tr>
            <w:tr w14:paraId="2DE0A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14:paraId="3B24230E">
                  <w:pPr>
                    <w:keepNext w:val="0"/>
                    <w:keepLines w:val="0"/>
                    <w:widowControl/>
                    <w:numPr>
                      <w:ilvl w:val="0"/>
                      <w:numId w:val="0"/>
                    </w:numPr>
                    <w:suppressLineNumbers w:val="0"/>
                    <w:spacing w:line="240" w:lineRule="auto"/>
                    <w:ind w:left="0" w:leftChars="0" w:firstLine="0" w:firstLineChars="0"/>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6</w:t>
                  </w:r>
                </w:p>
              </w:tc>
              <w:tc>
                <w:tcPr>
                  <w:tcW w:w="3707" w:type="dxa"/>
                  <w:vAlign w:val="center"/>
                </w:tcPr>
                <w:p w14:paraId="6F281161">
                  <w:pPr>
                    <w:keepNext w:val="0"/>
                    <w:keepLines w:val="0"/>
                    <w:widowControl/>
                    <w:numPr>
                      <w:ilvl w:val="0"/>
                      <w:numId w:val="0"/>
                    </w:numPr>
                    <w:suppressLineNumbers w:val="0"/>
                    <w:spacing w:line="240" w:lineRule="auto"/>
                    <w:jc w:val="center"/>
                    <w:rPr>
                      <w:rFonts w:hint="default" w:cs="Times New Roman"/>
                      <w:b w:val="0"/>
                      <w:bCs w:val="0"/>
                      <w:color w:val="000000"/>
                      <w:kern w:val="0"/>
                      <w:sz w:val="21"/>
                      <w:szCs w:val="21"/>
                      <w:vertAlign w:val="baseline"/>
                      <w:lang w:val="en-US" w:eastAsia="zh-CN" w:bidi="ar"/>
                    </w:rPr>
                  </w:pPr>
                  <w:r>
                    <w:rPr>
                      <w:rFonts w:hint="default" w:cs="Times New Roman"/>
                      <w:b w:val="0"/>
                      <w:bCs w:val="0"/>
                      <w:color w:val="000000"/>
                      <w:kern w:val="0"/>
                      <w:sz w:val="21"/>
                      <w:szCs w:val="21"/>
                      <w:vertAlign w:val="baseline"/>
                      <w:lang w:val="en-US" w:eastAsia="zh-CN" w:bidi="ar"/>
                    </w:rPr>
                    <w:t>场地车辆轮胎清洗池</w:t>
                  </w:r>
                </w:p>
              </w:tc>
              <w:tc>
                <w:tcPr>
                  <w:tcW w:w="2172" w:type="dxa"/>
                  <w:vAlign w:val="center"/>
                </w:tcPr>
                <w:p w14:paraId="5A6D73E6">
                  <w:pPr>
                    <w:keepNext w:val="0"/>
                    <w:keepLines w:val="0"/>
                    <w:widowControl/>
                    <w:numPr>
                      <w:ilvl w:val="0"/>
                      <w:numId w:val="0"/>
                    </w:numPr>
                    <w:suppressLineNumbers w:val="0"/>
                    <w:spacing w:line="240" w:lineRule="auto"/>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万元</w:t>
                  </w:r>
                </w:p>
              </w:tc>
              <w:tc>
                <w:tcPr>
                  <w:tcW w:w="2173" w:type="dxa"/>
                  <w:vAlign w:val="center"/>
                </w:tcPr>
                <w:p w14:paraId="31A3941D">
                  <w:pPr>
                    <w:keepNext w:val="0"/>
                    <w:keepLines w:val="0"/>
                    <w:widowControl/>
                    <w:numPr>
                      <w:ilvl w:val="0"/>
                      <w:numId w:val="0"/>
                    </w:numPr>
                    <w:suppressLineNumbers w:val="0"/>
                    <w:spacing w:line="240" w:lineRule="auto"/>
                    <w:ind w:left="0" w:leftChars="0" w:firstLine="0" w:firstLineChars="0"/>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10</w:t>
                  </w:r>
                </w:p>
              </w:tc>
            </w:tr>
            <w:tr w14:paraId="1D640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14:paraId="3659B564">
                  <w:pPr>
                    <w:keepNext w:val="0"/>
                    <w:keepLines w:val="0"/>
                    <w:widowControl/>
                    <w:numPr>
                      <w:ilvl w:val="0"/>
                      <w:numId w:val="0"/>
                    </w:numPr>
                    <w:suppressLineNumbers w:val="0"/>
                    <w:spacing w:line="240" w:lineRule="auto"/>
                    <w:ind w:left="0" w:leftChars="0" w:firstLine="0" w:firstLineChars="0"/>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7</w:t>
                  </w:r>
                </w:p>
              </w:tc>
              <w:tc>
                <w:tcPr>
                  <w:tcW w:w="3707" w:type="dxa"/>
                  <w:vAlign w:val="center"/>
                </w:tcPr>
                <w:p w14:paraId="2D9245DD">
                  <w:pPr>
                    <w:keepNext w:val="0"/>
                    <w:keepLines w:val="0"/>
                    <w:widowControl/>
                    <w:numPr>
                      <w:ilvl w:val="0"/>
                      <w:numId w:val="0"/>
                    </w:numPr>
                    <w:suppressLineNumbers w:val="0"/>
                    <w:spacing w:line="240" w:lineRule="auto"/>
                    <w:jc w:val="center"/>
                    <w:rPr>
                      <w:rFonts w:hint="default" w:cs="Times New Roman"/>
                      <w:b w:val="0"/>
                      <w:bCs w:val="0"/>
                      <w:color w:val="000000"/>
                      <w:kern w:val="0"/>
                      <w:sz w:val="21"/>
                      <w:szCs w:val="21"/>
                      <w:vertAlign w:val="baseline"/>
                      <w:lang w:val="en-US" w:eastAsia="zh-CN" w:bidi="ar"/>
                    </w:rPr>
                  </w:pPr>
                  <w:r>
                    <w:rPr>
                      <w:rFonts w:hint="default" w:cs="Times New Roman"/>
                      <w:b w:val="0"/>
                      <w:bCs w:val="0"/>
                      <w:color w:val="000000"/>
                      <w:kern w:val="0"/>
                      <w:sz w:val="21"/>
                      <w:szCs w:val="21"/>
                      <w:vertAlign w:val="baseline"/>
                      <w:lang w:val="en-US" w:eastAsia="zh-CN" w:bidi="ar"/>
                    </w:rPr>
                    <w:t>固废收集桶施工时间分段垃圾桶可重复用</w:t>
                  </w:r>
                </w:p>
              </w:tc>
              <w:tc>
                <w:tcPr>
                  <w:tcW w:w="2172" w:type="dxa"/>
                  <w:vAlign w:val="center"/>
                </w:tcPr>
                <w:p w14:paraId="0B4C0342">
                  <w:pPr>
                    <w:keepNext w:val="0"/>
                    <w:keepLines w:val="0"/>
                    <w:widowControl/>
                    <w:numPr>
                      <w:ilvl w:val="0"/>
                      <w:numId w:val="0"/>
                    </w:numPr>
                    <w:suppressLineNumbers w:val="0"/>
                    <w:spacing w:line="240" w:lineRule="auto"/>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万元</w:t>
                  </w:r>
                </w:p>
              </w:tc>
              <w:tc>
                <w:tcPr>
                  <w:tcW w:w="2173" w:type="dxa"/>
                  <w:vAlign w:val="center"/>
                </w:tcPr>
                <w:p w14:paraId="52007D3C">
                  <w:pPr>
                    <w:keepNext w:val="0"/>
                    <w:keepLines w:val="0"/>
                    <w:widowControl/>
                    <w:numPr>
                      <w:ilvl w:val="0"/>
                      <w:numId w:val="0"/>
                    </w:numPr>
                    <w:suppressLineNumbers w:val="0"/>
                    <w:spacing w:line="240" w:lineRule="auto"/>
                    <w:ind w:left="0" w:leftChars="0" w:firstLine="0" w:firstLineChars="0"/>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1</w:t>
                  </w:r>
                </w:p>
              </w:tc>
            </w:tr>
            <w:tr w14:paraId="593BA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14:paraId="7B64FDB7">
                  <w:pPr>
                    <w:keepNext w:val="0"/>
                    <w:keepLines w:val="0"/>
                    <w:widowControl/>
                    <w:numPr>
                      <w:ilvl w:val="0"/>
                      <w:numId w:val="0"/>
                    </w:numPr>
                    <w:suppressLineNumbers w:val="0"/>
                    <w:spacing w:line="240" w:lineRule="auto"/>
                    <w:ind w:left="0" w:leftChars="0" w:firstLine="0" w:firstLineChars="0"/>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8</w:t>
                  </w:r>
                </w:p>
              </w:tc>
              <w:tc>
                <w:tcPr>
                  <w:tcW w:w="3707" w:type="dxa"/>
                  <w:vAlign w:val="center"/>
                </w:tcPr>
                <w:p w14:paraId="01AFC55A">
                  <w:pPr>
                    <w:keepNext w:val="0"/>
                    <w:keepLines w:val="0"/>
                    <w:widowControl/>
                    <w:numPr>
                      <w:ilvl w:val="0"/>
                      <w:numId w:val="0"/>
                    </w:numPr>
                    <w:suppressLineNumbers w:val="0"/>
                    <w:spacing w:line="240" w:lineRule="auto"/>
                    <w:jc w:val="center"/>
                    <w:rPr>
                      <w:rFonts w:hint="default" w:cs="Times New Roman"/>
                      <w:b w:val="0"/>
                      <w:bCs w:val="0"/>
                      <w:color w:val="000000"/>
                      <w:kern w:val="0"/>
                      <w:sz w:val="21"/>
                      <w:szCs w:val="21"/>
                      <w:vertAlign w:val="baseline"/>
                      <w:lang w:val="en-US" w:eastAsia="zh-CN" w:bidi="ar"/>
                    </w:rPr>
                  </w:pPr>
                  <w:r>
                    <w:rPr>
                      <w:rFonts w:hint="default" w:cs="Times New Roman"/>
                      <w:b w:val="0"/>
                      <w:bCs w:val="0"/>
                      <w:color w:val="000000"/>
                      <w:kern w:val="0"/>
                      <w:sz w:val="21"/>
                      <w:szCs w:val="21"/>
                      <w:vertAlign w:val="baseline"/>
                      <w:lang w:val="en-US" w:eastAsia="zh-CN" w:bidi="ar"/>
                    </w:rPr>
                    <w:t>施工区禁鸣限速牌</w:t>
                  </w:r>
                </w:p>
              </w:tc>
              <w:tc>
                <w:tcPr>
                  <w:tcW w:w="2172" w:type="dxa"/>
                  <w:vAlign w:val="center"/>
                </w:tcPr>
                <w:p w14:paraId="6AE5F02C">
                  <w:pPr>
                    <w:keepNext w:val="0"/>
                    <w:keepLines w:val="0"/>
                    <w:widowControl/>
                    <w:numPr>
                      <w:ilvl w:val="0"/>
                      <w:numId w:val="0"/>
                    </w:numPr>
                    <w:suppressLineNumbers w:val="0"/>
                    <w:spacing w:line="240" w:lineRule="auto"/>
                    <w:jc w:val="center"/>
                    <w:rPr>
                      <w:rFonts w:hint="eastAsia"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万元</w:t>
                  </w:r>
                </w:p>
              </w:tc>
              <w:tc>
                <w:tcPr>
                  <w:tcW w:w="2173" w:type="dxa"/>
                  <w:vAlign w:val="center"/>
                </w:tcPr>
                <w:p w14:paraId="2BA5AA5D">
                  <w:pPr>
                    <w:keepNext w:val="0"/>
                    <w:keepLines w:val="0"/>
                    <w:widowControl/>
                    <w:numPr>
                      <w:ilvl w:val="0"/>
                      <w:numId w:val="0"/>
                    </w:numPr>
                    <w:suppressLineNumbers w:val="0"/>
                    <w:spacing w:line="240" w:lineRule="auto"/>
                    <w:ind w:left="0" w:leftChars="0" w:firstLine="0" w:firstLineChars="0"/>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2.5</w:t>
                  </w:r>
                </w:p>
              </w:tc>
            </w:tr>
            <w:tr w14:paraId="34661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14:paraId="3E2BCF8A">
                  <w:pPr>
                    <w:keepNext w:val="0"/>
                    <w:keepLines w:val="0"/>
                    <w:widowControl/>
                    <w:numPr>
                      <w:ilvl w:val="0"/>
                      <w:numId w:val="0"/>
                    </w:numPr>
                    <w:suppressLineNumbers w:val="0"/>
                    <w:spacing w:line="240" w:lineRule="auto"/>
                    <w:ind w:left="0" w:leftChars="0" w:firstLine="0" w:firstLineChars="0"/>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9</w:t>
                  </w:r>
                </w:p>
              </w:tc>
              <w:tc>
                <w:tcPr>
                  <w:tcW w:w="3707" w:type="dxa"/>
                  <w:vAlign w:val="center"/>
                </w:tcPr>
                <w:p w14:paraId="7C12B3F0">
                  <w:pPr>
                    <w:keepNext w:val="0"/>
                    <w:keepLines w:val="0"/>
                    <w:widowControl/>
                    <w:numPr>
                      <w:ilvl w:val="0"/>
                      <w:numId w:val="0"/>
                    </w:numPr>
                    <w:suppressLineNumbers w:val="0"/>
                    <w:spacing w:line="240" w:lineRule="auto"/>
                    <w:jc w:val="center"/>
                    <w:rPr>
                      <w:rFonts w:hint="default" w:cs="Times New Roman"/>
                      <w:b w:val="0"/>
                      <w:bCs w:val="0"/>
                      <w:color w:val="000000"/>
                      <w:kern w:val="0"/>
                      <w:sz w:val="21"/>
                      <w:szCs w:val="21"/>
                      <w:vertAlign w:val="baseline"/>
                      <w:lang w:val="en-US" w:eastAsia="zh-CN" w:bidi="ar"/>
                    </w:rPr>
                  </w:pPr>
                  <w:r>
                    <w:rPr>
                      <w:rFonts w:hint="default" w:cs="Times New Roman"/>
                      <w:b w:val="0"/>
                      <w:bCs w:val="0"/>
                      <w:color w:val="000000"/>
                      <w:kern w:val="0"/>
                      <w:sz w:val="21"/>
                      <w:szCs w:val="21"/>
                      <w:vertAlign w:val="baseline"/>
                      <w:lang w:val="en-US" w:eastAsia="zh-CN" w:bidi="ar"/>
                    </w:rPr>
                    <w:t>绿化带恢复</w:t>
                  </w:r>
                </w:p>
              </w:tc>
              <w:tc>
                <w:tcPr>
                  <w:tcW w:w="2172" w:type="dxa"/>
                  <w:vAlign w:val="center"/>
                </w:tcPr>
                <w:p w14:paraId="60F6F7F3">
                  <w:pPr>
                    <w:keepNext w:val="0"/>
                    <w:keepLines w:val="0"/>
                    <w:widowControl/>
                    <w:numPr>
                      <w:ilvl w:val="0"/>
                      <w:numId w:val="0"/>
                    </w:numPr>
                    <w:suppressLineNumbers w:val="0"/>
                    <w:spacing w:line="240" w:lineRule="auto"/>
                    <w:jc w:val="center"/>
                    <w:rPr>
                      <w:rFonts w:hint="eastAsia"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万元</w:t>
                  </w:r>
                </w:p>
              </w:tc>
              <w:tc>
                <w:tcPr>
                  <w:tcW w:w="2173" w:type="dxa"/>
                  <w:vAlign w:val="center"/>
                </w:tcPr>
                <w:p w14:paraId="447824F4">
                  <w:pPr>
                    <w:keepNext w:val="0"/>
                    <w:keepLines w:val="0"/>
                    <w:widowControl/>
                    <w:numPr>
                      <w:ilvl w:val="0"/>
                      <w:numId w:val="0"/>
                    </w:numPr>
                    <w:suppressLineNumbers w:val="0"/>
                    <w:spacing w:line="240" w:lineRule="auto"/>
                    <w:ind w:left="0" w:leftChars="0" w:firstLine="0" w:firstLineChars="0"/>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500</w:t>
                  </w:r>
                </w:p>
              </w:tc>
            </w:tr>
            <w:tr w14:paraId="4DA88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14:paraId="563057F5">
                  <w:pPr>
                    <w:keepNext w:val="0"/>
                    <w:keepLines w:val="0"/>
                    <w:widowControl/>
                    <w:numPr>
                      <w:ilvl w:val="0"/>
                      <w:numId w:val="0"/>
                    </w:numPr>
                    <w:suppressLineNumbers w:val="0"/>
                    <w:spacing w:line="240" w:lineRule="auto"/>
                    <w:ind w:left="0" w:leftChars="0" w:firstLine="0" w:firstLineChars="0"/>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10</w:t>
                  </w:r>
                </w:p>
              </w:tc>
              <w:tc>
                <w:tcPr>
                  <w:tcW w:w="3707" w:type="dxa"/>
                  <w:vAlign w:val="center"/>
                </w:tcPr>
                <w:p w14:paraId="06CC26E0">
                  <w:pPr>
                    <w:keepNext w:val="0"/>
                    <w:keepLines w:val="0"/>
                    <w:widowControl/>
                    <w:numPr>
                      <w:ilvl w:val="0"/>
                      <w:numId w:val="0"/>
                    </w:numPr>
                    <w:suppressLineNumbers w:val="0"/>
                    <w:spacing w:line="240" w:lineRule="auto"/>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弃方外运</w:t>
                  </w:r>
                </w:p>
              </w:tc>
              <w:tc>
                <w:tcPr>
                  <w:tcW w:w="2172" w:type="dxa"/>
                  <w:vAlign w:val="center"/>
                </w:tcPr>
                <w:p w14:paraId="1CE803C0">
                  <w:pPr>
                    <w:keepNext w:val="0"/>
                    <w:keepLines w:val="0"/>
                    <w:widowControl/>
                    <w:numPr>
                      <w:ilvl w:val="0"/>
                      <w:numId w:val="0"/>
                    </w:numPr>
                    <w:suppressLineNumbers w:val="0"/>
                    <w:spacing w:line="240" w:lineRule="auto"/>
                    <w:jc w:val="center"/>
                    <w:rPr>
                      <w:rFonts w:hint="eastAsia"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万元</w:t>
                  </w:r>
                </w:p>
              </w:tc>
              <w:tc>
                <w:tcPr>
                  <w:tcW w:w="2173" w:type="dxa"/>
                  <w:vAlign w:val="center"/>
                </w:tcPr>
                <w:p w14:paraId="34E271B7">
                  <w:pPr>
                    <w:keepNext w:val="0"/>
                    <w:keepLines w:val="0"/>
                    <w:widowControl/>
                    <w:numPr>
                      <w:ilvl w:val="0"/>
                      <w:numId w:val="0"/>
                    </w:numPr>
                    <w:suppressLineNumbers w:val="0"/>
                    <w:spacing w:line="240" w:lineRule="auto"/>
                    <w:ind w:left="0" w:leftChars="0" w:firstLine="0" w:firstLineChars="0"/>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50</w:t>
                  </w:r>
                </w:p>
              </w:tc>
            </w:tr>
            <w:tr w14:paraId="705CE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 w:type="dxa"/>
                  <w:vAlign w:val="center"/>
                </w:tcPr>
                <w:p w14:paraId="16B1F134">
                  <w:pPr>
                    <w:keepNext w:val="0"/>
                    <w:keepLines w:val="0"/>
                    <w:widowControl/>
                    <w:numPr>
                      <w:ilvl w:val="0"/>
                      <w:numId w:val="0"/>
                    </w:numPr>
                    <w:suppressLineNumbers w:val="0"/>
                    <w:spacing w:line="240" w:lineRule="auto"/>
                    <w:ind w:left="0" w:leftChars="0" w:firstLine="0" w:firstLineChars="0"/>
                    <w:jc w:val="center"/>
                    <w:rPr>
                      <w:rFonts w:hint="eastAsia" w:cs="Times New Roman"/>
                      <w:b w:val="0"/>
                      <w:bCs w:val="0"/>
                      <w:color w:val="000000"/>
                      <w:kern w:val="0"/>
                      <w:sz w:val="21"/>
                      <w:szCs w:val="21"/>
                      <w:vertAlign w:val="baseline"/>
                      <w:lang w:val="en-US" w:eastAsia="zh-CN" w:bidi="ar"/>
                    </w:rPr>
                  </w:pPr>
                </w:p>
              </w:tc>
              <w:tc>
                <w:tcPr>
                  <w:tcW w:w="3707" w:type="dxa"/>
                  <w:vAlign w:val="center"/>
                </w:tcPr>
                <w:p w14:paraId="406A956B">
                  <w:pPr>
                    <w:keepNext w:val="0"/>
                    <w:keepLines w:val="0"/>
                    <w:widowControl/>
                    <w:numPr>
                      <w:ilvl w:val="0"/>
                      <w:numId w:val="0"/>
                    </w:numPr>
                    <w:suppressLineNumbers w:val="0"/>
                    <w:spacing w:line="240" w:lineRule="auto"/>
                    <w:jc w:val="center"/>
                    <w:rPr>
                      <w:rFonts w:hint="eastAsia"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合计</w:t>
                  </w:r>
                </w:p>
              </w:tc>
              <w:tc>
                <w:tcPr>
                  <w:tcW w:w="2172" w:type="dxa"/>
                  <w:vAlign w:val="center"/>
                </w:tcPr>
                <w:p w14:paraId="77347CCE">
                  <w:pPr>
                    <w:keepNext w:val="0"/>
                    <w:keepLines w:val="0"/>
                    <w:widowControl/>
                    <w:numPr>
                      <w:ilvl w:val="0"/>
                      <w:numId w:val="0"/>
                    </w:numPr>
                    <w:suppressLineNumbers w:val="0"/>
                    <w:spacing w:line="240" w:lineRule="auto"/>
                    <w:jc w:val="center"/>
                    <w:rPr>
                      <w:rFonts w:hint="eastAsia"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万元</w:t>
                  </w:r>
                </w:p>
              </w:tc>
              <w:tc>
                <w:tcPr>
                  <w:tcW w:w="2173" w:type="dxa"/>
                  <w:vAlign w:val="center"/>
                </w:tcPr>
                <w:p w14:paraId="15DF27FA">
                  <w:pPr>
                    <w:keepNext w:val="0"/>
                    <w:keepLines w:val="0"/>
                    <w:widowControl/>
                    <w:numPr>
                      <w:ilvl w:val="0"/>
                      <w:numId w:val="0"/>
                    </w:numPr>
                    <w:suppressLineNumbers w:val="0"/>
                    <w:spacing w:line="240" w:lineRule="auto"/>
                    <w:ind w:left="0" w:leftChars="0" w:firstLine="0" w:firstLineChars="0"/>
                    <w:jc w:val="center"/>
                    <w:rPr>
                      <w:rFonts w:hint="default"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728.5</w:t>
                  </w:r>
                </w:p>
              </w:tc>
            </w:tr>
          </w:tbl>
          <w:p w14:paraId="723CA410">
            <w:pPr>
              <w:keepNext w:val="0"/>
              <w:keepLines w:val="0"/>
              <w:widowControl/>
              <w:numPr>
                <w:ilvl w:val="0"/>
                <w:numId w:val="0"/>
              </w:numPr>
              <w:suppressLineNumbers w:val="0"/>
              <w:ind w:leftChars="0"/>
              <w:jc w:val="both"/>
              <w:rPr>
                <w:rFonts w:hint="default" w:cs="Times New Roman"/>
                <w:color w:val="000000"/>
                <w:kern w:val="0"/>
                <w:sz w:val="24"/>
                <w:szCs w:val="24"/>
                <w:lang w:val="en-US" w:eastAsia="zh-CN" w:bidi="ar"/>
              </w:rPr>
            </w:pPr>
          </w:p>
        </w:tc>
      </w:tr>
      <w:tr w14:paraId="1D8C6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8" w:hRule="atLeast"/>
        </w:trPr>
        <w:tc>
          <w:tcPr>
            <w:tcW w:w="8920" w:type="dxa"/>
          </w:tcPr>
          <w:p w14:paraId="2C0E0FE0">
            <w:pPr>
              <w:keepNext w:val="0"/>
              <w:keepLines w:val="0"/>
              <w:widowControl/>
              <w:numPr>
                <w:ilvl w:val="0"/>
                <w:numId w:val="0"/>
              </w:numPr>
              <w:suppressLineNumbers w:val="0"/>
              <w:ind w:leftChars="0"/>
              <w:jc w:val="both"/>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与本项目有关的原有污染情况及主要环境问题</w:t>
            </w:r>
          </w:p>
          <w:p w14:paraId="2A6E2B5D">
            <w:pPr>
              <w:keepNext w:val="0"/>
              <w:keepLines w:val="0"/>
              <w:widowControl/>
              <w:numPr>
                <w:ilvl w:val="0"/>
                <w:numId w:val="0"/>
              </w:numPr>
              <w:suppressLineNumbers w:val="0"/>
              <w:ind w:firstLine="480" w:firstLineChars="200"/>
              <w:jc w:val="both"/>
              <w:rPr>
                <w:rFonts w:hint="eastAsia" w:cs="Times New Roman"/>
                <w:color w:val="FF0000"/>
                <w:kern w:val="0"/>
                <w:sz w:val="24"/>
                <w:szCs w:val="24"/>
                <w:lang w:val="en-US" w:eastAsia="zh-CN" w:bidi="ar"/>
              </w:rPr>
            </w:pPr>
            <w:r>
              <w:rPr>
                <w:rFonts w:hint="eastAsia" w:cs="Times New Roman"/>
                <w:color w:val="FF0000"/>
                <w:kern w:val="0"/>
                <w:sz w:val="24"/>
                <w:szCs w:val="24"/>
                <w:lang w:val="en-US" w:eastAsia="zh-CN" w:bidi="ar"/>
              </w:rPr>
              <w:t>根据原项目的环境影响报告表，原项目污染情况及预期治理措施见下表。</w:t>
            </w:r>
          </w:p>
          <w:p w14:paraId="56647F5F">
            <w:pPr>
              <w:keepNext w:val="0"/>
              <w:keepLines w:val="0"/>
              <w:widowControl/>
              <w:numPr>
                <w:ilvl w:val="0"/>
                <w:numId w:val="0"/>
              </w:numPr>
              <w:suppressLineNumbers w:val="0"/>
              <w:jc w:val="center"/>
              <w:rPr>
                <w:rFonts w:hint="eastAsia" w:cs="Times New Roman"/>
                <w:b/>
                <w:bCs/>
                <w:color w:val="FF0000"/>
                <w:kern w:val="0"/>
                <w:sz w:val="24"/>
                <w:szCs w:val="24"/>
                <w:lang w:val="en-US" w:eastAsia="zh-CN" w:bidi="ar"/>
              </w:rPr>
            </w:pPr>
            <w:r>
              <w:rPr>
                <w:rFonts w:hint="eastAsia" w:cs="Times New Roman"/>
                <w:b/>
                <w:bCs/>
                <w:color w:val="FF0000"/>
                <w:kern w:val="0"/>
                <w:sz w:val="24"/>
                <w:szCs w:val="24"/>
                <w:lang w:val="en-US" w:eastAsia="zh-CN" w:bidi="ar"/>
              </w:rPr>
              <w:t>表1-11 原项目主要污染物情况及预期治理措施</w:t>
            </w:r>
          </w:p>
          <w:tbl>
            <w:tblPr>
              <w:tblStyle w:val="10"/>
              <w:tblW w:w="86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2145"/>
              <w:gridCol w:w="1560"/>
              <w:gridCol w:w="1950"/>
              <w:gridCol w:w="1941"/>
            </w:tblGrid>
            <w:tr w14:paraId="74B2B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102" w:type="dxa"/>
                  <w:vAlign w:val="center"/>
                </w:tcPr>
                <w:p w14:paraId="135C6E67">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default" w:ascii="Times New Roman" w:hAnsi="Times New Roman" w:cs="Times New Roman"/>
                      <w:b w:val="0"/>
                      <w:bCs w:val="0"/>
                      <w:color w:val="FF0000"/>
                      <w:kern w:val="0"/>
                      <w:sz w:val="21"/>
                      <w:szCs w:val="21"/>
                      <w:vertAlign w:val="baseline"/>
                      <w:lang w:val="en-US" w:eastAsia="zh-CN" w:bidi="ar"/>
                    </w:rPr>
                    <w:t>污染类型</w:t>
                  </w:r>
                </w:p>
              </w:tc>
              <w:tc>
                <w:tcPr>
                  <w:tcW w:w="2145" w:type="dxa"/>
                  <w:vAlign w:val="center"/>
                </w:tcPr>
                <w:p w14:paraId="73439633">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default" w:ascii="Times New Roman" w:hAnsi="Times New Roman" w:cs="Times New Roman"/>
                      <w:b w:val="0"/>
                      <w:bCs w:val="0"/>
                      <w:color w:val="FF0000"/>
                      <w:kern w:val="0"/>
                      <w:sz w:val="21"/>
                      <w:szCs w:val="21"/>
                      <w:vertAlign w:val="baseline"/>
                      <w:lang w:val="en-US" w:eastAsia="zh-CN" w:bidi="ar"/>
                    </w:rPr>
                    <w:t>排放源</w:t>
                  </w:r>
                </w:p>
              </w:tc>
              <w:tc>
                <w:tcPr>
                  <w:tcW w:w="1560" w:type="dxa"/>
                  <w:vAlign w:val="center"/>
                </w:tcPr>
                <w:p w14:paraId="26D93916">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default" w:ascii="Times New Roman" w:hAnsi="Times New Roman" w:cs="Times New Roman"/>
                      <w:b w:val="0"/>
                      <w:bCs w:val="0"/>
                      <w:color w:val="FF0000"/>
                      <w:kern w:val="0"/>
                      <w:sz w:val="21"/>
                      <w:szCs w:val="21"/>
                      <w:vertAlign w:val="baseline"/>
                      <w:lang w:val="en-US" w:eastAsia="zh-CN" w:bidi="ar"/>
                    </w:rPr>
                    <w:t>污染物名称</w:t>
                  </w:r>
                </w:p>
              </w:tc>
              <w:tc>
                <w:tcPr>
                  <w:tcW w:w="1950" w:type="dxa"/>
                  <w:vAlign w:val="center"/>
                </w:tcPr>
                <w:p w14:paraId="54FAD394">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default" w:ascii="Times New Roman" w:hAnsi="Times New Roman" w:cs="Times New Roman"/>
                      <w:b w:val="0"/>
                      <w:bCs w:val="0"/>
                      <w:color w:val="FF0000"/>
                      <w:kern w:val="0"/>
                      <w:sz w:val="21"/>
                      <w:szCs w:val="21"/>
                      <w:vertAlign w:val="baseline"/>
                      <w:lang w:val="en-US" w:eastAsia="zh-CN" w:bidi="ar"/>
                    </w:rPr>
                    <w:t>排放浓度及排放量</w:t>
                  </w:r>
                </w:p>
              </w:tc>
              <w:tc>
                <w:tcPr>
                  <w:tcW w:w="1941" w:type="dxa"/>
                  <w:vAlign w:val="center"/>
                </w:tcPr>
                <w:p w14:paraId="103BF0C1">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default" w:ascii="Times New Roman" w:hAnsi="Times New Roman" w:cs="Times New Roman"/>
                      <w:b w:val="0"/>
                      <w:bCs w:val="0"/>
                      <w:color w:val="FF0000"/>
                      <w:kern w:val="0"/>
                      <w:sz w:val="21"/>
                      <w:szCs w:val="21"/>
                      <w:vertAlign w:val="baseline"/>
                      <w:lang w:val="en-US" w:eastAsia="zh-CN" w:bidi="ar"/>
                    </w:rPr>
                    <w:t>防治措施</w:t>
                  </w:r>
                </w:p>
              </w:tc>
            </w:tr>
            <w:tr w14:paraId="1D766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102" w:type="dxa"/>
                  <w:vMerge w:val="restart"/>
                  <w:vAlign w:val="center"/>
                </w:tcPr>
                <w:p w14:paraId="68106818">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废气</w:t>
                  </w:r>
                </w:p>
              </w:tc>
              <w:tc>
                <w:tcPr>
                  <w:tcW w:w="2145" w:type="dxa"/>
                  <w:vAlign w:val="center"/>
                </w:tcPr>
                <w:p w14:paraId="29797273">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施工车辆及燃油设备</w:t>
                  </w:r>
                </w:p>
              </w:tc>
              <w:tc>
                <w:tcPr>
                  <w:tcW w:w="1560" w:type="dxa"/>
                  <w:vAlign w:val="center"/>
                </w:tcPr>
                <w:p w14:paraId="5A0CE144">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subscript"/>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CO、THC、NO</w:t>
                  </w:r>
                  <w:r>
                    <w:rPr>
                      <w:rFonts w:hint="eastAsia" w:ascii="Times New Roman" w:hAnsi="Times New Roman" w:cs="Times New Roman"/>
                      <w:b w:val="0"/>
                      <w:bCs w:val="0"/>
                      <w:color w:val="FF0000"/>
                      <w:kern w:val="0"/>
                      <w:sz w:val="21"/>
                      <w:szCs w:val="21"/>
                      <w:vertAlign w:val="subscript"/>
                      <w:lang w:val="en-US" w:eastAsia="zh-CN" w:bidi="ar"/>
                    </w:rPr>
                    <w:t>X</w:t>
                  </w:r>
                </w:p>
              </w:tc>
              <w:tc>
                <w:tcPr>
                  <w:tcW w:w="1950" w:type="dxa"/>
                  <w:vAlign w:val="center"/>
                </w:tcPr>
                <w:p w14:paraId="1166440E">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少量</w:t>
                  </w:r>
                </w:p>
              </w:tc>
              <w:tc>
                <w:tcPr>
                  <w:tcW w:w="1941" w:type="dxa"/>
                  <w:vAlign w:val="center"/>
                </w:tcPr>
                <w:p w14:paraId="1E912961">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通过大气稀释扩散后排放</w:t>
                  </w:r>
                </w:p>
              </w:tc>
            </w:tr>
            <w:tr w14:paraId="10EFD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1102" w:type="dxa"/>
                  <w:vMerge w:val="continue"/>
                  <w:vAlign w:val="center"/>
                </w:tcPr>
                <w:p w14:paraId="7265CF4A">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p>
              </w:tc>
              <w:tc>
                <w:tcPr>
                  <w:tcW w:w="2145" w:type="dxa"/>
                  <w:vAlign w:val="center"/>
                </w:tcPr>
                <w:p w14:paraId="28A3EC7D">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土方开挖、运输材料</w:t>
                  </w:r>
                </w:p>
              </w:tc>
              <w:tc>
                <w:tcPr>
                  <w:tcW w:w="1560" w:type="dxa"/>
                  <w:vAlign w:val="center"/>
                </w:tcPr>
                <w:p w14:paraId="03EBACAE">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扬尘</w:t>
                  </w:r>
                </w:p>
              </w:tc>
              <w:tc>
                <w:tcPr>
                  <w:tcW w:w="1950" w:type="dxa"/>
                  <w:vAlign w:val="center"/>
                </w:tcPr>
                <w:p w14:paraId="293DB0B0">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少量</w:t>
                  </w:r>
                </w:p>
              </w:tc>
              <w:tc>
                <w:tcPr>
                  <w:tcW w:w="1941" w:type="dxa"/>
                  <w:vAlign w:val="center"/>
                </w:tcPr>
                <w:p w14:paraId="5F14C49E">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洒水降尘措施</w:t>
                  </w:r>
                </w:p>
              </w:tc>
            </w:tr>
            <w:tr w14:paraId="037EB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102" w:type="dxa"/>
                  <w:vMerge w:val="restart"/>
                  <w:vAlign w:val="center"/>
                </w:tcPr>
                <w:p w14:paraId="6C104B54">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废水</w:t>
                  </w:r>
                </w:p>
              </w:tc>
              <w:tc>
                <w:tcPr>
                  <w:tcW w:w="2145" w:type="dxa"/>
                  <w:vAlign w:val="center"/>
                </w:tcPr>
                <w:p w14:paraId="2D1B1D51">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混凝土养护</w:t>
                  </w:r>
                </w:p>
              </w:tc>
              <w:tc>
                <w:tcPr>
                  <w:tcW w:w="1560" w:type="dxa"/>
                  <w:vAlign w:val="center"/>
                </w:tcPr>
                <w:p w14:paraId="4F2530B7">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养护废水</w:t>
                  </w:r>
                </w:p>
              </w:tc>
              <w:tc>
                <w:tcPr>
                  <w:tcW w:w="1950" w:type="dxa"/>
                  <w:vAlign w:val="center"/>
                </w:tcPr>
                <w:p w14:paraId="503F6960">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default" w:ascii="Times New Roman" w:hAnsi="Times New Roman" w:cs="Times New Roman"/>
                      <w:b w:val="0"/>
                      <w:bCs w:val="0"/>
                      <w:color w:val="FF0000"/>
                      <w:kern w:val="0"/>
                      <w:sz w:val="21"/>
                      <w:szCs w:val="21"/>
                      <w:vertAlign w:val="baseline"/>
                      <w:lang w:val="en-US" w:eastAsia="zh-CN" w:bidi="ar"/>
                    </w:rPr>
                    <w:t>2.4m³/d</w:t>
                  </w:r>
                </w:p>
              </w:tc>
              <w:tc>
                <w:tcPr>
                  <w:tcW w:w="1941" w:type="dxa"/>
                  <w:vAlign w:val="center"/>
                </w:tcPr>
                <w:p w14:paraId="6C6153AF">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通过临时沉砂池沉淀后回用</w:t>
                  </w:r>
                </w:p>
              </w:tc>
            </w:tr>
            <w:tr w14:paraId="2E08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102" w:type="dxa"/>
                  <w:vMerge w:val="continue"/>
                  <w:vAlign w:val="center"/>
                </w:tcPr>
                <w:p w14:paraId="6813E860">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p>
              </w:tc>
              <w:tc>
                <w:tcPr>
                  <w:tcW w:w="2145" w:type="dxa"/>
                  <w:vAlign w:val="center"/>
                </w:tcPr>
                <w:p w14:paraId="2C9FEC4B">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施工人员</w:t>
                  </w:r>
                </w:p>
              </w:tc>
              <w:tc>
                <w:tcPr>
                  <w:tcW w:w="1560" w:type="dxa"/>
                  <w:vAlign w:val="center"/>
                </w:tcPr>
                <w:p w14:paraId="6BFE1877">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生活污水</w:t>
                  </w:r>
                </w:p>
              </w:tc>
              <w:tc>
                <w:tcPr>
                  <w:tcW w:w="1950" w:type="dxa"/>
                  <w:vAlign w:val="center"/>
                </w:tcPr>
                <w:p w14:paraId="26DD899A">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0</w:t>
                  </w:r>
                </w:p>
              </w:tc>
              <w:tc>
                <w:tcPr>
                  <w:tcW w:w="1941" w:type="dxa"/>
                  <w:vAlign w:val="center"/>
                </w:tcPr>
                <w:p w14:paraId="437937CA">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项目分散，不设施工营地，不产生生活污水</w:t>
                  </w:r>
                </w:p>
              </w:tc>
            </w:tr>
            <w:tr w14:paraId="711F9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102" w:type="dxa"/>
                  <w:vMerge w:val="continue"/>
                  <w:vAlign w:val="center"/>
                </w:tcPr>
                <w:p w14:paraId="7D187DE7">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p>
              </w:tc>
              <w:tc>
                <w:tcPr>
                  <w:tcW w:w="2145" w:type="dxa"/>
                  <w:vAlign w:val="center"/>
                </w:tcPr>
                <w:p w14:paraId="332A43CD">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管理人员</w:t>
                  </w:r>
                </w:p>
              </w:tc>
              <w:tc>
                <w:tcPr>
                  <w:tcW w:w="1560" w:type="dxa"/>
                  <w:vAlign w:val="center"/>
                </w:tcPr>
                <w:p w14:paraId="565E21B9">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生活污水</w:t>
                  </w:r>
                </w:p>
              </w:tc>
              <w:tc>
                <w:tcPr>
                  <w:tcW w:w="1950" w:type="dxa"/>
                  <w:vAlign w:val="center"/>
                </w:tcPr>
                <w:p w14:paraId="551AC75E">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0.2</w:t>
                  </w:r>
                  <w:r>
                    <w:rPr>
                      <w:rFonts w:hint="default" w:ascii="Times New Roman" w:hAnsi="Times New Roman" w:cs="Times New Roman"/>
                      <w:b w:val="0"/>
                      <w:bCs w:val="0"/>
                      <w:color w:val="FF0000"/>
                      <w:kern w:val="0"/>
                      <w:sz w:val="21"/>
                      <w:szCs w:val="21"/>
                      <w:vertAlign w:val="baseline"/>
                      <w:lang w:val="en-US" w:eastAsia="zh-CN" w:bidi="ar"/>
                    </w:rPr>
                    <w:t>m³/d</w:t>
                  </w:r>
                </w:p>
              </w:tc>
              <w:tc>
                <w:tcPr>
                  <w:tcW w:w="1941" w:type="dxa"/>
                  <w:vAlign w:val="center"/>
                </w:tcPr>
                <w:p w14:paraId="0532F358">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经化粪池处理后作为农家肥</w:t>
                  </w:r>
                </w:p>
              </w:tc>
            </w:tr>
            <w:tr w14:paraId="2543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102" w:type="dxa"/>
                  <w:vMerge w:val="continue"/>
                  <w:vAlign w:val="center"/>
                </w:tcPr>
                <w:p w14:paraId="65792367">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p>
              </w:tc>
              <w:tc>
                <w:tcPr>
                  <w:tcW w:w="2145" w:type="dxa"/>
                  <w:vAlign w:val="center"/>
                </w:tcPr>
                <w:p w14:paraId="67BF69C0">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暴雨径流</w:t>
                  </w:r>
                </w:p>
              </w:tc>
              <w:tc>
                <w:tcPr>
                  <w:tcW w:w="1560" w:type="dxa"/>
                  <w:vAlign w:val="center"/>
                </w:tcPr>
                <w:p w14:paraId="3B61179C">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地表雨水</w:t>
                  </w:r>
                </w:p>
              </w:tc>
              <w:tc>
                <w:tcPr>
                  <w:tcW w:w="1950" w:type="dxa"/>
                  <w:vAlign w:val="center"/>
                </w:tcPr>
                <w:p w14:paraId="304B81F0">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不定量</w:t>
                  </w:r>
                </w:p>
              </w:tc>
              <w:tc>
                <w:tcPr>
                  <w:tcW w:w="1941" w:type="dxa"/>
                  <w:vAlign w:val="center"/>
                </w:tcPr>
                <w:p w14:paraId="789FB15B">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经临时沉砂池处理后排入雨水管网</w:t>
                  </w:r>
                </w:p>
              </w:tc>
            </w:tr>
            <w:tr w14:paraId="63EDE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102" w:type="dxa"/>
                  <w:vMerge w:val="restart"/>
                  <w:vAlign w:val="center"/>
                </w:tcPr>
                <w:p w14:paraId="416DDE0A">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固体废弃物</w:t>
                  </w:r>
                </w:p>
              </w:tc>
              <w:tc>
                <w:tcPr>
                  <w:tcW w:w="2145" w:type="dxa"/>
                  <w:vAlign w:val="center"/>
                </w:tcPr>
                <w:p w14:paraId="76F2D4D5">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土石方施工垃圾</w:t>
                  </w:r>
                </w:p>
              </w:tc>
              <w:tc>
                <w:tcPr>
                  <w:tcW w:w="1560" w:type="dxa"/>
                  <w:vAlign w:val="center"/>
                </w:tcPr>
                <w:p w14:paraId="06DF427F">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废气土石方</w:t>
                  </w:r>
                </w:p>
              </w:tc>
              <w:tc>
                <w:tcPr>
                  <w:tcW w:w="1950" w:type="dxa"/>
                  <w:vAlign w:val="center"/>
                </w:tcPr>
                <w:p w14:paraId="0F7B43EC">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68万m</w:t>
                  </w:r>
                  <w:r>
                    <w:rPr>
                      <w:rFonts w:hint="eastAsia" w:ascii="Times New Roman" w:hAnsi="Times New Roman" w:cs="Times New Roman"/>
                      <w:b w:val="0"/>
                      <w:bCs w:val="0"/>
                      <w:color w:val="FF0000"/>
                      <w:kern w:val="0"/>
                      <w:sz w:val="21"/>
                      <w:szCs w:val="21"/>
                      <w:vertAlign w:val="superscript"/>
                      <w:lang w:val="en-US" w:eastAsia="zh-CN" w:bidi="ar"/>
                    </w:rPr>
                    <w:t>3</w:t>
                  </w:r>
                </w:p>
              </w:tc>
              <w:tc>
                <w:tcPr>
                  <w:tcW w:w="1941" w:type="dxa"/>
                  <w:vAlign w:val="center"/>
                </w:tcPr>
                <w:p w14:paraId="7609DC23">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运往指定地点堆存</w:t>
                  </w:r>
                </w:p>
              </w:tc>
            </w:tr>
            <w:tr w14:paraId="02A90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102" w:type="dxa"/>
                  <w:vMerge w:val="continue"/>
                  <w:vAlign w:val="center"/>
                </w:tcPr>
                <w:p w14:paraId="20D676DB">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p>
              </w:tc>
              <w:tc>
                <w:tcPr>
                  <w:tcW w:w="2145" w:type="dxa"/>
                  <w:vAlign w:val="center"/>
                </w:tcPr>
                <w:p w14:paraId="71397A06">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河道</w:t>
                  </w:r>
                </w:p>
              </w:tc>
              <w:tc>
                <w:tcPr>
                  <w:tcW w:w="1560" w:type="dxa"/>
                  <w:vAlign w:val="center"/>
                </w:tcPr>
                <w:p w14:paraId="3679F54E">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淤泥</w:t>
                  </w:r>
                </w:p>
              </w:tc>
              <w:tc>
                <w:tcPr>
                  <w:tcW w:w="1950" w:type="dxa"/>
                  <w:vAlign w:val="center"/>
                </w:tcPr>
                <w:p w14:paraId="067C03DC">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0</w:t>
                  </w:r>
                </w:p>
              </w:tc>
              <w:tc>
                <w:tcPr>
                  <w:tcW w:w="1941" w:type="dxa"/>
                  <w:vAlign w:val="center"/>
                </w:tcPr>
                <w:p w14:paraId="00B9D591">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打捞的淤泥用于回填</w:t>
                  </w:r>
                </w:p>
              </w:tc>
            </w:tr>
            <w:tr w14:paraId="28023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trPr>
              <w:tc>
                <w:tcPr>
                  <w:tcW w:w="1102" w:type="dxa"/>
                  <w:vMerge w:val="continue"/>
                  <w:vAlign w:val="center"/>
                </w:tcPr>
                <w:p w14:paraId="79B0DBC0">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p>
              </w:tc>
              <w:tc>
                <w:tcPr>
                  <w:tcW w:w="2145" w:type="dxa"/>
                  <w:vAlign w:val="center"/>
                </w:tcPr>
                <w:p w14:paraId="1DC38A77">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建筑垃圾</w:t>
                  </w:r>
                </w:p>
              </w:tc>
              <w:tc>
                <w:tcPr>
                  <w:tcW w:w="1560" w:type="dxa"/>
                  <w:vAlign w:val="center"/>
                </w:tcPr>
                <w:p w14:paraId="51C5FE9B">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废钢筋等</w:t>
                  </w:r>
                </w:p>
              </w:tc>
              <w:tc>
                <w:tcPr>
                  <w:tcW w:w="1950" w:type="dxa"/>
                  <w:vAlign w:val="center"/>
                </w:tcPr>
                <w:p w14:paraId="50BBA0CD">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superscript"/>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20kg/m</w:t>
                  </w:r>
                  <w:r>
                    <w:rPr>
                      <w:rFonts w:hint="eastAsia" w:ascii="Times New Roman" w:hAnsi="Times New Roman" w:cs="Times New Roman"/>
                      <w:b w:val="0"/>
                      <w:bCs w:val="0"/>
                      <w:color w:val="FF0000"/>
                      <w:kern w:val="0"/>
                      <w:sz w:val="21"/>
                      <w:szCs w:val="21"/>
                      <w:vertAlign w:val="superscript"/>
                      <w:lang w:val="en-US" w:eastAsia="zh-CN" w:bidi="ar"/>
                    </w:rPr>
                    <w:t>2</w:t>
                  </w:r>
                </w:p>
              </w:tc>
              <w:tc>
                <w:tcPr>
                  <w:tcW w:w="1941" w:type="dxa"/>
                  <w:vAlign w:val="center"/>
                </w:tcPr>
                <w:p w14:paraId="11E91880">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能回收利用的回收利用，不能回收利用的运往指定地点</w:t>
                  </w:r>
                </w:p>
              </w:tc>
            </w:tr>
            <w:tr w14:paraId="41BD1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102" w:type="dxa"/>
                  <w:vMerge w:val="continue"/>
                  <w:vAlign w:val="center"/>
                </w:tcPr>
                <w:p w14:paraId="65EB89C3">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p>
              </w:tc>
              <w:tc>
                <w:tcPr>
                  <w:tcW w:w="2145" w:type="dxa"/>
                  <w:vAlign w:val="center"/>
                </w:tcPr>
                <w:p w14:paraId="71E88E3D">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施工人员</w:t>
                  </w:r>
                </w:p>
              </w:tc>
              <w:tc>
                <w:tcPr>
                  <w:tcW w:w="1560" w:type="dxa"/>
                  <w:vAlign w:val="center"/>
                </w:tcPr>
                <w:p w14:paraId="0199233B">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生活垃圾</w:t>
                  </w:r>
                </w:p>
              </w:tc>
              <w:tc>
                <w:tcPr>
                  <w:tcW w:w="1950" w:type="dxa"/>
                  <w:vAlign w:val="center"/>
                </w:tcPr>
                <w:p w14:paraId="294D0665">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55.5kg/d</w:t>
                  </w:r>
                </w:p>
              </w:tc>
              <w:tc>
                <w:tcPr>
                  <w:tcW w:w="1941" w:type="dxa"/>
                  <w:vAlign w:val="center"/>
                </w:tcPr>
                <w:p w14:paraId="02F4CA12">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委托环卫部门清运</w:t>
                  </w:r>
                </w:p>
              </w:tc>
            </w:tr>
            <w:tr w14:paraId="40C71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102" w:type="dxa"/>
                  <w:vAlign w:val="center"/>
                </w:tcPr>
                <w:p w14:paraId="6E74363A">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噪声</w:t>
                  </w:r>
                </w:p>
              </w:tc>
              <w:tc>
                <w:tcPr>
                  <w:tcW w:w="2145" w:type="dxa"/>
                  <w:vAlign w:val="center"/>
                </w:tcPr>
                <w:p w14:paraId="0C546D61">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运营车辆</w:t>
                  </w:r>
                </w:p>
              </w:tc>
              <w:tc>
                <w:tcPr>
                  <w:tcW w:w="1560" w:type="dxa"/>
                  <w:vAlign w:val="center"/>
                </w:tcPr>
                <w:p w14:paraId="5C5FD682">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噪声</w:t>
                  </w:r>
                </w:p>
              </w:tc>
              <w:tc>
                <w:tcPr>
                  <w:tcW w:w="1950" w:type="dxa"/>
                  <w:vAlign w:val="center"/>
                </w:tcPr>
                <w:p w14:paraId="01C7F329">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75-110dB(A)</w:t>
                  </w:r>
                </w:p>
              </w:tc>
              <w:tc>
                <w:tcPr>
                  <w:tcW w:w="1941" w:type="dxa"/>
                  <w:vAlign w:val="center"/>
                </w:tcPr>
                <w:p w14:paraId="6D15E3A9">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FF0000"/>
                      <w:kern w:val="0"/>
                      <w:sz w:val="21"/>
                      <w:szCs w:val="21"/>
                      <w:vertAlign w:val="baseline"/>
                      <w:lang w:val="en-US" w:eastAsia="zh-CN" w:bidi="ar"/>
                    </w:rPr>
                  </w:pPr>
                  <w:r>
                    <w:rPr>
                      <w:rFonts w:hint="eastAsia" w:ascii="Times New Roman" w:hAnsi="Times New Roman" w:cs="Times New Roman"/>
                      <w:b w:val="0"/>
                      <w:bCs w:val="0"/>
                      <w:color w:val="FF0000"/>
                      <w:kern w:val="0"/>
                      <w:sz w:val="21"/>
                      <w:szCs w:val="21"/>
                      <w:vertAlign w:val="baseline"/>
                      <w:lang w:val="en-US" w:eastAsia="zh-CN" w:bidi="ar"/>
                    </w:rPr>
                    <w:t>各设备合理布局，设防护墙</w:t>
                  </w:r>
                </w:p>
              </w:tc>
            </w:tr>
          </w:tbl>
          <w:p w14:paraId="33CFADD6">
            <w:pPr>
              <w:keepNext w:val="0"/>
              <w:keepLines w:val="0"/>
              <w:widowControl/>
              <w:numPr>
                <w:ilvl w:val="0"/>
                <w:numId w:val="0"/>
              </w:numPr>
              <w:suppressLineNumbers w:val="0"/>
              <w:ind w:firstLine="480" w:firstLineChars="200"/>
              <w:jc w:val="both"/>
              <w:rPr>
                <w:rFonts w:hint="default" w:cs="Times New Roman"/>
                <w:b w:val="0"/>
                <w:bCs w:val="0"/>
                <w:color w:val="000000"/>
                <w:kern w:val="0"/>
                <w:sz w:val="24"/>
                <w:szCs w:val="24"/>
                <w:lang w:val="en-US" w:eastAsia="zh-CN" w:bidi="ar"/>
              </w:rPr>
            </w:pPr>
            <w:r>
              <w:rPr>
                <w:rFonts w:hint="eastAsia" w:cs="Times New Roman"/>
                <w:b w:val="0"/>
                <w:bCs w:val="0"/>
                <w:color w:val="FF0000"/>
                <w:kern w:val="0"/>
                <w:sz w:val="24"/>
                <w:szCs w:val="24"/>
                <w:lang w:val="en-US" w:eastAsia="zh-CN" w:bidi="ar"/>
              </w:rPr>
              <w:t>原项目已按相应措施进行了治理，不存在环境问题。</w:t>
            </w:r>
          </w:p>
        </w:tc>
      </w:tr>
    </w:tbl>
    <w:p w14:paraId="5A7C0D23">
      <w:pPr>
        <w:rPr>
          <w:rStyle w:val="12"/>
          <w:rFonts w:hint="eastAsia"/>
          <w:lang w:val="en-US" w:eastAsia="zh-CN"/>
        </w:rPr>
      </w:pPr>
      <w:r>
        <w:rPr>
          <w:rStyle w:val="12"/>
          <w:rFonts w:hint="eastAsia"/>
          <w:lang w:val="en-US" w:eastAsia="zh-CN"/>
        </w:rPr>
        <w:br w:type="page"/>
      </w:r>
    </w:p>
    <w:p w14:paraId="4CFCF53F">
      <w:pPr>
        <w:pStyle w:val="2"/>
        <w:bidi w:val="0"/>
        <w:rPr>
          <w:rFonts w:hint="eastAsia"/>
          <w:lang w:val="en-US" w:eastAsia="zh-CN"/>
        </w:rPr>
      </w:pPr>
      <w:r>
        <w:rPr>
          <w:rFonts w:hint="eastAsia"/>
          <w:lang w:val="en-US" w:eastAsia="zh-CN"/>
        </w:rPr>
        <w:t>表二、建设项目所在地自然环境社会环境简况</w:t>
      </w:r>
    </w:p>
    <w:tbl>
      <w:tblPr>
        <w:tblStyle w:val="10"/>
        <w:tblW w:w="8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0"/>
      </w:tblGrid>
      <w:tr w14:paraId="718FB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80" w:type="dxa"/>
          </w:tcPr>
          <w:p w14:paraId="1D8D38B6">
            <w:pPr>
              <w:rPr>
                <w:rStyle w:val="12"/>
                <w:rFonts w:hint="default" w:ascii="Times New Roman" w:hAnsi="Times New Roman" w:cs="Times New Roman"/>
                <w:sz w:val="24"/>
                <w:szCs w:val="24"/>
                <w:vertAlign w:val="baseline"/>
                <w:lang w:val="en-US" w:eastAsia="zh-CN"/>
              </w:rPr>
            </w:pPr>
            <w:r>
              <w:rPr>
                <w:rStyle w:val="12"/>
                <w:rFonts w:hint="default" w:ascii="Times New Roman" w:hAnsi="Times New Roman" w:cs="Times New Roman"/>
                <w:sz w:val="24"/>
                <w:szCs w:val="24"/>
                <w:vertAlign w:val="baseline"/>
                <w:lang w:val="en-US" w:eastAsia="zh-CN"/>
              </w:rPr>
              <w:t>自然环境简况（地形、地貌、地质、气候、气象、水文、植被、生物多样性等）</w:t>
            </w:r>
          </w:p>
          <w:p w14:paraId="362893E8">
            <w:pPr>
              <w:numPr>
                <w:ilvl w:val="0"/>
                <w:numId w:val="18"/>
              </w:numPr>
              <w:ind w:firstLine="482" w:firstLineChars="200"/>
              <w:rPr>
                <w:rStyle w:val="12"/>
                <w:rFonts w:hint="default" w:ascii="Times New Roman" w:hAnsi="Times New Roman" w:cs="Times New Roman"/>
                <w:b/>
                <w:bCs w:val="0"/>
                <w:sz w:val="24"/>
                <w:szCs w:val="24"/>
                <w:vertAlign w:val="baseline"/>
                <w:lang w:val="en-US" w:eastAsia="zh-CN"/>
              </w:rPr>
            </w:pPr>
            <w:r>
              <w:rPr>
                <w:rStyle w:val="12"/>
                <w:rFonts w:hint="default" w:ascii="Times New Roman" w:hAnsi="Times New Roman" w:cs="Times New Roman"/>
                <w:b/>
                <w:bCs w:val="0"/>
                <w:sz w:val="24"/>
                <w:szCs w:val="24"/>
                <w:vertAlign w:val="baseline"/>
                <w:lang w:val="en-US" w:eastAsia="zh-CN"/>
              </w:rPr>
              <w:t>地理位置</w:t>
            </w:r>
          </w:p>
          <w:p w14:paraId="52568E36">
            <w:pPr>
              <w:numPr>
                <w:ilvl w:val="0"/>
                <w:numId w:val="0"/>
              </w:numPr>
              <w:ind w:firstLine="480" w:firstLineChars="200"/>
              <w:rPr>
                <w:rStyle w:val="12"/>
                <w:rFonts w:hint="default" w:ascii="Times New Roman" w:hAnsi="Times New Roman" w:cs="Times New Roman"/>
                <w:b w:val="0"/>
                <w:bCs/>
                <w:sz w:val="24"/>
                <w:szCs w:val="24"/>
                <w:vertAlign w:val="baseline"/>
                <w:lang w:val="en-US" w:eastAsia="zh-CN"/>
              </w:rPr>
            </w:pPr>
            <w:r>
              <w:rPr>
                <w:rStyle w:val="12"/>
                <w:rFonts w:hint="default" w:ascii="Times New Roman" w:hAnsi="Times New Roman" w:cs="Times New Roman"/>
                <w:b w:val="0"/>
                <w:bCs/>
                <w:sz w:val="24"/>
                <w:szCs w:val="24"/>
                <w:vertAlign w:val="baseline"/>
                <w:lang w:val="en-US" w:eastAsia="zh-CN"/>
              </w:rPr>
              <w:t>芒市位于云南省西南部，其经纬位置介于东经 98°05′~98°44′、北纬24°05′~24°39′之间。东部和东北部与保山市龙陵县接壤，西南部与瑞丽市、畹町经济开发区相连，西、西北部与陇川县隔龙江（陇川江）相望，南部与缅甸毗邻，国境线长68.3</w:t>
            </w:r>
            <w:r>
              <w:rPr>
                <w:rStyle w:val="12"/>
                <w:rFonts w:hint="eastAsia" w:ascii="Times New Roman" w:hAnsi="Times New Roman" w:cs="Times New Roman"/>
                <w:b w:val="0"/>
                <w:bCs/>
                <w:sz w:val="24"/>
                <w:szCs w:val="24"/>
                <w:vertAlign w:val="baseline"/>
                <w:lang w:val="en-US" w:eastAsia="zh-CN"/>
              </w:rPr>
              <w:t>km</w:t>
            </w:r>
            <w:r>
              <w:rPr>
                <w:rStyle w:val="12"/>
                <w:rFonts w:hint="default" w:ascii="Times New Roman" w:hAnsi="Times New Roman" w:cs="Times New Roman"/>
                <w:b w:val="0"/>
                <w:bCs/>
                <w:sz w:val="24"/>
                <w:szCs w:val="24"/>
                <w:vertAlign w:val="baseline"/>
                <w:lang w:val="en-US" w:eastAsia="zh-CN"/>
              </w:rPr>
              <w:t>。市政府驻地芒市镇，同时是州府驻地，陆距省会昆明679km，空距427km。芒市冬无严寒、夏无酷暑，花开四季、果结终年，具有良好的生态环境，是典型的南亚热带季风气候。近年来，云南省政府将芒市列入全省47个县域经济试点县、30个省级重点工业园区、40个省级重点工业强县和 25个“兴边富民”县之一。</w:t>
            </w:r>
          </w:p>
          <w:p w14:paraId="3368CA79">
            <w:pPr>
              <w:numPr>
                <w:ilvl w:val="0"/>
                <w:numId w:val="18"/>
              </w:numPr>
              <w:ind w:left="0" w:leftChars="0" w:firstLine="482" w:firstLineChars="200"/>
              <w:rPr>
                <w:rStyle w:val="12"/>
                <w:rFonts w:hint="default" w:ascii="Times New Roman" w:hAnsi="Times New Roman" w:cs="Times New Roman"/>
                <w:b/>
                <w:bCs w:val="0"/>
                <w:sz w:val="24"/>
                <w:szCs w:val="24"/>
                <w:vertAlign w:val="baseline"/>
                <w:lang w:val="en-US" w:eastAsia="zh-CN"/>
              </w:rPr>
            </w:pPr>
            <w:r>
              <w:rPr>
                <w:rStyle w:val="12"/>
                <w:rFonts w:hint="default" w:ascii="Times New Roman" w:hAnsi="Times New Roman" w:cs="Times New Roman"/>
                <w:b/>
                <w:bCs w:val="0"/>
                <w:sz w:val="24"/>
                <w:szCs w:val="24"/>
                <w:vertAlign w:val="baseline"/>
                <w:lang w:val="en-US" w:eastAsia="zh-CN"/>
              </w:rPr>
              <w:t>地形地貌</w:t>
            </w:r>
          </w:p>
          <w:p w14:paraId="51485F34">
            <w:pPr>
              <w:numPr>
                <w:ilvl w:val="0"/>
                <w:numId w:val="0"/>
              </w:numPr>
              <w:ind w:firstLine="480" w:firstLineChars="200"/>
              <w:rPr>
                <w:rStyle w:val="12"/>
                <w:rFonts w:hint="default" w:ascii="Times New Roman" w:hAnsi="Times New Roman" w:cs="Times New Roman"/>
                <w:b w:val="0"/>
                <w:bCs/>
                <w:sz w:val="24"/>
                <w:szCs w:val="24"/>
                <w:vertAlign w:val="baseline"/>
                <w:lang w:val="en-US" w:eastAsia="zh-CN"/>
              </w:rPr>
            </w:pPr>
            <w:r>
              <w:rPr>
                <w:rStyle w:val="12"/>
                <w:rFonts w:hint="default" w:ascii="Times New Roman" w:hAnsi="Times New Roman" w:cs="Times New Roman"/>
                <w:b w:val="0"/>
                <w:bCs/>
                <w:sz w:val="24"/>
                <w:szCs w:val="24"/>
                <w:vertAlign w:val="baseline"/>
                <w:lang w:val="en-US" w:eastAsia="zh-CN"/>
              </w:rPr>
              <w:t>芒市是云南省土地资源最为丰富多样的县（市）之一。其区位条件独特，处于德宏州对外开放的咽喉位置，是我国连接东南亚南亚的重要纽带和桥梁中的关键环节，优势明显；地貌上属中低山宽谷盆地区，拥有芒市坝、遮放坝等著名的坝子（盆地）。</w:t>
            </w:r>
          </w:p>
          <w:p w14:paraId="6A3EC8FB">
            <w:pPr>
              <w:numPr>
                <w:ilvl w:val="0"/>
                <w:numId w:val="0"/>
              </w:numPr>
              <w:ind w:firstLine="480" w:firstLineChars="200"/>
              <w:rPr>
                <w:rStyle w:val="12"/>
                <w:rFonts w:hint="default" w:ascii="Times New Roman" w:hAnsi="Times New Roman" w:cs="Times New Roman"/>
                <w:b w:val="0"/>
                <w:bCs/>
                <w:sz w:val="24"/>
                <w:szCs w:val="24"/>
                <w:vertAlign w:val="baseline"/>
                <w:lang w:val="en-US" w:eastAsia="zh-CN"/>
              </w:rPr>
            </w:pPr>
            <w:r>
              <w:rPr>
                <w:rStyle w:val="12"/>
                <w:rFonts w:hint="default" w:ascii="Times New Roman" w:hAnsi="Times New Roman" w:cs="Times New Roman"/>
                <w:b w:val="0"/>
                <w:bCs/>
                <w:sz w:val="24"/>
                <w:szCs w:val="24"/>
                <w:vertAlign w:val="baseline"/>
                <w:lang w:val="en-US" w:eastAsia="zh-CN"/>
              </w:rPr>
              <w:t>芒市全境是以中、低山山地为主的低纬山原地区。最高海拔 2377m（背阴山主峰），最低海拔807</w:t>
            </w:r>
            <w:r>
              <w:rPr>
                <w:rStyle w:val="12"/>
                <w:rFonts w:hint="eastAsia" w:cs="Times New Roman"/>
                <w:b w:val="0"/>
                <w:bCs/>
                <w:sz w:val="24"/>
                <w:szCs w:val="24"/>
                <w:vertAlign w:val="baseline"/>
                <w:lang w:val="en-US" w:eastAsia="zh-CN"/>
              </w:rPr>
              <w:t>m</w:t>
            </w:r>
            <w:r>
              <w:rPr>
                <w:rStyle w:val="12"/>
                <w:rFonts w:hint="default" w:ascii="Times New Roman" w:hAnsi="Times New Roman" w:cs="Times New Roman"/>
                <w:b w:val="0"/>
                <w:bCs/>
                <w:sz w:val="24"/>
                <w:szCs w:val="24"/>
                <w:vertAlign w:val="baseline"/>
                <w:lang w:val="en-US" w:eastAsia="zh-CN"/>
              </w:rPr>
              <w:t>（广母村）。山地面积占89%，盆坝平地河谷占11%；海拔210.0m至3404.6m，山脊线多在海拔2000m上下，山体多为东北至西南走向，东北高而峻峭，西南低而宽缓，向西南倾斜展布，河谷与断裂带走向一致，甚至发育在断裂带上。芒市海拔高差悬殊很大，山谷、河流、盆谷走向一致，并呈相间平行排列势态，展现了两山夹一峡谷、一条河、一个盆坝的地貌特征。以溶蚀槽谷、溶蚀洼地、漏斗、溶洞、落水洞、溶牙、溶峰等地貌较为显著。</w:t>
            </w:r>
          </w:p>
          <w:p w14:paraId="02134FC0">
            <w:pPr>
              <w:numPr>
                <w:ilvl w:val="0"/>
                <w:numId w:val="0"/>
              </w:numPr>
              <w:ind w:firstLine="480" w:firstLineChars="200"/>
              <w:rPr>
                <w:rStyle w:val="12"/>
                <w:rFonts w:hint="default" w:ascii="Times New Roman" w:hAnsi="Times New Roman" w:cs="Times New Roman"/>
                <w:b w:val="0"/>
                <w:bCs/>
                <w:sz w:val="24"/>
                <w:szCs w:val="24"/>
                <w:vertAlign w:val="baseline"/>
                <w:lang w:val="en-US" w:eastAsia="zh-CN"/>
              </w:rPr>
            </w:pPr>
            <w:r>
              <w:rPr>
                <w:rStyle w:val="12"/>
                <w:rFonts w:hint="default" w:ascii="Times New Roman" w:hAnsi="Times New Roman" w:cs="Times New Roman"/>
                <w:b w:val="0"/>
                <w:bCs/>
                <w:sz w:val="24"/>
                <w:szCs w:val="24"/>
                <w:vertAlign w:val="baseline"/>
                <w:lang w:val="en-US" w:eastAsia="zh-CN"/>
              </w:rPr>
              <w:t>本项目位于德宏州芒市，项目区属山间盆地地貌。本项目建设场地较为平坦</w:t>
            </w:r>
            <w:r>
              <w:rPr>
                <w:rStyle w:val="12"/>
                <w:rFonts w:hint="eastAsia" w:cs="Times New Roman"/>
                <w:b w:val="0"/>
                <w:bCs/>
                <w:sz w:val="24"/>
                <w:szCs w:val="24"/>
                <w:vertAlign w:val="baseline"/>
                <w:lang w:val="en-US" w:eastAsia="zh-CN"/>
              </w:rPr>
              <w:t>。</w:t>
            </w:r>
          </w:p>
          <w:p w14:paraId="1A503B29">
            <w:pPr>
              <w:numPr>
                <w:ilvl w:val="0"/>
                <w:numId w:val="18"/>
              </w:numPr>
              <w:ind w:left="0" w:leftChars="0" w:firstLine="482" w:firstLineChars="200"/>
              <w:rPr>
                <w:rStyle w:val="12"/>
                <w:rFonts w:hint="default" w:ascii="Times New Roman" w:hAnsi="Times New Roman" w:cs="Times New Roman"/>
                <w:b/>
                <w:bCs w:val="0"/>
                <w:sz w:val="24"/>
                <w:szCs w:val="24"/>
                <w:vertAlign w:val="baseline"/>
                <w:lang w:val="en-US" w:eastAsia="zh-CN"/>
              </w:rPr>
            </w:pPr>
            <w:r>
              <w:rPr>
                <w:rStyle w:val="12"/>
                <w:rFonts w:hint="default" w:ascii="Times New Roman" w:hAnsi="Times New Roman" w:cs="Times New Roman"/>
                <w:b/>
                <w:bCs w:val="0"/>
                <w:sz w:val="24"/>
                <w:szCs w:val="24"/>
                <w:vertAlign w:val="baseline"/>
                <w:lang w:val="en-US" w:eastAsia="zh-CN"/>
              </w:rPr>
              <w:t>水文水系</w:t>
            </w:r>
          </w:p>
          <w:p w14:paraId="21946199">
            <w:pPr>
              <w:numPr>
                <w:ilvl w:val="0"/>
                <w:numId w:val="0"/>
              </w:numPr>
              <w:ind w:firstLine="480" w:firstLineChars="200"/>
              <w:rPr>
                <w:rStyle w:val="12"/>
                <w:rFonts w:hint="default" w:ascii="Times New Roman" w:hAnsi="Times New Roman" w:cs="Times New Roman"/>
                <w:b w:val="0"/>
                <w:bCs/>
                <w:sz w:val="24"/>
                <w:szCs w:val="24"/>
                <w:vertAlign w:val="baseline"/>
                <w:lang w:val="en-US" w:eastAsia="zh-CN"/>
              </w:rPr>
            </w:pPr>
            <w:r>
              <w:rPr>
                <w:rStyle w:val="12"/>
                <w:rFonts w:hint="default" w:ascii="Times New Roman" w:hAnsi="Times New Roman" w:cs="Times New Roman"/>
                <w:b w:val="0"/>
                <w:bCs/>
                <w:sz w:val="24"/>
                <w:szCs w:val="24"/>
                <w:vertAlign w:val="baseline"/>
                <w:lang w:val="en-US" w:eastAsia="zh-CN"/>
              </w:rPr>
              <w:t>德宏水系主要有“三江四河”。三江：大盈江、瑞丽江（陇川江）、怒江；四河：芒市河、南畹河、户撒河、芒东河（萝卜坝河）。芒市年平均总产水量31.8</w:t>
            </w:r>
          </w:p>
          <w:p w14:paraId="2214AC39">
            <w:pPr>
              <w:numPr>
                <w:ilvl w:val="0"/>
                <w:numId w:val="0"/>
              </w:numPr>
              <w:rPr>
                <w:rStyle w:val="12"/>
                <w:rFonts w:hint="default" w:ascii="Times New Roman" w:hAnsi="Times New Roman" w:cs="Times New Roman"/>
                <w:b w:val="0"/>
                <w:bCs/>
                <w:sz w:val="24"/>
                <w:szCs w:val="24"/>
                <w:vertAlign w:val="baseline"/>
                <w:lang w:val="en-US" w:eastAsia="zh-CN"/>
              </w:rPr>
            </w:pPr>
            <w:r>
              <w:rPr>
                <w:rStyle w:val="12"/>
                <w:rFonts w:hint="default" w:ascii="Times New Roman" w:hAnsi="Times New Roman" w:cs="Times New Roman"/>
                <w:b w:val="0"/>
                <w:bCs/>
                <w:sz w:val="24"/>
                <w:szCs w:val="24"/>
                <w:vertAlign w:val="baseline"/>
                <w:lang w:val="en-US" w:eastAsia="zh-CN"/>
              </w:rPr>
              <w:t>亿m³，其中地表水23.11亿m³，地下水8.69亿m³。</w:t>
            </w:r>
          </w:p>
          <w:p w14:paraId="4BDECE03">
            <w:pPr>
              <w:numPr>
                <w:ilvl w:val="0"/>
                <w:numId w:val="0"/>
              </w:numPr>
              <w:ind w:firstLine="480" w:firstLineChars="200"/>
              <w:rPr>
                <w:rStyle w:val="12"/>
                <w:rFonts w:hint="default" w:ascii="Times New Roman" w:hAnsi="Times New Roman" w:cs="Times New Roman"/>
                <w:b w:val="0"/>
                <w:bCs/>
                <w:sz w:val="24"/>
                <w:szCs w:val="24"/>
                <w:vertAlign w:val="baseline"/>
                <w:lang w:val="en-US" w:eastAsia="zh-CN"/>
              </w:rPr>
            </w:pPr>
            <w:r>
              <w:rPr>
                <w:rStyle w:val="12"/>
                <w:rFonts w:hint="default" w:ascii="Times New Roman" w:hAnsi="Times New Roman" w:cs="Times New Roman"/>
                <w:b w:val="0"/>
                <w:bCs/>
                <w:sz w:val="24"/>
                <w:szCs w:val="24"/>
                <w:vertAlign w:val="baseline"/>
                <w:lang w:val="en-US" w:eastAsia="zh-CN"/>
              </w:rPr>
              <w:t>芒市年均地表水量为23.11亿</w:t>
            </w:r>
            <w:r>
              <w:rPr>
                <w:rStyle w:val="12"/>
                <w:rFonts w:hint="eastAsia" w:cs="Times New Roman"/>
                <w:b w:val="0"/>
                <w:bCs/>
                <w:sz w:val="24"/>
                <w:szCs w:val="24"/>
                <w:vertAlign w:val="baseline"/>
                <w:lang w:val="en-US" w:eastAsia="zh-CN"/>
              </w:rPr>
              <w:t>m</w:t>
            </w:r>
            <w:r>
              <w:rPr>
                <w:rStyle w:val="12"/>
                <w:rFonts w:hint="eastAsia" w:cs="Times New Roman"/>
                <w:b w:val="0"/>
                <w:bCs/>
                <w:sz w:val="24"/>
                <w:szCs w:val="24"/>
                <w:vertAlign w:val="superscript"/>
                <w:lang w:val="en-US" w:eastAsia="zh-CN"/>
              </w:rPr>
              <w:t>3</w:t>
            </w:r>
            <w:r>
              <w:rPr>
                <w:rStyle w:val="12"/>
                <w:rFonts w:hint="default" w:ascii="Times New Roman" w:hAnsi="Times New Roman" w:cs="Times New Roman"/>
                <w:b w:val="0"/>
                <w:bCs/>
                <w:sz w:val="24"/>
                <w:szCs w:val="24"/>
                <w:vertAlign w:val="baseline"/>
                <w:lang w:val="en-US" w:eastAsia="zh-CN"/>
              </w:rPr>
              <w:t>，河流分别属于伊洛瓦底江和怒江水系。其中伊洛瓦底江流域面积为2360km</w:t>
            </w:r>
            <w:r>
              <w:rPr>
                <w:rStyle w:val="12"/>
                <w:rFonts w:hint="eastAsia" w:cs="Times New Roman"/>
                <w:b w:val="0"/>
                <w:bCs/>
                <w:sz w:val="24"/>
                <w:szCs w:val="24"/>
                <w:vertAlign w:val="superscript"/>
                <w:lang w:val="en-US" w:eastAsia="zh-CN"/>
              </w:rPr>
              <w:t>2</w:t>
            </w:r>
            <w:r>
              <w:rPr>
                <w:rStyle w:val="12"/>
                <w:rFonts w:hint="default" w:ascii="Times New Roman" w:hAnsi="Times New Roman" w:cs="Times New Roman"/>
                <w:b w:val="0"/>
                <w:bCs/>
                <w:sz w:val="24"/>
                <w:szCs w:val="24"/>
                <w:vertAlign w:val="baseline"/>
                <w:lang w:val="en-US" w:eastAsia="zh-CN"/>
              </w:rPr>
              <w:t>，占全市总流域面积的80.5%，流域内水系发育呈叶脉状，有大小河流139条，主要河流有南乃河、芒岗河、户阳河、邵址河、板过河、二级支流主要有放马桥河、中河、户养河、轩岗河等；怒江流域面积为570.7km</w:t>
            </w:r>
            <w:r>
              <w:rPr>
                <w:rStyle w:val="12"/>
                <w:rFonts w:hint="eastAsia" w:cs="Times New Roman"/>
                <w:b w:val="0"/>
                <w:bCs/>
                <w:sz w:val="24"/>
                <w:szCs w:val="24"/>
                <w:vertAlign w:val="superscript"/>
                <w:lang w:val="en-US" w:eastAsia="zh-CN"/>
              </w:rPr>
              <w:t>2</w:t>
            </w:r>
            <w:r>
              <w:rPr>
                <w:rStyle w:val="12"/>
                <w:rFonts w:hint="default" w:ascii="Times New Roman" w:hAnsi="Times New Roman" w:cs="Times New Roman"/>
                <w:b w:val="0"/>
                <w:bCs/>
                <w:sz w:val="24"/>
                <w:szCs w:val="24"/>
                <w:vertAlign w:val="baseline"/>
                <w:lang w:val="en-US" w:eastAsia="zh-CN"/>
              </w:rPr>
              <w:t>，占全市总流域面积的19.5%，流域内水系发育呈叶脉状，有大小河流90条，主要支流有：朗油河、即毕河、万马河、清水河和芒辛河等。本项目建设区周边的河流主要为板过河，汇至贯穿城市南北方向的瑞丽江流域上游芒市大河。</w:t>
            </w:r>
          </w:p>
          <w:p w14:paraId="2F68E287">
            <w:pPr>
              <w:numPr>
                <w:ilvl w:val="0"/>
                <w:numId w:val="0"/>
              </w:numPr>
              <w:ind w:firstLine="480" w:firstLineChars="200"/>
              <w:rPr>
                <w:rStyle w:val="12"/>
                <w:rFonts w:hint="default" w:ascii="Times New Roman" w:hAnsi="Times New Roman" w:cs="Times New Roman"/>
                <w:b w:val="0"/>
                <w:bCs/>
                <w:sz w:val="24"/>
                <w:szCs w:val="24"/>
                <w:vertAlign w:val="baseline"/>
                <w:lang w:val="en-US" w:eastAsia="zh-CN"/>
              </w:rPr>
            </w:pPr>
            <w:r>
              <w:rPr>
                <w:rStyle w:val="12"/>
                <w:rFonts w:hint="default" w:ascii="Times New Roman" w:hAnsi="Times New Roman" w:cs="Times New Roman"/>
                <w:b w:val="0"/>
                <w:bCs/>
                <w:sz w:val="24"/>
                <w:szCs w:val="24"/>
                <w:vertAlign w:val="baseline"/>
                <w:lang w:val="en-US" w:eastAsia="zh-CN"/>
              </w:rPr>
              <w:t>板过河发源于中东行政村对门寨，流经松树寨，穿芒市城北而过，至等相寨</w:t>
            </w:r>
          </w:p>
          <w:p w14:paraId="2395F680">
            <w:pPr>
              <w:numPr>
                <w:ilvl w:val="0"/>
                <w:numId w:val="0"/>
              </w:numPr>
              <w:rPr>
                <w:rStyle w:val="12"/>
                <w:rFonts w:hint="default" w:ascii="Times New Roman" w:hAnsi="Times New Roman" w:cs="Times New Roman"/>
                <w:b w:val="0"/>
                <w:bCs/>
                <w:sz w:val="24"/>
                <w:szCs w:val="24"/>
                <w:vertAlign w:val="baseline"/>
                <w:lang w:val="en-US" w:eastAsia="zh-CN"/>
              </w:rPr>
            </w:pPr>
            <w:r>
              <w:rPr>
                <w:rStyle w:val="12"/>
                <w:rFonts w:hint="default" w:ascii="Times New Roman" w:hAnsi="Times New Roman" w:cs="Times New Roman"/>
                <w:b w:val="0"/>
                <w:bCs/>
                <w:sz w:val="24"/>
                <w:szCs w:val="24"/>
                <w:vertAlign w:val="baseline"/>
                <w:lang w:val="en-US" w:eastAsia="zh-CN"/>
              </w:rPr>
              <w:t>西入汇芒市大河，是芒市大河的支流，主要功能为城郊、芒市两镇提供农灌用水。</w:t>
            </w:r>
          </w:p>
          <w:p w14:paraId="1ADF67A1">
            <w:pPr>
              <w:numPr>
                <w:ilvl w:val="0"/>
                <w:numId w:val="0"/>
              </w:numPr>
              <w:rPr>
                <w:rStyle w:val="12"/>
                <w:rFonts w:hint="default" w:ascii="Times New Roman" w:hAnsi="Times New Roman" w:cs="Times New Roman"/>
                <w:b w:val="0"/>
                <w:bCs/>
                <w:sz w:val="24"/>
                <w:szCs w:val="24"/>
                <w:vertAlign w:val="baseline"/>
                <w:lang w:val="en-US" w:eastAsia="zh-CN"/>
              </w:rPr>
            </w:pPr>
            <w:r>
              <w:rPr>
                <w:rStyle w:val="12"/>
                <w:rFonts w:hint="default" w:ascii="Times New Roman" w:hAnsi="Times New Roman" w:cs="Times New Roman"/>
                <w:b w:val="0"/>
                <w:bCs/>
                <w:sz w:val="24"/>
                <w:szCs w:val="24"/>
                <w:vertAlign w:val="baseline"/>
                <w:lang w:val="en-US" w:eastAsia="zh-CN"/>
              </w:rPr>
              <w:t>河长17.3km，河道平均坡度50‰</w:t>
            </w:r>
            <w:r>
              <w:rPr>
                <w:rStyle w:val="12"/>
                <w:rFonts w:hint="eastAsia" w:cs="Times New Roman"/>
                <w:b w:val="0"/>
                <w:bCs/>
                <w:sz w:val="24"/>
                <w:szCs w:val="24"/>
                <w:vertAlign w:val="baseline"/>
                <w:lang w:val="en-US" w:eastAsia="zh-CN"/>
              </w:rPr>
              <w:t>，</w:t>
            </w:r>
            <w:r>
              <w:rPr>
                <w:rStyle w:val="12"/>
                <w:rFonts w:hint="default" w:ascii="Times New Roman" w:hAnsi="Times New Roman" w:cs="Times New Roman"/>
                <w:b w:val="0"/>
                <w:bCs/>
                <w:sz w:val="24"/>
                <w:szCs w:val="24"/>
                <w:vertAlign w:val="baseline"/>
                <w:lang w:val="en-US" w:eastAsia="zh-CN"/>
              </w:rPr>
              <w:t>径流面积39.3km</w:t>
            </w:r>
            <w:r>
              <w:rPr>
                <w:rStyle w:val="12"/>
                <w:rFonts w:hint="default" w:ascii="Times New Roman" w:hAnsi="Times New Roman" w:cs="Times New Roman"/>
                <w:b w:val="0"/>
                <w:bCs/>
                <w:sz w:val="24"/>
                <w:szCs w:val="24"/>
                <w:vertAlign w:val="superscript"/>
                <w:lang w:val="en-US" w:eastAsia="zh-CN"/>
              </w:rPr>
              <w:t>2</w:t>
            </w:r>
            <w:r>
              <w:rPr>
                <w:rStyle w:val="12"/>
                <w:rFonts w:hint="default" w:ascii="Times New Roman" w:hAnsi="Times New Roman" w:cs="Times New Roman"/>
                <w:b w:val="0"/>
                <w:bCs/>
                <w:sz w:val="24"/>
                <w:szCs w:val="24"/>
                <w:vertAlign w:val="baseline"/>
                <w:lang w:val="en-US" w:eastAsia="zh-CN"/>
              </w:rPr>
              <w:t>，多年平均径流量0.27</w:t>
            </w:r>
            <w:r>
              <w:rPr>
                <w:rStyle w:val="12"/>
                <w:rFonts w:hint="eastAsia" w:cs="Times New Roman"/>
                <w:b w:val="0"/>
                <w:bCs/>
                <w:sz w:val="24"/>
                <w:szCs w:val="24"/>
                <w:vertAlign w:val="baseline"/>
                <w:lang w:val="en-US" w:eastAsia="zh-CN"/>
              </w:rPr>
              <w:t>亿</w:t>
            </w:r>
            <w:r>
              <w:rPr>
                <w:rStyle w:val="12"/>
                <w:rFonts w:hint="default" w:ascii="Times New Roman" w:hAnsi="Times New Roman" w:cs="Times New Roman"/>
                <w:b w:val="0"/>
                <w:bCs/>
                <w:sz w:val="24"/>
                <w:szCs w:val="24"/>
                <w:vertAlign w:val="baseline"/>
                <w:lang w:val="en-US" w:eastAsia="zh-CN"/>
              </w:rPr>
              <w:t>m</w:t>
            </w:r>
            <w:r>
              <w:rPr>
                <w:rStyle w:val="12"/>
                <w:rFonts w:hint="default" w:ascii="Times New Roman" w:hAnsi="Times New Roman" w:cs="Times New Roman"/>
                <w:b w:val="0"/>
                <w:bCs/>
                <w:sz w:val="24"/>
                <w:szCs w:val="24"/>
                <w:vertAlign w:val="superscript"/>
                <w:lang w:val="en-US" w:eastAsia="zh-CN"/>
              </w:rPr>
              <w:t>3</w:t>
            </w:r>
            <w:r>
              <w:rPr>
                <w:rStyle w:val="12"/>
                <w:rFonts w:hint="default" w:ascii="Times New Roman" w:hAnsi="Times New Roman" w:cs="Times New Roman"/>
                <w:b w:val="0"/>
                <w:bCs/>
                <w:sz w:val="24"/>
                <w:szCs w:val="24"/>
                <w:vertAlign w:val="baseline"/>
                <w:lang w:val="en-US" w:eastAsia="zh-CN"/>
              </w:rPr>
              <w:t xml:space="preserve"> ，水能理论蕴藏量0.52万kw。通过现场踏勘，项目区内无地下暗河及明河经过，场地地下水主要来自大气降水、地下孔隙潜水补给。</w:t>
            </w:r>
          </w:p>
          <w:p w14:paraId="61231631">
            <w:pPr>
              <w:numPr>
                <w:ilvl w:val="0"/>
                <w:numId w:val="18"/>
              </w:numPr>
              <w:ind w:left="0" w:leftChars="0" w:firstLine="482" w:firstLineChars="200"/>
              <w:rPr>
                <w:rStyle w:val="12"/>
                <w:rFonts w:hint="default" w:ascii="Times New Roman" w:hAnsi="Times New Roman" w:cs="Times New Roman"/>
                <w:b/>
                <w:bCs w:val="0"/>
                <w:sz w:val="24"/>
                <w:szCs w:val="24"/>
                <w:vertAlign w:val="baseline"/>
                <w:lang w:val="en-US" w:eastAsia="zh-CN"/>
              </w:rPr>
            </w:pPr>
            <w:r>
              <w:rPr>
                <w:rStyle w:val="12"/>
                <w:rFonts w:hint="default" w:ascii="Times New Roman" w:hAnsi="Times New Roman" w:cs="Times New Roman"/>
                <w:b/>
                <w:bCs w:val="0"/>
                <w:sz w:val="24"/>
                <w:szCs w:val="24"/>
                <w:vertAlign w:val="baseline"/>
                <w:lang w:val="en-US" w:eastAsia="zh-CN"/>
              </w:rPr>
              <w:t>气候气象</w:t>
            </w:r>
          </w:p>
          <w:p w14:paraId="6B5E605A">
            <w:pPr>
              <w:numPr>
                <w:ilvl w:val="0"/>
                <w:numId w:val="0"/>
              </w:numPr>
              <w:ind w:firstLine="480" w:firstLineChars="200"/>
              <w:rPr>
                <w:rStyle w:val="12"/>
                <w:rFonts w:hint="default" w:ascii="Times New Roman" w:hAnsi="Times New Roman" w:cs="Times New Roman"/>
                <w:b w:val="0"/>
                <w:bCs/>
                <w:sz w:val="24"/>
                <w:szCs w:val="24"/>
                <w:vertAlign w:val="baseline"/>
                <w:lang w:val="en-US" w:eastAsia="zh-CN"/>
              </w:rPr>
            </w:pPr>
            <w:r>
              <w:rPr>
                <w:rStyle w:val="12"/>
                <w:rFonts w:hint="default" w:ascii="Times New Roman" w:hAnsi="Times New Roman" w:cs="Times New Roman"/>
                <w:b w:val="0"/>
                <w:bCs/>
                <w:sz w:val="24"/>
                <w:szCs w:val="24"/>
                <w:vertAlign w:val="baseline"/>
                <w:lang w:val="en-US" w:eastAsia="zh-CN"/>
              </w:rPr>
              <w:t>芒市地处低纬高原，热量丰富，</w:t>
            </w:r>
            <w:r>
              <w:rPr>
                <w:rStyle w:val="12"/>
                <w:rFonts w:hint="eastAsia" w:cs="Times New Roman"/>
                <w:b w:val="0"/>
                <w:bCs/>
                <w:sz w:val="24"/>
                <w:szCs w:val="24"/>
                <w:vertAlign w:val="baseline"/>
                <w:lang w:val="en-US" w:eastAsia="zh-CN"/>
              </w:rPr>
              <w:t>气候</w:t>
            </w:r>
            <w:bookmarkStart w:id="2" w:name="_GoBack"/>
            <w:bookmarkEnd w:id="2"/>
            <w:r>
              <w:rPr>
                <w:rStyle w:val="12"/>
                <w:rFonts w:hint="default" w:ascii="Times New Roman" w:hAnsi="Times New Roman" w:cs="Times New Roman"/>
                <w:b w:val="0"/>
                <w:bCs/>
                <w:sz w:val="24"/>
                <w:szCs w:val="24"/>
                <w:vertAlign w:val="baseline"/>
                <w:lang w:val="en-US" w:eastAsia="zh-CN"/>
              </w:rPr>
              <w:t>温和，属南亚热带季风气候，具有夏长冬短、干湿分明、冬无严寒、夏无酷暑，日照时间长、雨量充沛、冬季多雾等特点。年平均气温19.6℃，最热月（6 月）平均气温24.1℃，最冷月（1 月）平均气温12.3℃，极端最高气温36.2℃（1960 年 4 月 29 日），极端最低气温-0.6℃（1963 年 1 月 5 日），年平均降水量1654.6</w:t>
            </w:r>
            <w:r>
              <w:rPr>
                <w:rStyle w:val="12"/>
                <w:rFonts w:hint="eastAsia" w:cs="Times New Roman"/>
                <w:b w:val="0"/>
                <w:bCs/>
                <w:sz w:val="24"/>
                <w:szCs w:val="24"/>
                <w:vertAlign w:val="baseline"/>
                <w:lang w:val="en-US" w:eastAsia="zh-CN"/>
              </w:rPr>
              <w:t>mm</w:t>
            </w:r>
            <w:r>
              <w:rPr>
                <w:rStyle w:val="12"/>
                <w:rFonts w:hint="default" w:ascii="Times New Roman" w:hAnsi="Times New Roman" w:cs="Times New Roman"/>
                <w:b w:val="0"/>
                <w:bCs/>
                <w:sz w:val="24"/>
                <w:szCs w:val="24"/>
                <w:vertAlign w:val="baseline"/>
                <w:lang w:val="en-US" w:eastAsia="zh-CN"/>
              </w:rPr>
              <w:t>，年最多降水量2294.4</w:t>
            </w:r>
            <w:r>
              <w:rPr>
                <w:rStyle w:val="12"/>
                <w:rFonts w:hint="eastAsia" w:cs="Times New Roman"/>
                <w:b w:val="0"/>
                <w:bCs/>
                <w:sz w:val="24"/>
                <w:szCs w:val="24"/>
                <w:vertAlign w:val="baseline"/>
                <w:lang w:val="en-US" w:eastAsia="zh-CN"/>
              </w:rPr>
              <w:t>mm</w:t>
            </w:r>
            <w:r>
              <w:rPr>
                <w:rStyle w:val="12"/>
                <w:rFonts w:hint="default" w:ascii="Times New Roman" w:hAnsi="Times New Roman" w:cs="Times New Roman"/>
                <w:b w:val="0"/>
                <w:bCs/>
                <w:sz w:val="24"/>
                <w:szCs w:val="24"/>
                <w:vertAlign w:val="baseline"/>
                <w:lang w:val="en-US" w:eastAsia="zh-CN"/>
              </w:rPr>
              <w:t>（2001年），年最少降水量1177.3</w:t>
            </w:r>
            <w:r>
              <w:rPr>
                <w:rStyle w:val="12"/>
                <w:rFonts w:hint="eastAsia" w:cs="Times New Roman"/>
                <w:b w:val="0"/>
                <w:bCs/>
                <w:sz w:val="24"/>
                <w:szCs w:val="24"/>
                <w:vertAlign w:val="baseline"/>
                <w:lang w:val="en-US" w:eastAsia="zh-CN"/>
              </w:rPr>
              <w:t>mm</w:t>
            </w:r>
            <w:r>
              <w:rPr>
                <w:rStyle w:val="12"/>
                <w:rFonts w:hint="default" w:ascii="Times New Roman" w:hAnsi="Times New Roman" w:cs="Times New Roman"/>
                <w:b w:val="0"/>
                <w:bCs/>
                <w:sz w:val="24"/>
                <w:szCs w:val="24"/>
                <w:vertAlign w:val="baseline"/>
                <w:lang w:val="en-US" w:eastAsia="zh-CN"/>
              </w:rPr>
              <w:t>（2006 年），雨季（5-10 月）降水量占全年降水15量的89%，年平均降雨日数170天，一日最大降水量158.3</w:t>
            </w:r>
            <w:r>
              <w:rPr>
                <w:rStyle w:val="12"/>
                <w:rFonts w:hint="eastAsia" w:cs="Times New Roman"/>
                <w:b w:val="0"/>
                <w:bCs/>
                <w:sz w:val="24"/>
                <w:szCs w:val="24"/>
                <w:vertAlign w:val="baseline"/>
                <w:lang w:val="en-US" w:eastAsia="zh-CN"/>
              </w:rPr>
              <w:t>mm</w:t>
            </w:r>
            <w:r>
              <w:rPr>
                <w:rStyle w:val="12"/>
                <w:rFonts w:hint="default" w:ascii="Times New Roman" w:hAnsi="Times New Roman" w:cs="Times New Roman"/>
                <w:b w:val="0"/>
                <w:bCs/>
                <w:sz w:val="24"/>
                <w:szCs w:val="24"/>
                <w:vertAlign w:val="baseline"/>
                <w:lang w:val="en-US" w:eastAsia="zh-CN"/>
              </w:rPr>
              <w:t>（2002年10月</w:t>
            </w:r>
            <w:r>
              <w:rPr>
                <w:rStyle w:val="12"/>
                <w:rFonts w:hint="eastAsia" w:cs="Times New Roman"/>
                <w:b w:val="0"/>
                <w:bCs/>
                <w:sz w:val="24"/>
                <w:szCs w:val="24"/>
                <w:vertAlign w:val="baseline"/>
                <w:lang w:val="en-US" w:eastAsia="zh-CN"/>
              </w:rPr>
              <w:t>25</w:t>
            </w:r>
            <w:r>
              <w:rPr>
                <w:rStyle w:val="12"/>
                <w:rFonts w:hint="default" w:ascii="Times New Roman" w:hAnsi="Times New Roman" w:cs="Times New Roman"/>
                <w:b w:val="0"/>
                <w:bCs/>
                <w:sz w:val="24"/>
                <w:szCs w:val="24"/>
                <w:vertAlign w:val="baseline"/>
                <w:lang w:val="en-US" w:eastAsia="zh-CN"/>
              </w:rPr>
              <w:t>日）。日照时数2252.9小时，蒸发量1723.6</w:t>
            </w:r>
            <w:r>
              <w:rPr>
                <w:rStyle w:val="12"/>
                <w:rFonts w:hint="eastAsia" w:cs="Times New Roman"/>
                <w:b w:val="0"/>
                <w:bCs/>
                <w:sz w:val="24"/>
                <w:szCs w:val="24"/>
                <w:vertAlign w:val="baseline"/>
                <w:lang w:val="en-US" w:eastAsia="zh-CN"/>
              </w:rPr>
              <w:t>mm</w:t>
            </w:r>
            <w:r>
              <w:rPr>
                <w:rStyle w:val="12"/>
                <w:rFonts w:hint="default" w:ascii="Times New Roman" w:hAnsi="Times New Roman" w:cs="Times New Roman"/>
                <w:b w:val="0"/>
                <w:bCs/>
                <w:sz w:val="24"/>
                <w:szCs w:val="24"/>
                <w:vertAlign w:val="baseline"/>
                <w:lang w:val="en-US" w:eastAsia="zh-CN"/>
              </w:rPr>
              <w:t>，无霜期315天。</w:t>
            </w:r>
          </w:p>
          <w:p w14:paraId="0B8C9ABF">
            <w:pPr>
              <w:numPr>
                <w:ilvl w:val="0"/>
                <w:numId w:val="0"/>
              </w:numPr>
              <w:ind w:firstLine="480" w:firstLineChars="200"/>
              <w:rPr>
                <w:rStyle w:val="12"/>
                <w:rFonts w:hint="default" w:ascii="Times New Roman" w:hAnsi="Times New Roman" w:cs="Times New Roman"/>
                <w:b w:val="0"/>
                <w:bCs/>
                <w:sz w:val="24"/>
                <w:szCs w:val="24"/>
                <w:vertAlign w:val="baseline"/>
                <w:lang w:val="en-US" w:eastAsia="zh-CN"/>
              </w:rPr>
            </w:pPr>
            <w:r>
              <w:rPr>
                <w:rStyle w:val="12"/>
                <w:rFonts w:hint="default" w:ascii="Times New Roman" w:hAnsi="Times New Roman" w:cs="Times New Roman"/>
                <w:b w:val="0"/>
                <w:bCs/>
                <w:sz w:val="24"/>
                <w:szCs w:val="24"/>
                <w:vertAlign w:val="baseline"/>
                <w:lang w:val="en-US" w:eastAsia="zh-CN"/>
              </w:rPr>
              <w:t>经芒市气象站的历年统计资料，累年极端最高气温36.20℃，累年极端最低气温-0.60℃；累年平均气压909.90hPa，累年平均水汽压18.40hPa，累年平均相对湿度 80％；累年平均风速为2.9m/s，累年最大风速为38.5m/s，主导风向为西南风；累年平均年雷暴日数76.9天，累年平均年冰雹日数0.4 天，不见沙尘天气。</w:t>
            </w:r>
          </w:p>
          <w:p w14:paraId="723A46BB">
            <w:pPr>
              <w:numPr>
                <w:ilvl w:val="0"/>
                <w:numId w:val="18"/>
              </w:numPr>
              <w:ind w:left="0" w:leftChars="0" w:firstLine="482" w:firstLineChars="200"/>
              <w:rPr>
                <w:rStyle w:val="12"/>
                <w:rFonts w:hint="eastAsia" w:cs="Times New Roman"/>
                <w:b/>
                <w:bCs w:val="0"/>
                <w:sz w:val="24"/>
                <w:szCs w:val="24"/>
                <w:vertAlign w:val="baseline"/>
                <w:lang w:val="en-US" w:eastAsia="zh-CN"/>
              </w:rPr>
            </w:pPr>
            <w:r>
              <w:rPr>
                <w:rStyle w:val="12"/>
                <w:rFonts w:hint="eastAsia" w:cs="Times New Roman"/>
                <w:b/>
                <w:bCs w:val="0"/>
                <w:sz w:val="24"/>
                <w:szCs w:val="24"/>
                <w:vertAlign w:val="baseline"/>
                <w:lang w:val="en-US" w:eastAsia="zh-CN"/>
              </w:rPr>
              <w:t>植被及生物多样性</w:t>
            </w:r>
          </w:p>
          <w:p w14:paraId="0CEF58A4">
            <w:pPr>
              <w:numPr>
                <w:ilvl w:val="0"/>
                <w:numId w:val="0"/>
              </w:numPr>
              <w:ind w:firstLine="480" w:firstLineChars="200"/>
              <w:rPr>
                <w:rStyle w:val="12"/>
                <w:rFonts w:hint="default" w:cs="Times New Roman"/>
                <w:b w:val="0"/>
                <w:bCs/>
                <w:sz w:val="24"/>
                <w:szCs w:val="24"/>
                <w:vertAlign w:val="baseline"/>
                <w:lang w:val="en-US" w:eastAsia="zh-CN"/>
              </w:rPr>
            </w:pPr>
            <w:r>
              <w:rPr>
                <w:rStyle w:val="12"/>
                <w:rFonts w:hint="default" w:cs="Times New Roman"/>
                <w:b w:val="0"/>
                <w:bCs/>
                <w:sz w:val="24"/>
                <w:szCs w:val="24"/>
                <w:vertAlign w:val="baseline"/>
                <w:lang w:val="en-US" w:eastAsia="zh-CN"/>
              </w:rPr>
              <w:t>芒市属滇西横断山半湿润常绿阔叶林区，森林植被类型主要属盈江、镇康中心宽谷高榕、麻栎；部分划入“腾冲中山宽谷刺斗石栎、滇木荷林、云南松树林小区。”分布特点为垂直地带性明显。另外竹类资源、牧草资源都十分丰富；市境内有高等植物257科</w:t>
            </w:r>
            <w:r>
              <w:rPr>
                <w:rStyle w:val="12"/>
                <w:rFonts w:hint="eastAsia" w:cs="Times New Roman"/>
                <w:b w:val="0"/>
                <w:bCs/>
                <w:sz w:val="24"/>
                <w:szCs w:val="24"/>
                <w:vertAlign w:val="baseline"/>
                <w:lang w:val="en-US" w:eastAsia="zh-CN"/>
              </w:rPr>
              <w:t>，</w:t>
            </w:r>
            <w:r>
              <w:rPr>
                <w:rStyle w:val="12"/>
                <w:rFonts w:hint="default" w:cs="Times New Roman"/>
                <w:b w:val="0"/>
                <w:bCs/>
                <w:sz w:val="24"/>
                <w:szCs w:val="24"/>
                <w:vertAlign w:val="baseline"/>
                <w:lang w:val="en-US" w:eastAsia="zh-CN"/>
              </w:rPr>
              <w:t>2564种，主要优势树种为思茅松、西南桦、旱冬瓜、木荷、栎类。全市林业用地面积 211300hm</w:t>
            </w:r>
            <w:r>
              <w:rPr>
                <w:rStyle w:val="12"/>
                <w:rFonts w:hint="eastAsia" w:cs="Times New Roman"/>
                <w:b w:val="0"/>
                <w:bCs/>
                <w:sz w:val="24"/>
                <w:szCs w:val="24"/>
                <w:vertAlign w:val="superscript"/>
                <w:lang w:val="en-US" w:eastAsia="zh-CN"/>
              </w:rPr>
              <w:t>2</w:t>
            </w:r>
            <w:r>
              <w:rPr>
                <w:rStyle w:val="12"/>
                <w:rFonts w:hint="default" w:cs="Times New Roman"/>
                <w:b w:val="0"/>
                <w:bCs/>
                <w:sz w:val="24"/>
                <w:szCs w:val="24"/>
                <w:vertAlign w:val="baseline"/>
                <w:lang w:val="en-US" w:eastAsia="zh-CN"/>
              </w:rPr>
              <w:t>，森林覆盖率61.2%。因气候雨热同期，环境湿润，食用菌类植物生长繁多，品种约有30种以上，年产100吨左右。</w:t>
            </w:r>
          </w:p>
          <w:p w14:paraId="2EE7923A">
            <w:pPr>
              <w:numPr>
                <w:ilvl w:val="0"/>
                <w:numId w:val="0"/>
              </w:numPr>
              <w:ind w:leftChars="200"/>
              <w:rPr>
                <w:rStyle w:val="12"/>
                <w:rFonts w:hint="eastAsia" w:cs="Times New Roman"/>
                <w:b/>
                <w:bCs w:val="0"/>
                <w:sz w:val="24"/>
                <w:szCs w:val="24"/>
                <w:vertAlign w:val="baseline"/>
                <w:lang w:val="en-US" w:eastAsia="zh-CN"/>
              </w:rPr>
            </w:pPr>
            <w:r>
              <w:rPr>
                <w:rStyle w:val="12"/>
                <w:rFonts w:hint="eastAsia" w:cs="Times New Roman"/>
                <w:b/>
                <w:bCs w:val="0"/>
                <w:sz w:val="24"/>
                <w:szCs w:val="24"/>
                <w:vertAlign w:val="baseline"/>
                <w:lang w:val="en-US" w:eastAsia="zh-CN"/>
              </w:rPr>
              <w:t>6、风景名胜及文物保护单位</w:t>
            </w:r>
          </w:p>
          <w:p w14:paraId="7CF05630">
            <w:pPr>
              <w:numPr>
                <w:ilvl w:val="0"/>
                <w:numId w:val="0"/>
              </w:numPr>
              <w:ind w:firstLine="480" w:firstLineChars="200"/>
              <w:rPr>
                <w:rStyle w:val="12"/>
                <w:rFonts w:hint="default" w:cs="Times New Roman"/>
                <w:b w:val="0"/>
                <w:bCs/>
                <w:sz w:val="24"/>
                <w:szCs w:val="24"/>
                <w:vertAlign w:val="baseline"/>
                <w:lang w:val="en-US" w:eastAsia="zh-CN"/>
              </w:rPr>
            </w:pPr>
            <w:r>
              <w:rPr>
                <w:rStyle w:val="12"/>
                <w:rFonts w:hint="default" w:cs="Times New Roman"/>
                <w:b w:val="0"/>
                <w:bCs/>
                <w:sz w:val="24"/>
                <w:szCs w:val="24"/>
                <w:vertAlign w:val="baseline"/>
                <w:lang w:val="en-US" w:eastAsia="zh-CN"/>
              </w:rPr>
              <w:t>芒市城及附近有菩提寺、五云寺、佛光寺等南传上座部佛教寺庙，有民族文化宫、树包塔、中缅友谊树、滇西抗战纪念碑、果朗王城遗址、风平佛塔、法帕温泉、励基观音寺、三仙洞、勐巴娜西珍奇园等风光名胜。</w:t>
            </w:r>
          </w:p>
          <w:p w14:paraId="59C6198F">
            <w:pPr>
              <w:numPr>
                <w:ilvl w:val="0"/>
                <w:numId w:val="0"/>
              </w:numPr>
              <w:ind w:firstLine="480" w:firstLineChars="200"/>
              <w:rPr>
                <w:rStyle w:val="12"/>
                <w:rFonts w:hint="default" w:cs="Times New Roman"/>
                <w:b w:val="0"/>
                <w:bCs/>
                <w:sz w:val="24"/>
                <w:szCs w:val="24"/>
                <w:vertAlign w:val="baseline"/>
                <w:lang w:val="en-US" w:eastAsia="zh-CN"/>
              </w:rPr>
            </w:pPr>
            <w:r>
              <w:rPr>
                <w:rStyle w:val="12"/>
                <w:rFonts w:hint="eastAsia" w:cs="Times New Roman"/>
                <w:b w:val="0"/>
                <w:bCs/>
                <w:sz w:val="24"/>
                <w:szCs w:val="24"/>
                <w:vertAlign w:val="baseline"/>
                <w:lang w:val="en-US" w:eastAsia="zh-CN"/>
              </w:rPr>
              <w:t>根据调查，</w:t>
            </w:r>
            <w:r>
              <w:rPr>
                <w:rStyle w:val="12"/>
                <w:rFonts w:hint="default" w:cs="Times New Roman"/>
                <w:b w:val="0"/>
                <w:bCs/>
                <w:sz w:val="24"/>
                <w:szCs w:val="24"/>
                <w:vertAlign w:val="baseline"/>
                <w:lang w:val="en-US" w:eastAsia="zh-CN"/>
              </w:rPr>
              <w:t>项目区用地范围内不涉及风景名胜区，无文物保护单位等环境敏感点分布，也无国家保护的珍稀动、植物分布。</w:t>
            </w:r>
          </w:p>
        </w:tc>
      </w:tr>
    </w:tbl>
    <w:p w14:paraId="33D1954A">
      <w:pPr>
        <w:rPr>
          <w:rStyle w:val="12"/>
          <w:rFonts w:hint="eastAsia"/>
          <w:lang w:val="en-US" w:eastAsia="zh-CN"/>
        </w:rPr>
      </w:pPr>
      <w:r>
        <w:rPr>
          <w:rStyle w:val="12"/>
          <w:rFonts w:hint="eastAsia"/>
          <w:lang w:val="en-US" w:eastAsia="zh-CN"/>
        </w:rPr>
        <w:br w:type="page"/>
      </w:r>
    </w:p>
    <w:p w14:paraId="6BE47920">
      <w:pPr>
        <w:pStyle w:val="2"/>
        <w:bidi w:val="0"/>
        <w:rPr>
          <w:rFonts w:hint="eastAsia"/>
          <w:lang w:val="en-US" w:eastAsia="zh-CN"/>
        </w:rPr>
      </w:pPr>
      <w:r>
        <w:rPr>
          <w:rFonts w:hint="eastAsia"/>
          <w:lang w:val="en-US" w:eastAsia="zh-CN"/>
        </w:rPr>
        <w:t>表三、环境质量状况</w:t>
      </w:r>
    </w:p>
    <w:tbl>
      <w:tblPr>
        <w:tblStyle w:val="10"/>
        <w:tblW w:w="86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0"/>
      </w:tblGrid>
      <w:tr w14:paraId="5F32D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7" w:hRule="atLeast"/>
        </w:trPr>
        <w:tc>
          <w:tcPr>
            <w:tcW w:w="8660" w:type="dxa"/>
          </w:tcPr>
          <w:p w14:paraId="331766B9">
            <w:pPr>
              <w:bidi w:val="0"/>
              <w:rPr>
                <w:rFonts w:hint="eastAsia"/>
                <w:b/>
                <w:bCs/>
                <w:sz w:val="24"/>
                <w:szCs w:val="24"/>
                <w:lang w:val="en-US" w:eastAsia="zh-CN"/>
              </w:rPr>
            </w:pPr>
            <w:r>
              <w:rPr>
                <w:rFonts w:hint="eastAsia"/>
                <w:b/>
                <w:bCs/>
                <w:sz w:val="24"/>
                <w:szCs w:val="24"/>
                <w:lang w:val="en-US" w:eastAsia="zh-CN"/>
              </w:rPr>
              <w:t>建设项目所在区域环境质量现状及主要环境问题（空气环境、水环境、声环境、生态环境等）</w:t>
            </w:r>
          </w:p>
          <w:p w14:paraId="36C350F5">
            <w:pPr>
              <w:numPr>
                <w:ilvl w:val="0"/>
                <w:numId w:val="19"/>
              </w:numPr>
              <w:bidi w:val="0"/>
              <w:rPr>
                <w:rFonts w:hint="eastAsia"/>
                <w:b/>
                <w:bCs/>
                <w:sz w:val="24"/>
                <w:szCs w:val="24"/>
                <w:lang w:val="en-US" w:eastAsia="zh-CN"/>
              </w:rPr>
            </w:pPr>
            <w:r>
              <w:rPr>
                <w:rFonts w:hint="eastAsia"/>
                <w:b/>
                <w:bCs/>
                <w:sz w:val="24"/>
                <w:szCs w:val="24"/>
                <w:lang w:val="en-US" w:eastAsia="zh-CN"/>
              </w:rPr>
              <w:t>空气环境质量现状</w:t>
            </w:r>
          </w:p>
          <w:p w14:paraId="1F91A970">
            <w:pPr>
              <w:numPr>
                <w:ilvl w:val="0"/>
                <w:numId w:val="20"/>
              </w:numPr>
              <w:bidi w:val="0"/>
              <w:ind w:firstLine="480" w:firstLineChars="200"/>
              <w:rPr>
                <w:rFonts w:hint="eastAsia"/>
                <w:b w:val="0"/>
                <w:bCs w:val="0"/>
                <w:sz w:val="24"/>
                <w:szCs w:val="24"/>
                <w:lang w:val="en-US" w:eastAsia="zh-CN"/>
              </w:rPr>
            </w:pPr>
            <w:r>
              <w:rPr>
                <w:rFonts w:hint="eastAsia"/>
                <w:b w:val="0"/>
                <w:bCs w:val="0"/>
                <w:sz w:val="24"/>
                <w:szCs w:val="24"/>
                <w:lang w:val="en-US" w:eastAsia="zh-CN"/>
              </w:rPr>
              <w:t>空气环境现状评价标准</w:t>
            </w:r>
          </w:p>
          <w:p w14:paraId="0D6CDB60">
            <w:pPr>
              <w:numPr>
                <w:ilvl w:val="0"/>
                <w:numId w:val="0"/>
              </w:numPr>
              <w:bidi w:val="0"/>
              <w:ind w:firstLine="480" w:firstLineChars="200"/>
              <w:rPr>
                <w:rFonts w:hint="eastAsia"/>
                <w:b w:val="0"/>
                <w:bCs w:val="0"/>
                <w:sz w:val="24"/>
                <w:szCs w:val="24"/>
                <w:lang w:val="en-US" w:eastAsia="zh-CN"/>
              </w:rPr>
            </w:pPr>
            <w:r>
              <w:rPr>
                <w:rFonts w:hint="eastAsia"/>
                <w:b w:val="0"/>
                <w:bCs w:val="0"/>
                <w:sz w:val="24"/>
                <w:szCs w:val="24"/>
                <w:lang w:val="en-US" w:eastAsia="zh-CN"/>
              </w:rPr>
              <w:t>项目所在区域为芒市中心城区，没有大中型工业污染源，属于交通/商业/居民混合区，根据环境空气质量功能区划，属于二类功能区，执行《环境空气质量标准》（GB3095-2012）二级标准。</w:t>
            </w:r>
          </w:p>
          <w:p w14:paraId="4481AC46">
            <w:pPr>
              <w:numPr>
                <w:ilvl w:val="0"/>
                <w:numId w:val="20"/>
              </w:numPr>
              <w:bidi w:val="0"/>
              <w:ind w:left="0" w:leftChars="0" w:firstLine="480" w:firstLineChars="200"/>
              <w:rPr>
                <w:rFonts w:hint="eastAsia"/>
                <w:b w:val="0"/>
                <w:bCs w:val="0"/>
                <w:sz w:val="24"/>
                <w:szCs w:val="24"/>
                <w:lang w:val="en-US" w:eastAsia="zh-CN"/>
              </w:rPr>
            </w:pPr>
            <w:r>
              <w:rPr>
                <w:rFonts w:hint="eastAsia"/>
                <w:b w:val="0"/>
                <w:bCs w:val="0"/>
                <w:sz w:val="24"/>
                <w:szCs w:val="24"/>
                <w:lang w:val="en-US" w:eastAsia="zh-CN"/>
              </w:rPr>
              <w:t>芒市环境空气质量评价</w:t>
            </w:r>
          </w:p>
          <w:p w14:paraId="20986976">
            <w:pPr>
              <w:keepNext w:val="0"/>
              <w:keepLines w:val="0"/>
              <w:widowControl/>
              <w:suppressLineNumbers w:val="0"/>
              <w:spacing w:line="360" w:lineRule="auto"/>
              <w:ind w:firstLine="480" w:firstLineChars="200"/>
              <w:jc w:val="left"/>
              <w:rPr>
                <w:rFonts w:hint="default" w:ascii="Times New Roman" w:hAnsi="Times New Roman" w:eastAsia="宋体" w:cs="Times New Roman"/>
                <w:snapToGrid w:val="0"/>
                <w:color w:val="auto"/>
                <w:kern w:val="0"/>
                <w:sz w:val="24"/>
                <w:highlight w:val="none"/>
                <w:lang w:val="en-US" w:eastAsia="zh-CN"/>
              </w:rPr>
            </w:pPr>
            <w:r>
              <w:rPr>
                <w:rFonts w:hint="default" w:ascii="Times New Roman" w:hAnsi="Times New Roman" w:eastAsia="宋体" w:cs="Times New Roman"/>
                <w:snapToGrid w:val="0"/>
                <w:color w:val="auto"/>
                <w:kern w:val="0"/>
                <w:sz w:val="24"/>
                <w:highlight w:val="none"/>
                <w:lang w:val="en-US" w:eastAsia="zh-CN"/>
              </w:rPr>
              <w:t>根据《德宏州2018年环境质量状况公报》，芒市空气质量优天数179天，空气质量良天数159天，轻度污染天数21天，中度污染天数1天，无中毒污染和严重污染天数。各指标监测数据如下表所示</w:t>
            </w:r>
          </w:p>
          <w:p w14:paraId="18EA6F63">
            <w:pPr>
              <w:keepNext w:val="0"/>
              <w:keepLines w:val="0"/>
              <w:widowControl/>
              <w:suppressLineNumbers w:val="0"/>
              <w:spacing w:line="360" w:lineRule="auto"/>
              <w:ind w:firstLine="482" w:firstLineChars="200"/>
              <w:jc w:val="center"/>
              <w:rPr>
                <w:rFonts w:hint="default" w:ascii="Times New Roman" w:hAnsi="Times New Roman" w:eastAsia="宋体" w:cs="Times New Roman"/>
                <w:b/>
                <w:bCs/>
                <w:snapToGrid w:val="0"/>
                <w:color w:val="auto"/>
                <w:kern w:val="0"/>
                <w:sz w:val="24"/>
                <w:highlight w:val="none"/>
                <w:lang w:val="en-US" w:eastAsia="zh-CN"/>
              </w:rPr>
            </w:pPr>
            <w:r>
              <w:rPr>
                <w:rFonts w:hint="default" w:ascii="Times New Roman" w:hAnsi="Times New Roman" w:eastAsia="宋体" w:cs="Times New Roman"/>
                <w:b/>
                <w:bCs/>
                <w:snapToGrid w:val="0"/>
                <w:color w:val="auto"/>
                <w:kern w:val="0"/>
                <w:sz w:val="24"/>
                <w:highlight w:val="none"/>
                <w:lang w:val="en-US" w:eastAsia="zh-CN"/>
              </w:rPr>
              <w:t>表3-1 2018年芒市</w:t>
            </w:r>
            <w:r>
              <w:rPr>
                <w:rFonts w:hint="default" w:ascii="Times New Roman" w:hAnsi="Times New Roman" w:eastAsia="宋体" w:cs="Times New Roman"/>
                <w:b/>
                <w:bCs/>
                <w:color w:val="auto"/>
                <w:sz w:val="24"/>
                <w:highlight w:val="none"/>
              </w:rPr>
              <w:t>环境空气质量监测指标达标情况</w:t>
            </w:r>
          </w:p>
          <w:tbl>
            <w:tblPr>
              <w:tblStyle w:val="10"/>
              <w:tblW w:w="8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9"/>
              <w:gridCol w:w="2309"/>
              <w:gridCol w:w="2385"/>
              <w:gridCol w:w="1541"/>
            </w:tblGrid>
            <w:tr w14:paraId="6B4FD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466B2E3F">
                  <w:pPr>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rPr>
                    <w:t>监测指标</w:t>
                  </w:r>
                </w:p>
              </w:tc>
              <w:tc>
                <w:tcPr>
                  <w:tcW w:w="2309" w:type="dxa"/>
                  <w:vAlign w:val="center"/>
                </w:tcPr>
                <w:p w14:paraId="58B71D20">
                  <w:pPr>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rPr>
                    <w:t>年均浓度（μg/m</w:t>
                  </w:r>
                  <w:r>
                    <w:rPr>
                      <w:rFonts w:hint="default" w:ascii="Times New Roman" w:hAnsi="Times New Roman" w:eastAsia="宋体" w:cs="Times New Roman"/>
                      <w:b/>
                      <w:bCs/>
                      <w:snapToGrid w:val="0"/>
                      <w:color w:val="auto"/>
                      <w:kern w:val="0"/>
                      <w:sz w:val="21"/>
                      <w:szCs w:val="21"/>
                      <w:highlight w:val="none"/>
                      <w:vertAlign w:val="superscript"/>
                    </w:rPr>
                    <w:t>3</w:t>
                  </w:r>
                  <w:r>
                    <w:rPr>
                      <w:rFonts w:hint="default" w:ascii="Times New Roman" w:hAnsi="Times New Roman" w:eastAsia="宋体" w:cs="Times New Roman"/>
                      <w:b/>
                      <w:bCs/>
                      <w:snapToGrid w:val="0"/>
                      <w:color w:val="auto"/>
                      <w:kern w:val="0"/>
                      <w:sz w:val="21"/>
                      <w:szCs w:val="21"/>
                      <w:highlight w:val="none"/>
                    </w:rPr>
                    <w:t>）</w:t>
                  </w:r>
                </w:p>
              </w:tc>
              <w:tc>
                <w:tcPr>
                  <w:tcW w:w="2385" w:type="dxa"/>
                  <w:vAlign w:val="center"/>
                </w:tcPr>
                <w:p w14:paraId="2913C6A6">
                  <w:pPr>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rPr>
                    <w:t>二级标准（μg/m</w:t>
                  </w:r>
                  <w:r>
                    <w:rPr>
                      <w:rFonts w:hint="default" w:ascii="Times New Roman" w:hAnsi="Times New Roman" w:eastAsia="宋体" w:cs="Times New Roman"/>
                      <w:b/>
                      <w:bCs/>
                      <w:snapToGrid w:val="0"/>
                      <w:color w:val="auto"/>
                      <w:kern w:val="0"/>
                      <w:sz w:val="21"/>
                      <w:szCs w:val="21"/>
                      <w:highlight w:val="none"/>
                      <w:vertAlign w:val="superscript"/>
                    </w:rPr>
                    <w:t>3</w:t>
                  </w:r>
                  <w:r>
                    <w:rPr>
                      <w:rFonts w:hint="default" w:ascii="Times New Roman" w:hAnsi="Times New Roman" w:eastAsia="宋体" w:cs="Times New Roman"/>
                      <w:b/>
                      <w:bCs/>
                      <w:snapToGrid w:val="0"/>
                      <w:color w:val="auto"/>
                      <w:kern w:val="0"/>
                      <w:sz w:val="21"/>
                      <w:szCs w:val="21"/>
                      <w:highlight w:val="none"/>
                    </w:rPr>
                    <w:t>）</w:t>
                  </w:r>
                </w:p>
              </w:tc>
              <w:tc>
                <w:tcPr>
                  <w:tcW w:w="1541" w:type="dxa"/>
                  <w:vAlign w:val="center"/>
                </w:tcPr>
                <w:p w14:paraId="17D0C90D">
                  <w:pPr>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b/>
                      <w:bCs/>
                      <w:snapToGrid w:val="0"/>
                      <w:color w:val="auto"/>
                      <w:kern w:val="0"/>
                      <w:sz w:val="21"/>
                      <w:szCs w:val="21"/>
                      <w:highlight w:val="none"/>
                    </w:rPr>
                    <w:t>达标情况</w:t>
                  </w:r>
                </w:p>
              </w:tc>
            </w:tr>
            <w:tr w14:paraId="32FFA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63E93810">
                  <w:pPr>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rPr>
                    <w:t>二氧化硫（</w:t>
                  </w: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w:t>
                  </w:r>
                </w:p>
              </w:tc>
              <w:tc>
                <w:tcPr>
                  <w:tcW w:w="2309" w:type="dxa"/>
                  <w:vAlign w:val="center"/>
                </w:tcPr>
                <w:p w14:paraId="3A09EF14">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15</w:t>
                  </w:r>
                </w:p>
              </w:tc>
              <w:tc>
                <w:tcPr>
                  <w:tcW w:w="2385" w:type="dxa"/>
                  <w:vAlign w:val="center"/>
                </w:tcPr>
                <w:p w14:paraId="4D19ED0F">
                  <w:pPr>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rPr>
                    <w:t>60</w:t>
                  </w:r>
                </w:p>
              </w:tc>
              <w:tc>
                <w:tcPr>
                  <w:tcW w:w="1541" w:type="dxa"/>
                  <w:vAlign w:val="center"/>
                </w:tcPr>
                <w:p w14:paraId="28477FFE">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达标</w:t>
                  </w:r>
                </w:p>
              </w:tc>
            </w:tr>
            <w:tr w14:paraId="241CD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04736E1D">
                  <w:pPr>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rPr>
                    <w:t>二氧化氮（</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snapToGrid w:val="0"/>
                      <w:color w:val="auto"/>
                      <w:kern w:val="0"/>
                      <w:sz w:val="21"/>
                      <w:szCs w:val="21"/>
                      <w:highlight w:val="none"/>
                    </w:rPr>
                    <w:t>）</w:t>
                  </w:r>
                </w:p>
              </w:tc>
              <w:tc>
                <w:tcPr>
                  <w:tcW w:w="2309" w:type="dxa"/>
                  <w:vAlign w:val="center"/>
                </w:tcPr>
                <w:p w14:paraId="3BD01404">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22</w:t>
                  </w:r>
                </w:p>
              </w:tc>
              <w:tc>
                <w:tcPr>
                  <w:tcW w:w="2385" w:type="dxa"/>
                  <w:vAlign w:val="center"/>
                </w:tcPr>
                <w:p w14:paraId="49D696E4">
                  <w:pPr>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rPr>
                    <w:t>40</w:t>
                  </w:r>
                </w:p>
              </w:tc>
              <w:tc>
                <w:tcPr>
                  <w:tcW w:w="1541" w:type="dxa"/>
                  <w:vAlign w:val="center"/>
                </w:tcPr>
                <w:p w14:paraId="78C4D5BD">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达标</w:t>
                  </w:r>
                </w:p>
              </w:tc>
            </w:tr>
            <w:tr w14:paraId="667AD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2770BF88">
                  <w:pPr>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rPr>
                    <w:t>可吸入颗粒物（PM</w:t>
                  </w:r>
                  <w:r>
                    <w:rPr>
                      <w:rFonts w:hint="default" w:ascii="Times New Roman" w:hAnsi="Times New Roman" w:eastAsia="宋体" w:cs="Times New Roman"/>
                      <w:snapToGrid w:val="0"/>
                      <w:color w:val="auto"/>
                      <w:kern w:val="0"/>
                      <w:sz w:val="21"/>
                      <w:szCs w:val="21"/>
                      <w:highlight w:val="none"/>
                      <w:vertAlign w:val="subscript"/>
                    </w:rPr>
                    <w:t>10</w:t>
                  </w:r>
                  <w:r>
                    <w:rPr>
                      <w:rFonts w:hint="default" w:ascii="Times New Roman" w:hAnsi="Times New Roman" w:eastAsia="宋体" w:cs="Times New Roman"/>
                      <w:snapToGrid w:val="0"/>
                      <w:color w:val="auto"/>
                      <w:kern w:val="0"/>
                      <w:sz w:val="21"/>
                      <w:szCs w:val="21"/>
                      <w:highlight w:val="none"/>
                    </w:rPr>
                    <w:t>）</w:t>
                  </w:r>
                </w:p>
              </w:tc>
              <w:tc>
                <w:tcPr>
                  <w:tcW w:w="2309" w:type="dxa"/>
                  <w:vAlign w:val="center"/>
                </w:tcPr>
                <w:p w14:paraId="2D854380">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53</w:t>
                  </w:r>
                </w:p>
              </w:tc>
              <w:tc>
                <w:tcPr>
                  <w:tcW w:w="2385" w:type="dxa"/>
                  <w:vAlign w:val="center"/>
                </w:tcPr>
                <w:p w14:paraId="3B67D53D">
                  <w:pPr>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rPr>
                    <w:t>70</w:t>
                  </w:r>
                </w:p>
              </w:tc>
              <w:tc>
                <w:tcPr>
                  <w:tcW w:w="1541" w:type="dxa"/>
                  <w:vAlign w:val="center"/>
                </w:tcPr>
                <w:p w14:paraId="100CF574">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达标</w:t>
                  </w:r>
                </w:p>
              </w:tc>
            </w:tr>
            <w:tr w14:paraId="7DE11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6D79E50A">
                  <w:pPr>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rPr>
                    <w:t>细颗粒物（PM</w:t>
                  </w:r>
                  <w:r>
                    <w:rPr>
                      <w:rFonts w:hint="default" w:ascii="Times New Roman" w:hAnsi="Times New Roman" w:eastAsia="宋体" w:cs="Times New Roman"/>
                      <w:snapToGrid w:val="0"/>
                      <w:color w:val="auto"/>
                      <w:kern w:val="0"/>
                      <w:sz w:val="21"/>
                      <w:szCs w:val="21"/>
                      <w:highlight w:val="none"/>
                      <w:vertAlign w:val="subscript"/>
                    </w:rPr>
                    <w:t>2.5</w:t>
                  </w:r>
                  <w:r>
                    <w:rPr>
                      <w:rFonts w:hint="default" w:ascii="Times New Roman" w:hAnsi="Times New Roman" w:eastAsia="宋体" w:cs="Times New Roman"/>
                      <w:snapToGrid w:val="0"/>
                      <w:color w:val="auto"/>
                      <w:kern w:val="0"/>
                      <w:sz w:val="21"/>
                      <w:szCs w:val="21"/>
                      <w:highlight w:val="none"/>
                    </w:rPr>
                    <w:t>）</w:t>
                  </w:r>
                </w:p>
              </w:tc>
              <w:tc>
                <w:tcPr>
                  <w:tcW w:w="2309" w:type="dxa"/>
                  <w:vAlign w:val="center"/>
                </w:tcPr>
                <w:p w14:paraId="5BBD338C">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34</w:t>
                  </w:r>
                </w:p>
              </w:tc>
              <w:tc>
                <w:tcPr>
                  <w:tcW w:w="2385" w:type="dxa"/>
                  <w:vAlign w:val="center"/>
                </w:tcPr>
                <w:p w14:paraId="68FF9122">
                  <w:pPr>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rPr>
                    <w:t>35</w:t>
                  </w:r>
                </w:p>
              </w:tc>
              <w:tc>
                <w:tcPr>
                  <w:tcW w:w="1541" w:type="dxa"/>
                  <w:vAlign w:val="center"/>
                </w:tcPr>
                <w:p w14:paraId="3F90607B">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达标</w:t>
                  </w:r>
                </w:p>
              </w:tc>
            </w:tr>
            <w:tr w14:paraId="5E2B7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19A9109D">
                  <w:pPr>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rPr>
                    <w:t>CO</w:t>
                  </w:r>
                </w:p>
              </w:tc>
              <w:tc>
                <w:tcPr>
                  <w:tcW w:w="2309" w:type="dxa"/>
                  <w:vAlign w:val="center"/>
                </w:tcPr>
                <w:p w14:paraId="506B913A">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0.7</w:t>
                  </w:r>
                  <w:r>
                    <w:rPr>
                      <w:rFonts w:hint="default" w:ascii="Times New Roman" w:hAnsi="Times New Roman" w:eastAsia="宋体" w:cs="Times New Roman"/>
                      <w:snapToGrid w:val="0"/>
                      <w:color w:val="auto"/>
                      <w:kern w:val="0"/>
                      <w:sz w:val="21"/>
                      <w:szCs w:val="21"/>
                      <w:highlight w:val="none"/>
                    </w:rPr>
                    <w:t>mg/m</w:t>
                  </w:r>
                  <w:r>
                    <w:rPr>
                      <w:rFonts w:hint="default" w:ascii="Times New Roman" w:hAnsi="Times New Roman" w:eastAsia="宋体" w:cs="Times New Roman"/>
                      <w:snapToGrid w:val="0"/>
                      <w:color w:val="auto"/>
                      <w:kern w:val="0"/>
                      <w:sz w:val="21"/>
                      <w:szCs w:val="21"/>
                      <w:highlight w:val="none"/>
                      <w:vertAlign w:val="superscript"/>
                    </w:rPr>
                    <w:t>3</w:t>
                  </w:r>
                </w:p>
              </w:tc>
              <w:tc>
                <w:tcPr>
                  <w:tcW w:w="2385" w:type="dxa"/>
                  <w:vAlign w:val="center"/>
                </w:tcPr>
                <w:p w14:paraId="44D4CC98">
                  <w:pPr>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rPr>
                    <w:t>4mg/m</w:t>
                  </w:r>
                  <w:r>
                    <w:rPr>
                      <w:rFonts w:hint="default" w:ascii="Times New Roman" w:hAnsi="Times New Roman" w:eastAsia="宋体" w:cs="Times New Roman"/>
                      <w:snapToGrid w:val="0"/>
                      <w:color w:val="auto"/>
                      <w:kern w:val="0"/>
                      <w:sz w:val="21"/>
                      <w:szCs w:val="21"/>
                      <w:highlight w:val="none"/>
                      <w:vertAlign w:val="superscript"/>
                    </w:rPr>
                    <w:t>3</w:t>
                  </w:r>
                </w:p>
              </w:tc>
              <w:tc>
                <w:tcPr>
                  <w:tcW w:w="1541" w:type="dxa"/>
                  <w:vAlign w:val="center"/>
                </w:tcPr>
                <w:p w14:paraId="6CB4F976">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达标</w:t>
                  </w:r>
                </w:p>
              </w:tc>
            </w:tr>
            <w:tr w14:paraId="32B04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24149D5E">
                  <w:pPr>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rPr>
                    <w:t>O</w:t>
                  </w:r>
                  <w:r>
                    <w:rPr>
                      <w:rFonts w:hint="default" w:ascii="Times New Roman" w:hAnsi="Times New Roman" w:eastAsia="宋体" w:cs="Times New Roman"/>
                      <w:snapToGrid w:val="0"/>
                      <w:color w:val="auto"/>
                      <w:kern w:val="0"/>
                      <w:sz w:val="21"/>
                      <w:szCs w:val="21"/>
                      <w:highlight w:val="none"/>
                      <w:vertAlign w:val="subscript"/>
                    </w:rPr>
                    <w:t>3</w:t>
                  </w:r>
                </w:p>
              </w:tc>
              <w:tc>
                <w:tcPr>
                  <w:tcW w:w="2309" w:type="dxa"/>
                  <w:vAlign w:val="center"/>
                </w:tcPr>
                <w:p w14:paraId="08A9F29F">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80</w:t>
                  </w:r>
                </w:p>
              </w:tc>
              <w:tc>
                <w:tcPr>
                  <w:tcW w:w="2385" w:type="dxa"/>
                  <w:vAlign w:val="center"/>
                </w:tcPr>
                <w:p w14:paraId="5CBA3BF3">
                  <w:pPr>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rPr>
                    <w:t>160</w:t>
                  </w:r>
                </w:p>
              </w:tc>
              <w:tc>
                <w:tcPr>
                  <w:tcW w:w="1541" w:type="dxa"/>
                  <w:vAlign w:val="center"/>
                </w:tcPr>
                <w:p w14:paraId="4712D75F">
                  <w:pPr>
                    <w:keepNext w:val="0"/>
                    <w:keepLines w:val="0"/>
                    <w:widowControl/>
                    <w:suppressLineNumbers w:val="0"/>
                    <w:spacing w:line="240" w:lineRule="auto"/>
                    <w:jc w:val="center"/>
                    <w:rPr>
                      <w:rFonts w:hint="default" w:ascii="Times New Roman" w:hAnsi="Times New Roman" w:eastAsia="宋体" w:cs="Times New Roman"/>
                      <w:snapToGrid w:val="0"/>
                      <w:color w:val="auto"/>
                      <w:kern w:val="0"/>
                      <w:sz w:val="21"/>
                      <w:szCs w:val="21"/>
                      <w:highlight w:val="none"/>
                      <w:vertAlign w:val="baseline"/>
                      <w:lang w:val="en-US" w:eastAsia="zh-CN"/>
                    </w:rPr>
                  </w:pPr>
                  <w:r>
                    <w:rPr>
                      <w:rFonts w:hint="default" w:ascii="Times New Roman" w:hAnsi="Times New Roman" w:eastAsia="宋体" w:cs="Times New Roman"/>
                      <w:snapToGrid w:val="0"/>
                      <w:color w:val="auto"/>
                      <w:kern w:val="0"/>
                      <w:sz w:val="21"/>
                      <w:szCs w:val="21"/>
                      <w:highlight w:val="none"/>
                      <w:vertAlign w:val="baseline"/>
                      <w:lang w:val="en-US" w:eastAsia="zh-CN"/>
                    </w:rPr>
                    <w:t>达标</w:t>
                  </w:r>
                </w:p>
              </w:tc>
            </w:tr>
          </w:tbl>
          <w:p w14:paraId="304513BE">
            <w:pPr>
              <w:numPr>
                <w:ilvl w:val="0"/>
                <w:numId w:val="0"/>
              </w:numPr>
              <w:bidi w:val="0"/>
              <w:ind w:firstLine="480" w:firstLineChars="200"/>
              <w:rPr>
                <w:rFonts w:hint="default" w:ascii="Times New Roman" w:hAnsi="Times New Roman" w:cs="Times New Roman"/>
                <w:color w:val="auto"/>
                <w:sz w:val="24"/>
                <w:highlight w:val="none"/>
              </w:rPr>
            </w:pPr>
            <w:r>
              <w:rPr>
                <w:rFonts w:hint="eastAsia"/>
                <w:b w:val="0"/>
                <w:bCs w:val="0"/>
                <w:sz w:val="24"/>
                <w:szCs w:val="24"/>
                <w:lang w:val="en-US" w:eastAsia="zh-CN"/>
              </w:rPr>
              <w:t>由上表可知：</w:t>
            </w:r>
            <w:r>
              <w:rPr>
                <w:rFonts w:hint="default" w:ascii="Times New Roman" w:hAnsi="Times New Roman" w:eastAsia="宋体" w:cs="Times New Roman"/>
                <w:color w:val="000000"/>
                <w:kern w:val="0"/>
                <w:sz w:val="24"/>
                <w:szCs w:val="24"/>
                <w:lang w:val="en-US" w:eastAsia="zh-CN" w:bidi="ar"/>
              </w:rPr>
              <w:t>各指标浓度满足</w:t>
            </w:r>
            <w:r>
              <w:rPr>
                <w:rFonts w:hint="default" w:ascii="Times New Roman" w:hAnsi="Times New Roman" w:cs="Times New Roman"/>
                <w:color w:val="auto"/>
                <w:sz w:val="24"/>
                <w:highlight w:val="none"/>
              </w:rPr>
              <w:t>《环境空气质量标准》（GB3095-2012）</w:t>
            </w:r>
            <w:r>
              <w:rPr>
                <w:rFonts w:hint="default" w:ascii="Times New Roman" w:hAnsi="Times New Roman" w:cs="Times New Roman"/>
                <w:color w:val="auto"/>
                <w:sz w:val="24"/>
                <w:highlight w:val="none"/>
                <w:lang w:eastAsia="zh-CN"/>
              </w:rPr>
              <w:t>中</w:t>
            </w:r>
            <w:r>
              <w:rPr>
                <w:rFonts w:hint="default" w:ascii="Times New Roman" w:hAnsi="Times New Roman" w:eastAsia="宋体" w:cs="Times New Roman"/>
                <w:color w:val="000000"/>
                <w:kern w:val="0"/>
                <w:sz w:val="24"/>
                <w:szCs w:val="24"/>
                <w:lang w:val="en-US" w:eastAsia="zh-CN" w:bidi="ar"/>
              </w:rPr>
              <w:t>二级标准的要求，</w:t>
            </w:r>
            <w:r>
              <w:rPr>
                <w:rFonts w:hint="eastAsia" w:cs="Times New Roman"/>
                <w:color w:val="000000"/>
                <w:kern w:val="0"/>
                <w:sz w:val="24"/>
                <w:szCs w:val="24"/>
                <w:lang w:val="en-US" w:eastAsia="zh-CN" w:bidi="ar"/>
              </w:rPr>
              <w:t>项目位于芒市中心城区，属于达标区，区域内</w:t>
            </w:r>
            <w:r>
              <w:rPr>
                <w:rFonts w:hint="default" w:ascii="Times New Roman" w:hAnsi="Times New Roman" w:cs="Times New Roman"/>
                <w:color w:val="auto"/>
                <w:sz w:val="24"/>
                <w:highlight w:val="none"/>
              </w:rPr>
              <w:t>环境空气质量良好。</w:t>
            </w:r>
          </w:p>
          <w:p w14:paraId="7666FA2E">
            <w:pPr>
              <w:numPr>
                <w:ilvl w:val="0"/>
                <w:numId w:val="19"/>
              </w:numPr>
              <w:bidi w:val="0"/>
              <w:ind w:left="0" w:leftChars="0" w:firstLine="0" w:firstLineChars="0"/>
              <w:rPr>
                <w:rFonts w:hint="eastAsia"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水环境质量现状</w:t>
            </w:r>
          </w:p>
          <w:p w14:paraId="6591D82A">
            <w:pPr>
              <w:spacing w:line="360" w:lineRule="auto"/>
              <w:ind w:firstLine="480" w:firstLineChars="200"/>
              <w:rPr>
                <w:rFonts w:hint="default" w:ascii="Times New Roman" w:hAnsi="Times New Roman" w:cs="Times New Roman"/>
                <w:sz w:val="24"/>
                <w:szCs w:val="24"/>
              </w:rPr>
            </w:pPr>
            <w:r>
              <w:rPr>
                <w:rFonts w:hint="eastAsia" w:ascii="Times New Roman" w:hAnsi="Times New Roman" w:cs="Times New Roman"/>
                <w:color w:val="auto"/>
                <w:sz w:val="24"/>
                <w:highlight w:val="none"/>
                <w:lang w:val="en-US" w:eastAsia="zh-CN"/>
              </w:rPr>
              <w:t>项目所在区域地表水体为芒市大河，属于伊洛瓦底江水系。</w:t>
            </w:r>
            <w:r>
              <w:rPr>
                <w:rFonts w:hint="default" w:ascii="Times New Roman" w:hAnsi="Times New Roman" w:cs="Times New Roman"/>
                <w:sz w:val="24"/>
                <w:szCs w:val="24"/>
              </w:rPr>
              <w:t>根据</w:t>
            </w:r>
            <w:r>
              <w:rPr>
                <w:rFonts w:hint="default" w:ascii="Times New Roman" w:hAnsi="Times New Roman" w:cs="Times New Roman"/>
                <w:sz w:val="24"/>
              </w:rPr>
              <w:t>《云南省地表水环境功能区划（2010~2020）》，</w:t>
            </w:r>
            <w:r>
              <w:rPr>
                <w:rFonts w:hint="default" w:ascii="Times New Roman" w:hAnsi="Times New Roman" w:cs="Times New Roman"/>
                <w:sz w:val="24"/>
                <w:szCs w:val="24"/>
              </w:rPr>
              <w:t>属“木康断面～入瑞丽江口</w:t>
            </w:r>
            <w:r>
              <w:rPr>
                <w:rFonts w:hint="default" w:ascii="Times New Roman" w:hAnsi="Times New Roman" w:cs="Times New Roman"/>
                <w:kern w:val="0"/>
                <w:sz w:val="24"/>
              </w:rPr>
              <w:t>”河段，水环境功能为农业用水、工业用水，为Ⅲ类水质，</w:t>
            </w:r>
            <w:r>
              <w:rPr>
                <w:rFonts w:hint="default" w:ascii="Times New Roman" w:hAnsi="Times New Roman" w:cs="Times New Roman"/>
                <w:sz w:val="24"/>
                <w:szCs w:val="24"/>
              </w:rPr>
              <w:t>执行《地表水环境质量标准》（GB3838-2002）Ⅲ类水体标准</w:t>
            </w:r>
            <w:r>
              <w:rPr>
                <w:rFonts w:hint="default" w:ascii="Times New Roman" w:hAnsi="Times New Roman" w:cs="Times New Roman"/>
                <w:sz w:val="24"/>
                <w:szCs w:val="24"/>
                <w:lang w:eastAsia="zh-CN"/>
              </w:rPr>
              <w:t>。根据</w:t>
            </w:r>
            <w:r>
              <w:rPr>
                <w:rFonts w:hint="default" w:ascii="Times New Roman" w:hAnsi="Times New Roman" w:eastAsia="宋体" w:cs="Times New Roman"/>
                <w:snapToGrid w:val="0"/>
                <w:color w:val="auto"/>
                <w:kern w:val="0"/>
                <w:sz w:val="24"/>
                <w:highlight w:val="none"/>
                <w:lang w:val="en-US" w:eastAsia="zh-CN"/>
              </w:rPr>
              <w:t>《德宏州2018年环境质量状况公报》，</w:t>
            </w:r>
            <w:r>
              <w:rPr>
                <w:rFonts w:hint="default" w:ascii="Times New Roman" w:hAnsi="Times New Roman" w:cs="Times New Roman"/>
                <w:sz w:val="24"/>
                <w:szCs w:val="24"/>
              </w:rPr>
              <w:t>芒市</w:t>
            </w:r>
            <w:r>
              <w:rPr>
                <w:rFonts w:hint="default" w:ascii="Times New Roman" w:hAnsi="Times New Roman" w:cs="Times New Roman"/>
                <w:sz w:val="24"/>
                <w:szCs w:val="24"/>
                <w:lang w:eastAsia="zh-CN"/>
              </w:rPr>
              <w:t>大</w:t>
            </w:r>
            <w:r>
              <w:rPr>
                <w:rFonts w:hint="default" w:ascii="Times New Roman" w:hAnsi="Times New Roman" w:cs="Times New Roman"/>
                <w:sz w:val="24"/>
                <w:szCs w:val="24"/>
              </w:rPr>
              <w:t>河木康断面水质现状为</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 2 \* ROMAN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II</w:t>
            </w:r>
            <w:r>
              <w:rPr>
                <w:rFonts w:hint="default" w:ascii="Times New Roman" w:hAnsi="Times New Roman" w:cs="Times New Roman"/>
                <w:sz w:val="24"/>
                <w:szCs w:val="24"/>
              </w:rPr>
              <w:fldChar w:fldCharType="end"/>
            </w:r>
            <w:r>
              <w:rPr>
                <w:rFonts w:hint="default" w:ascii="Times New Roman" w:hAnsi="Times New Roman" w:cs="Times New Roman"/>
                <w:sz w:val="24"/>
                <w:szCs w:val="24"/>
              </w:rPr>
              <w:t>类，且项目区周边无较大的工业污染源分布，水质状况良好，能满足《地表水环境质量标准》（GB3838-2002）标准中的</w:t>
            </w:r>
            <w:r>
              <w:rPr>
                <w:rFonts w:hint="default" w:ascii="Times New Roman" w:hAnsi="Times New Roman" w:cs="Times New Roman"/>
                <w:kern w:val="0"/>
                <w:sz w:val="24"/>
              </w:rPr>
              <w:t>Ⅲ</w:t>
            </w:r>
            <w:r>
              <w:rPr>
                <w:rFonts w:hint="default" w:ascii="Times New Roman" w:hAnsi="Times New Roman" w:cs="Times New Roman"/>
                <w:sz w:val="24"/>
                <w:szCs w:val="24"/>
              </w:rPr>
              <w:t>类水质标准。</w:t>
            </w:r>
          </w:p>
          <w:p w14:paraId="01AE9FDC">
            <w:pPr>
              <w:numPr>
                <w:ilvl w:val="0"/>
                <w:numId w:val="19"/>
              </w:numPr>
              <w:spacing w:line="360" w:lineRule="auto"/>
              <w:ind w:left="0" w:leftChars="0" w:firstLine="0" w:firstLineChars="0"/>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声环境质量现状</w:t>
            </w:r>
          </w:p>
          <w:p w14:paraId="4DFC5B51">
            <w:pPr>
              <w:numPr>
                <w:ilvl w:val="0"/>
                <w:numId w:val="0"/>
              </w:numPr>
              <w:spacing w:line="360" w:lineRule="auto"/>
              <w:ind w:leftChars="0" w:firstLine="480" w:firstLineChars="200"/>
              <w:rPr>
                <w:rFonts w:hint="eastAsia"/>
                <w:b w:val="0"/>
                <w:bCs w:val="0"/>
                <w:sz w:val="24"/>
                <w:szCs w:val="24"/>
                <w:lang w:val="en-US" w:eastAsia="zh-CN"/>
              </w:rPr>
            </w:pPr>
            <w:r>
              <w:rPr>
                <w:rFonts w:hint="eastAsia"/>
                <w:b w:val="0"/>
                <w:bCs w:val="0"/>
                <w:sz w:val="24"/>
                <w:szCs w:val="24"/>
                <w:lang w:val="en-US" w:eastAsia="zh-CN"/>
              </w:rPr>
              <w:t>项目所在区域为芒市中心城区，属于交通/商业/居民混合区，按城市区域声环境质量功能区划为2类区，但是项目区位于道路边30m范围内，故执行《声环境质量标准》（GB3096-2008）4a类标准。据调查，周边无其他较大噪声源，声环境良好，区域声环境质量可达《声环境质量标准》（GB3096-2008）2类区标准要求。</w:t>
            </w:r>
          </w:p>
          <w:p w14:paraId="052E42F4">
            <w:pPr>
              <w:numPr>
                <w:ilvl w:val="0"/>
                <w:numId w:val="19"/>
              </w:numPr>
              <w:spacing w:line="360" w:lineRule="auto"/>
              <w:ind w:left="0" w:leftChars="0" w:firstLine="0" w:firstLineChars="0"/>
              <w:rPr>
                <w:rFonts w:hint="eastAsia"/>
                <w:b/>
                <w:bCs/>
                <w:sz w:val="24"/>
                <w:szCs w:val="24"/>
                <w:lang w:val="en-US" w:eastAsia="zh-CN"/>
              </w:rPr>
            </w:pPr>
            <w:r>
              <w:rPr>
                <w:rFonts w:hint="eastAsia"/>
                <w:b/>
                <w:bCs/>
                <w:sz w:val="24"/>
                <w:szCs w:val="24"/>
                <w:lang w:val="en-US" w:eastAsia="zh-CN"/>
              </w:rPr>
              <w:t>生态环境质量现状</w:t>
            </w:r>
          </w:p>
          <w:p w14:paraId="6956EC17">
            <w:pPr>
              <w:numPr>
                <w:ilvl w:val="0"/>
                <w:numId w:val="0"/>
              </w:numPr>
              <w:spacing w:line="360" w:lineRule="auto"/>
              <w:ind w:leftChars="0" w:firstLine="480" w:firstLineChars="200"/>
              <w:rPr>
                <w:rFonts w:hint="default"/>
                <w:b w:val="0"/>
                <w:bCs w:val="0"/>
                <w:sz w:val="24"/>
                <w:szCs w:val="24"/>
                <w:lang w:val="en-US" w:eastAsia="zh-CN"/>
              </w:rPr>
            </w:pPr>
            <w:r>
              <w:rPr>
                <w:rFonts w:hint="eastAsia"/>
                <w:b w:val="0"/>
                <w:bCs w:val="0"/>
                <w:sz w:val="24"/>
                <w:szCs w:val="24"/>
                <w:lang w:val="en-US" w:eastAsia="zh-CN"/>
              </w:rPr>
              <w:t>项目所在区域内无国家和省级重点保护野生动植物，无自然保护区、风景名胜和饮用水源地等环境敏感目标。不涉及古树名木，也不是国家和省级重点保护动物的主要迁徙通道。受人为影响，项目区无大型动物出没，生态环境自身调控能力较弱。</w:t>
            </w:r>
          </w:p>
        </w:tc>
      </w:tr>
      <w:tr w14:paraId="15404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1" w:hRule="atLeast"/>
        </w:trPr>
        <w:tc>
          <w:tcPr>
            <w:tcW w:w="8660" w:type="dxa"/>
          </w:tcPr>
          <w:p w14:paraId="49969642">
            <w:pPr>
              <w:numPr>
                <w:ilvl w:val="0"/>
                <w:numId w:val="0"/>
              </w:numPr>
              <w:bidi w:val="0"/>
              <w:rPr>
                <w:rFonts w:hint="eastAsia"/>
                <w:b/>
                <w:bCs/>
                <w:sz w:val="24"/>
                <w:szCs w:val="24"/>
                <w:lang w:val="en-US" w:eastAsia="zh-CN"/>
              </w:rPr>
            </w:pPr>
            <w:r>
              <w:rPr>
                <w:rFonts w:hint="eastAsia"/>
                <w:b/>
                <w:bCs/>
                <w:sz w:val="24"/>
                <w:szCs w:val="24"/>
                <w:lang w:val="en-US" w:eastAsia="zh-CN"/>
              </w:rPr>
              <w:t>项目周边环境及主要环境保护目标（列出名单及保护级别）</w:t>
            </w:r>
          </w:p>
          <w:p w14:paraId="6B391ED2">
            <w:pPr>
              <w:numPr>
                <w:ilvl w:val="0"/>
                <w:numId w:val="0"/>
              </w:numPr>
              <w:bidi w:val="0"/>
              <w:rPr>
                <w:rFonts w:hint="eastAsia"/>
                <w:b w:val="0"/>
                <w:bCs w:val="0"/>
                <w:sz w:val="24"/>
                <w:szCs w:val="24"/>
                <w:lang w:val="en-US" w:eastAsia="zh-CN"/>
              </w:rPr>
            </w:pPr>
            <w:r>
              <w:rPr>
                <w:rFonts w:hint="eastAsia"/>
                <w:b w:val="0"/>
                <w:bCs w:val="0"/>
                <w:sz w:val="24"/>
                <w:szCs w:val="24"/>
                <w:lang w:val="en-US" w:eastAsia="zh-CN"/>
              </w:rPr>
              <w:t>项目位于芒市中心城区，本项目的主要保护目标为：</w:t>
            </w:r>
          </w:p>
          <w:p w14:paraId="2851FF91">
            <w:pPr>
              <w:numPr>
                <w:ilvl w:val="0"/>
                <w:numId w:val="21"/>
              </w:numPr>
              <w:bidi w:val="0"/>
              <w:ind w:firstLine="480" w:firstLineChars="200"/>
              <w:rPr>
                <w:rFonts w:hint="eastAsia" w:ascii="Times New Roman" w:hAnsi="Times New Roman" w:cs="Times New Roman"/>
                <w:sz w:val="24"/>
                <w:szCs w:val="24"/>
                <w:lang w:eastAsia="zh-CN"/>
              </w:rPr>
            </w:pPr>
            <w:r>
              <w:rPr>
                <w:rFonts w:hint="eastAsia"/>
                <w:b w:val="0"/>
                <w:bCs w:val="0"/>
                <w:sz w:val="24"/>
                <w:szCs w:val="24"/>
                <w:lang w:val="en-US" w:eastAsia="zh-CN"/>
              </w:rPr>
              <w:t>水环境：地表水芒市大河及其支流，按</w:t>
            </w:r>
            <w:r>
              <w:rPr>
                <w:rFonts w:hint="default" w:ascii="Times New Roman" w:hAnsi="Times New Roman" w:cs="Times New Roman"/>
                <w:sz w:val="24"/>
                <w:szCs w:val="24"/>
              </w:rPr>
              <w:t>《地表水环境质量标准》（GB3838-2002）Ⅲ类标准</w:t>
            </w:r>
            <w:r>
              <w:rPr>
                <w:rFonts w:hint="eastAsia" w:cs="Times New Roman"/>
                <w:sz w:val="24"/>
                <w:szCs w:val="24"/>
                <w:lang w:val="en-US" w:eastAsia="zh-CN"/>
              </w:rPr>
              <w:t>进行</w:t>
            </w:r>
            <w:r>
              <w:rPr>
                <w:rFonts w:hint="eastAsia" w:ascii="Times New Roman" w:hAnsi="Times New Roman" w:cs="Times New Roman"/>
                <w:sz w:val="24"/>
                <w:szCs w:val="24"/>
                <w:lang w:eastAsia="zh-CN"/>
              </w:rPr>
              <w:t>保护，不因本项目而降低质量级别。</w:t>
            </w:r>
          </w:p>
          <w:p w14:paraId="1E2132E8">
            <w:pPr>
              <w:numPr>
                <w:ilvl w:val="0"/>
                <w:numId w:val="21"/>
              </w:numPr>
              <w:spacing w:line="360" w:lineRule="auto"/>
              <w:ind w:left="0" w:leftChars="0" w:firstLine="480" w:firstLineChars="200"/>
              <w:rPr>
                <w:rFonts w:hint="default" w:ascii="Times New Roman" w:hAnsi="Times New Roman" w:cs="Times New Roman"/>
                <w:sz w:val="24"/>
                <w:szCs w:val="24"/>
              </w:rPr>
            </w:pPr>
            <w:r>
              <w:rPr>
                <w:rFonts w:hint="eastAsia" w:ascii="Times New Roman" w:hAnsi="Times New Roman" w:cs="Times New Roman"/>
                <w:sz w:val="24"/>
                <w:szCs w:val="24"/>
                <w:lang w:val="en-US" w:eastAsia="zh-CN"/>
              </w:rPr>
              <w:t>声环境：</w:t>
            </w:r>
            <w:r>
              <w:rPr>
                <w:rFonts w:hint="default" w:ascii="Times New Roman" w:hAnsi="Times New Roman" w:cs="Times New Roman"/>
                <w:sz w:val="24"/>
                <w:szCs w:val="24"/>
              </w:rPr>
              <w:t>按《声环境质量标准》（GB3096-2008）2类</w:t>
            </w:r>
            <w:r>
              <w:rPr>
                <w:rFonts w:hint="eastAsia" w:ascii="Times New Roman" w:hAnsi="Times New Roman" w:cs="Times New Roman"/>
                <w:sz w:val="24"/>
                <w:szCs w:val="24"/>
                <w:lang w:eastAsia="zh-CN"/>
              </w:rPr>
              <w:t>和</w:t>
            </w:r>
            <w:r>
              <w:rPr>
                <w:rFonts w:hint="eastAsia" w:ascii="Times New Roman" w:hAnsi="Times New Roman" w:cs="Times New Roman"/>
                <w:sz w:val="24"/>
                <w:szCs w:val="24"/>
                <w:lang w:val="en-US" w:eastAsia="zh-CN"/>
              </w:rPr>
              <w:t>4a类</w:t>
            </w:r>
            <w:r>
              <w:rPr>
                <w:rFonts w:hint="default" w:ascii="Times New Roman" w:hAnsi="Times New Roman" w:cs="Times New Roman"/>
                <w:sz w:val="24"/>
                <w:szCs w:val="24"/>
              </w:rPr>
              <w:t>标准进行控制，保护区域声环境质量，不因本项目而降低区域声环境质量级别。</w:t>
            </w:r>
          </w:p>
          <w:p w14:paraId="09F9FB24">
            <w:pPr>
              <w:numPr>
                <w:ilvl w:val="0"/>
                <w:numId w:val="21"/>
              </w:numPr>
              <w:spacing w:line="360" w:lineRule="auto"/>
              <w:ind w:left="0" w:leftChars="0" w:firstLine="480" w:firstLineChars="200"/>
              <w:rPr>
                <w:rFonts w:hint="default" w:ascii="Times New Roman" w:hAnsi="Times New Roman" w:cs="Times New Roman"/>
                <w:sz w:val="24"/>
                <w:szCs w:val="24"/>
              </w:rPr>
            </w:pPr>
            <w:r>
              <w:rPr>
                <w:rFonts w:hint="eastAsia" w:ascii="Times New Roman" w:hAnsi="Times New Roman" w:cs="Times New Roman"/>
                <w:sz w:val="24"/>
                <w:szCs w:val="24"/>
                <w:lang w:val="en-US" w:eastAsia="zh-CN"/>
              </w:rPr>
              <w:t>大气环境：</w:t>
            </w:r>
            <w:r>
              <w:rPr>
                <w:rFonts w:hint="default" w:ascii="Times New Roman" w:hAnsi="Times New Roman" w:cs="Times New Roman"/>
                <w:sz w:val="24"/>
                <w:szCs w:val="24"/>
              </w:rPr>
              <w:t>按《环境空气质量标准》（</w:t>
            </w:r>
            <w:r>
              <w:rPr>
                <w:rFonts w:hint="default" w:ascii="Times New Roman" w:hAnsi="Times New Roman" w:cs="Times New Roman"/>
                <w:sz w:val="24"/>
              </w:rPr>
              <w:t>GB3095-2012</w:t>
            </w:r>
            <w:r>
              <w:rPr>
                <w:rFonts w:hint="default" w:ascii="Times New Roman" w:hAnsi="Times New Roman" w:cs="Times New Roman"/>
                <w:sz w:val="24"/>
                <w:szCs w:val="24"/>
              </w:rPr>
              <w:t>）二级标准进行控制，保护区域大气环境质量，不因本项目而降低质量级别。</w:t>
            </w:r>
          </w:p>
          <w:p w14:paraId="24FA6181">
            <w:pPr>
              <w:numPr>
                <w:ilvl w:val="0"/>
                <w:numId w:val="0"/>
              </w:numPr>
              <w:spacing w:line="360" w:lineRule="auto"/>
              <w:jc w:val="center"/>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表3-2 主要环境保护目标</w:t>
            </w:r>
          </w:p>
          <w:tbl>
            <w:tblPr>
              <w:tblStyle w:val="10"/>
              <w:tblW w:w="84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2905"/>
              <w:gridCol w:w="1838"/>
              <w:gridCol w:w="1416"/>
              <w:gridCol w:w="1776"/>
            </w:tblGrid>
            <w:tr w14:paraId="6431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563" w:type="dxa"/>
                  <w:vAlign w:val="center"/>
                </w:tcPr>
                <w:p w14:paraId="355ACC01">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序号</w:t>
                  </w:r>
                </w:p>
              </w:tc>
              <w:tc>
                <w:tcPr>
                  <w:tcW w:w="2905" w:type="dxa"/>
                  <w:vAlign w:val="center"/>
                </w:tcPr>
                <w:p w14:paraId="24C8B491">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敏感点名称</w:t>
                  </w:r>
                </w:p>
              </w:tc>
              <w:tc>
                <w:tcPr>
                  <w:tcW w:w="1838" w:type="dxa"/>
                  <w:vAlign w:val="center"/>
                </w:tcPr>
                <w:p w14:paraId="578FBF6B">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位置距离</w:t>
                  </w:r>
                </w:p>
              </w:tc>
              <w:tc>
                <w:tcPr>
                  <w:tcW w:w="1416" w:type="dxa"/>
                  <w:vAlign w:val="center"/>
                </w:tcPr>
                <w:p w14:paraId="3B1BFFCF">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保护类别</w:t>
                  </w:r>
                </w:p>
              </w:tc>
              <w:tc>
                <w:tcPr>
                  <w:tcW w:w="1776" w:type="dxa"/>
                  <w:vAlign w:val="center"/>
                </w:tcPr>
                <w:p w14:paraId="230FF20C">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保护要求</w:t>
                  </w:r>
                </w:p>
              </w:tc>
            </w:tr>
            <w:tr w14:paraId="521EE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563" w:type="dxa"/>
                  <w:vAlign w:val="center"/>
                </w:tcPr>
                <w:p w14:paraId="5EB43DFF">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w:t>
                  </w:r>
                </w:p>
              </w:tc>
              <w:tc>
                <w:tcPr>
                  <w:tcW w:w="2905" w:type="dxa"/>
                  <w:vAlign w:val="center"/>
                </w:tcPr>
                <w:p w14:paraId="74EDBACC">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芒市大河</w:t>
                  </w:r>
                </w:p>
              </w:tc>
              <w:tc>
                <w:tcPr>
                  <w:tcW w:w="1838" w:type="dxa"/>
                  <w:vAlign w:val="center"/>
                </w:tcPr>
                <w:p w14:paraId="54FEF1DC">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最近距离100m</w:t>
                  </w:r>
                </w:p>
              </w:tc>
              <w:tc>
                <w:tcPr>
                  <w:tcW w:w="1416" w:type="dxa"/>
                  <w:vAlign w:val="center"/>
                </w:tcPr>
                <w:p w14:paraId="7C9B01C7">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水环境</w:t>
                  </w:r>
                </w:p>
              </w:tc>
              <w:tc>
                <w:tcPr>
                  <w:tcW w:w="1776" w:type="dxa"/>
                  <w:vAlign w:val="center"/>
                </w:tcPr>
                <w:p w14:paraId="66524B3C">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《地表水环境质量标准》（GB-3838-2002）Ⅲ类标准</w:t>
                  </w:r>
                </w:p>
              </w:tc>
            </w:tr>
            <w:tr w14:paraId="219ED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294ABEA4">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w:t>
                  </w:r>
                </w:p>
              </w:tc>
              <w:tc>
                <w:tcPr>
                  <w:tcW w:w="2905" w:type="dxa"/>
                  <w:vAlign w:val="center"/>
                </w:tcPr>
                <w:p w14:paraId="10188BD1">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等相村</w:t>
                  </w:r>
                </w:p>
              </w:tc>
              <w:tc>
                <w:tcPr>
                  <w:tcW w:w="1838" w:type="dxa"/>
                  <w:vAlign w:val="center"/>
                </w:tcPr>
                <w:p w14:paraId="16C84EB1">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东面60m</w:t>
                  </w:r>
                </w:p>
              </w:tc>
              <w:tc>
                <w:tcPr>
                  <w:tcW w:w="1416" w:type="dxa"/>
                  <w:vMerge w:val="restart"/>
                  <w:vAlign w:val="center"/>
                </w:tcPr>
                <w:p w14:paraId="042FF6EC">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大气环境和声环境</w:t>
                  </w:r>
                </w:p>
              </w:tc>
              <w:tc>
                <w:tcPr>
                  <w:tcW w:w="1776" w:type="dxa"/>
                  <w:vMerge w:val="restart"/>
                  <w:vAlign w:val="center"/>
                </w:tcPr>
                <w:p w14:paraId="759FB876">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b w:val="0"/>
                      <w:bCs w:val="0"/>
                      <w:sz w:val="21"/>
                      <w:szCs w:val="21"/>
                      <w:lang w:val="en-US" w:eastAsia="zh-CN"/>
                    </w:rPr>
                    <w:t>大气执行《环境空气质量标准》（GB3095-2012）二级标准；噪声执行《声环境质量标准》（GB3096-2008）4a类标准</w:t>
                  </w:r>
                </w:p>
              </w:tc>
            </w:tr>
            <w:tr w14:paraId="69B34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31DBEC7F">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w:t>
                  </w:r>
                </w:p>
              </w:tc>
              <w:tc>
                <w:tcPr>
                  <w:tcW w:w="2905" w:type="dxa"/>
                  <w:vAlign w:val="center"/>
                </w:tcPr>
                <w:p w14:paraId="06A01F26">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德宏印象</w:t>
                  </w:r>
                </w:p>
              </w:tc>
              <w:tc>
                <w:tcPr>
                  <w:tcW w:w="1838" w:type="dxa"/>
                  <w:vAlign w:val="center"/>
                </w:tcPr>
                <w:p w14:paraId="2C47864C">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北面40m</w:t>
                  </w:r>
                </w:p>
              </w:tc>
              <w:tc>
                <w:tcPr>
                  <w:tcW w:w="1416" w:type="dxa"/>
                  <w:vMerge w:val="continue"/>
                  <w:vAlign w:val="center"/>
                </w:tcPr>
                <w:p w14:paraId="62EE8F4B">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71D66775">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11A39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032A2381">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w:t>
                  </w:r>
                </w:p>
              </w:tc>
              <w:tc>
                <w:tcPr>
                  <w:tcW w:w="2905" w:type="dxa"/>
                  <w:vAlign w:val="center"/>
                </w:tcPr>
                <w:p w14:paraId="4CA0074F">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翠堤晓镇</w:t>
                  </w:r>
                </w:p>
              </w:tc>
              <w:tc>
                <w:tcPr>
                  <w:tcW w:w="1838" w:type="dxa"/>
                  <w:vAlign w:val="center"/>
                </w:tcPr>
                <w:p w14:paraId="7869E2D9">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北面60m</w:t>
                  </w:r>
                </w:p>
              </w:tc>
              <w:tc>
                <w:tcPr>
                  <w:tcW w:w="1416" w:type="dxa"/>
                  <w:vMerge w:val="continue"/>
                  <w:vAlign w:val="center"/>
                </w:tcPr>
                <w:p w14:paraId="0EC74FAF">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359F8DFC">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11CC4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572BEDAE">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w:t>
                  </w:r>
                </w:p>
              </w:tc>
              <w:tc>
                <w:tcPr>
                  <w:tcW w:w="2905" w:type="dxa"/>
                  <w:vAlign w:val="center"/>
                </w:tcPr>
                <w:p w14:paraId="2BAF28DB">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兴昌商业广场</w:t>
                  </w:r>
                </w:p>
              </w:tc>
              <w:tc>
                <w:tcPr>
                  <w:tcW w:w="1838" w:type="dxa"/>
                  <w:vAlign w:val="center"/>
                </w:tcPr>
                <w:p w14:paraId="48C745EC">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南面30m</w:t>
                  </w:r>
                </w:p>
              </w:tc>
              <w:tc>
                <w:tcPr>
                  <w:tcW w:w="1416" w:type="dxa"/>
                  <w:vMerge w:val="continue"/>
                  <w:vAlign w:val="center"/>
                </w:tcPr>
                <w:p w14:paraId="4C7EF530">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3113C53D">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40472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424829B4">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6</w:t>
                  </w:r>
                </w:p>
              </w:tc>
              <w:tc>
                <w:tcPr>
                  <w:tcW w:w="2905" w:type="dxa"/>
                  <w:vAlign w:val="center"/>
                </w:tcPr>
                <w:p w14:paraId="6A99CFAC">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商业区</w:t>
                  </w:r>
                </w:p>
              </w:tc>
              <w:tc>
                <w:tcPr>
                  <w:tcW w:w="1838" w:type="dxa"/>
                  <w:vAlign w:val="center"/>
                </w:tcPr>
                <w:p w14:paraId="2C0B0D82">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南面20m</w:t>
                  </w:r>
                </w:p>
              </w:tc>
              <w:tc>
                <w:tcPr>
                  <w:tcW w:w="1416" w:type="dxa"/>
                  <w:vMerge w:val="continue"/>
                  <w:vAlign w:val="center"/>
                </w:tcPr>
                <w:p w14:paraId="7C30B150">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447B7E6D">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66E26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6F681B87">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7</w:t>
                  </w:r>
                </w:p>
              </w:tc>
              <w:tc>
                <w:tcPr>
                  <w:tcW w:w="2905" w:type="dxa"/>
                  <w:vAlign w:val="center"/>
                </w:tcPr>
                <w:p w14:paraId="7D03775E">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风情园小区</w:t>
                  </w:r>
                </w:p>
              </w:tc>
              <w:tc>
                <w:tcPr>
                  <w:tcW w:w="1838" w:type="dxa"/>
                  <w:vAlign w:val="center"/>
                </w:tcPr>
                <w:p w14:paraId="4CBB8507">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南面10m</w:t>
                  </w:r>
                </w:p>
              </w:tc>
              <w:tc>
                <w:tcPr>
                  <w:tcW w:w="1416" w:type="dxa"/>
                  <w:vMerge w:val="continue"/>
                  <w:vAlign w:val="center"/>
                </w:tcPr>
                <w:p w14:paraId="2C48C321">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3089FCC3">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490BC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0178A257">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8</w:t>
                  </w:r>
                </w:p>
              </w:tc>
              <w:tc>
                <w:tcPr>
                  <w:tcW w:w="2905" w:type="dxa"/>
                  <w:vAlign w:val="center"/>
                </w:tcPr>
                <w:p w14:paraId="637D0527">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黎明小区</w:t>
                  </w:r>
                </w:p>
              </w:tc>
              <w:tc>
                <w:tcPr>
                  <w:tcW w:w="1838" w:type="dxa"/>
                  <w:vAlign w:val="center"/>
                </w:tcPr>
                <w:p w14:paraId="00EC875C">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东面、北面30m</w:t>
                  </w:r>
                </w:p>
              </w:tc>
              <w:tc>
                <w:tcPr>
                  <w:tcW w:w="1416" w:type="dxa"/>
                  <w:vMerge w:val="continue"/>
                  <w:vAlign w:val="center"/>
                </w:tcPr>
                <w:p w14:paraId="3C84C6B4">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49D7A095">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3FBD1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087290DF">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9</w:t>
                  </w:r>
                </w:p>
              </w:tc>
              <w:tc>
                <w:tcPr>
                  <w:tcW w:w="2905" w:type="dxa"/>
                  <w:vAlign w:val="center"/>
                </w:tcPr>
                <w:p w14:paraId="36C6CD8C">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综合批发市场</w:t>
                  </w:r>
                </w:p>
              </w:tc>
              <w:tc>
                <w:tcPr>
                  <w:tcW w:w="1838" w:type="dxa"/>
                  <w:vAlign w:val="center"/>
                </w:tcPr>
                <w:p w14:paraId="2777F6C8">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东面、南面20m</w:t>
                  </w:r>
                </w:p>
              </w:tc>
              <w:tc>
                <w:tcPr>
                  <w:tcW w:w="1416" w:type="dxa"/>
                  <w:vMerge w:val="continue"/>
                  <w:vAlign w:val="center"/>
                </w:tcPr>
                <w:p w14:paraId="61AA2ADC">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39FAA7A0">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5E3FF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20162B5A">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10</w:t>
                  </w:r>
                </w:p>
              </w:tc>
              <w:tc>
                <w:tcPr>
                  <w:tcW w:w="2905" w:type="dxa"/>
                  <w:vAlign w:val="center"/>
                </w:tcPr>
                <w:p w14:paraId="2432096D">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临街商铺</w:t>
                  </w:r>
                </w:p>
              </w:tc>
              <w:tc>
                <w:tcPr>
                  <w:tcW w:w="1838" w:type="dxa"/>
                  <w:vAlign w:val="center"/>
                </w:tcPr>
                <w:p w14:paraId="6BF3F66F">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东面25m</w:t>
                  </w:r>
                </w:p>
              </w:tc>
              <w:tc>
                <w:tcPr>
                  <w:tcW w:w="1416" w:type="dxa"/>
                  <w:vMerge w:val="continue"/>
                  <w:vAlign w:val="center"/>
                </w:tcPr>
                <w:p w14:paraId="283CED41">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78B18467">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5FEB6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06022185">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11</w:t>
                  </w:r>
                </w:p>
              </w:tc>
              <w:tc>
                <w:tcPr>
                  <w:tcW w:w="2905" w:type="dxa"/>
                  <w:vAlign w:val="center"/>
                </w:tcPr>
                <w:p w14:paraId="72969EB7">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禄苑小区</w:t>
                  </w:r>
                </w:p>
              </w:tc>
              <w:tc>
                <w:tcPr>
                  <w:tcW w:w="1838" w:type="dxa"/>
                  <w:vAlign w:val="center"/>
                </w:tcPr>
                <w:p w14:paraId="554C6F7E">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南面25m</w:t>
                  </w:r>
                </w:p>
              </w:tc>
              <w:tc>
                <w:tcPr>
                  <w:tcW w:w="1416" w:type="dxa"/>
                  <w:vMerge w:val="continue"/>
                  <w:vAlign w:val="center"/>
                </w:tcPr>
                <w:p w14:paraId="3135C087">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287BE338">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106D8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78D92463">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12</w:t>
                  </w:r>
                </w:p>
              </w:tc>
              <w:tc>
                <w:tcPr>
                  <w:tcW w:w="2905" w:type="dxa"/>
                  <w:vAlign w:val="center"/>
                </w:tcPr>
                <w:p w14:paraId="55E4A6F6">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芒市公路分局</w:t>
                  </w:r>
                </w:p>
              </w:tc>
              <w:tc>
                <w:tcPr>
                  <w:tcW w:w="1838" w:type="dxa"/>
                  <w:vAlign w:val="center"/>
                </w:tcPr>
                <w:p w14:paraId="47BE87EC">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东面25m</w:t>
                  </w:r>
                </w:p>
              </w:tc>
              <w:tc>
                <w:tcPr>
                  <w:tcW w:w="1416" w:type="dxa"/>
                  <w:vMerge w:val="continue"/>
                  <w:vAlign w:val="center"/>
                </w:tcPr>
                <w:p w14:paraId="6DF9A112">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4D396373">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396FB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0EAE27B1">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13</w:t>
                  </w:r>
                </w:p>
              </w:tc>
              <w:tc>
                <w:tcPr>
                  <w:tcW w:w="2905" w:type="dxa"/>
                  <w:vAlign w:val="center"/>
                </w:tcPr>
                <w:p w14:paraId="270B96F4">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为民小区</w:t>
                  </w:r>
                </w:p>
              </w:tc>
              <w:tc>
                <w:tcPr>
                  <w:tcW w:w="1838" w:type="dxa"/>
                  <w:vAlign w:val="center"/>
                </w:tcPr>
                <w:p w14:paraId="50D89E96">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东面25m</w:t>
                  </w:r>
                </w:p>
              </w:tc>
              <w:tc>
                <w:tcPr>
                  <w:tcW w:w="1416" w:type="dxa"/>
                  <w:vMerge w:val="continue"/>
                  <w:vAlign w:val="center"/>
                </w:tcPr>
                <w:p w14:paraId="72C3A3F2">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48D03ECE">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05F00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25EB5D93">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14</w:t>
                  </w:r>
                </w:p>
              </w:tc>
              <w:tc>
                <w:tcPr>
                  <w:tcW w:w="2905" w:type="dxa"/>
                  <w:vAlign w:val="center"/>
                </w:tcPr>
                <w:p w14:paraId="3307F503">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芒市盐务管理局</w:t>
                  </w:r>
                </w:p>
              </w:tc>
              <w:tc>
                <w:tcPr>
                  <w:tcW w:w="1838" w:type="dxa"/>
                  <w:vAlign w:val="center"/>
                </w:tcPr>
                <w:p w14:paraId="67091AA0">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东面25m</w:t>
                  </w:r>
                </w:p>
              </w:tc>
              <w:tc>
                <w:tcPr>
                  <w:tcW w:w="1416" w:type="dxa"/>
                  <w:vMerge w:val="continue"/>
                  <w:vAlign w:val="center"/>
                </w:tcPr>
                <w:p w14:paraId="587074AD">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5FAC68A5">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2F1AE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2178E29E">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15</w:t>
                  </w:r>
                </w:p>
              </w:tc>
              <w:tc>
                <w:tcPr>
                  <w:tcW w:w="2905" w:type="dxa"/>
                  <w:vAlign w:val="center"/>
                </w:tcPr>
                <w:p w14:paraId="7183D4B1">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交通局宿舍区</w:t>
                  </w:r>
                </w:p>
              </w:tc>
              <w:tc>
                <w:tcPr>
                  <w:tcW w:w="1838" w:type="dxa"/>
                  <w:vAlign w:val="center"/>
                </w:tcPr>
                <w:p w14:paraId="6E933DC8">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东面25m</w:t>
                  </w:r>
                </w:p>
              </w:tc>
              <w:tc>
                <w:tcPr>
                  <w:tcW w:w="1416" w:type="dxa"/>
                  <w:vMerge w:val="continue"/>
                  <w:vAlign w:val="center"/>
                </w:tcPr>
                <w:p w14:paraId="2C6D1828">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25829308">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5D83F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681A02B1">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16</w:t>
                  </w:r>
                </w:p>
              </w:tc>
              <w:tc>
                <w:tcPr>
                  <w:tcW w:w="2905" w:type="dxa"/>
                  <w:vAlign w:val="center"/>
                </w:tcPr>
                <w:p w14:paraId="0D3E0BBF">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芒市花鸟市场</w:t>
                  </w:r>
                </w:p>
              </w:tc>
              <w:tc>
                <w:tcPr>
                  <w:tcW w:w="1838" w:type="dxa"/>
                  <w:vAlign w:val="center"/>
                </w:tcPr>
                <w:p w14:paraId="0DC7532B">
                  <w:pPr>
                    <w:numPr>
                      <w:ilvl w:val="0"/>
                      <w:numId w:val="0"/>
                    </w:numPr>
                    <w:spacing w:line="240" w:lineRule="auto"/>
                    <w:ind w:left="0" w:leftChars="0" w:firstLine="0" w:firstLineChars="0"/>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cs="Times New Roman"/>
                      <w:sz w:val="21"/>
                      <w:szCs w:val="21"/>
                      <w:vertAlign w:val="baseline"/>
                      <w:lang w:val="en-US" w:eastAsia="zh-CN"/>
                    </w:rPr>
                    <w:t>东面30m</w:t>
                  </w:r>
                </w:p>
              </w:tc>
              <w:tc>
                <w:tcPr>
                  <w:tcW w:w="1416" w:type="dxa"/>
                  <w:vMerge w:val="continue"/>
                  <w:vAlign w:val="center"/>
                </w:tcPr>
                <w:p w14:paraId="6C493141">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09493426">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028C8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39848A59">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17</w:t>
                  </w:r>
                </w:p>
              </w:tc>
              <w:tc>
                <w:tcPr>
                  <w:tcW w:w="2905" w:type="dxa"/>
                  <w:vAlign w:val="center"/>
                </w:tcPr>
                <w:p w14:paraId="6C417955">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中国联通</w:t>
                  </w:r>
                </w:p>
              </w:tc>
              <w:tc>
                <w:tcPr>
                  <w:tcW w:w="1838" w:type="dxa"/>
                  <w:vAlign w:val="center"/>
                </w:tcPr>
                <w:p w14:paraId="29251853">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南面20m</w:t>
                  </w:r>
                </w:p>
              </w:tc>
              <w:tc>
                <w:tcPr>
                  <w:tcW w:w="1416" w:type="dxa"/>
                  <w:vMerge w:val="continue"/>
                  <w:vAlign w:val="center"/>
                </w:tcPr>
                <w:p w14:paraId="0DF42A6F">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1386557D">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68B7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29821271">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18</w:t>
                  </w:r>
                </w:p>
              </w:tc>
              <w:tc>
                <w:tcPr>
                  <w:tcW w:w="2905" w:type="dxa"/>
                  <w:vAlign w:val="center"/>
                </w:tcPr>
                <w:p w14:paraId="317B158B">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公务员小区</w:t>
                  </w:r>
                </w:p>
              </w:tc>
              <w:tc>
                <w:tcPr>
                  <w:tcW w:w="1838" w:type="dxa"/>
                  <w:vAlign w:val="center"/>
                </w:tcPr>
                <w:p w14:paraId="6B220CF5">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北面35m</w:t>
                  </w:r>
                </w:p>
              </w:tc>
              <w:tc>
                <w:tcPr>
                  <w:tcW w:w="1416" w:type="dxa"/>
                  <w:vMerge w:val="continue"/>
                  <w:vAlign w:val="center"/>
                </w:tcPr>
                <w:p w14:paraId="4F84C1E8">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3DE2EC8F">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3ABA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4C82E07E">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19</w:t>
                  </w:r>
                </w:p>
              </w:tc>
              <w:tc>
                <w:tcPr>
                  <w:tcW w:w="2905" w:type="dxa"/>
                  <w:vAlign w:val="center"/>
                </w:tcPr>
                <w:p w14:paraId="072D8100">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芒市旅游客运站</w:t>
                  </w:r>
                </w:p>
              </w:tc>
              <w:tc>
                <w:tcPr>
                  <w:tcW w:w="1838" w:type="dxa"/>
                  <w:vAlign w:val="center"/>
                </w:tcPr>
                <w:p w14:paraId="5B9D308B">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北面20m</w:t>
                  </w:r>
                </w:p>
              </w:tc>
              <w:tc>
                <w:tcPr>
                  <w:tcW w:w="1416" w:type="dxa"/>
                  <w:vMerge w:val="continue"/>
                  <w:vAlign w:val="center"/>
                </w:tcPr>
                <w:p w14:paraId="6A47D030">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439CBA42">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0E8F2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2E22C778">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20</w:t>
                  </w:r>
                </w:p>
              </w:tc>
              <w:tc>
                <w:tcPr>
                  <w:tcW w:w="2905" w:type="dxa"/>
                  <w:vAlign w:val="center"/>
                </w:tcPr>
                <w:p w14:paraId="4533D0D5">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珠宝小镇</w:t>
                  </w:r>
                </w:p>
              </w:tc>
              <w:tc>
                <w:tcPr>
                  <w:tcW w:w="1838" w:type="dxa"/>
                  <w:vAlign w:val="center"/>
                </w:tcPr>
                <w:p w14:paraId="6BD20466">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南面35m</w:t>
                  </w:r>
                </w:p>
              </w:tc>
              <w:tc>
                <w:tcPr>
                  <w:tcW w:w="1416" w:type="dxa"/>
                  <w:vMerge w:val="continue"/>
                  <w:vAlign w:val="center"/>
                </w:tcPr>
                <w:p w14:paraId="3487C7EA">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0A838734">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4A8CC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3B754F87">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21</w:t>
                  </w:r>
                </w:p>
              </w:tc>
              <w:tc>
                <w:tcPr>
                  <w:tcW w:w="2905" w:type="dxa"/>
                  <w:vAlign w:val="center"/>
                </w:tcPr>
                <w:p w14:paraId="3592FB9C">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华丰紫园</w:t>
                  </w:r>
                </w:p>
              </w:tc>
              <w:tc>
                <w:tcPr>
                  <w:tcW w:w="1838" w:type="dxa"/>
                  <w:vAlign w:val="center"/>
                </w:tcPr>
                <w:p w14:paraId="3F22AD16">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东面、南面50m</w:t>
                  </w:r>
                </w:p>
              </w:tc>
              <w:tc>
                <w:tcPr>
                  <w:tcW w:w="1416" w:type="dxa"/>
                  <w:vMerge w:val="continue"/>
                  <w:vAlign w:val="center"/>
                </w:tcPr>
                <w:p w14:paraId="419CFB46">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7A56B60E">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0247C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4761DF9C">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22</w:t>
                  </w:r>
                </w:p>
              </w:tc>
              <w:tc>
                <w:tcPr>
                  <w:tcW w:w="2905" w:type="dxa"/>
                  <w:vAlign w:val="center"/>
                </w:tcPr>
                <w:p w14:paraId="3934BA39">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华江水岸星城</w:t>
                  </w:r>
                </w:p>
              </w:tc>
              <w:tc>
                <w:tcPr>
                  <w:tcW w:w="1838" w:type="dxa"/>
                  <w:vAlign w:val="center"/>
                </w:tcPr>
                <w:p w14:paraId="62810142">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东面、北面25m</w:t>
                  </w:r>
                </w:p>
              </w:tc>
              <w:tc>
                <w:tcPr>
                  <w:tcW w:w="1416" w:type="dxa"/>
                  <w:vMerge w:val="continue"/>
                  <w:vAlign w:val="center"/>
                </w:tcPr>
                <w:p w14:paraId="039042E3">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3991E2B4">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2239A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761EA7BD">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23</w:t>
                  </w:r>
                </w:p>
              </w:tc>
              <w:tc>
                <w:tcPr>
                  <w:tcW w:w="2905" w:type="dxa"/>
                  <w:vAlign w:val="center"/>
                </w:tcPr>
                <w:p w14:paraId="38E8B945">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爱德堡幼儿园</w:t>
                  </w:r>
                </w:p>
              </w:tc>
              <w:tc>
                <w:tcPr>
                  <w:tcW w:w="1838" w:type="dxa"/>
                  <w:vAlign w:val="center"/>
                </w:tcPr>
                <w:p w14:paraId="637A2A15">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北面20m</w:t>
                  </w:r>
                </w:p>
              </w:tc>
              <w:tc>
                <w:tcPr>
                  <w:tcW w:w="1416" w:type="dxa"/>
                  <w:vMerge w:val="continue"/>
                  <w:vAlign w:val="center"/>
                </w:tcPr>
                <w:p w14:paraId="5CE617C5">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3D7EBB60">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1C74D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69E47308">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24</w:t>
                  </w:r>
                </w:p>
              </w:tc>
              <w:tc>
                <w:tcPr>
                  <w:tcW w:w="2905" w:type="dxa"/>
                  <w:vAlign w:val="center"/>
                </w:tcPr>
                <w:p w14:paraId="2777E982">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锦华社区委员会</w:t>
                  </w:r>
                </w:p>
              </w:tc>
              <w:tc>
                <w:tcPr>
                  <w:tcW w:w="1838" w:type="dxa"/>
                  <w:vAlign w:val="center"/>
                </w:tcPr>
                <w:p w14:paraId="269F8208">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北面20m</w:t>
                  </w:r>
                </w:p>
              </w:tc>
              <w:tc>
                <w:tcPr>
                  <w:tcW w:w="1416" w:type="dxa"/>
                  <w:vMerge w:val="continue"/>
                  <w:vAlign w:val="center"/>
                </w:tcPr>
                <w:p w14:paraId="4043046C">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7D456151">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53CE0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0605686C">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25</w:t>
                  </w:r>
                </w:p>
              </w:tc>
              <w:tc>
                <w:tcPr>
                  <w:tcW w:w="2905" w:type="dxa"/>
                  <w:vAlign w:val="center"/>
                </w:tcPr>
                <w:p w14:paraId="11D80BD3">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临街商铺</w:t>
                  </w:r>
                </w:p>
              </w:tc>
              <w:tc>
                <w:tcPr>
                  <w:tcW w:w="1838" w:type="dxa"/>
                  <w:vAlign w:val="center"/>
                </w:tcPr>
                <w:p w14:paraId="5DDC3439">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南面15m</w:t>
                  </w:r>
                </w:p>
              </w:tc>
              <w:tc>
                <w:tcPr>
                  <w:tcW w:w="1416" w:type="dxa"/>
                  <w:vMerge w:val="continue"/>
                  <w:vAlign w:val="center"/>
                </w:tcPr>
                <w:p w14:paraId="75188495">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244D23DC">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2E5D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0ECDBE53">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26</w:t>
                  </w:r>
                </w:p>
              </w:tc>
              <w:tc>
                <w:tcPr>
                  <w:tcW w:w="2905" w:type="dxa"/>
                  <w:vAlign w:val="center"/>
                </w:tcPr>
                <w:p w14:paraId="34F5594B">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云南省农村信用社</w:t>
                  </w:r>
                </w:p>
              </w:tc>
              <w:tc>
                <w:tcPr>
                  <w:tcW w:w="1838" w:type="dxa"/>
                  <w:vAlign w:val="center"/>
                </w:tcPr>
                <w:p w14:paraId="37B14B58">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北面20m</w:t>
                  </w:r>
                </w:p>
              </w:tc>
              <w:tc>
                <w:tcPr>
                  <w:tcW w:w="1416" w:type="dxa"/>
                  <w:vMerge w:val="continue"/>
                  <w:vAlign w:val="center"/>
                </w:tcPr>
                <w:p w14:paraId="54564711">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4CAA5B0E">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1753F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0C44016C">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27</w:t>
                  </w:r>
                </w:p>
              </w:tc>
              <w:tc>
                <w:tcPr>
                  <w:tcW w:w="2905" w:type="dxa"/>
                  <w:vAlign w:val="center"/>
                </w:tcPr>
                <w:p w14:paraId="3A50C708">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中国电信</w:t>
                  </w:r>
                </w:p>
              </w:tc>
              <w:tc>
                <w:tcPr>
                  <w:tcW w:w="1838" w:type="dxa"/>
                  <w:vAlign w:val="center"/>
                </w:tcPr>
                <w:p w14:paraId="53045DD8">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西面、北面20m</w:t>
                  </w:r>
                </w:p>
              </w:tc>
              <w:tc>
                <w:tcPr>
                  <w:tcW w:w="1416" w:type="dxa"/>
                  <w:vMerge w:val="continue"/>
                  <w:vAlign w:val="center"/>
                </w:tcPr>
                <w:p w14:paraId="2EDC273F">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71C7F112">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4B25A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1384064A">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28</w:t>
                  </w:r>
                </w:p>
              </w:tc>
              <w:tc>
                <w:tcPr>
                  <w:tcW w:w="2905" w:type="dxa"/>
                  <w:vAlign w:val="center"/>
                </w:tcPr>
                <w:p w14:paraId="2D08965F">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德宏人事局</w:t>
                  </w:r>
                </w:p>
              </w:tc>
              <w:tc>
                <w:tcPr>
                  <w:tcW w:w="1838" w:type="dxa"/>
                  <w:vAlign w:val="center"/>
                </w:tcPr>
                <w:p w14:paraId="09F69517">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东面30m</w:t>
                  </w:r>
                </w:p>
              </w:tc>
              <w:tc>
                <w:tcPr>
                  <w:tcW w:w="1416" w:type="dxa"/>
                  <w:vMerge w:val="continue"/>
                  <w:vAlign w:val="center"/>
                </w:tcPr>
                <w:p w14:paraId="79E28380">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32966624">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5FE2D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79729805">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29</w:t>
                  </w:r>
                </w:p>
              </w:tc>
              <w:tc>
                <w:tcPr>
                  <w:tcW w:w="2905" w:type="dxa"/>
                  <w:vAlign w:val="center"/>
                </w:tcPr>
                <w:p w14:paraId="44F28B93">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芒市残疾人服务中心</w:t>
                  </w:r>
                </w:p>
              </w:tc>
              <w:tc>
                <w:tcPr>
                  <w:tcW w:w="1838" w:type="dxa"/>
                  <w:vAlign w:val="center"/>
                </w:tcPr>
                <w:p w14:paraId="07182846">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东面30m</w:t>
                  </w:r>
                </w:p>
              </w:tc>
              <w:tc>
                <w:tcPr>
                  <w:tcW w:w="1416" w:type="dxa"/>
                  <w:vMerge w:val="continue"/>
                  <w:vAlign w:val="center"/>
                </w:tcPr>
                <w:p w14:paraId="23A026C5">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0EA91011">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790E0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144BAF57">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30</w:t>
                  </w:r>
                </w:p>
              </w:tc>
              <w:tc>
                <w:tcPr>
                  <w:tcW w:w="2905" w:type="dxa"/>
                  <w:vAlign w:val="center"/>
                </w:tcPr>
                <w:p w14:paraId="0E669D27">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中国南方电网</w:t>
                  </w:r>
                </w:p>
              </w:tc>
              <w:tc>
                <w:tcPr>
                  <w:tcW w:w="1838" w:type="dxa"/>
                  <w:vAlign w:val="center"/>
                </w:tcPr>
                <w:p w14:paraId="4B3C2770">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东面40m</w:t>
                  </w:r>
                </w:p>
              </w:tc>
              <w:tc>
                <w:tcPr>
                  <w:tcW w:w="1416" w:type="dxa"/>
                  <w:vMerge w:val="continue"/>
                  <w:vAlign w:val="center"/>
                </w:tcPr>
                <w:p w14:paraId="1FB7A1EE">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74B7D816">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14852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6D5629D0">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31</w:t>
                  </w:r>
                </w:p>
              </w:tc>
              <w:tc>
                <w:tcPr>
                  <w:tcW w:w="2905" w:type="dxa"/>
                  <w:vAlign w:val="center"/>
                </w:tcPr>
                <w:p w14:paraId="314F5858">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锦泰酒店</w:t>
                  </w:r>
                </w:p>
              </w:tc>
              <w:tc>
                <w:tcPr>
                  <w:tcW w:w="1838" w:type="dxa"/>
                  <w:vAlign w:val="center"/>
                </w:tcPr>
                <w:p w14:paraId="15377668">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北面30m</w:t>
                  </w:r>
                </w:p>
              </w:tc>
              <w:tc>
                <w:tcPr>
                  <w:tcW w:w="1416" w:type="dxa"/>
                  <w:vMerge w:val="continue"/>
                  <w:vAlign w:val="center"/>
                </w:tcPr>
                <w:p w14:paraId="1876799C">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61916842">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55D4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6F34531F">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32</w:t>
                  </w:r>
                </w:p>
              </w:tc>
              <w:tc>
                <w:tcPr>
                  <w:tcW w:w="2905" w:type="dxa"/>
                  <w:vAlign w:val="center"/>
                </w:tcPr>
                <w:p w14:paraId="559191CD">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芒市园林绿化管理局</w:t>
                  </w:r>
                </w:p>
              </w:tc>
              <w:tc>
                <w:tcPr>
                  <w:tcW w:w="1838" w:type="dxa"/>
                  <w:vAlign w:val="center"/>
                </w:tcPr>
                <w:p w14:paraId="19EC9174">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东面30m</w:t>
                  </w:r>
                </w:p>
              </w:tc>
              <w:tc>
                <w:tcPr>
                  <w:tcW w:w="1416" w:type="dxa"/>
                  <w:vMerge w:val="continue"/>
                  <w:vAlign w:val="center"/>
                </w:tcPr>
                <w:p w14:paraId="067935A1">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06D05E2F">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6CCC1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2FE29217">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33</w:t>
                  </w:r>
                </w:p>
              </w:tc>
              <w:tc>
                <w:tcPr>
                  <w:tcW w:w="2905" w:type="dxa"/>
                  <w:vAlign w:val="center"/>
                </w:tcPr>
                <w:p w14:paraId="7E9E588E">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达柏酒店</w:t>
                  </w:r>
                </w:p>
              </w:tc>
              <w:tc>
                <w:tcPr>
                  <w:tcW w:w="1838" w:type="dxa"/>
                  <w:vAlign w:val="center"/>
                </w:tcPr>
                <w:p w14:paraId="61584CBC">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东面30m</w:t>
                  </w:r>
                </w:p>
              </w:tc>
              <w:tc>
                <w:tcPr>
                  <w:tcW w:w="1416" w:type="dxa"/>
                  <w:vMerge w:val="continue"/>
                  <w:vAlign w:val="center"/>
                </w:tcPr>
                <w:p w14:paraId="4F637963">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4AC304AC">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60B17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7B92ED44">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34</w:t>
                  </w:r>
                </w:p>
              </w:tc>
              <w:tc>
                <w:tcPr>
                  <w:tcW w:w="2905" w:type="dxa"/>
                  <w:vAlign w:val="center"/>
                </w:tcPr>
                <w:p w14:paraId="0AD7E50A">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芒市广场</w:t>
                  </w:r>
                </w:p>
              </w:tc>
              <w:tc>
                <w:tcPr>
                  <w:tcW w:w="1838" w:type="dxa"/>
                  <w:vAlign w:val="center"/>
                </w:tcPr>
                <w:p w14:paraId="5EBDA84A">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西面、南面30m</w:t>
                  </w:r>
                </w:p>
              </w:tc>
              <w:tc>
                <w:tcPr>
                  <w:tcW w:w="1416" w:type="dxa"/>
                  <w:vMerge w:val="continue"/>
                  <w:vAlign w:val="center"/>
                </w:tcPr>
                <w:p w14:paraId="73C0B257">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434B35CC">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21382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1753EBB3">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35</w:t>
                  </w:r>
                </w:p>
              </w:tc>
              <w:tc>
                <w:tcPr>
                  <w:tcW w:w="2905" w:type="dxa"/>
                  <w:vAlign w:val="center"/>
                </w:tcPr>
                <w:p w14:paraId="3523E091">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芒市体育运动中心</w:t>
                  </w:r>
                </w:p>
              </w:tc>
              <w:tc>
                <w:tcPr>
                  <w:tcW w:w="1838" w:type="dxa"/>
                  <w:vAlign w:val="center"/>
                </w:tcPr>
                <w:p w14:paraId="0877D3D7">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南面30m</w:t>
                  </w:r>
                </w:p>
              </w:tc>
              <w:tc>
                <w:tcPr>
                  <w:tcW w:w="1416" w:type="dxa"/>
                  <w:vMerge w:val="continue"/>
                  <w:vAlign w:val="center"/>
                </w:tcPr>
                <w:p w14:paraId="041615AA">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0E4E59CB">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64D14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387FE385">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36</w:t>
                  </w:r>
                </w:p>
              </w:tc>
              <w:tc>
                <w:tcPr>
                  <w:tcW w:w="2905" w:type="dxa"/>
                  <w:vAlign w:val="center"/>
                </w:tcPr>
                <w:p w14:paraId="178298A5">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芒市国际学校</w:t>
                  </w:r>
                </w:p>
              </w:tc>
              <w:tc>
                <w:tcPr>
                  <w:tcW w:w="1838" w:type="dxa"/>
                  <w:vAlign w:val="center"/>
                </w:tcPr>
                <w:p w14:paraId="48FC2128">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东面、北面35m</w:t>
                  </w:r>
                </w:p>
              </w:tc>
              <w:tc>
                <w:tcPr>
                  <w:tcW w:w="1416" w:type="dxa"/>
                  <w:vMerge w:val="continue"/>
                  <w:vAlign w:val="center"/>
                </w:tcPr>
                <w:p w14:paraId="5EF46312">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51AF892A">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4881C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6214B753">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37</w:t>
                  </w:r>
                </w:p>
              </w:tc>
              <w:tc>
                <w:tcPr>
                  <w:tcW w:w="2905" w:type="dxa"/>
                  <w:vAlign w:val="center"/>
                </w:tcPr>
                <w:p w14:paraId="2A6F27B4">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花园警馨小区</w:t>
                  </w:r>
                </w:p>
              </w:tc>
              <w:tc>
                <w:tcPr>
                  <w:tcW w:w="1838" w:type="dxa"/>
                  <w:vAlign w:val="center"/>
                </w:tcPr>
                <w:p w14:paraId="11FDF1E7">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北面25m</w:t>
                  </w:r>
                </w:p>
              </w:tc>
              <w:tc>
                <w:tcPr>
                  <w:tcW w:w="1416" w:type="dxa"/>
                  <w:vMerge w:val="continue"/>
                  <w:vAlign w:val="center"/>
                </w:tcPr>
                <w:p w14:paraId="4085535D">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47B8CF6A">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23422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471C356B">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38</w:t>
                  </w:r>
                </w:p>
              </w:tc>
              <w:tc>
                <w:tcPr>
                  <w:tcW w:w="2905" w:type="dxa"/>
                  <w:vAlign w:val="center"/>
                </w:tcPr>
                <w:p w14:paraId="7F63DB66">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云辉汽车公司</w:t>
                  </w:r>
                </w:p>
              </w:tc>
              <w:tc>
                <w:tcPr>
                  <w:tcW w:w="1838" w:type="dxa"/>
                  <w:vAlign w:val="center"/>
                </w:tcPr>
                <w:p w14:paraId="2DE17B83">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北面25m</w:t>
                  </w:r>
                </w:p>
              </w:tc>
              <w:tc>
                <w:tcPr>
                  <w:tcW w:w="1416" w:type="dxa"/>
                  <w:vMerge w:val="continue"/>
                  <w:vAlign w:val="center"/>
                </w:tcPr>
                <w:p w14:paraId="7E9E50B3">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7EF30315">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00CE7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5ACF226C">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39</w:t>
                  </w:r>
                </w:p>
              </w:tc>
              <w:tc>
                <w:tcPr>
                  <w:tcW w:w="2905" w:type="dxa"/>
                  <w:vAlign w:val="center"/>
                </w:tcPr>
                <w:p w14:paraId="5E6F3A3E">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嘉源公馆</w:t>
                  </w:r>
                </w:p>
              </w:tc>
              <w:tc>
                <w:tcPr>
                  <w:tcW w:w="1838" w:type="dxa"/>
                  <w:vAlign w:val="center"/>
                </w:tcPr>
                <w:p w14:paraId="41159F05">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北面25m</w:t>
                  </w:r>
                </w:p>
              </w:tc>
              <w:tc>
                <w:tcPr>
                  <w:tcW w:w="1416" w:type="dxa"/>
                  <w:vMerge w:val="continue"/>
                  <w:vAlign w:val="center"/>
                </w:tcPr>
                <w:p w14:paraId="4C74BD0F">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34A018EE">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5D4E8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2FAE2BA4">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40</w:t>
                  </w:r>
                </w:p>
              </w:tc>
              <w:tc>
                <w:tcPr>
                  <w:tcW w:w="2905" w:type="dxa"/>
                  <w:vAlign w:val="center"/>
                </w:tcPr>
                <w:p w14:paraId="6118FDAA">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祥成花园</w:t>
                  </w:r>
                </w:p>
              </w:tc>
              <w:tc>
                <w:tcPr>
                  <w:tcW w:w="1838" w:type="dxa"/>
                  <w:vAlign w:val="center"/>
                </w:tcPr>
                <w:p w14:paraId="55CD5478">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北面25m</w:t>
                  </w:r>
                </w:p>
              </w:tc>
              <w:tc>
                <w:tcPr>
                  <w:tcW w:w="1416" w:type="dxa"/>
                  <w:vMerge w:val="continue"/>
                  <w:vAlign w:val="center"/>
                </w:tcPr>
                <w:p w14:paraId="11384841">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3D5FFFAE">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73DDE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2D6A7861">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41</w:t>
                  </w:r>
                </w:p>
              </w:tc>
              <w:tc>
                <w:tcPr>
                  <w:tcW w:w="2905" w:type="dxa"/>
                  <w:vAlign w:val="center"/>
                </w:tcPr>
                <w:p w14:paraId="39862F81">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银监小区</w:t>
                  </w:r>
                </w:p>
              </w:tc>
              <w:tc>
                <w:tcPr>
                  <w:tcW w:w="1838" w:type="dxa"/>
                  <w:vAlign w:val="center"/>
                </w:tcPr>
                <w:p w14:paraId="7A97A8A9">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北面25m</w:t>
                  </w:r>
                </w:p>
              </w:tc>
              <w:tc>
                <w:tcPr>
                  <w:tcW w:w="1416" w:type="dxa"/>
                  <w:vMerge w:val="continue"/>
                  <w:vAlign w:val="center"/>
                </w:tcPr>
                <w:p w14:paraId="02DFC044">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7C356810">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1EBD9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4C33B737">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42</w:t>
                  </w:r>
                </w:p>
              </w:tc>
              <w:tc>
                <w:tcPr>
                  <w:tcW w:w="2905" w:type="dxa"/>
                  <w:vAlign w:val="center"/>
                </w:tcPr>
                <w:p w14:paraId="514DA564">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中国石化加油站</w:t>
                  </w:r>
                </w:p>
              </w:tc>
              <w:tc>
                <w:tcPr>
                  <w:tcW w:w="1838" w:type="dxa"/>
                  <w:vAlign w:val="center"/>
                </w:tcPr>
                <w:p w14:paraId="110A81B9">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东面25m</w:t>
                  </w:r>
                </w:p>
              </w:tc>
              <w:tc>
                <w:tcPr>
                  <w:tcW w:w="1416" w:type="dxa"/>
                  <w:vMerge w:val="continue"/>
                  <w:vAlign w:val="center"/>
                </w:tcPr>
                <w:p w14:paraId="15C6BB28">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0DA321B3">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2D1A7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5673A68A">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43</w:t>
                  </w:r>
                </w:p>
              </w:tc>
              <w:tc>
                <w:tcPr>
                  <w:tcW w:w="2905" w:type="dxa"/>
                  <w:vAlign w:val="center"/>
                </w:tcPr>
                <w:p w14:paraId="14C11A1A">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临街商铺</w:t>
                  </w:r>
                </w:p>
              </w:tc>
              <w:tc>
                <w:tcPr>
                  <w:tcW w:w="1838" w:type="dxa"/>
                  <w:vAlign w:val="center"/>
                </w:tcPr>
                <w:p w14:paraId="466B9B65">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东面25m</w:t>
                  </w:r>
                </w:p>
              </w:tc>
              <w:tc>
                <w:tcPr>
                  <w:tcW w:w="1416" w:type="dxa"/>
                  <w:vMerge w:val="continue"/>
                  <w:vAlign w:val="center"/>
                </w:tcPr>
                <w:p w14:paraId="63BAE179">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6DDF1E65">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0441B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56925B74">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44</w:t>
                  </w:r>
                </w:p>
              </w:tc>
              <w:tc>
                <w:tcPr>
                  <w:tcW w:w="2905" w:type="dxa"/>
                  <w:vAlign w:val="center"/>
                </w:tcPr>
                <w:p w14:paraId="1268EE90">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芒市广场商务酒店</w:t>
                  </w:r>
                </w:p>
              </w:tc>
              <w:tc>
                <w:tcPr>
                  <w:tcW w:w="1838" w:type="dxa"/>
                  <w:vAlign w:val="center"/>
                </w:tcPr>
                <w:p w14:paraId="30A9A8E2">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西面25m</w:t>
                  </w:r>
                </w:p>
              </w:tc>
              <w:tc>
                <w:tcPr>
                  <w:tcW w:w="1416" w:type="dxa"/>
                  <w:vMerge w:val="continue"/>
                  <w:vAlign w:val="center"/>
                </w:tcPr>
                <w:p w14:paraId="4725CEF6">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62A99CBD">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4EE83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58992860">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45</w:t>
                  </w:r>
                </w:p>
              </w:tc>
              <w:tc>
                <w:tcPr>
                  <w:tcW w:w="2905" w:type="dxa"/>
                  <w:vAlign w:val="center"/>
                </w:tcPr>
                <w:p w14:paraId="3C516B5B">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中国石化德宏分公司</w:t>
                  </w:r>
                </w:p>
              </w:tc>
              <w:tc>
                <w:tcPr>
                  <w:tcW w:w="1838" w:type="dxa"/>
                  <w:vAlign w:val="center"/>
                </w:tcPr>
                <w:p w14:paraId="48AE82C9">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东面25m</w:t>
                  </w:r>
                </w:p>
              </w:tc>
              <w:tc>
                <w:tcPr>
                  <w:tcW w:w="1416" w:type="dxa"/>
                  <w:vMerge w:val="continue"/>
                  <w:vAlign w:val="center"/>
                </w:tcPr>
                <w:p w14:paraId="4E290EB2">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51771618">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5C17C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31C2A9A7">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46</w:t>
                  </w:r>
                </w:p>
              </w:tc>
              <w:tc>
                <w:tcPr>
                  <w:tcW w:w="2905" w:type="dxa"/>
                  <w:vAlign w:val="center"/>
                </w:tcPr>
                <w:p w14:paraId="75FDBC90">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金孔雀驾校芒市培训站</w:t>
                  </w:r>
                </w:p>
              </w:tc>
              <w:tc>
                <w:tcPr>
                  <w:tcW w:w="1838" w:type="dxa"/>
                  <w:vAlign w:val="center"/>
                </w:tcPr>
                <w:p w14:paraId="03072F42">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东面25m</w:t>
                  </w:r>
                </w:p>
              </w:tc>
              <w:tc>
                <w:tcPr>
                  <w:tcW w:w="1416" w:type="dxa"/>
                  <w:vMerge w:val="continue"/>
                  <w:vAlign w:val="center"/>
                </w:tcPr>
                <w:p w14:paraId="666D6D66">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368905B6">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6B062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037D8F2C">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47</w:t>
                  </w:r>
                </w:p>
              </w:tc>
              <w:tc>
                <w:tcPr>
                  <w:tcW w:w="2905" w:type="dxa"/>
                  <w:vAlign w:val="center"/>
                </w:tcPr>
                <w:p w14:paraId="5ED9B3ED">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芒市公安局</w:t>
                  </w:r>
                </w:p>
              </w:tc>
              <w:tc>
                <w:tcPr>
                  <w:tcW w:w="1838" w:type="dxa"/>
                  <w:vAlign w:val="center"/>
                </w:tcPr>
                <w:p w14:paraId="23214040">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西面25m</w:t>
                  </w:r>
                </w:p>
              </w:tc>
              <w:tc>
                <w:tcPr>
                  <w:tcW w:w="1416" w:type="dxa"/>
                  <w:vMerge w:val="continue"/>
                  <w:vAlign w:val="center"/>
                </w:tcPr>
                <w:p w14:paraId="63CC8DCD">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4EA93617">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6E44A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0A921FD4">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48</w:t>
                  </w:r>
                </w:p>
              </w:tc>
              <w:tc>
                <w:tcPr>
                  <w:tcW w:w="2905" w:type="dxa"/>
                  <w:vAlign w:val="center"/>
                </w:tcPr>
                <w:p w14:paraId="6E3771CD">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德宏英茂公司</w:t>
                  </w:r>
                </w:p>
              </w:tc>
              <w:tc>
                <w:tcPr>
                  <w:tcW w:w="1838" w:type="dxa"/>
                  <w:vAlign w:val="center"/>
                </w:tcPr>
                <w:p w14:paraId="34A8117B">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西面25m</w:t>
                  </w:r>
                </w:p>
              </w:tc>
              <w:tc>
                <w:tcPr>
                  <w:tcW w:w="1416" w:type="dxa"/>
                  <w:vMerge w:val="continue"/>
                  <w:vAlign w:val="center"/>
                </w:tcPr>
                <w:p w14:paraId="7B9FA18E">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7D852B79">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41A2F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4D12BD0C">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49</w:t>
                  </w:r>
                </w:p>
              </w:tc>
              <w:tc>
                <w:tcPr>
                  <w:tcW w:w="2905" w:type="dxa"/>
                  <w:vAlign w:val="center"/>
                </w:tcPr>
                <w:p w14:paraId="5520260B">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勐垅沙公园</w:t>
                  </w:r>
                </w:p>
              </w:tc>
              <w:tc>
                <w:tcPr>
                  <w:tcW w:w="1838" w:type="dxa"/>
                  <w:vAlign w:val="center"/>
                </w:tcPr>
                <w:p w14:paraId="33FFDF88">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东面25m</w:t>
                  </w:r>
                </w:p>
              </w:tc>
              <w:tc>
                <w:tcPr>
                  <w:tcW w:w="1416" w:type="dxa"/>
                  <w:vMerge w:val="continue"/>
                  <w:vAlign w:val="center"/>
                </w:tcPr>
                <w:p w14:paraId="493E7301">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7EFD9D26">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4213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204F472A">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50</w:t>
                  </w:r>
                </w:p>
              </w:tc>
              <w:tc>
                <w:tcPr>
                  <w:tcW w:w="2905" w:type="dxa"/>
                  <w:vAlign w:val="center"/>
                </w:tcPr>
                <w:p w14:paraId="59D18A64">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海宏汽车修理厂</w:t>
                  </w:r>
                </w:p>
              </w:tc>
              <w:tc>
                <w:tcPr>
                  <w:tcW w:w="1838" w:type="dxa"/>
                  <w:vAlign w:val="center"/>
                </w:tcPr>
                <w:p w14:paraId="130F937C">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东面25m</w:t>
                  </w:r>
                </w:p>
              </w:tc>
              <w:tc>
                <w:tcPr>
                  <w:tcW w:w="1416" w:type="dxa"/>
                  <w:vMerge w:val="continue"/>
                  <w:vAlign w:val="center"/>
                </w:tcPr>
                <w:p w14:paraId="42A39D71">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0FE41D57">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5C5A3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3CB7090E">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51</w:t>
                  </w:r>
                </w:p>
              </w:tc>
              <w:tc>
                <w:tcPr>
                  <w:tcW w:w="2905" w:type="dxa"/>
                  <w:vAlign w:val="center"/>
                </w:tcPr>
                <w:p w14:paraId="10F8649E">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德宏税务局</w:t>
                  </w:r>
                </w:p>
              </w:tc>
              <w:tc>
                <w:tcPr>
                  <w:tcW w:w="1838" w:type="dxa"/>
                  <w:vAlign w:val="center"/>
                </w:tcPr>
                <w:p w14:paraId="34F12991">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西面35m</w:t>
                  </w:r>
                </w:p>
              </w:tc>
              <w:tc>
                <w:tcPr>
                  <w:tcW w:w="1416" w:type="dxa"/>
                  <w:vMerge w:val="continue"/>
                  <w:vAlign w:val="center"/>
                </w:tcPr>
                <w:p w14:paraId="085A7CED">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2396A67C">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428D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2A7FB290">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52</w:t>
                  </w:r>
                </w:p>
              </w:tc>
              <w:tc>
                <w:tcPr>
                  <w:tcW w:w="2905" w:type="dxa"/>
                  <w:vAlign w:val="center"/>
                </w:tcPr>
                <w:p w14:paraId="3FBE3653">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玉丰汽车修理厂</w:t>
                  </w:r>
                </w:p>
              </w:tc>
              <w:tc>
                <w:tcPr>
                  <w:tcW w:w="1838" w:type="dxa"/>
                  <w:vAlign w:val="center"/>
                </w:tcPr>
                <w:p w14:paraId="3A58FA5D">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东面25m</w:t>
                  </w:r>
                </w:p>
              </w:tc>
              <w:tc>
                <w:tcPr>
                  <w:tcW w:w="1416" w:type="dxa"/>
                  <w:vMerge w:val="continue"/>
                  <w:vAlign w:val="center"/>
                </w:tcPr>
                <w:p w14:paraId="45CF8A65">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458B7B82">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4F19A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2F32F6D5">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53</w:t>
                  </w:r>
                </w:p>
              </w:tc>
              <w:tc>
                <w:tcPr>
                  <w:tcW w:w="2905" w:type="dxa"/>
                  <w:vAlign w:val="center"/>
                </w:tcPr>
                <w:p w14:paraId="1F517CAF">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德宏质监局</w:t>
                  </w:r>
                </w:p>
              </w:tc>
              <w:tc>
                <w:tcPr>
                  <w:tcW w:w="1838" w:type="dxa"/>
                  <w:vAlign w:val="center"/>
                </w:tcPr>
                <w:p w14:paraId="399DD0C2">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西面25m</w:t>
                  </w:r>
                </w:p>
              </w:tc>
              <w:tc>
                <w:tcPr>
                  <w:tcW w:w="1416" w:type="dxa"/>
                  <w:vMerge w:val="continue"/>
                  <w:vAlign w:val="center"/>
                </w:tcPr>
                <w:p w14:paraId="67279023">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17787222">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499B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05FB8862">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54</w:t>
                  </w:r>
                </w:p>
              </w:tc>
              <w:tc>
                <w:tcPr>
                  <w:tcW w:w="2905" w:type="dxa"/>
                  <w:vAlign w:val="center"/>
                </w:tcPr>
                <w:p w14:paraId="09FE88D1">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eastAsia" w:cs="Times New Roman"/>
                      <w:sz w:val="21"/>
                      <w:szCs w:val="21"/>
                      <w:vertAlign w:val="baseline"/>
                      <w:lang w:val="en-US" w:eastAsia="zh-CN"/>
                    </w:rPr>
                    <w:t>中国银行保险监督管理委员会</w:t>
                  </w:r>
                </w:p>
              </w:tc>
              <w:tc>
                <w:tcPr>
                  <w:tcW w:w="1838" w:type="dxa"/>
                  <w:vAlign w:val="center"/>
                </w:tcPr>
                <w:p w14:paraId="7E20B979">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东面25m</w:t>
                  </w:r>
                </w:p>
              </w:tc>
              <w:tc>
                <w:tcPr>
                  <w:tcW w:w="1416" w:type="dxa"/>
                  <w:vMerge w:val="continue"/>
                  <w:vAlign w:val="center"/>
                </w:tcPr>
                <w:p w14:paraId="4C98FC17">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63BC8D48">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0DD03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6AE1E8FF">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55</w:t>
                  </w:r>
                </w:p>
              </w:tc>
              <w:tc>
                <w:tcPr>
                  <w:tcW w:w="2905" w:type="dxa"/>
                  <w:vAlign w:val="center"/>
                </w:tcPr>
                <w:p w14:paraId="42EF5A6B">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芒市税务局</w:t>
                  </w:r>
                </w:p>
              </w:tc>
              <w:tc>
                <w:tcPr>
                  <w:tcW w:w="1838" w:type="dxa"/>
                  <w:vAlign w:val="center"/>
                </w:tcPr>
                <w:p w14:paraId="582A628A">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西面25m</w:t>
                  </w:r>
                </w:p>
              </w:tc>
              <w:tc>
                <w:tcPr>
                  <w:tcW w:w="1416" w:type="dxa"/>
                  <w:vMerge w:val="continue"/>
                  <w:vAlign w:val="center"/>
                </w:tcPr>
                <w:p w14:paraId="10ABA120">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287B9184">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55FC9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4D75F8F7">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56</w:t>
                  </w:r>
                </w:p>
              </w:tc>
              <w:tc>
                <w:tcPr>
                  <w:tcW w:w="2905" w:type="dxa"/>
                  <w:vAlign w:val="center"/>
                </w:tcPr>
                <w:p w14:paraId="3311E908">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同昌小区</w:t>
                  </w:r>
                </w:p>
              </w:tc>
              <w:tc>
                <w:tcPr>
                  <w:tcW w:w="1838" w:type="dxa"/>
                  <w:vAlign w:val="center"/>
                </w:tcPr>
                <w:p w14:paraId="02B0886E">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东面40m</w:t>
                  </w:r>
                </w:p>
              </w:tc>
              <w:tc>
                <w:tcPr>
                  <w:tcW w:w="1416" w:type="dxa"/>
                  <w:vMerge w:val="continue"/>
                  <w:vAlign w:val="center"/>
                </w:tcPr>
                <w:p w14:paraId="5C02309A">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5548C2D9">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099C1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63" w:type="dxa"/>
                  <w:vAlign w:val="center"/>
                </w:tcPr>
                <w:p w14:paraId="15D8D88E">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57</w:t>
                  </w:r>
                </w:p>
              </w:tc>
              <w:tc>
                <w:tcPr>
                  <w:tcW w:w="2905" w:type="dxa"/>
                  <w:vAlign w:val="center"/>
                </w:tcPr>
                <w:p w14:paraId="17BAD7F5">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德宏人民检察院</w:t>
                  </w:r>
                </w:p>
              </w:tc>
              <w:tc>
                <w:tcPr>
                  <w:tcW w:w="1838" w:type="dxa"/>
                  <w:vAlign w:val="center"/>
                </w:tcPr>
                <w:p w14:paraId="058E349B">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西面30m</w:t>
                  </w:r>
                </w:p>
              </w:tc>
              <w:tc>
                <w:tcPr>
                  <w:tcW w:w="1416" w:type="dxa"/>
                  <w:vMerge w:val="continue"/>
                  <w:vAlign w:val="center"/>
                </w:tcPr>
                <w:p w14:paraId="0EF756BE">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57D31877">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r w14:paraId="1DF2C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563" w:type="dxa"/>
                  <w:vAlign w:val="center"/>
                </w:tcPr>
                <w:p w14:paraId="3F4547C2">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58</w:t>
                  </w:r>
                </w:p>
              </w:tc>
              <w:tc>
                <w:tcPr>
                  <w:tcW w:w="2905" w:type="dxa"/>
                  <w:vAlign w:val="center"/>
                </w:tcPr>
                <w:p w14:paraId="553BD62E">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临街商铺</w:t>
                  </w:r>
                </w:p>
              </w:tc>
              <w:tc>
                <w:tcPr>
                  <w:tcW w:w="1838" w:type="dxa"/>
                  <w:vAlign w:val="center"/>
                </w:tcPr>
                <w:p w14:paraId="5A7009B5">
                  <w:pPr>
                    <w:numPr>
                      <w:ilvl w:val="0"/>
                      <w:numId w:val="0"/>
                    </w:numPr>
                    <w:spacing w:line="240" w:lineRule="auto"/>
                    <w:jc w:val="center"/>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东面25m</w:t>
                  </w:r>
                </w:p>
              </w:tc>
              <w:tc>
                <w:tcPr>
                  <w:tcW w:w="1416" w:type="dxa"/>
                  <w:vMerge w:val="continue"/>
                  <w:vAlign w:val="center"/>
                </w:tcPr>
                <w:p w14:paraId="6C60A495">
                  <w:pPr>
                    <w:numPr>
                      <w:ilvl w:val="0"/>
                      <w:numId w:val="0"/>
                    </w:numPr>
                    <w:spacing w:line="240" w:lineRule="auto"/>
                    <w:jc w:val="center"/>
                    <w:rPr>
                      <w:rFonts w:hint="default" w:ascii="Times New Roman" w:hAnsi="Times New Roman" w:cs="Times New Roman"/>
                      <w:sz w:val="21"/>
                      <w:szCs w:val="21"/>
                      <w:vertAlign w:val="baseline"/>
                      <w:lang w:val="en-US" w:eastAsia="zh-CN"/>
                    </w:rPr>
                  </w:pPr>
                </w:p>
              </w:tc>
              <w:tc>
                <w:tcPr>
                  <w:tcW w:w="1776" w:type="dxa"/>
                  <w:vMerge w:val="continue"/>
                  <w:vAlign w:val="center"/>
                </w:tcPr>
                <w:p w14:paraId="63D38961">
                  <w:pPr>
                    <w:numPr>
                      <w:ilvl w:val="0"/>
                      <w:numId w:val="0"/>
                    </w:numPr>
                    <w:spacing w:line="240" w:lineRule="auto"/>
                    <w:jc w:val="center"/>
                    <w:rPr>
                      <w:rFonts w:hint="default" w:ascii="Times New Roman" w:hAnsi="Times New Roman" w:cs="Times New Roman"/>
                      <w:sz w:val="21"/>
                      <w:szCs w:val="21"/>
                      <w:vertAlign w:val="baseline"/>
                      <w:lang w:val="en-US" w:eastAsia="zh-CN"/>
                    </w:rPr>
                  </w:pPr>
                </w:p>
              </w:tc>
            </w:tr>
          </w:tbl>
          <w:p w14:paraId="699E8B8D">
            <w:pPr>
              <w:numPr>
                <w:ilvl w:val="0"/>
                <w:numId w:val="0"/>
              </w:numPr>
              <w:spacing w:line="360" w:lineRule="auto"/>
              <w:rPr>
                <w:rFonts w:hint="default" w:ascii="Times New Roman" w:hAnsi="Times New Roman" w:cs="Times New Roman"/>
                <w:sz w:val="24"/>
                <w:szCs w:val="24"/>
                <w:lang w:val="en-US" w:eastAsia="zh-CN"/>
              </w:rPr>
            </w:pPr>
          </w:p>
        </w:tc>
      </w:tr>
    </w:tbl>
    <w:p w14:paraId="47F0CAD1">
      <w:pPr>
        <w:rPr>
          <w:rStyle w:val="12"/>
          <w:rFonts w:hint="eastAsia"/>
          <w:lang w:val="en-US" w:eastAsia="zh-CN"/>
        </w:rPr>
      </w:pPr>
      <w:r>
        <w:rPr>
          <w:rStyle w:val="12"/>
          <w:rFonts w:hint="eastAsia"/>
          <w:lang w:val="en-US" w:eastAsia="zh-CN"/>
        </w:rPr>
        <w:br w:type="page"/>
      </w:r>
    </w:p>
    <w:p w14:paraId="5DCE0DE3">
      <w:pPr>
        <w:pStyle w:val="2"/>
        <w:bidi w:val="0"/>
        <w:rPr>
          <w:rFonts w:hint="eastAsia"/>
          <w:lang w:val="en-US" w:eastAsia="zh-CN"/>
        </w:rPr>
      </w:pPr>
      <w:r>
        <w:rPr>
          <w:rFonts w:hint="eastAsia"/>
          <w:lang w:val="en-US" w:eastAsia="zh-CN"/>
        </w:rPr>
        <w:t>表四、评价使用标准</w:t>
      </w:r>
    </w:p>
    <w:tbl>
      <w:tblPr>
        <w:tblStyle w:val="10"/>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8082"/>
      </w:tblGrid>
      <w:tr w14:paraId="0968A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9" w:hRule="atLeast"/>
        </w:trPr>
        <w:tc>
          <w:tcPr>
            <w:tcW w:w="437" w:type="dxa"/>
            <w:vAlign w:val="center"/>
          </w:tcPr>
          <w:p w14:paraId="47202936">
            <w:pPr>
              <w:numPr>
                <w:ilvl w:val="0"/>
                <w:numId w:val="0"/>
              </w:numPr>
              <w:bidi w:val="0"/>
              <w:jc w:val="center"/>
              <w:rPr>
                <w:rFonts w:hint="default"/>
                <w:b w:val="0"/>
                <w:bCs w:val="0"/>
                <w:sz w:val="24"/>
                <w:szCs w:val="24"/>
                <w:lang w:val="en-US" w:eastAsia="zh-CN"/>
              </w:rPr>
            </w:pPr>
            <w:r>
              <w:rPr>
                <w:rFonts w:hint="eastAsia"/>
                <w:b w:val="0"/>
                <w:bCs w:val="0"/>
                <w:sz w:val="24"/>
                <w:szCs w:val="24"/>
                <w:lang w:val="en-US" w:eastAsia="zh-CN"/>
              </w:rPr>
              <w:t>环境质量标准</w:t>
            </w:r>
          </w:p>
        </w:tc>
        <w:tc>
          <w:tcPr>
            <w:tcW w:w="8082" w:type="dxa"/>
          </w:tcPr>
          <w:p w14:paraId="37CB5EB3">
            <w:pPr>
              <w:numPr>
                <w:ilvl w:val="0"/>
                <w:numId w:val="22"/>
              </w:numPr>
              <w:rPr>
                <w:rStyle w:val="12"/>
                <w:rFonts w:hint="eastAsia"/>
                <w:sz w:val="24"/>
                <w:szCs w:val="24"/>
                <w:vertAlign w:val="baseline"/>
                <w:lang w:val="en-US" w:eastAsia="zh-CN"/>
              </w:rPr>
            </w:pPr>
            <w:r>
              <w:rPr>
                <w:rStyle w:val="12"/>
                <w:rFonts w:hint="eastAsia"/>
                <w:sz w:val="24"/>
                <w:szCs w:val="24"/>
                <w:vertAlign w:val="baseline"/>
                <w:lang w:val="en-US" w:eastAsia="zh-CN"/>
              </w:rPr>
              <w:t>大气环境质量标准</w:t>
            </w:r>
          </w:p>
          <w:p w14:paraId="68CAD4B7">
            <w:pPr>
              <w:numPr>
                <w:ilvl w:val="0"/>
                <w:numId w:val="0"/>
              </w:numPr>
              <w:bidi w:val="0"/>
              <w:ind w:firstLine="480" w:firstLineChars="200"/>
              <w:rPr>
                <w:rFonts w:hint="eastAsia"/>
                <w:b w:val="0"/>
                <w:bCs w:val="0"/>
                <w:sz w:val="24"/>
                <w:szCs w:val="24"/>
                <w:lang w:val="en-US" w:eastAsia="zh-CN"/>
              </w:rPr>
            </w:pPr>
            <w:r>
              <w:rPr>
                <w:rStyle w:val="12"/>
                <w:rFonts w:hint="eastAsia"/>
                <w:b w:val="0"/>
                <w:bCs/>
                <w:sz w:val="24"/>
                <w:szCs w:val="24"/>
                <w:vertAlign w:val="baseline"/>
                <w:lang w:val="en-US" w:eastAsia="zh-CN"/>
              </w:rPr>
              <w:t>项目位于芒市中心城区，</w:t>
            </w:r>
            <w:r>
              <w:rPr>
                <w:rFonts w:hint="eastAsia"/>
                <w:b w:val="0"/>
                <w:bCs w:val="0"/>
                <w:sz w:val="24"/>
                <w:szCs w:val="24"/>
                <w:lang w:val="en-US" w:eastAsia="zh-CN"/>
              </w:rPr>
              <w:t>属于交通/商业/居民混合区，根据环境空气质量功能区划，属于二类功能区，执行《环境空气质量标准》（GB3095-2012）二级标准。标准值见表4-1。</w:t>
            </w:r>
          </w:p>
          <w:p w14:paraId="42B741DE">
            <w:pPr>
              <w:spacing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sz w:val="24"/>
                <w:szCs w:val="24"/>
              </w:rPr>
              <w:t xml:space="preserve">表4-1  </w:t>
            </w:r>
            <w:r>
              <w:rPr>
                <w:rFonts w:hint="default" w:ascii="Times New Roman" w:hAnsi="Times New Roman" w:eastAsia="宋体" w:cs="Times New Roman"/>
                <w:b/>
                <w:bCs/>
                <w:sz w:val="24"/>
                <w:szCs w:val="24"/>
              </w:rPr>
              <w:t>《环境空气质量标准》（GB3095-2012）二级标准</w:t>
            </w:r>
          </w:p>
          <w:tbl>
            <w:tblPr>
              <w:tblStyle w:val="9"/>
              <w:tblW w:w="7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2077"/>
              <w:gridCol w:w="1466"/>
              <w:gridCol w:w="1417"/>
              <w:gridCol w:w="2060"/>
            </w:tblGrid>
            <w:tr w14:paraId="40F89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58" w:type="dxa"/>
                  <w:vAlign w:val="center"/>
                </w:tcPr>
                <w:p w14:paraId="16292DAA">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2077" w:type="dxa"/>
                  <w:vAlign w:val="center"/>
                </w:tcPr>
                <w:p w14:paraId="5F17C932">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污染物项目</w:t>
                  </w:r>
                </w:p>
              </w:tc>
              <w:tc>
                <w:tcPr>
                  <w:tcW w:w="1466" w:type="dxa"/>
                  <w:vAlign w:val="center"/>
                </w:tcPr>
                <w:p w14:paraId="2E0C3E59">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平均时间</w:t>
                  </w:r>
                </w:p>
              </w:tc>
              <w:tc>
                <w:tcPr>
                  <w:tcW w:w="1417" w:type="dxa"/>
                  <w:vAlign w:val="center"/>
                </w:tcPr>
                <w:p w14:paraId="431C9A6D">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浓度限值</w:t>
                  </w:r>
                </w:p>
              </w:tc>
              <w:tc>
                <w:tcPr>
                  <w:tcW w:w="2060" w:type="dxa"/>
                  <w:vAlign w:val="center"/>
                </w:tcPr>
                <w:p w14:paraId="0A27656C">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单位</w:t>
                  </w:r>
                </w:p>
              </w:tc>
            </w:tr>
            <w:tr w14:paraId="1D476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58" w:type="dxa"/>
                  <w:vMerge w:val="restart"/>
                  <w:vAlign w:val="center"/>
                </w:tcPr>
                <w:p w14:paraId="438E9907">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077" w:type="dxa"/>
                  <w:vMerge w:val="restart"/>
                  <w:vAlign w:val="center"/>
                </w:tcPr>
                <w:p w14:paraId="177AEE1E">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二氧化硫（SO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w:t>
                  </w:r>
                </w:p>
              </w:tc>
              <w:tc>
                <w:tcPr>
                  <w:tcW w:w="1466" w:type="dxa"/>
                  <w:vAlign w:val="center"/>
                </w:tcPr>
                <w:p w14:paraId="29D1A13A">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1417" w:type="dxa"/>
                  <w:vAlign w:val="center"/>
                </w:tcPr>
                <w:p w14:paraId="57A2273E">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2060" w:type="dxa"/>
                  <w:vMerge w:val="restart"/>
                  <w:vAlign w:val="center"/>
                </w:tcPr>
                <w:p w14:paraId="5FFDD738">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μg/m</w:t>
                  </w:r>
                  <w:r>
                    <w:rPr>
                      <w:rFonts w:hint="default" w:ascii="Times New Roman" w:hAnsi="Times New Roman" w:eastAsia="宋体" w:cs="Times New Roman"/>
                      <w:sz w:val="21"/>
                      <w:szCs w:val="21"/>
                      <w:vertAlign w:val="superscript"/>
                    </w:rPr>
                    <w:t>3</w:t>
                  </w:r>
                </w:p>
              </w:tc>
            </w:tr>
            <w:tr w14:paraId="45488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58" w:type="dxa"/>
                  <w:vMerge w:val="continue"/>
                  <w:vAlign w:val="center"/>
                </w:tcPr>
                <w:p w14:paraId="5F904B5A">
                  <w:pPr>
                    <w:adjustRightInd w:val="0"/>
                    <w:snapToGrid w:val="0"/>
                    <w:spacing w:line="240" w:lineRule="auto"/>
                    <w:jc w:val="center"/>
                    <w:rPr>
                      <w:rFonts w:hint="default" w:ascii="Times New Roman" w:hAnsi="Times New Roman" w:eastAsia="宋体" w:cs="Times New Roman"/>
                      <w:sz w:val="21"/>
                      <w:szCs w:val="21"/>
                    </w:rPr>
                  </w:pPr>
                </w:p>
              </w:tc>
              <w:tc>
                <w:tcPr>
                  <w:tcW w:w="2077" w:type="dxa"/>
                  <w:vMerge w:val="continue"/>
                  <w:vAlign w:val="center"/>
                </w:tcPr>
                <w:p w14:paraId="1DEC6379">
                  <w:pPr>
                    <w:adjustRightInd w:val="0"/>
                    <w:snapToGrid w:val="0"/>
                    <w:spacing w:line="240" w:lineRule="auto"/>
                    <w:jc w:val="center"/>
                    <w:rPr>
                      <w:rFonts w:hint="default" w:ascii="Times New Roman" w:hAnsi="Times New Roman" w:eastAsia="宋体" w:cs="Times New Roman"/>
                      <w:sz w:val="21"/>
                      <w:szCs w:val="21"/>
                    </w:rPr>
                  </w:pPr>
                </w:p>
              </w:tc>
              <w:tc>
                <w:tcPr>
                  <w:tcW w:w="1466" w:type="dxa"/>
                  <w:vAlign w:val="center"/>
                </w:tcPr>
                <w:p w14:paraId="15A10CD2">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417" w:type="dxa"/>
                  <w:vAlign w:val="center"/>
                </w:tcPr>
                <w:p w14:paraId="0F8F2DCC">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w:t>
                  </w:r>
                </w:p>
              </w:tc>
              <w:tc>
                <w:tcPr>
                  <w:tcW w:w="2060" w:type="dxa"/>
                  <w:vMerge w:val="continue"/>
                  <w:vAlign w:val="center"/>
                </w:tcPr>
                <w:p w14:paraId="2ADA369B">
                  <w:pPr>
                    <w:adjustRightInd w:val="0"/>
                    <w:snapToGrid w:val="0"/>
                    <w:spacing w:line="240" w:lineRule="auto"/>
                    <w:jc w:val="center"/>
                    <w:rPr>
                      <w:rFonts w:hint="default" w:ascii="Times New Roman" w:hAnsi="Times New Roman" w:eastAsia="宋体" w:cs="Times New Roman"/>
                      <w:sz w:val="21"/>
                      <w:szCs w:val="21"/>
                    </w:rPr>
                  </w:pPr>
                </w:p>
              </w:tc>
            </w:tr>
            <w:tr w14:paraId="3F5F4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58" w:type="dxa"/>
                  <w:vMerge w:val="continue"/>
                  <w:vAlign w:val="center"/>
                </w:tcPr>
                <w:p w14:paraId="72D34A4E">
                  <w:pPr>
                    <w:adjustRightInd w:val="0"/>
                    <w:snapToGrid w:val="0"/>
                    <w:spacing w:line="240" w:lineRule="auto"/>
                    <w:jc w:val="center"/>
                    <w:rPr>
                      <w:rFonts w:hint="default" w:ascii="Times New Roman" w:hAnsi="Times New Roman" w:eastAsia="宋体" w:cs="Times New Roman"/>
                      <w:sz w:val="21"/>
                      <w:szCs w:val="21"/>
                    </w:rPr>
                  </w:pPr>
                </w:p>
              </w:tc>
              <w:tc>
                <w:tcPr>
                  <w:tcW w:w="2077" w:type="dxa"/>
                  <w:vMerge w:val="continue"/>
                  <w:vAlign w:val="center"/>
                </w:tcPr>
                <w:p w14:paraId="1AE6515A">
                  <w:pPr>
                    <w:adjustRightInd w:val="0"/>
                    <w:snapToGrid w:val="0"/>
                    <w:spacing w:line="240" w:lineRule="auto"/>
                    <w:jc w:val="center"/>
                    <w:rPr>
                      <w:rFonts w:hint="default" w:ascii="Times New Roman" w:hAnsi="Times New Roman" w:eastAsia="宋体" w:cs="Times New Roman"/>
                      <w:sz w:val="21"/>
                      <w:szCs w:val="21"/>
                    </w:rPr>
                  </w:pPr>
                </w:p>
              </w:tc>
              <w:tc>
                <w:tcPr>
                  <w:tcW w:w="1466" w:type="dxa"/>
                  <w:vAlign w:val="center"/>
                </w:tcPr>
                <w:p w14:paraId="0A316E83">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1小时平均</w:t>
                  </w:r>
                </w:p>
              </w:tc>
              <w:tc>
                <w:tcPr>
                  <w:tcW w:w="1417" w:type="dxa"/>
                  <w:vAlign w:val="center"/>
                </w:tcPr>
                <w:p w14:paraId="4F558229">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2060" w:type="dxa"/>
                  <w:vMerge w:val="continue"/>
                  <w:vAlign w:val="center"/>
                </w:tcPr>
                <w:p w14:paraId="2314C965">
                  <w:pPr>
                    <w:adjustRightInd w:val="0"/>
                    <w:snapToGrid w:val="0"/>
                    <w:spacing w:line="240" w:lineRule="auto"/>
                    <w:jc w:val="center"/>
                    <w:rPr>
                      <w:rFonts w:hint="default" w:ascii="Times New Roman" w:hAnsi="Times New Roman" w:eastAsia="宋体" w:cs="Times New Roman"/>
                      <w:sz w:val="21"/>
                      <w:szCs w:val="21"/>
                    </w:rPr>
                  </w:pPr>
                </w:p>
              </w:tc>
            </w:tr>
            <w:tr w14:paraId="284F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58" w:type="dxa"/>
                  <w:vMerge w:val="restart"/>
                  <w:vAlign w:val="center"/>
                </w:tcPr>
                <w:p w14:paraId="609C9C6B">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077" w:type="dxa"/>
                  <w:vMerge w:val="restart"/>
                  <w:vAlign w:val="center"/>
                </w:tcPr>
                <w:p w14:paraId="0EE1D6BF">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氮氧化物（NO</w:t>
                  </w:r>
                  <w:r>
                    <w:rPr>
                      <w:rFonts w:hint="default" w:ascii="Times New Roman" w:hAnsi="Times New Roman" w:eastAsia="宋体" w:cs="Times New Roman"/>
                      <w:sz w:val="21"/>
                      <w:szCs w:val="21"/>
                      <w:vertAlign w:val="subscript"/>
                    </w:rPr>
                    <w:t>2</w:t>
                  </w:r>
                  <w:r>
                    <w:rPr>
                      <w:rFonts w:hint="default" w:ascii="Times New Roman" w:hAnsi="Times New Roman" w:eastAsia="宋体" w:cs="Times New Roman"/>
                      <w:sz w:val="21"/>
                      <w:szCs w:val="21"/>
                    </w:rPr>
                    <w:t>）</w:t>
                  </w:r>
                </w:p>
              </w:tc>
              <w:tc>
                <w:tcPr>
                  <w:tcW w:w="1466" w:type="dxa"/>
                  <w:vAlign w:val="center"/>
                </w:tcPr>
                <w:p w14:paraId="7B00FA34">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1417" w:type="dxa"/>
                  <w:vAlign w:val="center"/>
                </w:tcPr>
                <w:p w14:paraId="1D60AB99">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2060" w:type="dxa"/>
                  <w:vMerge w:val="continue"/>
                  <w:vAlign w:val="center"/>
                </w:tcPr>
                <w:p w14:paraId="5D43720D">
                  <w:pPr>
                    <w:adjustRightInd w:val="0"/>
                    <w:snapToGrid w:val="0"/>
                    <w:spacing w:line="240" w:lineRule="auto"/>
                    <w:jc w:val="center"/>
                    <w:rPr>
                      <w:rFonts w:hint="default" w:ascii="Times New Roman" w:hAnsi="Times New Roman" w:eastAsia="宋体" w:cs="Times New Roman"/>
                      <w:sz w:val="21"/>
                      <w:szCs w:val="21"/>
                    </w:rPr>
                  </w:pPr>
                </w:p>
              </w:tc>
            </w:tr>
            <w:tr w14:paraId="4A5D6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58" w:type="dxa"/>
                  <w:vMerge w:val="continue"/>
                  <w:vAlign w:val="center"/>
                </w:tcPr>
                <w:p w14:paraId="312485B7">
                  <w:pPr>
                    <w:adjustRightInd w:val="0"/>
                    <w:snapToGrid w:val="0"/>
                    <w:spacing w:line="240" w:lineRule="auto"/>
                    <w:jc w:val="center"/>
                    <w:rPr>
                      <w:rFonts w:hint="default" w:ascii="Times New Roman" w:hAnsi="Times New Roman" w:eastAsia="宋体" w:cs="Times New Roman"/>
                      <w:sz w:val="21"/>
                      <w:szCs w:val="21"/>
                    </w:rPr>
                  </w:pPr>
                </w:p>
              </w:tc>
              <w:tc>
                <w:tcPr>
                  <w:tcW w:w="2077" w:type="dxa"/>
                  <w:vMerge w:val="continue"/>
                  <w:vAlign w:val="center"/>
                </w:tcPr>
                <w:p w14:paraId="03C2E22F">
                  <w:pPr>
                    <w:adjustRightInd w:val="0"/>
                    <w:snapToGrid w:val="0"/>
                    <w:spacing w:line="240" w:lineRule="auto"/>
                    <w:jc w:val="center"/>
                    <w:rPr>
                      <w:rFonts w:hint="default" w:ascii="Times New Roman" w:hAnsi="Times New Roman" w:eastAsia="宋体" w:cs="Times New Roman"/>
                      <w:sz w:val="21"/>
                      <w:szCs w:val="21"/>
                    </w:rPr>
                  </w:pPr>
                </w:p>
              </w:tc>
              <w:tc>
                <w:tcPr>
                  <w:tcW w:w="1466" w:type="dxa"/>
                  <w:vAlign w:val="center"/>
                </w:tcPr>
                <w:p w14:paraId="36F3D482">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417" w:type="dxa"/>
                  <w:vAlign w:val="center"/>
                </w:tcPr>
                <w:p w14:paraId="010695C9">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80</w:t>
                  </w:r>
                </w:p>
              </w:tc>
              <w:tc>
                <w:tcPr>
                  <w:tcW w:w="2060" w:type="dxa"/>
                  <w:vMerge w:val="continue"/>
                  <w:vAlign w:val="center"/>
                </w:tcPr>
                <w:p w14:paraId="404C4AFA">
                  <w:pPr>
                    <w:adjustRightInd w:val="0"/>
                    <w:snapToGrid w:val="0"/>
                    <w:spacing w:line="240" w:lineRule="auto"/>
                    <w:jc w:val="center"/>
                    <w:rPr>
                      <w:rFonts w:hint="default" w:ascii="Times New Roman" w:hAnsi="Times New Roman" w:eastAsia="宋体" w:cs="Times New Roman"/>
                      <w:sz w:val="21"/>
                      <w:szCs w:val="21"/>
                    </w:rPr>
                  </w:pPr>
                </w:p>
              </w:tc>
            </w:tr>
            <w:tr w14:paraId="33B09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58" w:type="dxa"/>
                  <w:vMerge w:val="continue"/>
                  <w:vAlign w:val="center"/>
                </w:tcPr>
                <w:p w14:paraId="7EC7FA00">
                  <w:pPr>
                    <w:adjustRightInd w:val="0"/>
                    <w:snapToGrid w:val="0"/>
                    <w:spacing w:line="240" w:lineRule="auto"/>
                    <w:jc w:val="center"/>
                    <w:rPr>
                      <w:rFonts w:hint="default" w:ascii="Times New Roman" w:hAnsi="Times New Roman" w:eastAsia="宋体" w:cs="Times New Roman"/>
                      <w:sz w:val="21"/>
                      <w:szCs w:val="21"/>
                    </w:rPr>
                  </w:pPr>
                </w:p>
              </w:tc>
              <w:tc>
                <w:tcPr>
                  <w:tcW w:w="2077" w:type="dxa"/>
                  <w:vMerge w:val="continue"/>
                  <w:vAlign w:val="center"/>
                </w:tcPr>
                <w:p w14:paraId="4B540D9B">
                  <w:pPr>
                    <w:adjustRightInd w:val="0"/>
                    <w:snapToGrid w:val="0"/>
                    <w:spacing w:line="240" w:lineRule="auto"/>
                    <w:jc w:val="center"/>
                    <w:rPr>
                      <w:rFonts w:hint="default" w:ascii="Times New Roman" w:hAnsi="Times New Roman" w:eastAsia="宋体" w:cs="Times New Roman"/>
                      <w:sz w:val="21"/>
                      <w:szCs w:val="21"/>
                    </w:rPr>
                  </w:pPr>
                </w:p>
              </w:tc>
              <w:tc>
                <w:tcPr>
                  <w:tcW w:w="1466" w:type="dxa"/>
                  <w:vAlign w:val="center"/>
                </w:tcPr>
                <w:p w14:paraId="7613A6C8">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1小时平均</w:t>
                  </w:r>
                </w:p>
              </w:tc>
              <w:tc>
                <w:tcPr>
                  <w:tcW w:w="1417" w:type="dxa"/>
                  <w:vAlign w:val="center"/>
                </w:tcPr>
                <w:p w14:paraId="05D0407E">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w:t>
                  </w:r>
                </w:p>
              </w:tc>
              <w:tc>
                <w:tcPr>
                  <w:tcW w:w="2060" w:type="dxa"/>
                  <w:vMerge w:val="continue"/>
                  <w:vAlign w:val="center"/>
                </w:tcPr>
                <w:p w14:paraId="56CAE203">
                  <w:pPr>
                    <w:adjustRightInd w:val="0"/>
                    <w:snapToGrid w:val="0"/>
                    <w:spacing w:line="240" w:lineRule="auto"/>
                    <w:jc w:val="center"/>
                    <w:rPr>
                      <w:rFonts w:hint="default" w:ascii="Times New Roman" w:hAnsi="Times New Roman" w:eastAsia="宋体" w:cs="Times New Roman"/>
                      <w:sz w:val="21"/>
                      <w:szCs w:val="21"/>
                    </w:rPr>
                  </w:pPr>
                </w:p>
              </w:tc>
            </w:tr>
            <w:tr w14:paraId="5FBE2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58" w:type="dxa"/>
                  <w:vMerge w:val="restart"/>
                  <w:vAlign w:val="center"/>
                </w:tcPr>
                <w:p w14:paraId="704CE71D">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2077" w:type="dxa"/>
                  <w:vMerge w:val="restart"/>
                  <w:vAlign w:val="center"/>
                </w:tcPr>
                <w:p w14:paraId="06A11EF0">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颗粒物（PM</w:t>
                  </w:r>
                  <w:r>
                    <w:rPr>
                      <w:rFonts w:hint="default" w:ascii="Times New Roman" w:hAnsi="Times New Roman" w:eastAsia="宋体" w:cs="Times New Roman"/>
                      <w:sz w:val="21"/>
                      <w:szCs w:val="21"/>
                      <w:vertAlign w:val="subscript"/>
                    </w:rPr>
                    <w:t>10</w:t>
                  </w:r>
                  <w:r>
                    <w:rPr>
                      <w:rFonts w:hint="default" w:ascii="Times New Roman" w:hAnsi="Times New Roman" w:eastAsia="宋体" w:cs="Times New Roman"/>
                      <w:sz w:val="21"/>
                      <w:szCs w:val="21"/>
                    </w:rPr>
                    <w:t>）</w:t>
                  </w:r>
                </w:p>
              </w:tc>
              <w:tc>
                <w:tcPr>
                  <w:tcW w:w="1466" w:type="dxa"/>
                  <w:vAlign w:val="center"/>
                </w:tcPr>
                <w:p w14:paraId="5293C78A">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1417" w:type="dxa"/>
                  <w:vAlign w:val="center"/>
                </w:tcPr>
                <w:p w14:paraId="21CEA5B2">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2060" w:type="dxa"/>
                  <w:vMerge w:val="continue"/>
                  <w:vAlign w:val="center"/>
                </w:tcPr>
                <w:p w14:paraId="2ABCAC03">
                  <w:pPr>
                    <w:adjustRightInd w:val="0"/>
                    <w:snapToGrid w:val="0"/>
                    <w:spacing w:line="240" w:lineRule="auto"/>
                    <w:jc w:val="center"/>
                    <w:rPr>
                      <w:rFonts w:hint="default" w:ascii="Times New Roman" w:hAnsi="Times New Roman" w:eastAsia="宋体" w:cs="Times New Roman"/>
                      <w:sz w:val="21"/>
                      <w:szCs w:val="21"/>
                    </w:rPr>
                  </w:pPr>
                </w:p>
              </w:tc>
            </w:tr>
            <w:tr w14:paraId="66F80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58" w:type="dxa"/>
                  <w:vMerge w:val="continue"/>
                  <w:vAlign w:val="center"/>
                </w:tcPr>
                <w:p w14:paraId="1E098690">
                  <w:pPr>
                    <w:adjustRightInd w:val="0"/>
                    <w:snapToGrid w:val="0"/>
                    <w:spacing w:line="240" w:lineRule="auto"/>
                    <w:jc w:val="center"/>
                    <w:rPr>
                      <w:rFonts w:hint="default" w:ascii="Times New Roman" w:hAnsi="Times New Roman" w:eastAsia="宋体" w:cs="Times New Roman"/>
                      <w:sz w:val="21"/>
                      <w:szCs w:val="21"/>
                    </w:rPr>
                  </w:pPr>
                </w:p>
              </w:tc>
              <w:tc>
                <w:tcPr>
                  <w:tcW w:w="2077" w:type="dxa"/>
                  <w:vMerge w:val="continue"/>
                  <w:vAlign w:val="center"/>
                </w:tcPr>
                <w:p w14:paraId="2D364C54">
                  <w:pPr>
                    <w:adjustRightInd w:val="0"/>
                    <w:snapToGrid w:val="0"/>
                    <w:spacing w:line="240" w:lineRule="auto"/>
                    <w:jc w:val="center"/>
                    <w:rPr>
                      <w:rFonts w:hint="default" w:ascii="Times New Roman" w:hAnsi="Times New Roman" w:eastAsia="宋体" w:cs="Times New Roman"/>
                      <w:sz w:val="21"/>
                      <w:szCs w:val="21"/>
                    </w:rPr>
                  </w:pPr>
                </w:p>
              </w:tc>
              <w:tc>
                <w:tcPr>
                  <w:tcW w:w="1466" w:type="dxa"/>
                  <w:vAlign w:val="center"/>
                </w:tcPr>
                <w:p w14:paraId="71D74A22">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417" w:type="dxa"/>
                  <w:vAlign w:val="center"/>
                </w:tcPr>
                <w:p w14:paraId="2B30F3B8">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150</w:t>
                  </w:r>
                </w:p>
              </w:tc>
              <w:tc>
                <w:tcPr>
                  <w:tcW w:w="2060" w:type="dxa"/>
                  <w:vMerge w:val="continue"/>
                  <w:vAlign w:val="center"/>
                </w:tcPr>
                <w:p w14:paraId="6F666826">
                  <w:pPr>
                    <w:adjustRightInd w:val="0"/>
                    <w:snapToGrid w:val="0"/>
                    <w:spacing w:line="240" w:lineRule="auto"/>
                    <w:jc w:val="center"/>
                    <w:rPr>
                      <w:rFonts w:hint="default" w:ascii="Times New Roman" w:hAnsi="Times New Roman" w:eastAsia="宋体" w:cs="Times New Roman"/>
                      <w:sz w:val="21"/>
                      <w:szCs w:val="21"/>
                    </w:rPr>
                  </w:pPr>
                </w:p>
              </w:tc>
            </w:tr>
            <w:tr w14:paraId="1E86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58" w:type="dxa"/>
                  <w:vMerge w:val="restart"/>
                  <w:vAlign w:val="center"/>
                </w:tcPr>
                <w:p w14:paraId="124CD47D">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2077" w:type="dxa"/>
                  <w:vMerge w:val="restart"/>
                  <w:vAlign w:val="center"/>
                </w:tcPr>
                <w:p w14:paraId="48B05A24">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颗粒物（PM</w:t>
                  </w:r>
                  <w:r>
                    <w:rPr>
                      <w:rFonts w:hint="default" w:ascii="Times New Roman" w:hAnsi="Times New Roman" w:eastAsia="宋体" w:cs="Times New Roman"/>
                      <w:sz w:val="21"/>
                      <w:szCs w:val="21"/>
                      <w:vertAlign w:val="subscript"/>
                    </w:rPr>
                    <w:t>2.5</w:t>
                  </w:r>
                  <w:r>
                    <w:rPr>
                      <w:rFonts w:hint="default" w:ascii="Times New Roman" w:hAnsi="Times New Roman" w:eastAsia="宋体" w:cs="Times New Roman"/>
                      <w:sz w:val="21"/>
                      <w:szCs w:val="21"/>
                    </w:rPr>
                    <w:t>）</w:t>
                  </w:r>
                </w:p>
              </w:tc>
              <w:tc>
                <w:tcPr>
                  <w:tcW w:w="1466" w:type="dxa"/>
                  <w:vAlign w:val="center"/>
                </w:tcPr>
                <w:p w14:paraId="09A6152B">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1417" w:type="dxa"/>
                  <w:vAlign w:val="center"/>
                </w:tcPr>
                <w:p w14:paraId="4233F906">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w:t>
                  </w:r>
                </w:p>
              </w:tc>
              <w:tc>
                <w:tcPr>
                  <w:tcW w:w="2060" w:type="dxa"/>
                  <w:vMerge w:val="continue"/>
                  <w:vAlign w:val="center"/>
                </w:tcPr>
                <w:p w14:paraId="44A5CB88">
                  <w:pPr>
                    <w:adjustRightInd w:val="0"/>
                    <w:snapToGrid w:val="0"/>
                    <w:spacing w:line="240" w:lineRule="auto"/>
                    <w:jc w:val="center"/>
                    <w:rPr>
                      <w:rFonts w:hint="default" w:ascii="Times New Roman" w:hAnsi="Times New Roman" w:eastAsia="宋体" w:cs="Times New Roman"/>
                      <w:sz w:val="21"/>
                      <w:szCs w:val="21"/>
                    </w:rPr>
                  </w:pPr>
                </w:p>
              </w:tc>
            </w:tr>
            <w:tr w14:paraId="4EEFB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58" w:type="dxa"/>
                  <w:vMerge w:val="continue"/>
                  <w:vAlign w:val="center"/>
                </w:tcPr>
                <w:p w14:paraId="2837C273">
                  <w:pPr>
                    <w:adjustRightInd w:val="0"/>
                    <w:snapToGrid w:val="0"/>
                    <w:spacing w:line="240" w:lineRule="auto"/>
                    <w:jc w:val="center"/>
                    <w:rPr>
                      <w:rFonts w:hint="default" w:ascii="Times New Roman" w:hAnsi="Times New Roman" w:eastAsia="宋体" w:cs="Times New Roman"/>
                      <w:sz w:val="21"/>
                      <w:szCs w:val="21"/>
                    </w:rPr>
                  </w:pPr>
                </w:p>
              </w:tc>
              <w:tc>
                <w:tcPr>
                  <w:tcW w:w="2077" w:type="dxa"/>
                  <w:vMerge w:val="continue"/>
                  <w:vAlign w:val="center"/>
                </w:tcPr>
                <w:p w14:paraId="63014618">
                  <w:pPr>
                    <w:adjustRightInd w:val="0"/>
                    <w:snapToGrid w:val="0"/>
                    <w:spacing w:line="240" w:lineRule="auto"/>
                    <w:jc w:val="center"/>
                    <w:rPr>
                      <w:rFonts w:hint="default" w:ascii="Times New Roman" w:hAnsi="Times New Roman" w:eastAsia="宋体" w:cs="Times New Roman"/>
                      <w:sz w:val="21"/>
                      <w:szCs w:val="21"/>
                    </w:rPr>
                  </w:pPr>
                </w:p>
              </w:tc>
              <w:tc>
                <w:tcPr>
                  <w:tcW w:w="1466" w:type="dxa"/>
                  <w:vAlign w:val="center"/>
                </w:tcPr>
                <w:p w14:paraId="25D6DFB6">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417" w:type="dxa"/>
                  <w:vAlign w:val="center"/>
                </w:tcPr>
                <w:p w14:paraId="1D6014C9">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75</w:t>
                  </w:r>
                </w:p>
              </w:tc>
              <w:tc>
                <w:tcPr>
                  <w:tcW w:w="2060" w:type="dxa"/>
                  <w:vMerge w:val="continue"/>
                  <w:vAlign w:val="center"/>
                </w:tcPr>
                <w:p w14:paraId="26B4655C">
                  <w:pPr>
                    <w:adjustRightInd w:val="0"/>
                    <w:snapToGrid w:val="0"/>
                    <w:spacing w:line="240" w:lineRule="auto"/>
                    <w:jc w:val="center"/>
                    <w:rPr>
                      <w:rFonts w:hint="default" w:ascii="Times New Roman" w:hAnsi="Times New Roman" w:eastAsia="宋体" w:cs="Times New Roman"/>
                      <w:sz w:val="21"/>
                      <w:szCs w:val="21"/>
                    </w:rPr>
                  </w:pPr>
                </w:p>
              </w:tc>
            </w:tr>
            <w:tr w14:paraId="465C7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58" w:type="dxa"/>
                  <w:vMerge w:val="restart"/>
                  <w:vAlign w:val="center"/>
                </w:tcPr>
                <w:p w14:paraId="7D05CDEB">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2077" w:type="dxa"/>
                  <w:vMerge w:val="restart"/>
                  <w:vAlign w:val="center"/>
                </w:tcPr>
                <w:p w14:paraId="70767DB4">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总悬浮颗粒物（TSP）</w:t>
                  </w:r>
                </w:p>
              </w:tc>
              <w:tc>
                <w:tcPr>
                  <w:tcW w:w="1466" w:type="dxa"/>
                  <w:vAlign w:val="center"/>
                </w:tcPr>
                <w:p w14:paraId="7F36C7D5">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w:t>
                  </w:r>
                </w:p>
              </w:tc>
              <w:tc>
                <w:tcPr>
                  <w:tcW w:w="1417" w:type="dxa"/>
                  <w:vAlign w:val="center"/>
                </w:tcPr>
                <w:p w14:paraId="0D552744">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w:t>
                  </w:r>
                </w:p>
              </w:tc>
              <w:tc>
                <w:tcPr>
                  <w:tcW w:w="2060" w:type="dxa"/>
                  <w:vMerge w:val="continue"/>
                  <w:vAlign w:val="center"/>
                </w:tcPr>
                <w:p w14:paraId="0393CB38">
                  <w:pPr>
                    <w:adjustRightInd w:val="0"/>
                    <w:snapToGrid w:val="0"/>
                    <w:spacing w:line="240" w:lineRule="auto"/>
                    <w:jc w:val="center"/>
                    <w:rPr>
                      <w:rFonts w:hint="default" w:ascii="Times New Roman" w:hAnsi="Times New Roman" w:eastAsia="宋体" w:cs="Times New Roman"/>
                      <w:sz w:val="21"/>
                      <w:szCs w:val="21"/>
                    </w:rPr>
                  </w:pPr>
                </w:p>
              </w:tc>
            </w:tr>
            <w:tr w14:paraId="4AFE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58" w:type="dxa"/>
                  <w:vMerge w:val="continue"/>
                  <w:vAlign w:val="center"/>
                </w:tcPr>
                <w:p w14:paraId="79B0909C">
                  <w:pPr>
                    <w:adjustRightInd w:val="0"/>
                    <w:snapToGrid w:val="0"/>
                    <w:spacing w:line="240" w:lineRule="auto"/>
                    <w:jc w:val="center"/>
                    <w:rPr>
                      <w:rFonts w:hint="default" w:ascii="Times New Roman" w:hAnsi="Times New Roman" w:eastAsia="宋体" w:cs="Times New Roman"/>
                      <w:sz w:val="21"/>
                      <w:szCs w:val="21"/>
                    </w:rPr>
                  </w:pPr>
                </w:p>
              </w:tc>
              <w:tc>
                <w:tcPr>
                  <w:tcW w:w="2077" w:type="dxa"/>
                  <w:vMerge w:val="continue"/>
                  <w:vAlign w:val="center"/>
                </w:tcPr>
                <w:p w14:paraId="14D49924">
                  <w:pPr>
                    <w:adjustRightInd w:val="0"/>
                    <w:snapToGrid w:val="0"/>
                    <w:spacing w:line="240" w:lineRule="auto"/>
                    <w:jc w:val="center"/>
                    <w:rPr>
                      <w:rFonts w:hint="default" w:ascii="Times New Roman" w:hAnsi="Times New Roman" w:eastAsia="宋体" w:cs="Times New Roman"/>
                      <w:sz w:val="21"/>
                      <w:szCs w:val="21"/>
                    </w:rPr>
                  </w:pPr>
                </w:p>
              </w:tc>
              <w:tc>
                <w:tcPr>
                  <w:tcW w:w="1466" w:type="dxa"/>
                  <w:vAlign w:val="center"/>
                </w:tcPr>
                <w:p w14:paraId="623E50C5">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417" w:type="dxa"/>
                  <w:vAlign w:val="center"/>
                </w:tcPr>
                <w:p w14:paraId="471B211E">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w:t>
                  </w:r>
                </w:p>
              </w:tc>
              <w:tc>
                <w:tcPr>
                  <w:tcW w:w="2060" w:type="dxa"/>
                  <w:vMerge w:val="continue"/>
                  <w:vAlign w:val="center"/>
                </w:tcPr>
                <w:p w14:paraId="5ACF5AEE">
                  <w:pPr>
                    <w:adjustRightInd w:val="0"/>
                    <w:snapToGrid w:val="0"/>
                    <w:spacing w:line="240" w:lineRule="auto"/>
                    <w:jc w:val="center"/>
                    <w:rPr>
                      <w:rFonts w:hint="default" w:ascii="Times New Roman" w:hAnsi="Times New Roman" w:eastAsia="宋体" w:cs="Times New Roman"/>
                      <w:sz w:val="21"/>
                      <w:szCs w:val="21"/>
                    </w:rPr>
                  </w:pPr>
                </w:p>
              </w:tc>
            </w:tr>
            <w:tr w14:paraId="5F63D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58" w:type="dxa"/>
                  <w:vMerge w:val="restart"/>
                  <w:vAlign w:val="center"/>
                </w:tcPr>
                <w:p w14:paraId="64A42EE8">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2077" w:type="dxa"/>
                  <w:vMerge w:val="restart"/>
                  <w:vAlign w:val="center"/>
                </w:tcPr>
                <w:p w14:paraId="5D00827A">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一氧化碳（CO）</w:t>
                  </w:r>
                </w:p>
              </w:tc>
              <w:tc>
                <w:tcPr>
                  <w:tcW w:w="1466" w:type="dxa"/>
                  <w:vAlign w:val="center"/>
                </w:tcPr>
                <w:p w14:paraId="4FA4165F">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24小时平均</w:t>
                  </w:r>
                </w:p>
              </w:tc>
              <w:tc>
                <w:tcPr>
                  <w:tcW w:w="1417" w:type="dxa"/>
                  <w:vAlign w:val="center"/>
                </w:tcPr>
                <w:p w14:paraId="0257F66C">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2060" w:type="dxa"/>
                  <w:vMerge w:val="restart"/>
                  <w:vAlign w:val="center"/>
                </w:tcPr>
                <w:p w14:paraId="10E1AD35">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r>
            <w:tr w14:paraId="74C17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58" w:type="dxa"/>
                  <w:vMerge w:val="continue"/>
                  <w:vAlign w:val="center"/>
                </w:tcPr>
                <w:p w14:paraId="0F3302DF">
                  <w:pPr>
                    <w:adjustRightInd w:val="0"/>
                    <w:snapToGrid w:val="0"/>
                    <w:spacing w:line="240" w:lineRule="auto"/>
                    <w:jc w:val="center"/>
                    <w:rPr>
                      <w:rFonts w:hint="default" w:ascii="Times New Roman" w:hAnsi="Times New Roman" w:eastAsia="宋体" w:cs="Times New Roman"/>
                      <w:sz w:val="21"/>
                      <w:szCs w:val="21"/>
                    </w:rPr>
                  </w:pPr>
                </w:p>
              </w:tc>
              <w:tc>
                <w:tcPr>
                  <w:tcW w:w="2077" w:type="dxa"/>
                  <w:vMerge w:val="continue"/>
                  <w:vAlign w:val="center"/>
                </w:tcPr>
                <w:p w14:paraId="7076C6E2">
                  <w:pPr>
                    <w:adjustRightInd w:val="0"/>
                    <w:snapToGrid w:val="0"/>
                    <w:spacing w:line="240" w:lineRule="auto"/>
                    <w:jc w:val="center"/>
                    <w:rPr>
                      <w:rFonts w:hint="default" w:ascii="Times New Roman" w:hAnsi="Times New Roman" w:eastAsia="宋体" w:cs="Times New Roman"/>
                      <w:sz w:val="21"/>
                      <w:szCs w:val="21"/>
                    </w:rPr>
                  </w:pPr>
                </w:p>
              </w:tc>
              <w:tc>
                <w:tcPr>
                  <w:tcW w:w="1466" w:type="dxa"/>
                  <w:vAlign w:val="center"/>
                </w:tcPr>
                <w:p w14:paraId="34001F97">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1小时平均</w:t>
                  </w:r>
                </w:p>
              </w:tc>
              <w:tc>
                <w:tcPr>
                  <w:tcW w:w="1417" w:type="dxa"/>
                  <w:vAlign w:val="center"/>
                </w:tcPr>
                <w:p w14:paraId="0181E1B6">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2060" w:type="dxa"/>
                  <w:vMerge w:val="continue"/>
                  <w:vAlign w:val="center"/>
                </w:tcPr>
                <w:p w14:paraId="59315087">
                  <w:pPr>
                    <w:adjustRightInd w:val="0"/>
                    <w:snapToGrid w:val="0"/>
                    <w:spacing w:line="240" w:lineRule="auto"/>
                    <w:jc w:val="center"/>
                    <w:rPr>
                      <w:rFonts w:hint="default" w:ascii="Times New Roman" w:hAnsi="Times New Roman" w:eastAsia="宋体" w:cs="Times New Roman"/>
                      <w:sz w:val="21"/>
                      <w:szCs w:val="21"/>
                    </w:rPr>
                  </w:pPr>
                </w:p>
              </w:tc>
            </w:tr>
          </w:tbl>
          <w:p w14:paraId="1D79890D">
            <w:pPr>
              <w:numPr>
                <w:ilvl w:val="0"/>
                <w:numId w:val="22"/>
              </w:numPr>
              <w:bidi w:val="0"/>
              <w:ind w:left="0" w:leftChars="0" w:firstLine="0" w:firstLineChars="0"/>
              <w:rPr>
                <w:rFonts w:hint="eastAsia"/>
                <w:b/>
                <w:bCs/>
                <w:sz w:val="24"/>
                <w:szCs w:val="24"/>
                <w:lang w:val="en-US" w:eastAsia="zh-CN"/>
              </w:rPr>
            </w:pPr>
            <w:r>
              <w:rPr>
                <w:rFonts w:hint="eastAsia"/>
                <w:b/>
                <w:bCs/>
                <w:sz w:val="24"/>
                <w:szCs w:val="24"/>
                <w:lang w:val="en-US" w:eastAsia="zh-CN"/>
              </w:rPr>
              <w:t>水环境质量标准</w:t>
            </w:r>
          </w:p>
          <w:p w14:paraId="04AC47C8">
            <w:pPr>
              <w:numPr>
                <w:ilvl w:val="0"/>
                <w:numId w:val="0"/>
              </w:numPr>
              <w:bidi w:val="0"/>
              <w:ind w:leftChars="0"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color w:val="auto"/>
                <w:sz w:val="24"/>
                <w:highlight w:val="none"/>
                <w:lang w:val="en-US" w:eastAsia="zh-CN"/>
              </w:rPr>
              <w:t>项目所在区域地表水体为芒市大河，属于伊洛瓦底江水系。</w:t>
            </w:r>
            <w:r>
              <w:rPr>
                <w:rFonts w:hint="default" w:ascii="Times New Roman" w:hAnsi="Times New Roman" w:cs="Times New Roman"/>
                <w:sz w:val="24"/>
                <w:szCs w:val="24"/>
              </w:rPr>
              <w:t>根据</w:t>
            </w:r>
            <w:r>
              <w:rPr>
                <w:rFonts w:hint="default" w:ascii="Times New Roman" w:hAnsi="Times New Roman" w:cs="Times New Roman"/>
                <w:sz w:val="24"/>
              </w:rPr>
              <w:t>《云南省地表水环境功能区划（2010~2020）》，</w:t>
            </w:r>
            <w:r>
              <w:rPr>
                <w:rFonts w:hint="default" w:ascii="Times New Roman" w:hAnsi="Times New Roman" w:cs="Times New Roman"/>
                <w:sz w:val="24"/>
                <w:szCs w:val="24"/>
              </w:rPr>
              <w:t>属“木康断面～入瑞丽江口</w:t>
            </w:r>
            <w:r>
              <w:rPr>
                <w:rFonts w:hint="default" w:ascii="Times New Roman" w:hAnsi="Times New Roman" w:cs="Times New Roman"/>
                <w:kern w:val="0"/>
                <w:sz w:val="24"/>
              </w:rPr>
              <w:t>”河段，水环境功能为农业用水、工业用水，为Ⅲ类水质，</w:t>
            </w:r>
            <w:r>
              <w:rPr>
                <w:rFonts w:hint="default" w:ascii="Times New Roman" w:hAnsi="Times New Roman" w:cs="Times New Roman"/>
                <w:sz w:val="24"/>
                <w:szCs w:val="24"/>
              </w:rPr>
              <w:t>执行《地表水环境质量标准》（GB3838-2002）Ⅲ类水体标准</w:t>
            </w:r>
            <w:r>
              <w:rPr>
                <w:rFonts w:hint="default" w:ascii="Times New Roman" w:hAnsi="Times New Roman" w:cs="Times New Roman"/>
                <w:sz w:val="24"/>
                <w:szCs w:val="24"/>
                <w:lang w:eastAsia="zh-CN"/>
              </w:rPr>
              <w:t>。</w:t>
            </w:r>
            <w:r>
              <w:rPr>
                <w:rFonts w:hint="eastAsia" w:ascii="Times New Roman" w:hAnsi="Times New Roman" w:cs="Times New Roman"/>
                <w:sz w:val="24"/>
                <w:szCs w:val="24"/>
                <w:lang w:eastAsia="zh-CN"/>
              </w:rPr>
              <w:t>标准值见</w:t>
            </w:r>
            <w:r>
              <w:rPr>
                <w:rFonts w:hint="eastAsia" w:ascii="Times New Roman" w:hAnsi="Times New Roman" w:cs="Times New Roman"/>
                <w:sz w:val="24"/>
                <w:szCs w:val="24"/>
                <w:lang w:val="en-US" w:eastAsia="zh-CN"/>
              </w:rPr>
              <w:t>4-2。</w:t>
            </w:r>
          </w:p>
          <w:p w14:paraId="16BEC348">
            <w:pPr>
              <w:spacing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 xml:space="preserve">表4-2 </w:t>
            </w:r>
            <w:r>
              <w:rPr>
                <w:rFonts w:hint="default" w:ascii="Times New Roman" w:hAnsi="Times New Roman" w:eastAsia="宋体" w:cs="Times New Roman"/>
                <w:b/>
                <w:bCs/>
                <w:sz w:val="24"/>
                <w:szCs w:val="24"/>
              </w:rPr>
              <w:t>地表水环境质量标准  单位：mg/L</w:t>
            </w:r>
          </w:p>
          <w:tbl>
            <w:tblPr>
              <w:tblStyle w:val="9"/>
              <w:tblW w:w="7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2106"/>
              <w:gridCol w:w="1740"/>
              <w:gridCol w:w="2999"/>
            </w:tblGrid>
            <w:tr w14:paraId="5BD25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tblHeader/>
                <w:jc w:val="center"/>
              </w:trPr>
              <w:tc>
                <w:tcPr>
                  <w:tcW w:w="1053" w:type="dxa"/>
                  <w:vAlign w:val="center"/>
                </w:tcPr>
                <w:p w14:paraId="014BEE30">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2106" w:type="dxa"/>
                  <w:vAlign w:val="center"/>
                </w:tcPr>
                <w:p w14:paraId="0B74FAC7">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参数</w:t>
                  </w:r>
                </w:p>
              </w:tc>
              <w:tc>
                <w:tcPr>
                  <w:tcW w:w="1740" w:type="dxa"/>
                  <w:vAlign w:val="center"/>
                </w:tcPr>
                <w:p w14:paraId="1EAC18E9">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kern w:val="0"/>
                      <w:sz w:val="21"/>
                      <w:szCs w:val="21"/>
                    </w:rPr>
                    <w:t>Ⅲ</w:t>
                  </w:r>
                  <w:r>
                    <w:rPr>
                      <w:rFonts w:hint="default" w:ascii="Times New Roman" w:hAnsi="Times New Roman" w:eastAsia="宋体" w:cs="Times New Roman"/>
                      <w:sz w:val="21"/>
                      <w:szCs w:val="21"/>
                    </w:rPr>
                    <w:t>类标准值</w:t>
                  </w:r>
                </w:p>
              </w:tc>
              <w:tc>
                <w:tcPr>
                  <w:tcW w:w="2999" w:type="dxa"/>
                  <w:vAlign w:val="center"/>
                </w:tcPr>
                <w:p w14:paraId="07AD8112">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标准来源</w:t>
                  </w:r>
                </w:p>
              </w:tc>
            </w:tr>
            <w:tr w14:paraId="069DB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jc w:val="center"/>
              </w:trPr>
              <w:tc>
                <w:tcPr>
                  <w:tcW w:w="1053" w:type="dxa"/>
                  <w:vAlign w:val="center"/>
                </w:tcPr>
                <w:p w14:paraId="29529700">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2106" w:type="dxa"/>
                  <w:vAlign w:val="center"/>
                </w:tcPr>
                <w:p w14:paraId="65F7496B">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w:t>
                  </w:r>
                </w:p>
              </w:tc>
              <w:tc>
                <w:tcPr>
                  <w:tcW w:w="1740" w:type="dxa"/>
                  <w:vAlign w:val="center"/>
                </w:tcPr>
                <w:p w14:paraId="47629C89">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w:t>
                  </w:r>
                </w:p>
              </w:tc>
              <w:tc>
                <w:tcPr>
                  <w:tcW w:w="2999" w:type="dxa"/>
                  <w:vMerge w:val="restart"/>
                  <w:vAlign w:val="center"/>
                </w:tcPr>
                <w:p w14:paraId="059C8FCA">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《地表水环境质量标准》（GB3838-2002）</w:t>
                  </w:r>
                  <w:r>
                    <w:rPr>
                      <w:rFonts w:hint="default" w:ascii="Times New Roman" w:hAnsi="Times New Roman" w:eastAsia="宋体" w:cs="Times New Roman"/>
                      <w:kern w:val="0"/>
                      <w:sz w:val="21"/>
                      <w:szCs w:val="21"/>
                    </w:rPr>
                    <w:t>Ⅲ</w:t>
                  </w:r>
                  <w:r>
                    <w:rPr>
                      <w:rFonts w:hint="default" w:ascii="Times New Roman" w:hAnsi="Times New Roman" w:eastAsia="宋体" w:cs="Times New Roman"/>
                      <w:sz w:val="21"/>
                      <w:szCs w:val="21"/>
                    </w:rPr>
                    <w:t>类水质标准</w:t>
                  </w:r>
                </w:p>
              </w:tc>
            </w:tr>
            <w:tr w14:paraId="4109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jc w:val="center"/>
              </w:trPr>
              <w:tc>
                <w:tcPr>
                  <w:tcW w:w="1053" w:type="dxa"/>
                  <w:vAlign w:val="center"/>
                </w:tcPr>
                <w:p w14:paraId="051DB7E4">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2106" w:type="dxa"/>
                  <w:vAlign w:val="center"/>
                </w:tcPr>
                <w:p w14:paraId="2776B352">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DO</w:t>
                  </w:r>
                </w:p>
              </w:tc>
              <w:tc>
                <w:tcPr>
                  <w:tcW w:w="1740" w:type="dxa"/>
                  <w:vAlign w:val="center"/>
                </w:tcPr>
                <w:p w14:paraId="1D1D3EAF">
                  <w:pPr>
                    <w:adjustRightInd w:val="0"/>
                    <w:snapToGrid w:val="0"/>
                    <w:spacing w:line="240" w:lineRule="auto"/>
                    <w:jc w:val="center"/>
                    <w:rPr>
                      <w:rFonts w:hint="default" w:ascii="Times New Roman" w:hAnsi="Times New Roman" w:eastAsia="宋体" w:cs="Times New Roman"/>
                      <w:sz w:val="21"/>
                      <w:szCs w:val="21"/>
                      <w:lang w:val="en-GB"/>
                    </w:rPr>
                  </w:pPr>
                  <w:r>
                    <w:rPr>
                      <w:rFonts w:hint="eastAsia" w:ascii="Times New Roman" w:hAnsi="Times New Roman" w:cs="Times New Roman"/>
                      <w:sz w:val="21"/>
                      <w:szCs w:val="21"/>
                      <w:lang w:eastAsia="zh-CN"/>
                    </w:rPr>
                    <w:t>≤</w:t>
                  </w:r>
                  <w:r>
                    <w:rPr>
                      <w:rFonts w:hint="default" w:ascii="Times New Roman" w:hAnsi="Times New Roman" w:eastAsia="宋体" w:cs="Times New Roman"/>
                      <w:sz w:val="21"/>
                      <w:szCs w:val="21"/>
                    </w:rPr>
                    <w:t>5</w:t>
                  </w:r>
                </w:p>
              </w:tc>
              <w:tc>
                <w:tcPr>
                  <w:tcW w:w="2999" w:type="dxa"/>
                  <w:vMerge w:val="continue"/>
                  <w:vAlign w:val="center"/>
                </w:tcPr>
                <w:p w14:paraId="3F088DB2">
                  <w:pPr>
                    <w:adjustRightInd w:val="0"/>
                    <w:snapToGrid w:val="0"/>
                    <w:spacing w:line="240" w:lineRule="auto"/>
                    <w:jc w:val="center"/>
                    <w:rPr>
                      <w:rFonts w:hint="default" w:ascii="Times New Roman" w:hAnsi="Times New Roman" w:eastAsia="宋体" w:cs="Times New Roman"/>
                      <w:sz w:val="21"/>
                      <w:szCs w:val="21"/>
                    </w:rPr>
                  </w:pPr>
                </w:p>
              </w:tc>
            </w:tr>
            <w:tr w14:paraId="50D39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jc w:val="center"/>
              </w:trPr>
              <w:tc>
                <w:tcPr>
                  <w:tcW w:w="1053" w:type="dxa"/>
                  <w:vAlign w:val="center"/>
                </w:tcPr>
                <w:p w14:paraId="075DAF50">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2106" w:type="dxa"/>
                  <w:vAlign w:val="center"/>
                </w:tcPr>
                <w:p w14:paraId="7ACFB5E7">
                  <w:pPr>
                    <w:adjustRightInd w:val="0"/>
                    <w:snapToGrid w:val="0"/>
                    <w:spacing w:line="240" w:lineRule="auto"/>
                    <w:jc w:val="center"/>
                    <w:rPr>
                      <w:rFonts w:hint="default" w:ascii="Times New Roman" w:hAnsi="Times New Roman" w:eastAsia="宋体" w:cs="Times New Roman"/>
                      <w:sz w:val="21"/>
                      <w:szCs w:val="21"/>
                      <w:vertAlign w:val="subscript"/>
                    </w:rPr>
                  </w:pPr>
                  <w:r>
                    <w:rPr>
                      <w:rFonts w:hint="default" w:ascii="Times New Roman" w:hAnsi="Times New Roman" w:eastAsia="宋体" w:cs="Times New Roman"/>
                      <w:sz w:val="21"/>
                      <w:szCs w:val="21"/>
                    </w:rPr>
                    <w:t>COD</w:t>
                  </w:r>
                </w:p>
              </w:tc>
              <w:tc>
                <w:tcPr>
                  <w:tcW w:w="1740" w:type="dxa"/>
                  <w:vAlign w:val="center"/>
                </w:tcPr>
                <w:p w14:paraId="5051B7CB">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GB"/>
                    </w:rPr>
                    <w:t>≤20</w:t>
                  </w:r>
                </w:p>
              </w:tc>
              <w:tc>
                <w:tcPr>
                  <w:tcW w:w="2999" w:type="dxa"/>
                  <w:vMerge w:val="continue"/>
                  <w:vAlign w:val="center"/>
                </w:tcPr>
                <w:p w14:paraId="781467E7">
                  <w:pPr>
                    <w:adjustRightInd w:val="0"/>
                    <w:snapToGrid w:val="0"/>
                    <w:spacing w:line="240" w:lineRule="auto"/>
                    <w:jc w:val="center"/>
                    <w:rPr>
                      <w:rFonts w:hint="default" w:ascii="Times New Roman" w:hAnsi="Times New Roman" w:eastAsia="宋体" w:cs="Times New Roman"/>
                      <w:sz w:val="21"/>
                      <w:szCs w:val="21"/>
                    </w:rPr>
                  </w:pPr>
                </w:p>
              </w:tc>
            </w:tr>
            <w:tr w14:paraId="29807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jc w:val="center"/>
              </w:trPr>
              <w:tc>
                <w:tcPr>
                  <w:tcW w:w="1053" w:type="dxa"/>
                  <w:vAlign w:val="center"/>
                </w:tcPr>
                <w:p w14:paraId="77B69D09">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2106" w:type="dxa"/>
                  <w:vAlign w:val="center"/>
                </w:tcPr>
                <w:p w14:paraId="7ECB2088">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p>
              </w:tc>
              <w:tc>
                <w:tcPr>
                  <w:tcW w:w="1740" w:type="dxa"/>
                  <w:vAlign w:val="center"/>
                </w:tcPr>
                <w:p w14:paraId="16A3ADFA">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GB"/>
                    </w:rPr>
                    <w:t>≤</w:t>
                  </w:r>
                  <w:r>
                    <w:rPr>
                      <w:rFonts w:hint="default" w:ascii="Times New Roman" w:hAnsi="Times New Roman" w:eastAsia="宋体" w:cs="Times New Roman"/>
                      <w:sz w:val="21"/>
                      <w:szCs w:val="21"/>
                    </w:rPr>
                    <w:t>4</w:t>
                  </w:r>
                </w:p>
              </w:tc>
              <w:tc>
                <w:tcPr>
                  <w:tcW w:w="2999" w:type="dxa"/>
                  <w:vMerge w:val="continue"/>
                  <w:vAlign w:val="center"/>
                </w:tcPr>
                <w:p w14:paraId="625E52A2">
                  <w:pPr>
                    <w:adjustRightInd w:val="0"/>
                    <w:snapToGrid w:val="0"/>
                    <w:spacing w:line="240" w:lineRule="auto"/>
                    <w:jc w:val="center"/>
                    <w:rPr>
                      <w:rFonts w:hint="default" w:ascii="Times New Roman" w:hAnsi="Times New Roman" w:eastAsia="宋体" w:cs="Times New Roman"/>
                      <w:sz w:val="21"/>
                      <w:szCs w:val="21"/>
                    </w:rPr>
                  </w:pPr>
                </w:p>
              </w:tc>
            </w:tr>
            <w:tr w14:paraId="3D4A5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jc w:val="center"/>
              </w:trPr>
              <w:tc>
                <w:tcPr>
                  <w:tcW w:w="1053" w:type="dxa"/>
                  <w:vAlign w:val="center"/>
                </w:tcPr>
                <w:p w14:paraId="431BEE3D">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2106" w:type="dxa"/>
                  <w:vAlign w:val="center"/>
                </w:tcPr>
                <w:p w14:paraId="478D01C3">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总磷</w:t>
                  </w:r>
                </w:p>
              </w:tc>
              <w:tc>
                <w:tcPr>
                  <w:tcW w:w="1740" w:type="dxa"/>
                  <w:vAlign w:val="center"/>
                </w:tcPr>
                <w:p w14:paraId="635DFD5A">
                  <w:pPr>
                    <w:adjustRightInd w:val="0"/>
                    <w:snapToGrid w:val="0"/>
                    <w:spacing w:line="240" w:lineRule="auto"/>
                    <w:jc w:val="center"/>
                    <w:rPr>
                      <w:rFonts w:hint="default" w:ascii="Times New Roman" w:hAnsi="Times New Roman" w:eastAsia="宋体" w:cs="Times New Roman"/>
                      <w:sz w:val="21"/>
                      <w:szCs w:val="21"/>
                      <w:lang w:val="en-GB"/>
                    </w:rPr>
                  </w:pPr>
                  <w:r>
                    <w:rPr>
                      <w:rFonts w:hint="default" w:ascii="Times New Roman" w:hAnsi="Times New Roman" w:eastAsia="宋体" w:cs="Times New Roman"/>
                      <w:sz w:val="21"/>
                      <w:szCs w:val="21"/>
                      <w:lang w:val="en-GB"/>
                    </w:rPr>
                    <w:t>≤</w:t>
                  </w:r>
                  <w:r>
                    <w:rPr>
                      <w:rFonts w:hint="default" w:ascii="Times New Roman" w:hAnsi="Times New Roman" w:eastAsia="宋体" w:cs="Times New Roman"/>
                      <w:sz w:val="21"/>
                      <w:szCs w:val="21"/>
                    </w:rPr>
                    <w:t>0.2（湖、库0.05）</w:t>
                  </w:r>
                </w:p>
              </w:tc>
              <w:tc>
                <w:tcPr>
                  <w:tcW w:w="2999" w:type="dxa"/>
                  <w:vMerge w:val="continue"/>
                  <w:vAlign w:val="center"/>
                </w:tcPr>
                <w:p w14:paraId="08E8C66B">
                  <w:pPr>
                    <w:adjustRightInd w:val="0"/>
                    <w:snapToGrid w:val="0"/>
                    <w:spacing w:line="240" w:lineRule="auto"/>
                    <w:jc w:val="center"/>
                    <w:rPr>
                      <w:rFonts w:hint="default" w:ascii="Times New Roman" w:hAnsi="Times New Roman" w:eastAsia="宋体" w:cs="Times New Roman"/>
                      <w:sz w:val="21"/>
                      <w:szCs w:val="21"/>
                    </w:rPr>
                  </w:pPr>
                </w:p>
              </w:tc>
            </w:tr>
            <w:tr w14:paraId="6A18E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jc w:val="center"/>
              </w:trPr>
              <w:tc>
                <w:tcPr>
                  <w:tcW w:w="1053" w:type="dxa"/>
                  <w:vAlign w:val="center"/>
                </w:tcPr>
                <w:p w14:paraId="2D734861">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2106" w:type="dxa"/>
                  <w:vAlign w:val="center"/>
                </w:tcPr>
                <w:p w14:paraId="3B925D38">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w:t>
                  </w:r>
                </w:p>
              </w:tc>
              <w:tc>
                <w:tcPr>
                  <w:tcW w:w="1740" w:type="dxa"/>
                  <w:vAlign w:val="center"/>
                </w:tcPr>
                <w:p w14:paraId="36B4AE52">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2999" w:type="dxa"/>
                  <w:vMerge w:val="continue"/>
                  <w:vAlign w:val="center"/>
                </w:tcPr>
                <w:p w14:paraId="6CF67187">
                  <w:pPr>
                    <w:adjustRightInd w:val="0"/>
                    <w:snapToGrid w:val="0"/>
                    <w:spacing w:line="240" w:lineRule="auto"/>
                    <w:jc w:val="center"/>
                    <w:rPr>
                      <w:rFonts w:hint="default" w:ascii="Times New Roman" w:hAnsi="Times New Roman" w:eastAsia="宋体" w:cs="Times New Roman"/>
                      <w:sz w:val="21"/>
                      <w:szCs w:val="21"/>
                    </w:rPr>
                  </w:pPr>
                </w:p>
              </w:tc>
            </w:tr>
            <w:tr w14:paraId="06430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jc w:val="center"/>
              </w:trPr>
              <w:tc>
                <w:tcPr>
                  <w:tcW w:w="1053" w:type="dxa"/>
                  <w:vAlign w:val="center"/>
                </w:tcPr>
                <w:p w14:paraId="308763ED">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2106" w:type="dxa"/>
                  <w:vAlign w:val="center"/>
                </w:tcPr>
                <w:p w14:paraId="7C2D8A77">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总氮</w:t>
                  </w:r>
                </w:p>
              </w:tc>
              <w:tc>
                <w:tcPr>
                  <w:tcW w:w="1740" w:type="dxa"/>
                  <w:vAlign w:val="center"/>
                </w:tcPr>
                <w:p w14:paraId="48B5839A">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2999" w:type="dxa"/>
                  <w:vMerge w:val="continue"/>
                  <w:vAlign w:val="center"/>
                </w:tcPr>
                <w:p w14:paraId="05B3A8CF">
                  <w:pPr>
                    <w:adjustRightInd w:val="0"/>
                    <w:snapToGrid w:val="0"/>
                    <w:spacing w:line="240" w:lineRule="auto"/>
                    <w:jc w:val="center"/>
                    <w:rPr>
                      <w:rFonts w:hint="default" w:ascii="Times New Roman" w:hAnsi="Times New Roman" w:eastAsia="宋体" w:cs="Times New Roman"/>
                      <w:sz w:val="21"/>
                      <w:szCs w:val="21"/>
                    </w:rPr>
                  </w:pPr>
                </w:p>
              </w:tc>
            </w:tr>
            <w:tr w14:paraId="5E2F3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6" w:hRule="atLeast"/>
                <w:jc w:val="center"/>
              </w:trPr>
              <w:tc>
                <w:tcPr>
                  <w:tcW w:w="1053" w:type="dxa"/>
                  <w:vAlign w:val="center"/>
                </w:tcPr>
                <w:p w14:paraId="005570C3">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2106" w:type="dxa"/>
                  <w:vAlign w:val="center"/>
                </w:tcPr>
                <w:p w14:paraId="43D6A2B4">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石油类</w:t>
                  </w:r>
                </w:p>
              </w:tc>
              <w:tc>
                <w:tcPr>
                  <w:tcW w:w="1740" w:type="dxa"/>
                  <w:vAlign w:val="center"/>
                </w:tcPr>
                <w:p w14:paraId="44047DA2">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c>
                <w:tcPr>
                  <w:tcW w:w="2999" w:type="dxa"/>
                  <w:vMerge w:val="continue"/>
                  <w:vAlign w:val="center"/>
                </w:tcPr>
                <w:p w14:paraId="79F8B35E">
                  <w:pPr>
                    <w:adjustRightInd w:val="0"/>
                    <w:snapToGrid w:val="0"/>
                    <w:spacing w:line="240" w:lineRule="auto"/>
                    <w:jc w:val="center"/>
                    <w:rPr>
                      <w:rFonts w:hint="default" w:ascii="Times New Roman" w:hAnsi="Times New Roman" w:eastAsia="宋体" w:cs="Times New Roman"/>
                      <w:sz w:val="21"/>
                      <w:szCs w:val="21"/>
                    </w:rPr>
                  </w:pPr>
                </w:p>
              </w:tc>
            </w:tr>
            <w:tr w14:paraId="70DF5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5" w:hRule="atLeast"/>
                <w:jc w:val="center"/>
              </w:trPr>
              <w:tc>
                <w:tcPr>
                  <w:tcW w:w="1053" w:type="dxa"/>
                  <w:vAlign w:val="center"/>
                </w:tcPr>
                <w:p w14:paraId="5B1C112C">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2106" w:type="dxa"/>
                  <w:vAlign w:val="center"/>
                </w:tcPr>
                <w:p w14:paraId="209436B1">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粪大肠菌群</w:t>
                  </w:r>
                </w:p>
              </w:tc>
              <w:tc>
                <w:tcPr>
                  <w:tcW w:w="1740" w:type="dxa"/>
                  <w:vAlign w:val="center"/>
                </w:tcPr>
                <w:p w14:paraId="7BF6F3C2">
                  <w:pPr>
                    <w:adjustRightInd w:val="0"/>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≤10000</w:t>
                  </w:r>
                </w:p>
              </w:tc>
              <w:tc>
                <w:tcPr>
                  <w:tcW w:w="2999" w:type="dxa"/>
                  <w:vMerge w:val="continue"/>
                  <w:vAlign w:val="center"/>
                </w:tcPr>
                <w:p w14:paraId="76B680B0">
                  <w:pPr>
                    <w:adjustRightInd w:val="0"/>
                    <w:snapToGrid w:val="0"/>
                    <w:spacing w:line="240" w:lineRule="auto"/>
                    <w:jc w:val="center"/>
                    <w:rPr>
                      <w:rFonts w:hint="default" w:ascii="Times New Roman" w:hAnsi="Times New Roman" w:eastAsia="宋体" w:cs="Times New Roman"/>
                      <w:sz w:val="21"/>
                      <w:szCs w:val="21"/>
                    </w:rPr>
                  </w:pPr>
                </w:p>
              </w:tc>
            </w:tr>
          </w:tbl>
          <w:p w14:paraId="225A69E6">
            <w:pPr>
              <w:numPr>
                <w:ilvl w:val="0"/>
                <w:numId w:val="22"/>
              </w:numPr>
              <w:bidi w:val="0"/>
              <w:ind w:left="0" w:leftChars="0" w:firstLine="0" w:firstLineChars="0"/>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声环境质量标准</w:t>
            </w:r>
          </w:p>
          <w:p w14:paraId="2908AE19">
            <w:pPr>
              <w:numPr>
                <w:ilvl w:val="0"/>
                <w:numId w:val="0"/>
              </w:numPr>
              <w:bidi w:val="0"/>
              <w:ind w:leftChars="0" w:firstLine="480" w:firstLineChars="200"/>
              <w:rPr>
                <w:rFonts w:hint="eastAsia"/>
                <w:b w:val="0"/>
                <w:bCs w:val="0"/>
                <w:sz w:val="24"/>
                <w:szCs w:val="24"/>
                <w:lang w:val="en-US" w:eastAsia="zh-CN"/>
              </w:rPr>
            </w:pPr>
            <w:r>
              <w:rPr>
                <w:rFonts w:hint="eastAsia"/>
                <w:b w:val="0"/>
                <w:bCs w:val="0"/>
                <w:color w:val="FF0000"/>
                <w:sz w:val="24"/>
                <w:szCs w:val="24"/>
                <w:lang w:val="en-US" w:eastAsia="zh-CN"/>
              </w:rPr>
              <w:t>项目所在区域为芒市中心城区，属于交通/商业/居民混合区，按芒市城市区域声环境质量功能区划，项目涉及1类区和2类区，但是项目区位于道路30m范围内，故执行《声环境质量标准》（GB3096-2008）4a类标准</w:t>
            </w:r>
            <w:r>
              <w:rPr>
                <w:rFonts w:hint="eastAsia"/>
                <w:b w:val="0"/>
                <w:bCs w:val="0"/>
                <w:sz w:val="24"/>
                <w:szCs w:val="24"/>
                <w:lang w:val="en-US" w:eastAsia="zh-CN"/>
              </w:rPr>
              <w:t>。标准值见表4-3。</w:t>
            </w:r>
          </w:p>
          <w:p w14:paraId="65BC1B0A">
            <w:pPr>
              <w:adjustRightInd w:val="0"/>
              <w:snapToGrid w:val="0"/>
              <w:spacing w:line="360" w:lineRule="auto"/>
              <w:jc w:val="center"/>
              <w:textAlignment w:val="baseline"/>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表4-3  声环境质量标准限值  单位：dB(A)</w:t>
            </w:r>
          </w:p>
          <w:tbl>
            <w:tblPr>
              <w:tblStyle w:val="9"/>
              <w:tblW w:w="777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684"/>
              <w:gridCol w:w="1431"/>
              <w:gridCol w:w="1344"/>
              <w:gridCol w:w="1319"/>
            </w:tblGrid>
            <w:tr w14:paraId="14D2A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684" w:type="dxa"/>
                  <w:vAlign w:val="top"/>
                </w:tcPr>
                <w:p w14:paraId="64D6BED8">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适用区域</w:t>
                  </w:r>
                </w:p>
              </w:tc>
              <w:tc>
                <w:tcPr>
                  <w:tcW w:w="1431" w:type="dxa"/>
                  <w:vAlign w:val="top"/>
                </w:tcPr>
                <w:p w14:paraId="2C9F9C75">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1344" w:type="dxa"/>
                  <w:vAlign w:val="top"/>
                </w:tcPr>
                <w:p w14:paraId="37F78B99">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1319" w:type="dxa"/>
                  <w:vAlign w:val="top"/>
                </w:tcPr>
                <w:p w14:paraId="206CAC50">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r>
            <w:tr w14:paraId="7FB00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684" w:type="dxa"/>
                  <w:vAlign w:val="top"/>
                </w:tcPr>
                <w:p w14:paraId="2C72357C">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道路红线35m以内区域</w:t>
                  </w:r>
                </w:p>
              </w:tc>
              <w:tc>
                <w:tcPr>
                  <w:tcW w:w="1431" w:type="dxa"/>
                  <w:vAlign w:val="top"/>
                </w:tcPr>
                <w:p w14:paraId="16601AF5">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4a类标准</w:t>
                  </w:r>
                </w:p>
              </w:tc>
              <w:tc>
                <w:tcPr>
                  <w:tcW w:w="1344" w:type="dxa"/>
                  <w:vAlign w:val="top"/>
                </w:tcPr>
                <w:p w14:paraId="0A8BA528">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1319" w:type="dxa"/>
                  <w:vAlign w:val="top"/>
                </w:tcPr>
                <w:p w14:paraId="706B13AB">
                  <w:pPr>
                    <w:snapToGri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r>
          </w:tbl>
          <w:p w14:paraId="6A893668">
            <w:pPr>
              <w:numPr>
                <w:ilvl w:val="0"/>
                <w:numId w:val="0"/>
              </w:numPr>
              <w:bidi w:val="0"/>
              <w:ind w:leftChars="0"/>
              <w:rPr>
                <w:rFonts w:hint="default"/>
                <w:b w:val="0"/>
                <w:bCs w:val="0"/>
                <w:sz w:val="24"/>
                <w:szCs w:val="24"/>
                <w:lang w:val="en-US" w:eastAsia="zh-CN"/>
              </w:rPr>
            </w:pPr>
          </w:p>
        </w:tc>
      </w:tr>
      <w:tr w14:paraId="569E1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trPr>
        <w:tc>
          <w:tcPr>
            <w:tcW w:w="437" w:type="dxa"/>
            <w:vAlign w:val="center"/>
          </w:tcPr>
          <w:p w14:paraId="10D2DCC5">
            <w:pPr>
              <w:numPr>
                <w:ilvl w:val="0"/>
                <w:numId w:val="0"/>
              </w:numPr>
              <w:bidi w:val="0"/>
              <w:jc w:val="center"/>
              <w:rPr>
                <w:rFonts w:hint="default"/>
                <w:b w:val="0"/>
                <w:bCs w:val="0"/>
                <w:sz w:val="24"/>
                <w:szCs w:val="24"/>
                <w:lang w:val="en-US" w:eastAsia="zh-CN"/>
              </w:rPr>
            </w:pPr>
            <w:r>
              <w:rPr>
                <w:rFonts w:hint="eastAsia"/>
                <w:b w:val="0"/>
                <w:bCs w:val="0"/>
                <w:sz w:val="24"/>
                <w:szCs w:val="24"/>
                <w:lang w:val="en-US" w:eastAsia="zh-CN"/>
              </w:rPr>
              <w:t>污染物排放标准</w:t>
            </w:r>
          </w:p>
        </w:tc>
        <w:tc>
          <w:tcPr>
            <w:tcW w:w="8082" w:type="dxa"/>
          </w:tcPr>
          <w:p w14:paraId="3D43841D">
            <w:pPr>
              <w:numPr>
                <w:ilvl w:val="0"/>
                <w:numId w:val="23"/>
              </w:numPr>
              <w:bidi w:val="0"/>
              <w:rPr>
                <w:rFonts w:hint="eastAsia"/>
                <w:b/>
                <w:bCs/>
                <w:sz w:val="24"/>
                <w:szCs w:val="24"/>
                <w:lang w:val="en-US" w:eastAsia="zh-CN"/>
              </w:rPr>
            </w:pPr>
            <w:r>
              <w:rPr>
                <w:rFonts w:hint="eastAsia"/>
                <w:b/>
                <w:bCs/>
                <w:sz w:val="24"/>
                <w:szCs w:val="24"/>
                <w:lang w:val="en-US" w:eastAsia="zh-CN"/>
              </w:rPr>
              <w:t>废气排放标准</w:t>
            </w:r>
          </w:p>
          <w:p w14:paraId="7A0349D8">
            <w:pPr>
              <w:numPr>
                <w:ilvl w:val="0"/>
                <w:numId w:val="0"/>
              </w:numPr>
              <w:bidi w:val="0"/>
              <w:ind w:firstLine="480" w:firstLineChars="200"/>
              <w:rPr>
                <w:rFonts w:hint="eastAsia" w:ascii="Times New Roman" w:hAnsi="Times New Roman" w:cs="Times New Roman"/>
                <w:color w:val="auto"/>
                <w:sz w:val="24"/>
                <w:szCs w:val="24"/>
                <w:highlight w:val="none"/>
                <w:lang w:val="en-US" w:eastAsia="zh-CN"/>
              </w:rPr>
            </w:pPr>
            <w:r>
              <w:rPr>
                <w:rFonts w:hint="eastAsia"/>
                <w:b w:val="0"/>
                <w:bCs w:val="0"/>
                <w:sz w:val="24"/>
                <w:szCs w:val="24"/>
                <w:lang w:val="en-US" w:eastAsia="zh-CN"/>
              </w:rPr>
              <w:t>项目施工期扬尘（颗粒物）执行</w:t>
            </w:r>
            <w:r>
              <w:rPr>
                <w:rFonts w:hint="default" w:ascii="Times New Roman" w:hAnsi="Times New Roman" w:eastAsia="宋体" w:cs="Times New Roman"/>
                <w:color w:val="auto"/>
                <w:sz w:val="24"/>
                <w:szCs w:val="24"/>
                <w:highlight w:val="none"/>
              </w:rPr>
              <w:t>《大气污染物综合排放标准》（GB16297-1996）中无组织排放监控浓度限值</w:t>
            </w:r>
            <w:r>
              <w:rPr>
                <w:rFonts w:hint="eastAsia" w:ascii="Times New Roman" w:hAnsi="Times New Roman" w:cs="Times New Roman"/>
                <w:color w:val="auto"/>
                <w:sz w:val="24"/>
                <w:szCs w:val="24"/>
                <w:highlight w:val="none"/>
                <w:lang w:eastAsia="zh-CN"/>
              </w:rPr>
              <w:t>，标准见表</w:t>
            </w:r>
            <w:r>
              <w:rPr>
                <w:rFonts w:hint="eastAsia" w:ascii="Times New Roman" w:hAnsi="Times New Roman" w:cs="Times New Roman"/>
                <w:color w:val="auto"/>
                <w:sz w:val="24"/>
                <w:szCs w:val="24"/>
                <w:highlight w:val="none"/>
                <w:lang w:val="en-US" w:eastAsia="zh-CN"/>
              </w:rPr>
              <w:t>4-4。</w:t>
            </w:r>
          </w:p>
          <w:p w14:paraId="670B4FDA">
            <w:pPr>
              <w:snapToGrid w:val="0"/>
              <w:spacing w:line="360" w:lineRule="auto"/>
              <w:ind w:firstLine="602" w:firstLineChars="250"/>
              <w:jc w:val="center"/>
              <w:rPr>
                <w:rFonts w:hint="default" w:ascii="Times New Roman" w:hAnsi="Times New Roman" w:eastAsia="宋体" w:cs="Times New Roman"/>
                <w:b/>
                <w:bCs/>
                <w:color w:val="auto"/>
                <w:sz w:val="24"/>
                <w:szCs w:val="24"/>
                <w:highlight w:val="none"/>
                <w:vertAlign w:val="superscript"/>
              </w:rPr>
            </w:pPr>
            <w:r>
              <w:rPr>
                <w:rFonts w:hint="default" w:ascii="Times New Roman" w:hAnsi="Times New Roman" w:eastAsia="宋体" w:cs="Times New Roman"/>
                <w:b/>
                <w:bCs/>
                <w:color w:val="auto"/>
                <w:sz w:val="24"/>
                <w:szCs w:val="24"/>
                <w:highlight w:val="none"/>
              </w:rPr>
              <w:t>表4-4  大气污染物综合排放标准  单位：mg/m</w:t>
            </w:r>
            <w:r>
              <w:rPr>
                <w:rFonts w:hint="default" w:ascii="Times New Roman" w:hAnsi="Times New Roman" w:eastAsia="宋体" w:cs="Times New Roman"/>
                <w:b/>
                <w:bCs/>
                <w:color w:val="auto"/>
                <w:sz w:val="24"/>
                <w:szCs w:val="24"/>
                <w:highlight w:val="none"/>
                <w:vertAlign w:val="superscript"/>
              </w:rPr>
              <w:t>3</w:t>
            </w:r>
          </w:p>
          <w:tbl>
            <w:tblPr>
              <w:tblStyle w:val="9"/>
              <w:tblW w:w="7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2285"/>
              <w:gridCol w:w="1906"/>
              <w:gridCol w:w="2543"/>
            </w:tblGrid>
            <w:tr w14:paraId="3210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84" w:type="dxa"/>
                  <w:vAlign w:val="center"/>
                </w:tcPr>
                <w:p w14:paraId="7C0D45B9">
                  <w:pPr>
                    <w:adjustRightInd w:val="0"/>
                    <w:snapToGrid w:val="0"/>
                    <w:spacing w:before="113" w:after="113"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2285" w:type="dxa"/>
                  <w:vAlign w:val="center"/>
                </w:tcPr>
                <w:p w14:paraId="5100587A">
                  <w:pPr>
                    <w:adjustRightInd w:val="0"/>
                    <w:snapToGrid w:val="0"/>
                    <w:spacing w:before="113" w:after="113"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施工内容</w:t>
                  </w:r>
                </w:p>
              </w:tc>
              <w:tc>
                <w:tcPr>
                  <w:tcW w:w="1906" w:type="dxa"/>
                  <w:vAlign w:val="center"/>
                </w:tcPr>
                <w:p w14:paraId="3F5F4E58">
                  <w:pPr>
                    <w:adjustRightInd w:val="0"/>
                    <w:snapToGrid w:val="0"/>
                    <w:spacing w:before="113" w:after="113"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监控点</w:t>
                  </w:r>
                </w:p>
              </w:tc>
              <w:tc>
                <w:tcPr>
                  <w:tcW w:w="2543" w:type="dxa"/>
                  <w:vAlign w:val="center"/>
                </w:tcPr>
                <w:p w14:paraId="38B3CF49">
                  <w:pPr>
                    <w:adjustRightInd w:val="0"/>
                    <w:snapToGrid w:val="0"/>
                    <w:spacing w:before="113" w:after="113"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无组织排放监控浓度限值</w:t>
                  </w:r>
                </w:p>
              </w:tc>
            </w:tr>
            <w:tr w14:paraId="39C00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084" w:type="dxa"/>
                  <w:vAlign w:val="center"/>
                </w:tcPr>
                <w:p w14:paraId="2773BEA4">
                  <w:pPr>
                    <w:adjustRightInd w:val="0"/>
                    <w:snapToGrid w:val="0"/>
                    <w:spacing w:before="113" w:after="113"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2285" w:type="dxa"/>
                  <w:vAlign w:val="center"/>
                </w:tcPr>
                <w:p w14:paraId="0E5B99BA">
                  <w:pPr>
                    <w:adjustRightInd w:val="0"/>
                    <w:snapToGrid w:val="0"/>
                    <w:spacing w:before="113" w:after="113"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路基开挖、土地平整等</w:t>
                  </w:r>
                </w:p>
              </w:tc>
              <w:tc>
                <w:tcPr>
                  <w:tcW w:w="1906" w:type="dxa"/>
                  <w:vAlign w:val="center"/>
                </w:tcPr>
                <w:p w14:paraId="4272B697">
                  <w:pPr>
                    <w:adjustRightInd w:val="0"/>
                    <w:snapToGrid w:val="0"/>
                    <w:spacing w:before="113" w:after="113" w:line="240" w:lineRule="auto"/>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周界外浓度最高点</w:t>
                  </w:r>
                </w:p>
              </w:tc>
              <w:tc>
                <w:tcPr>
                  <w:tcW w:w="2543" w:type="dxa"/>
                  <w:vAlign w:val="center"/>
                </w:tcPr>
                <w:p w14:paraId="5DAEAF34">
                  <w:pPr>
                    <w:adjustRightInd w:val="0"/>
                    <w:snapToGrid w:val="0"/>
                    <w:spacing w:before="113" w:after="113"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r>
          </w:tbl>
          <w:p w14:paraId="3AA5D535">
            <w:pPr>
              <w:numPr>
                <w:ilvl w:val="0"/>
                <w:numId w:val="23"/>
              </w:numPr>
              <w:bidi w:val="0"/>
              <w:ind w:left="0" w:leftChars="0" w:firstLine="0" w:firstLineChars="0"/>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废水排放标准</w:t>
            </w:r>
          </w:p>
          <w:p w14:paraId="0106BA93">
            <w:pPr>
              <w:numPr>
                <w:ilvl w:val="0"/>
                <w:numId w:val="0"/>
              </w:numPr>
              <w:bidi w:val="0"/>
              <w:ind w:leftChars="0" w:firstLine="480" w:firstLineChars="200"/>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项目施工期污水回用不外排，营运期不产生污水，故不设排放标准。</w:t>
            </w:r>
          </w:p>
          <w:p w14:paraId="25436A3A">
            <w:pPr>
              <w:numPr>
                <w:ilvl w:val="0"/>
                <w:numId w:val="23"/>
              </w:numPr>
              <w:bidi w:val="0"/>
              <w:ind w:left="0" w:leftChars="0" w:firstLine="0" w:firstLineChars="0"/>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噪声排放标准</w:t>
            </w:r>
          </w:p>
          <w:p w14:paraId="6F5F3CB6">
            <w:pPr>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道路施工期噪声执行《建筑施工场界环境噪声排放标准》GB 12523-2011），标准限值详见表4-5。</w:t>
            </w:r>
          </w:p>
          <w:p w14:paraId="6361992E">
            <w:pPr>
              <w:snapToGrid w:val="0"/>
              <w:spacing w:line="360" w:lineRule="auto"/>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表4-5   建筑施工场界环境噪声排放标准</w:t>
            </w:r>
          </w:p>
          <w:tbl>
            <w:tblPr>
              <w:tblStyle w:val="9"/>
              <w:tblW w:w="7679" w:type="dxa"/>
              <w:jc w:val="center"/>
              <w:tblLayout w:type="fixed"/>
              <w:tblCellMar>
                <w:top w:w="0" w:type="dxa"/>
                <w:left w:w="108" w:type="dxa"/>
                <w:bottom w:w="0" w:type="dxa"/>
                <w:right w:w="108" w:type="dxa"/>
              </w:tblCellMar>
            </w:tblPr>
            <w:tblGrid>
              <w:gridCol w:w="2615"/>
              <w:gridCol w:w="2626"/>
              <w:gridCol w:w="2438"/>
            </w:tblGrid>
            <w:tr w14:paraId="109176E4">
              <w:tblPrEx>
                <w:tblCellMar>
                  <w:top w:w="0" w:type="dxa"/>
                  <w:left w:w="108" w:type="dxa"/>
                  <w:bottom w:w="0" w:type="dxa"/>
                  <w:right w:w="108" w:type="dxa"/>
                </w:tblCellMar>
              </w:tblPrEx>
              <w:trPr>
                <w:trHeight w:val="304" w:hRule="exact"/>
                <w:jc w:val="center"/>
              </w:trPr>
              <w:tc>
                <w:tcPr>
                  <w:tcW w:w="2615" w:type="dxa"/>
                  <w:tcBorders>
                    <w:top w:val="single" w:color="000000" w:sz="4" w:space="0"/>
                    <w:left w:val="single" w:color="000000" w:sz="4" w:space="0"/>
                    <w:bottom w:val="single" w:color="000000" w:sz="4" w:space="0"/>
                    <w:right w:val="single" w:color="000000" w:sz="4" w:space="0"/>
                  </w:tcBorders>
                  <w:shd w:val="clear" w:color="auto" w:fill="FFFFFF"/>
                  <w:vAlign w:val="top"/>
                </w:tcPr>
                <w:p w14:paraId="4FA3C1AE">
                  <w:pPr>
                    <w:spacing w:line="240" w:lineRule="auto"/>
                    <w:ind w:left="121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时段</w:t>
                  </w:r>
                </w:p>
              </w:tc>
              <w:tc>
                <w:tcPr>
                  <w:tcW w:w="2626" w:type="dxa"/>
                  <w:tcBorders>
                    <w:top w:val="single" w:color="000000" w:sz="4" w:space="0"/>
                    <w:left w:val="single" w:color="000000" w:sz="4" w:space="0"/>
                    <w:bottom w:val="single" w:color="000000" w:sz="4" w:space="0"/>
                    <w:right w:val="single" w:color="000000" w:sz="4" w:space="0"/>
                  </w:tcBorders>
                  <w:shd w:val="clear" w:color="auto" w:fill="FFFFFF"/>
                  <w:vAlign w:val="top"/>
                </w:tcPr>
                <w:p w14:paraId="62A12189">
                  <w:pPr>
                    <w:spacing w:line="240" w:lineRule="auto"/>
                    <w:ind w:left="1211"/>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2438" w:type="dxa"/>
                  <w:tcBorders>
                    <w:top w:val="single" w:color="000000" w:sz="4" w:space="0"/>
                    <w:left w:val="single" w:color="000000" w:sz="4" w:space="0"/>
                    <w:bottom w:val="single" w:color="000000" w:sz="4" w:space="0"/>
                    <w:right w:val="single" w:color="000000" w:sz="4" w:space="0"/>
                  </w:tcBorders>
                  <w:shd w:val="clear" w:color="auto" w:fill="FFFFFF"/>
                  <w:vAlign w:val="top"/>
                </w:tcPr>
                <w:p w14:paraId="49687A5A">
                  <w:pPr>
                    <w:spacing w:line="240" w:lineRule="auto"/>
                    <w:ind w:left="1109"/>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r>
            <w:tr w14:paraId="1F9F905B">
              <w:tblPrEx>
                <w:tblCellMar>
                  <w:top w:w="0" w:type="dxa"/>
                  <w:left w:w="108" w:type="dxa"/>
                  <w:bottom w:w="0" w:type="dxa"/>
                  <w:right w:w="108" w:type="dxa"/>
                </w:tblCellMar>
              </w:tblPrEx>
              <w:trPr>
                <w:trHeight w:val="344" w:hRule="exact"/>
                <w:jc w:val="center"/>
              </w:trPr>
              <w:tc>
                <w:tcPr>
                  <w:tcW w:w="2615" w:type="dxa"/>
                  <w:tcBorders>
                    <w:top w:val="single" w:color="000000" w:sz="4" w:space="0"/>
                    <w:left w:val="single" w:color="000000" w:sz="4" w:space="0"/>
                    <w:bottom w:val="single" w:color="000000" w:sz="4" w:space="0"/>
                    <w:right w:val="single" w:color="000000" w:sz="4" w:space="0"/>
                  </w:tcBorders>
                  <w:shd w:val="clear" w:color="auto" w:fill="FFFFFF"/>
                  <w:vAlign w:val="top"/>
                </w:tcPr>
                <w:p w14:paraId="329DF404">
                  <w:pPr>
                    <w:spacing w:line="240" w:lineRule="auto"/>
                    <w:ind w:left="566"/>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标准限值 dB（A）</w:t>
                  </w:r>
                </w:p>
              </w:tc>
              <w:tc>
                <w:tcPr>
                  <w:tcW w:w="2626" w:type="dxa"/>
                  <w:tcBorders>
                    <w:top w:val="single" w:color="000000" w:sz="4" w:space="0"/>
                    <w:left w:val="single" w:color="000000" w:sz="4" w:space="0"/>
                    <w:bottom w:val="single" w:color="000000" w:sz="4" w:space="0"/>
                    <w:right w:val="single" w:color="000000" w:sz="4" w:space="0"/>
                  </w:tcBorders>
                  <w:shd w:val="clear" w:color="auto" w:fill="FFFFFF"/>
                  <w:vAlign w:val="top"/>
                </w:tcPr>
                <w:p w14:paraId="4EA504CE">
                  <w:pPr>
                    <w:spacing w:line="240" w:lineRule="auto"/>
                    <w:ind w:left="1316"/>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2438" w:type="dxa"/>
                  <w:tcBorders>
                    <w:top w:val="single" w:color="000000" w:sz="4" w:space="0"/>
                    <w:left w:val="single" w:color="000000" w:sz="4" w:space="0"/>
                    <w:bottom w:val="single" w:color="000000" w:sz="4" w:space="0"/>
                    <w:right w:val="single" w:color="000000" w:sz="4" w:space="0"/>
                  </w:tcBorders>
                  <w:shd w:val="clear" w:color="auto" w:fill="FFFFFF"/>
                  <w:vAlign w:val="top"/>
                </w:tcPr>
                <w:p w14:paraId="58757F30">
                  <w:pPr>
                    <w:spacing w:line="240" w:lineRule="auto"/>
                    <w:ind w:left="1213"/>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r>
          </w:tbl>
          <w:p w14:paraId="5D9A3B99">
            <w:pPr>
              <w:numPr>
                <w:ilvl w:val="0"/>
                <w:numId w:val="23"/>
              </w:numPr>
              <w:bidi w:val="0"/>
              <w:ind w:left="0" w:leftChars="0" w:firstLine="0" w:firstLineChars="0"/>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固体废弃物</w:t>
            </w:r>
          </w:p>
          <w:p w14:paraId="4D47E668">
            <w:pPr>
              <w:numPr>
                <w:ilvl w:val="0"/>
                <w:numId w:val="0"/>
              </w:numPr>
              <w:bidi w:val="0"/>
              <w:ind w:leftChars="0"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施工期路面开挖土方、施工人员产生生活垃圾等固废执行《一般工业固体废弃物贮存、处置场污染控制标准》（GB18599-2001）。</w:t>
            </w:r>
          </w:p>
        </w:tc>
      </w:tr>
      <w:tr w14:paraId="77544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1" w:hRule="atLeast"/>
        </w:trPr>
        <w:tc>
          <w:tcPr>
            <w:tcW w:w="437" w:type="dxa"/>
            <w:vAlign w:val="center"/>
          </w:tcPr>
          <w:p w14:paraId="39DFECA0">
            <w:pPr>
              <w:numPr>
                <w:ilvl w:val="0"/>
                <w:numId w:val="0"/>
              </w:numPr>
              <w:bidi w:val="0"/>
              <w:jc w:val="center"/>
              <w:rPr>
                <w:rFonts w:hint="default"/>
                <w:b w:val="0"/>
                <w:bCs w:val="0"/>
                <w:sz w:val="24"/>
                <w:szCs w:val="24"/>
                <w:lang w:val="en-US" w:eastAsia="zh-CN"/>
              </w:rPr>
            </w:pPr>
            <w:r>
              <w:rPr>
                <w:rFonts w:hint="eastAsia"/>
                <w:b w:val="0"/>
                <w:bCs w:val="0"/>
                <w:sz w:val="24"/>
                <w:szCs w:val="24"/>
                <w:lang w:val="en-US" w:eastAsia="zh-CN"/>
              </w:rPr>
              <w:t>总量控制指标</w:t>
            </w:r>
          </w:p>
        </w:tc>
        <w:tc>
          <w:tcPr>
            <w:tcW w:w="8082" w:type="dxa"/>
          </w:tcPr>
          <w:p w14:paraId="2F41E862">
            <w:pPr>
              <w:numPr>
                <w:ilvl w:val="0"/>
                <w:numId w:val="0"/>
              </w:numPr>
              <w:bidi w:val="0"/>
              <w:ind w:firstLine="480" w:firstLineChars="200"/>
              <w:rPr>
                <w:rFonts w:hint="default"/>
                <w:b w:val="0"/>
                <w:bCs w:val="0"/>
                <w:sz w:val="24"/>
                <w:szCs w:val="24"/>
                <w:lang w:val="en-US" w:eastAsia="zh-CN"/>
              </w:rPr>
            </w:pPr>
            <w:r>
              <w:rPr>
                <w:rFonts w:hint="eastAsia"/>
                <w:b w:val="0"/>
                <w:bCs w:val="0"/>
                <w:sz w:val="24"/>
                <w:szCs w:val="24"/>
                <w:lang w:val="en-US" w:eastAsia="zh-CN"/>
              </w:rPr>
              <w:t>本项目产生的污染物只要集中在施工期，为暂时性的。故本项目不专门设置总量控制指标。</w:t>
            </w:r>
          </w:p>
        </w:tc>
      </w:tr>
    </w:tbl>
    <w:p w14:paraId="228E01DB">
      <w:pPr>
        <w:rPr>
          <w:rStyle w:val="12"/>
          <w:rFonts w:hint="eastAsia"/>
          <w:lang w:val="en-US" w:eastAsia="zh-CN"/>
        </w:rPr>
      </w:pPr>
      <w:r>
        <w:rPr>
          <w:rStyle w:val="12"/>
          <w:rFonts w:hint="eastAsia"/>
          <w:lang w:val="en-US" w:eastAsia="zh-CN"/>
        </w:rPr>
        <w:br w:type="page"/>
      </w:r>
    </w:p>
    <w:p w14:paraId="60EF7946">
      <w:pPr>
        <w:pStyle w:val="2"/>
        <w:bidi w:val="0"/>
        <w:rPr>
          <w:rFonts w:hint="eastAsia"/>
          <w:lang w:val="en-US" w:eastAsia="zh-CN"/>
        </w:rPr>
      </w:pPr>
      <w:r>
        <w:rPr>
          <w:rFonts w:hint="eastAsia"/>
          <w:lang w:val="en-US" w:eastAsia="zh-CN"/>
        </w:rPr>
        <w:t>表五、建设项目工程分析</w:t>
      </w:r>
    </w:p>
    <w:tbl>
      <w:tblPr>
        <w:tblStyle w:val="10"/>
        <w:tblW w:w="8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0"/>
      </w:tblGrid>
      <w:tr w14:paraId="11F09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6" w:hRule="atLeast"/>
        </w:trPr>
        <w:tc>
          <w:tcPr>
            <w:tcW w:w="8560" w:type="dxa"/>
          </w:tcPr>
          <w:p w14:paraId="2602A517">
            <w:pPr>
              <w:keepNext w:val="0"/>
              <w:keepLines w:val="0"/>
              <w:widowControl/>
              <w:suppressLineNumbers w:val="0"/>
              <w:jc w:val="left"/>
              <w:rPr>
                <w:rFonts w:hint="eastAsia"/>
                <w:b/>
                <w:bCs/>
                <w:sz w:val="24"/>
                <w:szCs w:val="24"/>
                <w:vertAlign w:val="baseline"/>
                <w:lang w:val="en-US" w:eastAsia="zh-CN"/>
              </w:rPr>
            </w:pPr>
            <w:r>
              <w:rPr>
                <w:rFonts w:hint="eastAsia"/>
                <w:b/>
                <w:bCs/>
                <w:sz w:val="24"/>
                <w:szCs w:val="24"/>
                <w:vertAlign w:val="baseline"/>
                <w:lang w:val="en-US" w:eastAsia="zh-CN"/>
              </w:rPr>
              <w:t>工艺流程简述：</w:t>
            </w:r>
          </w:p>
          <w:p w14:paraId="1121F5C8">
            <w:pPr>
              <w:keepNext w:val="0"/>
              <w:keepLines w:val="0"/>
              <w:widowControl/>
              <w:suppressLineNumbers w:val="0"/>
              <w:jc w:val="left"/>
              <w:rPr>
                <w:rFonts w:hint="eastAsia"/>
                <w:b/>
                <w:bCs/>
                <w:sz w:val="24"/>
                <w:szCs w:val="24"/>
                <w:vertAlign w:val="baseline"/>
                <w:lang w:val="en-US" w:eastAsia="zh-CN"/>
              </w:rPr>
            </w:pPr>
            <w:r>
              <w:rPr>
                <w:rFonts w:hint="eastAsia"/>
                <w:b/>
                <w:bCs/>
                <w:sz w:val="24"/>
                <w:szCs w:val="24"/>
                <w:vertAlign w:val="baseline"/>
                <w:lang w:val="en-US" w:eastAsia="zh-CN"/>
              </w:rPr>
              <w:t>一、施工期</w:t>
            </w:r>
          </w:p>
          <w:p w14:paraId="1CF2C24C">
            <w:pPr>
              <w:keepNext w:val="0"/>
              <w:keepLines w:val="0"/>
              <w:widowControl/>
              <w:suppressLineNumbers w:val="0"/>
              <w:ind w:firstLine="480" w:firstLineChars="200"/>
              <w:jc w:val="left"/>
              <w:rPr>
                <w:rFonts w:hint="eastAsia"/>
                <w:sz w:val="24"/>
                <w:szCs w:val="24"/>
                <w:vertAlign w:val="baseline"/>
                <w:lang w:val="en-US" w:eastAsia="zh-CN"/>
              </w:rPr>
            </w:pPr>
            <w:r>
              <w:rPr>
                <w:rFonts w:hint="eastAsia"/>
                <w:sz w:val="24"/>
                <w:szCs w:val="24"/>
                <w:vertAlign w:val="baseline"/>
                <w:lang w:val="en-US" w:eastAsia="zh-CN"/>
              </w:rPr>
              <w:t>根据本工程特点，本工程遵循先地下后地上，先主体后围护，先结构后装饰的原则，划分各个施工阶段:基础工程、主体工程、及装饰工程。</w:t>
            </w:r>
          </w:p>
          <w:p w14:paraId="6AB71AEF">
            <w:pPr>
              <w:keepNext w:val="0"/>
              <w:keepLines w:val="0"/>
              <w:widowControl/>
              <w:suppressLineNumbers w:val="0"/>
              <w:jc w:val="left"/>
              <w:rPr>
                <w:sz w:val="24"/>
              </w:rPr>
            </w:pPr>
            <w:r>
              <w:rPr>
                <w:sz w:val="24"/>
              </w:rPr>
              <mc:AlternateContent>
                <mc:Choice Requires="wpg">
                  <w:drawing>
                    <wp:anchor distT="0" distB="0" distL="114300" distR="114300" simplePos="0" relativeHeight="251659264" behindDoc="0" locked="0" layoutInCell="1" allowOverlap="1">
                      <wp:simplePos x="0" y="0"/>
                      <wp:positionH relativeFrom="column">
                        <wp:posOffset>439420</wp:posOffset>
                      </wp:positionH>
                      <wp:positionV relativeFrom="paragraph">
                        <wp:posOffset>79375</wp:posOffset>
                      </wp:positionV>
                      <wp:extent cx="4286250" cy="1971040"/>
                      <wp:effectExtent l="0" t="0" r="0" b="10160"/>
                      <wp:wrapNone/>
                      <wp:docPr id="38" name="组合 38"/>
                      <wp:cNvGraphicFramePr/>
                      <a:graphic xmlns:a="http://schemas.openxmlformats.org/drawingml/2006/main">
                        <a:graphicData uri="http://schemas.microsoft.com/office/word/2010/wordprocessingGroup">
                          <wpg:wgp>
                            <wpg:cNvGrpSpPr/>
                            <wpg:grpSpPr>
                              <a:xfrm>
                                <a:off x="0" y="0"/>
                                <a:ext cx="4286250" cy="1971040"/>
                                <a:chOff x="2385" y="499852"/>
                                <a:chExt cx="6750" cy="3104"/>
                              </a:xfrm>
                            </wpg:grpSpPr>
                            <wps:wsp>
                              <wps:cNvPr id="14" name="文本框 14"/>
                              <wps:cNvSpPr txBox="1"/>
                              <wps:spPr>
                                <a:xfrm>
                                  <a:off x="2471" y="500647"/>
                                  <a:ext cx="1140" cy="4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EA2D1E">
                                    <w:pPr>
                                      <w:spacing w:line="240" w:lineRule="auto"/>
                                      <w:jc w:val="center"/>
                                      <w:rPr>
                                        <w:rFonts w:hint="eastAsia" w:eastAsia="宋体"/>
                                        <w:lang w:val="en-US" w:eastAsia="zh-CN"/>
                                      </w:rPr>
                                    </w:pPr>
                                    <w:r>
                                      <w:rPr>
                                        <w:rFonts w:hint="eastAsia"/>
                                        <w:sz w:val="21"/>
                                        <w:szCs w:val="21"/>
                                        <w:lang w:val="en-US" w:eastAsia="zh-CN"/>
                                      </w:rPr>
                                      <w:t>地面清理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直接箭头连接符 18"/>
                              <wps:cNvCnPr>
                                <a:stCxn id="14" idx="3"/>
                              </wps:cNvCnPr>
                              <wps:spPr>
                                <a:xfrm>
                                  <a:off x="3611" y="500880"/>
                                  <a:ext cx="69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文本框 19"/>
                              <wps:cNvSpPr txBox="1"/>
                              <wps:spPr>
                                <a:xfrm>
                                  <a:off x="4290" y="500663"/>
                                  <a:ext cx="1185" cy="46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4F89C2A">
                                    <w:pPr>
                                      <w:spacing w:line="240" w:lineRule="auto"/>
                                      <w:jc w:val="center"/>
                                      <w:rPr>
                                        <w:rFonts w:hint="eastAsia" w:eastAsia="宋体"/>
                                        <w:sz w:val="21"/>
                                        <w:szCs w:val="21"/>
                                        <w:lang w:eastAsia="zh-CN"/>
                                      </w:rPr>
                                    </w:pPr>
                                    <w:r>
                                      <w:rPr>
                                        <w:rFonts w:hint="eastAsia"/>
                                        <w:sz w:val="21"/>
                                        <w:szCs w:val="21"/>
                                        <w:lang w:eastAsia="zh-CN"/>
                                      </w:rPr>
                                      <w:t>土方开挖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直接箭头连接符 20"/>
                              <wps:cNvCnPr>
                                <a:stCxn id="19" idx="3"/>
                              </wps:cNvCnPr>
                              <wps:spPr>
                                <a:xfrm>
                                  <a:off x="5475" y="500895"/>
                                  <a:ext cx="631" cy="2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文本框 21"/>
                              <wps:cNvSpPr txBox="1"/>
                              <wps:spPr>
                                <a:xfrm>
                                  <a:off x="6135" y="500617"/>
                                  <a:ext cx="1170" cy="4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F596292">
                                    <w:pPr>
                                      <w:jc w:val="center"/>
                                      <w:rPr>
                                        <w:rFonts w:hint="eastAsia" w:eastAsia="宋体"/>
                                        <w:sz w:val="21"/>
                                        <w:szCs w:val="21"/>
                                        <w:lang w:eastAsia="zh-CN"/>
                                      </w:rPr>
                                    </w:pPr>
                                    <w:r>
                                      <w:rPr>
                                        <w:rFonts w:hint="eastAsia"/>
                                        <w:sz w:val="21"/>
                                        <w:szCs w:val="21"/>
                                        <w:lang w:eastAsia="zh-CN"/>
                                      </w:rPr>
                                      <w:t>现场维护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直接箭头连接符 22"/>
                              <wps:cNvCnPr>
                                <a:stCxn id="21" idx="3"/>
                              </wps:cNvCnPr>
                              <wps:spPr>
                                <a:xfrm flipV="1">
                                  <a:off x="7305" y="500857"/>
                                  <a:ext cx="570" cy="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文本框 23"/>
                              <wps:cNvSpPr txBox="1"/>
                              <wps:spPr>
                                <a:xfrm>
                                  <a:off x="7875" y="500617"/>
                                  <a:ext cx="1140" cy="5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E5713AF">
                                    <w:pPr>
                                      <w:jc w:val="center"/>
                                      <w:rPr>
                                        <w:rFonts w:hint="eastAsia" w:eastAsia="宋体"/>
                                        <w:sz w:val="21"/>
                                        <w:szCs w:val="21"/>
                                        <w:lang w:eastAsia="zh-CN"/>
                                      </w:rPr>
                                    </w:pPr>
                                    <w:r>
                                      <w:rPr>
                                        <w:rFonts w:hint="eastAsia"/>
                                        <w:sz w:val="21"/>
                                        <w:szCs w:val="21"/>
                                        <w:lang w:eastAsia="zh-CN"/>
                                      </w:rPr>
                                      <w:t>管廊浇筑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 name="直接箭头连接符 24"/>
                              <wps:cNvCnPr>
                                <a:stCxn id="23" idx="2"/>
                              </wps:cNvCnPr>
                              <wps:spPr>
                                <a:xfrm>
                                  <a:off x="8445" y="501142"/>
                                  <a:ext cx="0" cy="5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文本框 25"/>
                              <wps:cNvSpPr txBox="1"/>
                              <wps:spPr>
                                <a:xfrm>
                                  <a:off x="7874" y="501667"/>
                                  <a:ext cx="1186" cy="4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EC950D">
                                    <w:pPr>
                                      <w:spacing w:line="240" w:lineRule="auto"/>
                                      <w:jc w:val="center"/>
                                      <w:rPr>
                                        <w:rFonts w:hint="eastAsia" w:eastAsia="宋体"/>
                                        <w:lang w:eastAsia="zh-CN"/>
                                      </w:rPr>
                                    </w:pPr>
                                    <w:r>
                                      <w:rPr>
                                        <w:rFonts w:hint="eastAsia"/>
                                        <w:sz w:val="21"/>
                                        <w:szCs w:val="21"/>
                                        <w:lang w:eastAsia="zh-CN"/>
                                      </w:rPr>
                                      <w:t>土方回</w:t>
                                    </w:r>
                                    <w:r>
                                      <w:rPr>
                                        <w:rFonts w:hint="eastAsia"/>
                                        <w:lang w:eastAsia="zh-CN"/>
                                      </w:rPr>
                                      <w:t>填</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直接箭头连接符 26"/>
                              <wps:cNvCnPr>
                                <a:stCxn id="25" idx="1"/>
                                <a:endCxn id="27" idx="3"/>
                              </wps:cNvCnPr>
                              <wps:spPr>
                                <a:xfrm flipH="1">
                                  <a:off x="7320" y="501907"/>
                                  <a:ext cx="55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文本框 27"/>
                              <wps:cNvSpPr txBox="1"/>
                              <wps:spPr>
                                <a:xfrm>
                                  <a:off x="6135" y="501652"/>
                                  <a:ext cx="1185" cy="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FEC58CA">
                                    <w:pPr>
                                      <w:spacing w:line="240" w:lineRule="auto"/>
                                      <w:jc w:val="center"/>
                                      <w:rPr>
                                        <w:rFonts w:hint="eastAsia" w:eastAsia="宋体"/>
                                        <w:lang w:eastAsia="zh-CN"/>
                                      </w:rPr>
                                    </w:pPr>
                                    <w:r>
                                      <w:rPr>
                                        <w:rFonts w:hint="eastAsia"/>
                                        <w:sz w:val="21"/>
                                        <w:szCs w:val="21"/>
                                        <w:lang w:eastAsia="zh-CN"/>
                                      </w:rPr>
                                      <w:t>表面覆</w:t>
                                    </w:r>
                                    <w:r>
                                      <w:rPr>
                                        <w:rFonts w:hint="eastAsia"/>
                                        <w:lang w:eastAsia="zh-CN"/>
                                      </w:rPr>
                                      <w:t>盖</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直接箭头连接符 28"/>
                              <wps:cNvCnPr>
                                <a:stCxn id="27" idx="1"/>
                                <a:endCxn id="29" idx="3"/>
                              </wps:cNvCnPr>
                              <wps:spPr>
                                <a:xfrm flipH="1">
                                  <a:off x="5565" y="501907"/>
                                  <a:ext cx="570" cy="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文本框 29"/>
                              <wps:cNvSpPr txBox="1"/>
                              <wps:spPr>
                                <a:xfrm>
                                  <a:off x="4531" y="501698"/>
                                  <a:ext cx="1034" cy="44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B0E5C6F">
                                    <w:pPr>
                                      <w:spacing w:line="240" w:lineRule="auto"/>
                                      <w:jc w:val="center"/>
                                      <w:rPr>
                                        <w:rFonts w:hint="eastAsia" w:eastAsia="宋体"/>
                                        <w:sz w:val="21"/>
                                        <w:szCs w:val="21"/>
                                        <w:lang w:eastAsia="zh-CN"/>
                                      </w:rPr>
                                    </w:pPr>
                                    <w:r>
                                      <w:rPr>
                                        <w:rFonts w:hint="eastAsia"/>
                                        <w:sz w:val="21"/>
                                        <w:szCs w:val="21"/>
                                        <w:lang w:eastAsia="zh-CN"/>
                                      </w:rPr>
                                      <w:t>运行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 name="直接箭头连接符 30"/>
                              <wps:cNvCnPr>
                                <a:stCxn id="14" idx="0"/>
                              </wps:cNvCnPr>
                              <wps:spPr>
                                <a:xfrm flipH="1" flipV="1">
                                  <a:off x="3030" y="500317"/>
                                  <a:ext cx="11" cy="330"/>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31" name="文本框 31"/>
                              <wps:cNvSpPr txBox="1"/>
                              <wps:spPr>
                                <a:xfrm>
                                  <a:off x="2385" y="499897"/>
                                  <a:ext cx="1350" cy="41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08BF5A3">
                                    <w:pPr>
                                      <w:spacing w:line="240" w:lineRule="auto"/>
                                      <w:rPr>
                                        <w:rFonts w:hint="eastAsia" w:eastAsia="宋体"/>
                                        <w:sz w:val="21"/>
                                        <w:szCs w:val="21"/>
                                        <w:lang w:eastAsia="zh-CN"/>
                                      </w:rPr>
                                    </w:pPr>
                                    <w:r>
                                      <w:rPr>
                                        <w:rFonts w:hint="eastAsia"/>
                                        <w:sz w:val="21"/>
                                        <w:szCs w:val="21"/>
                                        <w:lang w:eastAsia="zh-CN"/>
                                      </w:rPr>
                                      <w:t>弃渣、扬尘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直接箭头连接符 32"/>
                              <wps:cNvCnPr>
                                <a:stCxn id="19" idx="0"/>
                              </wps:cNvCnPr>
                              <wps:spPr>
                                <a:xfrm flipV="1">
                                  <a:off x="4883" y="500287"/>
                                  <a:ext cx="7" cy="376"/>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33" name="文本框 33"/>
                              <wps:cNvSpPr txBox="1"/>
                              <wps:spPr>
                                <a:xfrm>
                                  <a:off x="3960" y="499852"/>
                                  <a:ext cx="1889" cy="4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A28A701">
                                    <w:pPr>
                                      <w:spacing w:line="240" w:lineRule="auto"/>
                                      <w:rPr>
                                        <w:rFonts w:hint="eastAsia" w:eastAsia="宋体"/>
                                        <w:sz w:val="21"/>
                                        <w:szCs w:val="21"/>
                                        <w:lang w:eastAsia="zh-CN"/>
                                      </w:rPr>
                                    </w:pPr>
                                    <w:r>
                                      <w:rPr>
                                        <w:rFonts w:hint="eastAsia"/>
                                        <w:sz w:val="21"/>
                                        <w:szCs w:val="21"/>
                                        <w:lang w:eastAsia="zh-CN"/>
                                      </w:rPr>
                                      <w:t>废水、扬尘、噪声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直接箭头连接符 34"/>
                              <wps:cNvCnPr>
                                <a:stCxn id="23" idx="0"/>
                              </wps:cNvCnPr>
                              <wps:spPr>
                                <a:xfrm flipH="1" flipV="1">
                                  <a:off x="8430" y="500287"/>
                                  <a:ext cx="15" cy="330"/>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35" name="文本框 35"/>
                              <wps:cNvSpPr txBox="1"/>
                              <wps:spPr>
                                <a:xfrm>
                                  <a:off x="7785" y="499852"/>
                                  <a:ext cx="1321" cy="4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706975F">
                                    <w:pPr>
                                      <w:spacing w:line="240" w:lineRule="auto"/>
                                      <w:rPr>
                                        <w:rFonts w:hint="eastAsia" w:eastAsia="宋体"/>
                                        <w:sz w:val="21"/>
                                        <w:szCs w:val="21"/>
                                        <w:lang w:eastAsia="zh-CN"/>
                                      </w:rPr>
                                    </w:pPr>
                                    <w:r>
                                      <w:rPr>
                                        <w:rFonts w:hint="eastAsia"/>
                                        <w:sz w:val="21"/>
                                        <w:szCs w:val="21"/>
                                        <w:lang w:eastAsia="zh-CN"/>
                                      </w:rPr>
                                      <w:t>扬尘、噪声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直接箭头连接符 36"/>
                              <wps:cNvCnPr>
                                <a:stCxn id="25" idx="2"/>
                              </wps:cNvCnPr>
                              <wps:spPr>
                                <a:xfrm flipH="1">
                                  <a:off x="8460" y="502147"/>
                                  <a:ext cx="7" cy="360"/>
                                </a:xfrm>
                                <a:prstGeom prst="straightConnector1">
                                  <a:avLst/>
                                </a:prstGeom>
                                <a:ln>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37" name="文本框 37"/>
                              <wps:cNvSpPr txBox="1"/>
                              <wps:spPr>
                                <a:xfrm>
                                  <a:off x="7801" y="502523"/>
                                  <a:ext cx="1334" cy="43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06E8AC3">
                                    <w:pPr>
                                      <w:spacing w:line="240" w:lineRule="auto"/>
                                      <w:rPr>
                                        <w:rFonts w:hint="eastAsia" w:eastAsia="宋体"/>
                                        <w:sz w:val="21"/>
                                        <w:szCs w:val="21"/>
                                        <w:lang w:eastAsia="zh-CN"/>
                                      </w:rPr>
                                    </w:pPr>
                                    <w:r>
                                      <w:rPr>
                                        <w:rFonts w:hint="eastAsia"/>
                                        <w:sz w:val="21"/>
                                        <w:szCs w:val="21"/>
                                        <w:lang w:eastAsia="zh-CN"/>
                                      </w:rPr>
                                      <w:t>扬尘、噪声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4.6pt;margin-top:6.25pt;height:155.2pt;width:337.5pt;z-index:251659264;mso-width-relative:page;mso-height-relative:page;" coordorigin="2385,499852" coordsize="6750,3104" o:gfxdata="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">
                      <o:lock v:ext="edit" aspectratio="f"/>
                      <v:shape id="_x0000_s1026" o:spid="_x0000_s1026" o:spt="202" type="#_x0000_t202" style="position:absolute;left:2471;top:500647;height:465;width:1140;" fillcolor="#FFFFFF [3201]" filled="t" stroked="t" coordsize="21600,21600" o:gfxdata="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8+EJbUAAADb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48EA2D1E">
                              <w:pPr>
                                <w:spacing w:line="240" w:lineRule="auto"/>
                                <w:jc w:val="center"/>
                                <w:rPr>
                                  <w:rFonts w:hint="eastAsia" w:eastAsia="宋体"/>
                                  <w:lang w:val="en-US" w:eastAsia="zh-CN"/>
                                </w:rPr>
                              </w:pPr>
                              <w:r>
                                <w:rPr>
                                  <w:rFonts w:hint="eastAsia"/>
                                  <w:sz w:val="21"/>
                                  <w:szCs w:val="21"/>
                                  <w:lang w:val="en-US" w:eastAsia="zh-CN"/>
                                </w:rPr>
                                <w:t>地面清理</w:t>
                              </w:r>
                            </w:p>
                          </w:txbxContent>
                        </v:textbox>
                      </v:shape>
                      <v:shape id="_x0000_s1026" o:spid="_x0000_s1026" o:spt="32" type="#_x0000_t32" style="position:absolute;left:3611;top:500880;height:0;width:690;" filled="f" stroked="t" coordsize="21600,21600" o:gfxdata="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NbMm8AAAA&#10;2w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_x0000_s1026" o:spid="_x0000_s1026" o:spt="202" type="#_x0000_t202" style="position:absolute;left:4290;top:500663;height:463;width:1185;" fillcolor="#FFFFFF [3201]" filled="t" stroked="t" coordsize="21600,21600" o:gfxdata="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bc4ru7UAAADb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14:paraId="14F89C2A">
                              <w:pPr>
                                <w:spacing w:line="240" w:lineRule="auto"/>
                                <w:jc w:val="center"/>
                                <w:rPr>
                                  <w:rFonts w:hint="eastAsia" w:eastAsia="宋体"/>
                                  <w:sz w:val="21"/>
                                  <w:szCs w:val="21"/>
                                  <w:lang w:eastAsia="zh-CN"/>
                                </w:rPr>
                              </w:pPr>
                              <w:r>
                                <w:rPr>
                                  <w:rFonts w:hint="eastAsia"/>
                                  <w:sz w:val="21"/>
                                  <w:szCs w:val="21"/>
                                  <w:lang w:eastAsia="zh-CN"/>
                                </w:rPr>
                                <w:t>土方开挖</w:t>
                              </w:r>
                            </w:p>
                          </w:txbxContent>
                        </v:textbox>
                      </v:shape>
                      <v:shape id="_x0000_s1026" o:spid="_x0000_s1026" o:spt="32" type="#_x0000_t32" style="position:absolute;left:5475;top:500895;height:22;width:631;" filled="f" stroked="t" coordsize="21600,21600" o:gfxdata="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F6pyugAAANsA&#10;AAAPAAAAAAAAAAEAIAAAACIAAABkcnMvZG93bnJldi54bWxQSwECFAAUAAAACACHTuJAMy8FnjsA&#10;AAA5AAAAEAAAAAAAAAABACAAAAAJAQAAZHJzL3NoYXBleG1sLnhtbFBLBQYAAAAABgAGAFsBAACz&#10;AwAAAAA=&#10;">
                        <v:fill on="f" focussize="0,0"/>
                        <v:stroke weight="0.5pt" color="#000000 [3213]" miterlimit="8" joinstyle="miter" endarrow="block"/>
                        <v:imagedata o:title=""/>
                        <o:lock v:ext="edit" aspectratio="f"/>
                      </v:shape>
                      <v:shape id="_x0000_s1026" o:spid="_x0000_s1026" o:spt="202" type="#_x0000_t202" style="position:absolute;left:6135;top:500617;height:495;width:1170;" fillcolor="#FFFFFF [3201]" filled="t" stroked="t" coordsize="21600,21600" o:gfxdata="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3U7QC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0F596292">
                              <w:pPr>
                                <w:jc w:val="center"/>
                                <w:rPr>
                                  <w:rFonts w:hint="eastAsia" w:eastAsia="宋体"/>
                                  <w:sz w:val="21"/>
                                  <w:szCs w:val="21"/>
                                  <w:lang w:eastAsia="zh-CN"/>
                                </w:rPr>
                              </w:pPr>
                              <w:r>
                                <w:rPr>
                                  <w:rFonts w:hint="eastAsia"/>
                                  <w:sz w:val="21"/>
                                  <w:szCs w:val="21"/>
                                  <w:lang w:eastAsia="zh-CN"/>
                                </w:rPr>
                                <w:t>现场维护</w:t>
                              </w:r>
                            </w:p>
                          </w:txbxContent>
                        </v:textbox>
                      </v:shape>
                      <v:shape id="_x0000_s1026" o:spid="_x0000_s1026" o:spt="32" type="#_x0000_t32" style="position:absolute;left:7305;top:500857;flip:y;height:8;width:570;" filled="f" stroked="t" coordsize="21600,21600" o:gfxdata="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T5C/vQAA&#10;ANs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_x0000_s1026" o:spid="_x0000_s1026" o:spt="202" type="#_x0000_t202" style="position:absolute;left:7875;top:500617;height:525;width:1140;" fillcolor="#FFFFFF [3201]" filled="t" stroked="t" coordsize="21600,21600" o:gfxdata="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JK1uy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14:paraId="7E5713AF">
                              <w:pPr>
                                <w:jc w:val="center"/>
                                <w:rPr>
                                  <w:rFonts w:hint="eastAsia" w:eastAsia="宋体"/>
                                  <w:sz w:val="21"/>
                                  <w:szCs w:val="21"/>
                                  <w:lang w:eastAsia="zh-CN"/>
                                </w:rPr>
                              </w:pPr>
                              <w:r>
                                <w:rPr>
                                  <w:rFonts w:hint="eastAsia"/>
                                  <w:sz w:val="21"/>
                                  <w:szCs w:val="21"/>
                                  <w:lang w:eastAsia="zh-CN"/>
                                </w:rPr>
                                <w:t>管廊浇筑</w:t>
                              </w:r>
                            </w:p>
                          </w:txbxContent>
                        </v:textbox>
                      </v:shape>
                      <v:shape id="_x0000_s1026" o:spid="_x0000_s1026" o:spt="32" type="#_x0000_t32" style="position:absolute;left:8445;top:501142;height:555;width:0;" filled="f" stroked="t" coordsize="21600,21600" o:gfxdata="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yscbsAAADb&#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_x0000_s1026" o:spid="_x0000_s1026" o:spt="202" type="#_x0000_t202" style="position:absolute;left:7874;top:501667;height:480;width:1186;" fillcolor="#FFFFFF [3201]" filled="t" stroked="t" coordsize="21600,21600" o:gfxdata="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i7+sD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09EC950D">
                              <w:pPr>
                                <w:spacing w:line="240" w:lineRule="auto"/>
                                <w:jc w:val="center"/>
                                <w:rPr>
                                  <w:rFonts w:hint="eastAsia" w:eastAsia="宋体"/>
                                  <w:lang w:eastAsia="zh-CN"/>
                                </w:rPr>
                              </w:pPr>
                              <w:r>
                                <w:rPr>
                                  <w:rFonts w:hint="eastAsia"/>
                                  <w:sz w:val="21"/>
                                  <w:szCs w:val="21"/>
                                  <w:lang w:eastAsia="zh-CN"/>
                                </w:rPr>
                                <w:t>土方回</w:t>
                              </w:r>
                              <w:r>
                                <w:rPr>
                                  <w:rFonts w:hint="eastAsia"/>
                                  <w:lang w:eastAsia="zh-CN"/>
                                </w:rPr>
                                <w:t>填</w:t>
                              </w:r>
                            </w:p>
                          </w:txbxContent>
                        </v:textbox>
                      </v:shape>
                      <v:shape id="_x0000_s1026" o:spid="_x0000_s1026" o:spt="32" type="#_x0000_t32" style="position:absolute;left:7320;top:501907;flip:x;height:0;width:554;" filled="f" stroked="t" coordsize="21600,21600" o:gfxdata="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dJa8vQAA&#10;ANs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shape id="_x0000_s1026" o:spid="_x0000_s1026" o:spt="202" type="#_x0000_t202" style="position:absolute;left:6135;top:501652;height:510;width:1185;" fillcolor="#FFFFFF [3201]" filled="t" stroked="t" coordsize="21600,21600" o:gfxdata="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9cdDv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2FEC58CA">
                              <w:pPr>
                                <w:spacing w:line="240" w:lineRule="auto"/>
                                <w:jc w:val="center"/>
                                <w:rPr>
                                  <w:rFonts w:hint="eastAsia" w:eastAsia="宋体"/>
                                  <w:lang w:eastAsia="zh-CN"/>
                                </w:rPr>
                              </w:pPr>
                              <w:r>
                                <w:rPr>
                                  <w:rFonts w:hint="eastAsia"/>
                                  <w:sz w:val="21"/>
                                  <w:szCs w:val="21"/>
                                  <w:lang w:eastAsia="zh-CN"/>
                                </w:rPr>
                                <w:t>表面覆</w:t>
                              </w:r>
                              <w:r>
                                <w:rPr>
                                  <w:rFonts w:hint="eastAsia"/>
                                  <w:lang w:eastAsia="zh-CN"/>
                                </w:rPr>
                                <w:t>盖</w:t>
                              </w:r>
                            </w:p>
                          </w:txbxContent>
                        </v:textbox>
                      </v:shape>
                      <v:shape id="_x0000_s1026" o:spid="_x0000_s1026" o:spt="32" type="#_x0000_t32" style="position:absolute;left:5565;top:501907;flip:x;height:15;width:570;" filled="f" stroked="t" coordsize="21600,21600" o:gfxdata="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unp1W5AAAA2wAA&#10;AA8AAAAAAAAAAQAgAAAAIgAAAGRycy9kb3ducmV2LnhtbFBLAQIUABQAAAAIAIdO4kAzLwWeOwAA&#10;ADkAAAAQAAAAAAAAAAEAIAAAAAgBAABkcnMvc2hhcGV4bWwueG1sUEsFBgAAAAAGAAYAWwEAALID&#10;AAAAAA==&#10;">
                        <v:fill on="f" focussize="0,0"/>
                        <v:stroke weight="0.5pt" color="#000000 [3213]" miterlimit="8" joinstyle="miter" endarrow="block"/>
                        <v:imagedata o:title=""/>
                        <o:lock v:ext="edit" aspectratio="f"/>
                      </v:shape>
                      <v:shape id="_x0000_s1026" o:spid="_x0000_s1026" o:spt="202" type="#_x0000_t202" style="position:absolute;left:4531;top:501698;height:448;width:1034;" fillcolor="#FFFFFF [3201]" filled="t" stroked="t" coordsize="21600,21600" o:gfxdata="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jouEG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14:paraId="1B0E5C6F">
                              <w:pPr>
                                <w:spacing w:line="240" w:lineRule="auto"/>
                                <w:jc w:val="center"/>
                                <w:rPr>
                                  <w:rFonts w:hint="eastAsia" w:eastAsia="宋体"/>
                                  <w:sz w:val="21"/>
                                  <w:szCs w:val="21"/>
                                  <w:lang w:eastAsia="zh-CN"/>
                                </w:rPr>
                              </w:pPr>
                              <w:r>
                                <w:rPr>
                                  <w:rFonts w:hint="eastAsia"/>
                                  <w:sz w:val="21"/>
                                  <w:szCs w:val="21"/>
                                  <w:lang w:eastAsia="zh-CN"/>
                                </w:rPr>
                                <w:t>运行</w:t>
                              </w:r>
                            </w:p>
                          </w:txbxContent>
                        </v:textbox>
                      </v:shape>
                      <v:shape id="_x0000_s1026" o:spid="_x0000_s1026" o:spt="32" type="#_x0000_t32" style="position:absolute;left:3030;top:500317;flip:x y;height:330;width:11;" filled="f" stroked="t" coordsize="21600,21600" o:gfxdata="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ne/87sAAADb&#10;AAAADwAAAAAAAAABACAAAAAiAAAAZHJzL2Rvd25yZXYueG1sUEsBAhQAFAAAAAgAh07iQDMvBZ47&#10;AAAAOQAAABAAAAAAAAAAAQAgAAAACgEAAGRycy9zaGFwZXhtbC54bWxQSwUGAAAAAAYABgBbAQAA&#10;tAMAAAAA&#10;">
                        <v:fill on="f" focussize="0,0"/>
                        <v:stroke weight="0.5pt" color="#000000 [3213]" miterlimit="8" joinstyle="miter" dashstyle="3 1" endarrow="block"/>
                        <v:imagedata o:title=""/>
                        <o:lock v:ext="edit" aspectratio="f"/>
                      </v:shape>
                      <v:shape id="_x0000_s1026" o:spid="_x0000_s1026" o:spt="202" type="#_x0000_t202" style="position:absolute;left:2385;top:499897;height:419;width:1350;" fillcolor="#FFFFFF [3201]" filled="t" stroked="f" coordsize="21600,21600" o:gfxdata="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0lTTbgAAADbAAAA&#10;DwAAAAAAAAABACAAAAAiAAAAZHJzL2Rvd25yZXYueG1sUEsBAhQAFAAAAAgAh07iQDMvBZ47AAAA&#10;OQAAABAAAAAAAAAAAQAgAAAABwEAAGRycy9zaGFwZXhtbC54bWxQSwUGAAAAAAYABgBbAQAAsQMA&#10;AAAA&#10;">
                        <v:fill on="t" focussize="0,0"/>
                        <v:stroke on="f" weight="0.5pt"/>
                        <v:imagedata o:title=""/>
                        <o:lock v:ext="edit" aspectratio="f"/>
                        <v:textbox>
                          <w:txbxContent>
                            <w:p w14:paraId="408BF5A3">
                              <w:pPr>
                                <w:spacing w:line="240" w:lineRule="auto"/>
                                <w:rPr>
                                  <w:rFonts w:hint="eastAsia" w:eastAsia="宋体"/>
                                  <w:sz w:val="21"/>
                                  <w:szCs w:val="21"/>
                                  <w:lang w:eastAsia="zh-CN"/>
                                </w:rPr>
                              </w:pPr>
                              <w:r>
                                <w:rPr>
                                  <w:rFonts w:hint="eastAsia"/>
                                  <w:sz w:val="21"/>
                                  <w:szCs w:val="21"/>
                                  <w:lang w:eastAsia="zh-CN"/>
                                </w:rPr>
                                <w:t>弃渣、扬尘</w:t>
                              </w:r>
                            </w:p>
                          </w:txbxContent>
                        </v:textbox>
                      </v:shape>
                      <v:shape id="_x0000_s1026" o:spid="_x0000_s1026" o:spt="32" type="#_x0000_t32" style="position:absolute;left:4883;top:500287;flip:y;height:376;width:7;" filled="f" stroked="t" coordsize="21600,21600" o:gfxdata="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iIG&#10;GMEAAADbAAAADwAAAAAAAAABACAAAAAiAAAAZHJzL2Rvd25yZXYueG1sUEsBAhQAFAAAAAgAh07i&#10;QDMvBZ47AAAAOQAAABAAAAAAAAAAAQAgAAAAEAEAAGRycy9zaGFwZXhtbC54bWxQSwUGAAAAAAYA&#10;BgBbAQAAugMAAAAA&#10;">
                        <v:fill on="f" focussize="0,0"/>
                        <v:stroke weight="0.5pt" color="#000000 [3213]" miterlimit="8" joinstyle="miter" dashstyle="3 1" endarrow="block"/>
                        <v:imagedata o:title=""/>
                        <o:lock v:ext="edit" aspectratio="f"/>
                      </v:shape>
                      <v:shape id="_x0000_s1026" o:spid="_x0000_s1026" o:spt="202" type="#_x0000_t202" style="position:absolute;left:3960;top:499852;height:420;width:1889;" fillcolor="#FFFFFF [3201]" filled="t" stroked="f" coordsize="21600,21600" o:gfxdata="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XaKG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14:paraId="6A28A701">
                              <w:pPr>
                                <w:spacing w:line="240" w:lineRule="auto"/>
                                <w:rPr>
                                  <w:rFonts w:hint="eastAsia" w:eastAsia="宋体"/>
                                  <w:sz w:val="21"/>
                                  <w:szCs w:val="21"/>
                                  <w:lang w:eastAsia="zh-CN"/>
                                </w:rPr>
                              </w:pPr>
                              <w:r>
                                <w:rPr>
                                  <w:rFonts w:hint="eastAsia"/>
                                  <w:sz w:val="21"/>
                                  <w:szCs w:val="21"/>
                                  <w:lang w:eastAsia="zh-CN"/>
                                </w:rPr>
                                <w:t>废水、扬尘、噪声</w:t>
                              </w:r>
                            </w:p>
                          </w:txbxContent>
                        </v:textbox>
                      </v:shape>
                      <v:shape id="_x0000_s1026" o:spid="_x0000_s1026" o:spt="32" type="#_x0000_t32" style="position:absolute;left:8430;top:500287;flip:x y;height:330;width:15;" filled="f" stroked="t" coordsize="21600,21600" o:gfxdata="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TLnwvQAA&#10;ANsAAAAPAAAAAAAAAAEAIAAAACIAAABkcnMvZG93bnJldi54bWxQSwECFAAUAAAACACHTuJAMy8F&#10;njsAAAA5AAAAEAAAAAAAAAABACAAAAAMAQAAZHJzL3NoYXBleG1sLnhtbFBLBQYAAAAABgAGAFsB&#10;AAC2AwAAAAA=&#10;">
                        <v:fill on="f" focussize="0,0"/>
                        <v:stroke weight="0.5pt" color="#000000 [3213]" miterlimit="8" joinstyle="miter" dashstyle="3 1" endarrow="block"/>
                        <v:imagedata o:title=""/>
                        <o:lock v:ext="edit" aspectratio="f"/>
                      </v:shape>
                      <v:shape id="_x0000_s1026" o:spid="_x0000_s1026" o:spt="202" type="#_x0000_t202" style="position:absolute;left:7785;top:499852;height:405;width:1321;" fillcolor="#FFFFFF [3201]" filled="t" stroked="f" coordsize="21600,21600" o:gfxdata="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JVTr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0706975F">
                              <w:pPr>
                                <w:spacing w:line="240" w:lineRule="auto"/>
                                <w:rPr>
                                  <w:rFonts w:hint="eastAsia" w:eastAsia="宋体"/>
                                  <w:sz w:val="21"/>
                                  <w:szCs w:val="21"/>
                                  <w:lang w:eastAsia="zh-CN"/>
                                </w:rPr>
                              </w:pPr>
                              <w:r>
                                <w:rPr>
                                  <w:rFonts w:hint="eastAsia"/>
                                  <w:sz w:val="21"/>
                                  <w:szCs w:val="21"/>
                                  <w:lang w:eastAsia="zh-CN"/>
                                </w:rPr>
                                <w:t>扬尘、噪声</w:t>
                              </w:r>
                            </w:p>
                          </w:txbxContent>
                        </v:textbox>
                      </v:shape>
                      <v:shape id="_x0000_s1026" o:spid="_x0000_s1026" o:spt="32" type="#_x0000_t32" style="position:absolute;left:8460;top:502147;flip:x;height:360;width:7;" filled="f" stroked="t" coordsize="21600,21600" o:gfxdata="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GQAb&#10;wAAAANsAAAAPAAAAAAAAAAEAIAAAACIAAABkcnMvZG93bnJldi54bWxQSwECFAAUAAAACACHTuJA&#10;My8FnjsAAAA5AAAAEAAAAAAAAAABACAAAAAPAQAAZHJzL3NoYXBleG1sLnhtbFBLBQYAAAAABgAG&#10;AFsBAAC5AwAAAAA=&#10;">
                        <v:fill on="f" focussize="0,0"/>
                        <v:stroke weight="0.5pt" color="#000000 [3213]" miterlimit="8" joinstyle="miter" dashstyle="3 1" endarrow="block"/>
                        <v:imagedata o:title=""/>
                        <o:lock v:ext="edit" aspectratio="f"/>
                      </v:shape>
                      <v:shape id="_x0000_s1026" o:spid="_x0000_s1026" o:spt="202" type="#_x0000_t202" style="position:absolute;left:7801;top:502523;height:433;width:1334;" fillcolor="#FFFFFF [3201]" filled="t" stroked="f" coordsize="21600,21600" o:gfxdata="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orsAAADb&#10;AAAADwAAAAAAAAABACAAAAAiAAAAZHJzL2Rvd25yZXYueG1sUEsBAhQAFAAAAAgAh07iQDMvBZ47&#10;AAAAOQAAABAAAAAAAAAAAQAgAAAACgEAAGRycy9zaGFwZXhtbC54bWxQSwUGAAAAAAYABgBbAQAA&#10;tAMAAAAA&#10;">
                        <v:fill on="t" focussize="0,0"/>
                        <v:stroke on="f" weight="0.5pt"/>
                        <v:imagedata o:title=""/>
                        <o:lock v:ext="edit" aspectratio="f"/>
                        <v:textbox>
                          <w:txbxContent>
                            <w:p w14:paraId="706E8AC3">
                              <w:pPr>
                                <w:spacing w:line="240" w:lineRule="auto"/>
                                <w:rPr>
                                  <w:rFonts w:hint="eastAsia" w:eastAsia="宋体"/>
                                  <w:sz w:val="21"/>
                                  <w:szCs w:val="21"/>
                                  <w:lang w:eastAsia="zh-CN"/>
                                </w:rPr>
                              </w:pPr>
                              <w:r>
                                <w:rPr>
                                  <w:rFonts w:hint="eastAsia"/>
                                  <w:sz w:val="21"/>
                                  <w:szCs w:val="21"/>
                                  <w:lang w:eastAsia="zh-CN"/>
                                </w:rPr>
                                <w:t>扬尘、噪声</w:t>
                              </w:r>
                            </w:p>
                          </w:txbxContent>
                        </v:textbox>
                      </v:shape>
                    </v:group>
                  </w:pict>
                </mc:Fallback>
              </mc:AlternateContent>
            </w:r>
          </w:p>
          <w:p w14:paraId="6E9B958B">
            <w:pPr>
              <w:bidi w:val="0"/>
              <w:rPr>
                <w:rFonts w:hint="eastAsia" w:ascii="Times New Roman" w:hAnsi="Times New Roman" w:eastAsia="宋体" w:cstheme="minorBidi"/>
                <w:kern w:val="2"/>
                <w:sz w:val="24"/>
                <w:szCs w:val="24"/>
                <w:lang w:val="en-US" w:eastAsia="zh-CN" w:bidi="ar-SA"/>
              </w:rPr>
            </w:pPr>
          </w:p>
          <w:p w14:paraId="01EF9B7F">
            <w:pPr>
              <w:bidi w:val="0"/>
              <w:rPr>
                <w:rFonts w:hint="eastAsia"/>
                <w:lang w:val="en-US" w:eastAsia="zh-CN"/>
              </w:rPr>
            </w:pPr>
          </w:p>
          <w:p w14:paraId="30A3ED53">
            <w:pPr>
              <w:bidi w:val="0"/>
              <w:rPr>
                <w:rFonts w:hint="eastAsia"/>
                <w:lang w:val="en-US" w:eastAsia="zh-CN"/>
              </w:rPr>
            </w:pPr>
          </w:p>
          <w:p w14:paraId="7F8CAE73">
            <w:pPr>
              <w:bidi w:val="0"/>
              <w:rPr>
                <w:rFonts w:hint="eastAsia"/>
                <w:lang w:val="en-US" w:eastAsia="zh-CN"/>
              </w:rPr>
            </w:pPr>
          </w:p>
          <w:p w14:paraId="54832095">
            <w:pPr>
              <w:bidi w:val="0"/>
              <w:rPr>
                <w:rFonts w:hint="eastAsia"/>
                <w:lang w:val="en-US" w:eastAsia="zh-CN"/>
              </w:rPr>
            </w:pPr>
          </w:p>
          <w:p w14:paraId="2B3FE720">
            <w:pPr>
              <w:bidi w:val="0"/>
              <w:rPr>
                <w:rFonts w:hint="eastAsia"/>
                <w:lang w:val="en-US" w:eastAsia="zh-CN"/>
              </w:rPr>
            </w:pPr>
          </w:p>
          <w:p w14:paraId="2EC47E7D">
            <w:pPr>
              <w:tabs>
                <w:tab w:val="left" w:pos="632"/>
              </w:tabs>
              <w:bidi w:val="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图5-1 项目施工工艺流程图</w:t>
            </w:r>
          </w:p>
          <w:p w14:paraId="092F50A6">
            <w:pPr>
              <w:numPr>
                <w:ilvl w:val="0"/>
                <w:numId w:val="24"/>
              </w:numPr>
              <w:tabs>
                <w:tab w:val="left" w:pos="632"/>
                <w:tab w:val="clear" w:pos="312"/>
              </w:tabs>
              <w:bidi w:val="0"/>
              <w:ind w:firstLine="482" w:firstLineChars="200"/>
              <w:jc w:val="both"/>
              <w:rPr>
                <w:rFonts w:hint="eastAsia" w:ascii="Times New Roman" w:hAnsi="Times New Roman" w:cs="Times New Roman"/>
                <w:b/>
                <w:bCs/>
                <w:lang w:val="en-US" w:eastAsia="zh-CN"/>
              </w:rPr>
            </w:pPr>
            <w:r>
              <w:rPr>
                <w:rFonts w:hint="eastAsia" w:ascii="Times New Roman" w:hAnsi="Times New Roman" w:cs="Times New Roman"/>
                <w:b/>
                <w:bCs/>
                <w:lang w:val="en-US" w:eastAsia="zh-CN"/>
              </w:rPr>
              <w:t>地面清理</w:t>
            </w:r>
          </w:p>
          <w:p w14:paraId="78A45F9A">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首先进行物探，确定地下设施的准确位置，然后开始施工场地的清理工作清理工地范围内阻碍施工的各种构筑物、障碍物以及丛林树木、树墩、树根等。迁移管线或拆移设施，为临时和主体工程施工创造条件。</w:t>
            </w:r>
          </w:p>
          <w:p w14:paraId="481C66B4">
            <w:pPr>
              <w:keepNext w:val="0"/>
              <w:keepLines w:val="0"/>
              <w:widowControl/>
              <w:numPr>
                <w:ilvl w:val="0"/>
                <w:numId w:val="24"/>
              </w:numPr>
              <w:suppressLineNumbers w:val="0"/>
              <w:ind w:left="0" w:leftChars="0" w:firstLine="482" w:firstLineChars="200"/>
              <w:jc w:val="left"/>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土方开挖</w:t>
            </w:r>
          </w:p>
          <w:p w14:paraId="0A65D884">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采用机械和人工挖土，控制好基坑标高，采用基底预留</w:t>
            </w:r>
            <w:r>
              <w:rPr>
                <w:rFonts w:hint="default" w:ascii="Times New Roman" w:hAnsi="Times New Roman" w:eastAsia="TimesNewRomanPSMT" w:cs="Times New Roman"/>
                <w:color w:val="000000"/>
                <w:kern w:val="0"/>
                <w:sz w:val="24"/>
                <w:szCs w:val="24"/>
                <w:lang w:val="en-US" w:eastAsia="zh-CN" w:bidi="ar"/>
              </w:rPr>
              <w:t xml:space="preserve">±100mm </w:t>
            </w:r>
            <w:r>
              <w:rPr>
                <w:rFonts w:hint="default" w:ascii="Times New Roman" w:hAnsi="Times New Roman" w:eastAsia="宋体" w:cs="Times New Roman"/>
                <w:color w:val="000000"/>
                <w:kern w:val="0"/>
                <w:sz w:val="24"/>
                <w:szCs w:val="24"/>
                <w:lang w:val="en-US" w:eastAsia="zh-CN" w:bidi="ar"/>
              </w:rPr>
              <w:t>厚用人工清底修平的方法，尽量避免超挖现象。</w:t>
            </w:r>
            <w:r>
              <w:rPr>
                <w:rFonts w:hint="eastAsia" w:ascii="宋体" w:hAnsi="宋体" w:eastAsia="宋体" w:cs="宋体"/>
                <w:color w:val="000000"/>
                <w:kern w:val="0"/>
                <w:sz w:val="24"/>
                <w:szCs w:val="24"/>
                <w:lang w:val="en-US" w:eastAsia="zh-CN" w:bidi="ar"/>
              </w:rPr>
              <w:t>土石方开挖的施工顺序：测量放线定出综合管廊中线</w:t>
            </w:r>
            <w:r>
              <w:rPr>
                <w:rFonts w:ascii="TimesNewRomanPSMT" w:hAnsi="TimesNewRomanPSMT" w:eastAsia="TimesNewRomanPSMT" w:cs="TimesNewRomanPSMT"/>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根据综合管廊中线依据合理的放坡系数定出综合管廊沟槽开挖边线</w:t>
            </w:r>
            <w:r>
              <w:rPr>
                <w:rFonts w:hint="default" w:ascii="TimesNewRomanPSMT" w:hAnsi="TimesNewRomanPSMT" w:eastAsia="TimesNewRomanPSMT" w:cs="TimesNewRomanPSMT"/>
                <w:color w:val="000000"/>
                <w:kern w:val="0"/>
                <w:sz w:val="24"/>
                <w:szCs w:val="24"/>
                <w:lang w:val="en-US" w:eastAsia="zh-CN" w:bidi="ar"/>
              </w:rPr>
              <w:t>→</w:t>
            </w:r>
            <w:r>
              <w:rPr>
                <w:rFonts w:hint="eastAsia" w:ascii="TimesNewRomanPSMT" w:hAnsi="TimesNewRomanPSMT" w:eastAsia="TimesNewRomanPSMT" w:cs="TimesNewRomanPSMT"/>
                <w:color w:val="000000"/>
                <w:kern w:val="0"/>
                <w:sz w:val="24"/>
                <w:szCs w:val="24"/>
                <w:lang w:val="en-US" w:eastAsia="zh-CN" w:bidi="ar"/>
              </w:rPr>
              <w:t>投</w:t>
            </w:r>
            <w:r>
              <w:rPr>
                <w:rFonts w:hint="eastAsia" w:ascii="宋体" w:hAnsi="宋体" w:eastAsia="宋体" w:cs="宋体"/>
                <w:color w:val="000000"/>
                <w:kern w:val="0"/>
                <w:sz w:val="24"/>
                <w:szCs w:val="24"/>
                <w:lang w:val="en-US" w:eastAsia="zh-CN" w:bidi="ar"/>
              </w:rPr>
              <w:t>入机械进行土石方开挖</w:t>
            </w:r>
            <w:r>
              <w:rPr>
                <w:rFonts w:hint="default" w:ascii="TimesNewRomanPSMT" w:hAnsi="TimesNewRomanPSMT" w:eastAsia="TimesNewRomanPSMT" w:cs="TimesNewRomanPSMT"/>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人工修边检平基坑</w:t>
            </w:r>
            <w:r>
              <w:rPr>
                <w:rFonts w:hint="default" w:ascii="TimesNewRomanPSMT" w:hAnsi="TimesNewRomanPSMT" w:eastAsia="TimesNewRomanPSMT" w:cs="TimesNewRomanPSMT"/>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验槽合格</w:t>
            </w:r>
            <w:r>
              <w:rPr>
                <w:rFonts w:hint="default" w:ascii="TimesNewRomanPSMT" w:hAnsi="TimesNewRomanPSMT" w:eastAsia="TimesNewRomanPSMT" w:cs="TimesNewRomanPSMT"/>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进入下道工序的施工。</w:t>
            </w:r>
          </w:p>
          <w:p w14:paraId="57C540C1">
            <w:pPr>
              <w:keepNext w:val="0"/>
              <w:keepLines w:val="0"/>
              <w:widowControl/>
              <w:numPr>
                <w:ilvl w:val="0"/>
                <w:numId w:val="24"/>
              </w:numPr>
              <w:suppressLineNumbers w:val="0"/>
              <w:ind w:left="0" w:leftChars="0" w:firstLine="482" w:firstLineChars="200"/>
              <w:jc w:val="left"/>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现场维护</w:t>
            </w:r>
          </w:p>
          <w:p w14:paraId="241F5D5C">
            <w:pPr>
              <w:keepNext w:val="0"/>
              <w:keepLines w:val="0"/>
              <w:widowControl/>
              <w:numPr>
                <w:ilvl w:val="0"/>
                <w:numId w:val="0"/>
              </w:numPr>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土方开挖后产生扬尘和大量土石方，对施工现场进行维护，采取防治措施，避免对周围环境造成很大的影响。</w:t>
            </w:r>
          </w:p>
          <w:p w14:paraId="08C27FDA">
            <w:pPr>
              <w:keepNext w:val="0"/>
              <w:keepLines w:val="0"/>
              <w:widowControl/>
              <w:numPr>
                <w:ilvl w:val="0"/>
                <w:numId w:val="24"/>
              </w:numPr>
              <w:suppressLineNumbers w:val="0"/>
              <w:ind w:left="0" w:leftChars="0" w:firstLine="482" w:firstLineChars="200"/>
              <w:jc w:val="left"/>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管廊浇筑</w:t>
            </w:r>
          </w:p>
          <w:p w14:paraId="23D274BF">
            <w:pPr>
              <w:keepNext w:val="0"/>
              <w:keepLines w:val="0"/>
              <w:widowControl/>
              <w:suppressLineNumbers w:val="0"/>
              <w:ind w:firstLine="480" w:firstLineChars="200"/>
              <w:jc w:val="left"/>
              <w:rPr>
                <w:rFonts w:hint="eastAsia" w:ascii="Times New Roman" w:hAnsi="Times New Roman" w:eastAsia="宋体" w:cs="Times New Roman"/>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管廊结构施工步骤：垫层、底板防水层</w:t>
            </w:r>
            <w:r>
              <w:rPr>
                <w:rFonts w:ascii="TimesNewRomanPSMT" w:hAnsi="TimesNewRomanPSMT" w:eastAsia="TimesNewRomanPSMT" w:cs="TimesNewRomanPSMT"/>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底板</w:t>
            </w:r>
            <w:r>
              <w:rPr>
                <w:rFonts w:hint="default" w:ascii="TimesNewRomanPSMT" w:hAnsi="TimesNewRomanPSMT" w:eastAsia="TimesNewRomanPSMT" w:cs="TimesNewRomanPSMT"/>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侧墙、顶板、结构防水层。综合管廊顶、底板为大体积混凝土，为避免混凝土水化热过高，主体结构强度等级宜</w:t>
            </w:r>
            <w:r>
              <w:rPr>
                <w:rFonts w:hint="default" w:ascii="Times New Roman" w:hAnsi="Times New Roman" w:eastAsia="宋体" w:cs="Times New Roman"/>
                <w:color w:val="000000"/>
                <w:kern w:val="0"/>
                <w:sz w:val="24"/>
                <w:szCs w:val="24"/>
                <w:lang w:val="en-US" w:eastAsia="zh-CN" w:bidi="ar"/>
              </w:rPr>
              <w:t xml:space="preserve">在 </w:t>
            </w:r>
            <w:r>
              <w:rPr>
                <w:rFonts w:hint="default" w:ascii="Times New Roman" w:hAnsi="Times New Roman" w:eastAsia="TimesNewRomanPSMT" w:cs="Times New Roman"/>
                <w:color w:val="000000"/>
                <w:kern w:val="0"/>
                <w:sz w:val="24"/>
                <w:szCs w:val="24"/>
                <w:lang w:val="en-US" w:eastAsia="zh-CN" w:bidi="ar"/>
              </w:rPr>
              <w:t xml:space="preserve">C20~C35 </w:t>
            </w:r>
            <w:r>
              <w:rPr>
                <w:rFonts w:hint="default" w:ascii="Times New Roman" w:hAnsi="Times New Roman" w:eastAsia="宋体" w:cs="Times New Roman"/>
                <w:color w:val="000000"/>
                <w:kern w:val="0"/>
                <w:sz w:val="24"/>
                <w:szCs w:val="24"/>
                <w:lang w:val="en-US" w:eastAsia="zh-CN" w:bidi="ar"/>
              </w:rPr>
              <w:t xml:space="preserve">之间，特殊情况下应控制在 </w:t>
            </w:r>
            <w:r>
              <w:rPr>
                <w:rFonts w:hint="default" w:ascii="Times New Roman" w:hAnsi="Times New Roman" w:eastAsia="TimesNewRomanPSMT" w:cs="Times New Roman"/>
                <w:color w:val="000000"/>
                <w:kern w:val="0"/>
                <w:sz w:val="24"/>
                <w:szCs w:val="24"/>
                <w:lang w:val="en-US" w:eastAsia="zh-CN" w:bidi="ar"/>
              </w:rPr>
              <w:t xml:space="preserve">C40 </w:t>
            </w:r>
            <w:r>
              <w:rPr>
                <w:rFonts w:hint="default" w:ascii="Times New Roman" w:hAnsi="Times New Roman" w:eastAsia="宋体" w:cs="Times New Roman"/>
                <w:color w:val="000000"/>
                <w:kern w:val="0"/>
                <w:sz w:val="24"/>
                <w:szCs w:val="24"/>
                <w:lang w:val="en-US" w:eastAsia="zh-CN" w:bidi="ar"/>
              </w:rPr>
              <w:t>左右</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钢筋除满足结构应力外，还应能承受因水泥水化热引起的温度应力及控制出现裂缝</w:t>
            </w:r>
            <w:r>
              <w:rPr>
                <w:rFonts w:hint="eastAsia" w:ascii="Times New Roman" w:hAnsi="Times New Roman" w:eastAsia="宋体" w:cs="Times New Roman"/>
                <w:color w:val="000000"/>
                <w:kern w:val="0"/>
                <w:sz w:val="24"/>
                <w:szCs w:val="24"/>
                <w:lang w:val="en-US" w:eastAsia="zh-CN" w:bidi="ar"/>
              </w:rPr>
              <w:t>。</w:t>
            </w:r>
          </w:p>
          <w:p w14:paraId="624AEF68">
            <w:pPr>
              <w:keepNext w:val="0"/>
              <w:keepLines w:val="0"/>
              <w:widowControl/>
              <w:numPr>
                <w:ilvl w:val="0"/>
                <w:numId w:val="24"/>
              </w:numPr>
              <w:suppressLineNumbers w:val="0"/>
              <w:ind w:left="0" w:leftChars="0" w:firstLine="482" w:firstLineChars="200"/>
              <w:jc w:val="left"/>
              <w:rPr>
                <w:rFonts w:hint="eastAsia"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土方回填</w:t>
            </w:r>
          </w:p>
          <w:p w14:paraId="5A604064">
            <w:pPr>
              <w:keepNext w:val="0"/>
              <w:keepLines w:val="0"/>
              <w:widowControl/>
              <w:numPr>
                <w:ilvl w:val="0"/>
                <w:numId w:val="0"/>
              </w:numPr>
              <w:suppressLineNumbers w:val="0"/>
              <w:ind w:firstLine="480" w:firstLineChars="200"/>
              <w:jc w:val="both"/>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土方回填采用中粗砂回填，严格控制填土压实度。</w:t>
            </w:r>
          </w:p>
          <w:p w14:paraId="528680B9">
            <w:pPr>
              <w:keepNext w:val="0"/>
              <w:keepLines w:val="0"/>
              <w:widowControl/>
              <w:numPr>
                <w:ilvl w:val="0"/>
                <w:numId w:val="24"/>
              </w:numPr>
              <w:suppressLineNumbers w:val="0"/>
              <w:ind w:left="0" w:leftChars="0" w:firstLine="482" w:firstLineChars="200"/>
              <w:jc w:val="left"/>
              <w:rPr>
                <w:rFonts w:hint="eastAsia"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施工组织</w:t>
            </w:r>
          </w:p>
          <w:p w14:paraId="35DF91E9">
            <w:pPr>
              <w:keepNext w:val="0"/>
              <w:keepLines w:val="0"/>
              <w:widowControl/>
              <w:numPr>
                <w:ilvl w:val="0"/>
                <w:numId w:val="0"/>
              </w:numPr>
              <w:suppressLineNumbers w:val="0"/>
              <w:ind w:firstLine="480" w:firstLineChars="200"/>
              <w:jc w:val="left"/>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（1）主要材料及来源</w:t>
            </w:r>
          </w:p>
          <w:p w14:paraId="1E9ED333">
            <w:pPr>
              <w:keepNext w:val="0"/>
              <w:keepLines w:val="0"/>
              <w:widowControl/>
              <w:numPr>
                <w:ilvl w:val="0"/>
                <w:numId w:val="0"/>
              </w:numPr>
              <w:suppressLineNumbers w:val="0"/>
              <w:ind w:firstLine="480" w:firstLineChars="200"/>
              <w:jc w:val="left"/>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项目建设所需的建筑材料根据就近原则全部外购，工程所需的砂、石料购于当地合法砂、石料场，工程建设布设砂、石料场。工程建设所需混凝土以商品形式购入。</w:t>
            </w:r>
            <w:r>
              <w:rPr>
                <w:rFonts w:hint="eastAsia" w:cs="Times New Roman"/>
                <w:color w:val="000000"/>
                <w:kern w:val="0"/>
                <w:sz w:val="24"/>
                <w:szCs w:val="24"/>
                <w:lang w:val="en-US" w:eastAsia="zh-CN" w:bidi="ar"/>
              </w:rPr>
              <w:t>项目所需的沥青全部外购。</w:t>
            </w:r>
            <w:r>
              <w:rPr>
                <w:rFonts w:hint="eastAsia" w:ascii="Times New Roman" w:hAnsi="Times New Roman" w:eastAsia="宋体" w:cs="Times New Roman"/>
                <w:color w:val="000000"/>
                <w:kern w:val="0"/>
                <w:sz w:val="24"/>
                <w:szCs w:val="24"/>
                <w:lang w:val="en-US" w:eastAsia="zh-CN" w:bidi="ar"/>
              </w:rPr>
              <w:t>项目的施工用水、用电可就近利用市政水电接入点进行引接。</w:t>
            </w:r>
          </w:p>
          <w:p w14:paraId="6D78376B">
            <w:pPr>
              <w:keepNext w:val="0"/>
              <w:keepLines w:val="0"/>
              <w:widowControl/>
              <w:numPr>
                <w:ilvl w:val="0"/>
                <w:numId w:val="0"/>
              </w:numPr>
              <w:suppressLineNumbers w:val="0"/>
              <w:ind w:leftChars="200"/>
              <w:jc w:val="left"/>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（2）施工人数</w:t>
            </w:r>
          </w:p>
          <w:p w14:paraId="303C852C">
            <w:pPr>
              <w:keepNext w:val="0"/>
              <w:keepLines w:val="0"/>
              <w:widowControl/>
              <w:numPr>
                <w:ilvl w:val="0"/>
                <w:numId w:val="0"/>
              </w:numPr>
              <w:suppressLineNumbers w:val="0"/>
              <w:ind w:leftChars="200"/>
              <w:jc w:val="left"/>
              <w:rPr>
                <w:rFonts w:hint="default" w:ascii="Times New Roman" w:hAnsi="Times New Roman" w:eastAsia="宋体" w:cs="Times New Roman"/>
                <w:color w:val="auto"/>
                <w:kern w:val="0"/>
                <w:sz w:val="24"/>
                <w:szCs w:val="24"/>
                <w:lang w:val="en-US" w:eastAsia="zh-CN" w:bidi="ar"/>
              </w:rPr>
            </w:pPr>
            <w:r>
              <w:rPr>
                <w:rFonts w:hint="eastAsia" w:cs="Times New Roman"/>
                <w:color w:val="auto"/>
                <w:kern w:val="0"/>
                <w:sz w:val="24"/>
                <w:szCs w:val="24"/>
                <w:lang w:val="en-US" w:eastAsia="zh-CN" w:bidi="ar"/>
              </w:rPr>
              <w:t>项目平均施工人员310人，管理人员约为80人，多为当地人。</w:t>
            </w:r>
          </w:p>
          <w:p w14:paraId="4B825CD7">
            <w:pPr>
              <w:keepNext w:val="0"/>
              <w:keepLines w:val="0"/>
              <w:widowControl/>
              <w:numPr>
                <w:ilvl w:val="0"/>
                <w:numId w:val="20"/>
              </w:numPr>
              <w:suppressLineNumbers w:val="0"/>
              <w:ind w:left="0" w:leftChars="0" w:firstLine="480" w:firstLineChars="200"/>
              <w:jc w:val="left"/>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施工机械</w:t>
            </w:r>
          </w:p>
          <w:p w14:paraId="60578412">
            <w:pPr>
              <w:keepNext w:val="0"/>
              <w:keepLines w:val="0"/>
              <w:widowControl/>
              <w:numPr>
                <w:ilvl w:val="0"/>
                <w:numId w:val="0"/>
              </w:numPr>
              <w:suppressLineNumbers w:val="0"/>
              <w:ind w:firstLine="480" w:firstLineChars="200"/>
              <w:jc w:val="left"/>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本项目建设过程中主要的机械设备有：挖</w:t>
            </w:r>
            <w:r>
              <w:rPr>
                <w:rFonts w:hint="eastAsia" w:cs="Times New Roman"/>
                <w:color w:val="000000"/>
                <w:kern w:val="0"/>
                <w:sz w:val="24"/>
                <w:szCs w:val="24"/>
                <w:lang w:val="en-US" w:eastAsia="zh-CN" w:bidi="ar"/>
              </w:rPr>
              <w:t>土</w:t>
            </w:r>
            <w:r>
              <w:rPr>
                <w:rFonts w:hint="eastAsia" w:ascii="Times New Roman" w:hAnsi="Times New Roman" w:eastAsia="宋体" w:cs="Times New Roman"/>
                <w:color w:val="000000"/>
                <w:kern w:val="0"/>
                <w:sz w:val="24"/>
                <w:szCs w:val="24"/>
                <w:lang w:val="en-US" w:eastAsia="zh-CN" w:bidi="ar"/>
              </w:rPr>
              <w:t>机、</w:t>
            </w:r>
            <w:r>
              <w:rPr>
                <w:rFonts w:hint="eastAsia" w:cs="Times New Roman"/>
                <w:color w:val="000000"/>
                <w:kern w:val="0"/>
                <w:sz w:val="24"/>
                <w:szCs w:val="24"/>
                <w:lang w:val="en-US" w:eastAsia="zh-CN" w:bidi="ar"/>
              </w:rPr>
              <w:t>载重车</w:t>
            </w:r>
            <w:r>
              <w:rPr>
                <w:rFonts w:hint="eastAsia" w:ascii="Times New Roman" w:hAnsi="Times New Roman" w:eastAsia="宋体" w:cs="Times New Roman"/>
                <w:color w:val="000000"/>
                <w:kern w:val="0"/>
                <w:sz w:val="24"/>
                <w:szCs w:val="24"/>
                <w:lang w:val="en-US" w:eastAsia="zh-CN" w:bidi="ar"/>
              </w:rPr>
              <w:t>、打桩机、</w:t>
            </w:r>
            <w:r>
              <w:rPr>
                <w:rFonts w:hint="eastAsia" w:cs="Times New Roman"/>
                <w:color w:val="000000"/>
                <w:kern w:val="0"/>
                <w:sz w:val="24"/>
                <w:szCs w:val="24"/>
                <w:lang w:val="en-US" w:eastAsia="zh-CN" w:bidi="ar"/>
              </w:rPr>
              <w:t>电焊机</w:t>
            </w:r>
            <w:r>
              <w:rPr>
                <w:rFonts w:hint="eastAsia" w:ascii="Times New Roman" w:hAnsi="Times New Roman" w:eastAsia="宋体" w:cs="Times New Roman"/>
                <w:color w:val="000000"/>
                <w:kern w:val="0"/>
                <w:sz w:val="24"/>
                <w:szCs w:val="24"/>
                <w:lang w:val="en-US" w:eastAsia="zh-CN" w:bidi="ar"/>
              </w:rPr>
              <w:t>及其他辅助设备等。</w:t>
            </w:r>
          </w:p>
          <w:p w14:paraId="7DA92A92">
            <w:pPr>
              <w:keepNext w:val="0"/>
              <w:keepLines w:val="0"/>
              <w:widowControl/>
              <w:numPr>
                <w:ilvl w:val="0"/>
                <w:numId w:val="20"/>
              </w:numPr>
              <w:suppressLineNumbers w:val="0"/>
              <w:ind w:left="0" w:leftChars="0" w:firstLine="480" w:firstLineChars="200"/>
              <w:jc w:val="left"/>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施工交通路线</w:t>
            </w:r>
          </w:p>
          <w:p w14:paraId="44C35D54">
            <w:pPr>
              <w:keepNext w:val="0"/>
              <w:keepLines w:val="0"/>
              <w:widowControl/>
              <w:numPr>
                <w:ilvl w:val="0"/>
                <w:numId w:val="0"/>
              </w:numPr>
              <w:suppressLineNumbers w:val="0"/>
              <w:ind w:firstLine="480" w:firstLineChars="200"/>
              <w:jc w:val="left"/>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项目交通</w:t>
            </w:r>
            <w:r>
              <w:rPr>
                <w:rFonts w:hint="eastAsia" w:cs="Times New Roman"/>
                <w:color w:val="000000"/>
                <w:kern w:val="0"/>
                <w:sz w:val="24"/>
                <w:szCs w:val="24"/>
                <w:lang w:val="en-US" w:eastAsia="zh-CN" w:bidi="ar"/>
              </w:rPr>
              <w:t>路线可利用场地</w:t>
            </w:r>
            <w:r>
              <w:rPr>
                <w:rFonts w:hint="eastAsia" w:ascii="Times New Roman" w:hAnsi="Times New Roman" w:eastAsia="宋体" w:cs="Times New Roman"/>
                <w:color w:val="000000"/>
                <w:kern w:val="0"/>
                <w:sz w:val="24"/>
                <w:szCs w:val="24"/>
                <w:lang w:val="en-US" w:eastAsia="zh-CN" w:bidi="ar"/>
              </w:rPr>
              <w:t>周边已有的路网，交通便利。</w:t>
            </w:r>
          </w:p>
          <w:p w14:paraId="5B14868B">
            <w:pPr>
              <w:keepNext w:val="0"/>
              <w:keepLines w:val="0"/>
              <w:widowControl/>
              <w:numPr>
                <w:ilvl w:val="0"/>
                <w:numId w:val="20"/>
              </w:numPr>
              <w:suppressLineNumbers w:val="0"/>
              <w:ind w:left="0" w:leftChars="0" w:firstLine="480" w:firstLineChars="200"/>
              <w:jc w:val="left"/>
              <w:rPr>
                <w:rFonts w:hint="eastAsia" w:ascii="Times New Roman" w:hAnsi="Times New Roman" w:cs="Times New Roman"/>
                <w:b w:val="0"/>
                <w:bCs w:val="0"/>
                <w:color w:val="auto"/>
                <w:lang w:val="en-US" w:eastAsia="zh-CN"/>
              </w:rPr>
            </w:pPr>
            <w:r>
              <w:rPr>
                <w:rFonts w:hint="eastAsia" w:ascii="Times New Roman" w:hAnsi="Times New Roman" w:cs="Times New Roman"/>
                <w:b w:val="0"/>
                <w:bCs w:val="0"/>
                <w:color w:val="auto"/>
                <w:lang w:val="en-US" w:eastAsia="zh-CN"/>
              </w:rPr>
              <w:t>施工营地</w:t>
            </w:r>
          </w:p>
          <w:p w14:paraId="471CCB13">
            <w:pPr>
              <w:keepNext w:val="0"/>
              <w:keepLines w:val="0"/>
              <w:widowControl/>
              <w:numPr>
                <w:ilvl w:val="0"/>
                <w:numId w:val="0"/>
              </w:numPr>
              <w:suppressLineNumbers w:val="0"/>
              <w:ind w:firstLine="480" w:firstLineChars="200"/>
              <w:jc w:val="left"/>
              <w:rPr>
                <w:rFonts w:hint="eastAsia" w:ascii="Times New Roman" w:hAnsi="Times New Roman" w:cs="Times New Roman"/>
                <w:b w:val="0"/>
                <w:bCs w:val="0"/>
                <w:lang w:val="en-US" w:eastAsia="zh-CN"/>
              </w:rPr>
            </w:pPr>
            <w:r>
              <w:rPr>
                <w:rFonts w:hint="eastAsia" w:ascii="Times New Roman" w:hAnsi="Times New Roman" w:cs="Times New Roman"/>
                <w:b w:val="0"/>
                <w:bCs w:val="0"/>
                <w:lang w:val="en-US" w:eastAsia="zh-CN"/>
              </w:rPr>
              <w:t>本项目不设施工营场地，</w:t>
            </w:r>
            <w:r>
              <w:rPr>
                <w:rFonts w:hint="eastAsia" w:cs="Times New Roman"/>
                <w:b w:val="0"/>
                <w:bCs w:val="0"/>
                <w:lang w:val="en-US" w:eastAsia="zh-CN"/>
              </w:rPr>
              <w:t>施工人员</w:t>
            </w:r>
            <w:r>
              <w:rPr>
                <w:rFonts w:hint="eastAsia" w:ascii="Times New Roman" w:hAnsi="Times New Roman" w:cs="Times New Roman"/>
                <w:b w:val="0"/>
                <w:bCs w:val="0"/>
                <w:lang w:val="en-US" w:eastAsia="zh-CN"/>
              </w:rPr>
              <w:t>租</w:t>
            </w:r>
            <w:r>
              <w:rPr>
                <w:rFonts w:hint="eastAsia" w:cs="Times New Roman"/>
                <w:b w:val="0"/>
                <w:bCs w:val="0"/>
                <w:lang w:val="en-US" w:eastAsia="zh-CN"/>
              </w:rPr>
              <w:t>用</w:t>
            </w:r>
            <w:r>
              <w:rPr>
                <w:rFonts w:hint="eastAsia" w:ascii="Times New Roman" w:hAnsi="Times New Roman" w:cs="Times New Roman"/>
                <w:b w:val="0"/>
                <w:bCs w:val="0"/>
                <w:lang w:val="en-US" w:eastAsia="zh-CN"/>
              </w:rPr>
              <w:t>附近房屋，</w:t>
            </w:r>
            <w:r>
              <w:rPr>
                <w:rFonts w:hint="eastAsia" w:cs="Times New Roman"/>
                <w:b w:val="0"/>
                <w:bCs w:val="0"/>
                <w:lang w:val="en-US" w:eastAsia="zh-CN"/>
              </w:rPr>
              <w:t>施工</w:t>
            </w:r>
            <w:r>
              <w:rPr>
                <w:rFonts w:hint="eastAsia" w:ascii="Times New Roman" w:hAnsi="Times New Roman" w:cs="Times New Roman"/>
                <w:b w:val="0"/>
                <w:bCs w:val="0"/>
                <w:lang w:val="en-US" w:eastAsia="zh-CN"/>
              </w:rPr>
              <w:t>期间搭建临时</w:t>
            </w:r>
            <w:r>
              <w:rPr>
                <w:rFonts w:hint="eastAsia" w:cs="Times New Roman"/>
                <w:b w:val="0"/>
                <w:bCs w:val="0"/>
                <w:lang w:val="en-US" w:eastAsia="zh-CN"/>
              </w:rPr>
              <w:t>工棚</w:t>
            </w:r>
            <w:r>
              <w:rPr>
                <w:rFonts w:hint="eastAsia" w:ascii="Times New Roman" w:hAnsi="Times New Roman" w:cs="Times New Roman"/>
                <w:b w:val="0"/>
                <w:bCs w:val="0"/>
                <w:lang w:val="en-US" w:eastAsia="zh-CN"/>
              </w:rPr>
              <w:t>用于看管材料，待施工结束后作拆除清理。</w:t>
            </w:r>
          </w:p>
          <w:p w14:paraId="715FB83E">
            <w:pPr>
              <w:keepNext w:val="0"/>
              <w:keepLines w:val="0"/>
              <w:widowControl/>
              <w:numPr>
                <w:ilvl w:val="0"/>
                <w:numId w:val="20"/>
              </w:numPr>
              <w:suppressLineNumbers w:val="0"/>
              <w:ind w:left="0" w:leftChars="0" w:firstLine="480" w:firstLineChars="200"/>
              <w:jc w:val="left"/>
              <w:rPr>
                <w:rFonts w:hint="eastAsia" w:cs="Times New Roman"/>
                <w:b w:val="0"/>
                <w:bCs w:val="0"/>
                <w:lang w:val="en-US" w:eastAsia="zh-CN"/>
              </w:rPr>
            </w:pPr>
            <w:r>
              <w:rPr>
                <w:rFonts w:hint="eastAsia" w:cs="Times New Roman"/>
                <w:b w:val="0"/>
                <w:bCs w:val="0"/>
                <w:lang w:val="en-US" w:eastAsia="zh-CN"/>
              </w:rPr>
              <w:t>临时弃土场</w:t>
            </w:r>
          </w:p>
          <w:p w14:paraId="6954C3B7">
            <w:pPr>
              <w:keepNext w:val="0"/>
              <w:keepLines w:val="0"/>
              <w:widowControl/>
              <w:numPr>
                <w:ilvl w:val="0"/>
                <w:numId w:val="0"/>
              </w:numPr>
              <w:suppressLineNumbers w:val="0"/>
              <w:ind w:firstLine="480" w:firstLineChars="200"/>
              <w:jc w:val="both"/>
              <w:rPr>
                <w:rFonts w:hint="default" w:cs="Times New Roman"/>
                <w:b w:val="0"/>
                <w:bCs w:val="0"/>
                <w:lang w:val="en-US" w:eastAsia="zh-CN"/>
              </w:rPr>
            </w:pPr>
            <w:r>
              <w:rPr>
                <w:rFonts w:hint="eastAsia" w:cs="Times New Roman"/>
                <w:color w:val="000000"/>
                <w:kern w:val="0"/>
                <w:sz w:val="24"/>
                <w:szCs w:val="24"/>
                <w:lang w:val="en-US" w:eastAsia="zh-CN" w:bidi="ar"/>
              </w:rPr>
              <w:t>本项目临时弃土场选定在芒市帕底分场水库，开挖的土石方运至临时弃土场，回填时将土石方运回。</w:t>
            </w:r>
          </w:p>
          <w:p w14:paraId="05BBC919">
            <w:pPr>
              <w:keepNext w:val="0"/>
              <w:keepLines w:val="0"/>
              <w:widowControl/>
              <w:numPr>
                <w:ilvl w:val="0"/>
                <w:numId w:val="1"/>
              </w:numPr>
              <w:suppressLineNumbers w:val="0"/>
              <w:ind w:left="0" w:leftChars="0" w:firstLine="0" w:firstLineChars="0"/>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营运期</w:t>
            </w:r>
          </w:p>
          <w:p w14:paraId="3FA18A94">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Times New Roman" w:hAnsi="Times New Roman" w:cs="Times New Roman"/>
                <w:b w:val="0"/>
                <w:bCs w:val="0"/>
                <w:lang w:val="en-US" w:eastAsia="zh-CN"/>
              </w:rPr>
              <w:t>本项目为综合管廊的建设，管网敷设于地下管道内，项目建成后营运期主要是对管廊工程进行维护、保养</w:t>
            </w:r>
            <w:r>
              <w:rPr>
                <w:rFonts w:hint="eastAsia" w:ascii="Times New Roman" w:hAnsi="Times New Roman" w:cs="Times New Roman"/>
                <w:b w:val="0"/>
                <w:bCs w:val="0"/>
                <w:sz w:val="24"/>
                <w:szCs w:val="24"/>
                <w:lang w:val="en-US" w:eastAsia="zh-CN"/>
              </w:rPr>
              <w:t>。管廊工程对环境的影响随着施工结束而结束，故运营期无废水、废气等污染物排放。</w:t>
            </w:r>
          </w:p>
          <w:p w14:paraId="2FD51D17">
            <w:pPr>
              <w:keepNext w:val="0"/>
              <w:keepLines w:val="0"/>
              <w:widowControl/>
              <w:suppressLineNumbers w:val="0"/>
              <w:jc w:val="left"/>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主要污染源分析：</w:t>
            </w:r>
          </w:p>
          <w:p w14:paraId="7CAE64E8">
            <w:pPr>
              <w:keepNext w:val="0"/>
              <w:keepLines w:val="0"/>
              <w:widowControl/>
              <w:numPr>
                <w:ilvl w:val="0"/>
                <w:numId w:val="25"/>
              </w:numPr>
              <w:suppressLineNumbers w:val="0"/>
              <w:jc w:val="left"/>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施工期污染物分析</w:t>
            </w:r>
          </w:p>
          <w:p w14:paraId="2BCE53CB">
            <w:pPr>
              <w:keepNext w:val="0"/>
              <w:keepLines w:val="0"/>
              <w:widowControl/>
              <w:numPr>
                <w:ilvl w:val="0"/>
                <w:numId w:val="26"/>
              </w:numPr>
              <w:suppressLineNumbers w:val="0"/>
              <w:ind w:firstLine="482" w:firstLineChars="200"/>
              <w:jc w:val="left"/>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施工废气</w:t>
            </w:r>
          </w:p>
          <w:p w14:paraId="3C5C626C">
            <w:pPr>
              <w:keepNext w:val="0"/>
              <w:keepLines w:val="0"/>
              <w:widowControl/>
              <w:numPr>
                <w:ilvl w:val="0"/>
                <w:numId w:val="0"/>
              </w:numPr>
              <w:suppressLineNumbers w:val="0"/>
              <w:ind w:firstLine="480" w:firstLineChars="20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项目施工期产生的大气污染物主要来自场地清理、开挖和回填、运输过程中产生的扬尘</w:t>
            </w:r>
            <w:r>
              <w:rPr>
                <w:rFonts w:hint="eastAsia" w:ascii="宋体" w:hAnsi="宋体" w:cs="宋体"/>
                <w:b w:val="0"/>
                <w:bCs w:val="0"/>
                <w:color w:val="000000"/>
                <w:kern w:val="0"/>
                <w:sz w:val="24"/>
                <w:szCs w:val="24"/>
                <w:lang w:val="en-US" w:eastAsia="zh-CN" w:bidi="ar"/>
              </w:rPr>
              <w:t>、</w:t>
            </w:r>
            <w:r>
              <w:rPr>
                <w:rFonts w:hint="eastAsia" w:ascii="宋体" w:hAnsi="宋体" w:eastAsia="宋体" w:cs="宋体"/>
                <w:b w:val="0"/>
                <w:bCs w:val="0"/>
                <w:color w:val="000000"/>
                <w:kern w:val="0"/>
                <w:sz w:val="24"/>
                <w:szCs w:val="24"/>
                <w:lang w:val="en-US" w:eastAsia="zh-CN" w:bidi="ar"/>
              </w:rPr>
              <w:t>车辆尾气</w:t>
            </w:r>
            <w:r>
              <w:rPr>
                <w:rFonts w:hint="eastAsia" w:ascii="宋体" w:hAnsi="宋体" w:cs="宋体"/>
                <w:b w:val="0"/>
                <w:bCs w:val="0"/>
                <w:color w:val="000000"/>
                <w:kern w:val="0"/>
                <w:sz w:val="24"/>
                <w:szCs w:val="24"/>
                <w:lang w:val="en-US" w:eastAsia="zh-CN" w:bidi="ar"/>
              </w:rPr>
              <w:t>及少量沥青烟</w:t>
            </w:r>
            <w:r>
              <w:rPr>
                <w:rFonts w:hint="eastAsia" w:ascii="宋体" w:hAnsi="宋体" w:eastAsia="宋体" w:cs="宋体"/>
                <w:b w:val="0"/>
                <w:bCs w:val="0"/>
                <w:color w:val="000000"/>
                <w:kern w:val="0"/>
                <w:sz w:val="24"/>
                <w:szCs w:val="24"/>
                <w:lang w:val="en-US" w:eastAsia="zh-CN" w:bidi="ar"/>
              </w:rPr>
              <w:t>。</w:t>
            </w:r>
          </w:p>
          <w:p w14:paraId="45F55DA1">
            <w:pPr>
              <w:keepNext w:val="0"/>
              <w:keepLines w:val="0"/>
              <w:widowControl/>
              <w:numPr>
                <w:ilvl w:val="0"/>
                <w:numId w:val="27"/>
              </w:numPr>
              <w:suppressLineNumbers w:val="0"/>
              <w:ind w:firstLine="480" w:firstLineChars="20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扬尘</w:t>
            </w:r>
          </w:p>
          <w:p w14:paraId="61E520B8">
            <w:pPr>
              <w:keepNext w:val="0"/>
              <w:keepLines w:val="0"/>
              <w:widowControl/>
              <w:numPr>
                <w:ilvl w:val="0"/>
                <w:numId w:val="0"/>
              </w:numPr>
              <w:suppressLineNumbers w:val="0"/>
              <w:ind w:firstLine="480" w:firstLineChars="200"/>
              <w:jc w:val="left"/>
              <w:rPr>
                <w:rFonts w:hint="default" w:ascii="Times New Roman" w:hAnsi="Times New Roman" w:eastAsia="宋体" w:cs="Times New Roman"/>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项目建设过程中由于部分拆迁、基础开挖、土方回填、建筑材料的运输、装卸、堆放等会产生不同影响程度的扬尘。扬尘的产生与施工方式、土壤湿度、气象条件等有关。在空气干燥、风速较大的气候条件下，施工过程会导致现场尘土飞扬，</w:t>
            </w:r>
            <w:r>
              <w:rPr>
                <w:rFonts w:hint="default" w:ascii="Times New Roman" w:hAnsi="Times New Roman" w:eastAsia="宋体" w:cs="Times New Roman"/>
                <w:b w:val="0"/>
                <w:bCs w:val="0"/>
                <w:color w:val="000000"/>
                <w:kern w:val="0"/>
                <w:sz w:val="24"/>
                <w:szCs w:val="24"/>
                <w:lang w:val="en-US" w:eastAsia="zh-CN" w:bidi="ar"/>
              </w:rPr>
              <w:t>使空气中TSP、PM</w:t>
            </w:r>
            <w:r>
              <w:rPr>
                <w:rFonts w:hint="eastAsia" w:ascii="Times New Roman" w:hAnsi="Times New Roman" w:eastAsia="宋体" w:cs="Times New Roman"/>
                <w:b w:val="0"/>
                <w:bCs w:val="0"/>
                <w:color w:val="000000"/>
                <w:kern w:val="0"/>
                <w:sz w:val="24"/>
                <w:szCs w:val="24"/>
                <w:vertAlign w:val="subscript"/>
                <w:lang w:val="en-US" w:eastAsia="zh-CN" w:bidi="ar"/>
              </w:rPr>
              <w:t>10</w:t>
            </w:r>
            <w:r>
              <w:rPr>
                <w:rFonts w:hint="default" w:ascii="Times New Roman" w:hAnsi="Times New Roman" w:eastAsia="宋体" w:cs="Times New Roman"/>
                <w:b w:val="0"/>
                <w:bCs w:val="0"/>
                <w:color w:val="000000"/>
                <w:kern w:val="0"/>
                <w:sz w:val="24"/>
                <w:szCs w:val="24"/>
                <w:lang w:val="en-US" w:eastAsia="zh-CN" w:bidi="ar"/>
              </w:rPr>
              <w:t xml:space="preserve"> 浓度增</w:t>
            </w:r>
            <w:r>
              <w:rPr>
                <w:rFonts w:hint="eastAsia" w:ascii="宋体" w:hAnsi="宋体" w:eastAsia="宋体" w:cs="宋体"/>
                <w:b w:val="0"/>
                <w:bCs w:val="0"/>
                <w:color w:val="000000"/>
                <w:kern w:val="0"/>
                <w:sz w:val="24"/>
                <w:szCs w:val="24"/>
                <w:lang w:val="en-US" w:eastAsia="zh-CN" w:bidi="ar"/>
              </w:rPr>
              <w:t>加，并随风扩散影响下风向区域及周围环境空气质量，对施工场地周围居民的居住环境带来一定影响。反之，在静风、湿润条件下，其对空气环境的影响范围将减小、程度减轻。由于施工期扬尘量的大小与猪多因素有关，因此施工期</w:t>
            </w:r>
            <w:r>
              <w:rPr>
                <w:rFonts w:hint="default" w:ascii="Times New Roman" w:hAnsi="Times New Roman" w:eastAsia="宋体" w:cs="Times New Roman"/>
                <w:b w:val="0"/>
                <w:bCs w:val="0"/>
                <w:color w:val="000000"/>
                <w:kern w:val="0"/>
                <w:sz w:val="24"/>
                <w:szCs w:val="24"/>
                <w:lang w:val="en-US" w:eastAsia="zh-CN" w:bidi="ar"/>
              </w:rPr>
              <w:t>养成的排放量很难确定。据有关资料，施工扬尘主要来源于车辆行驶，约占扬尘总量的60%，影响范围一般</w:t>
            </w:r>
            <w:r>
              <w:rPr>
                <w:rFonts w:hint="eastAsia" w:cs="Times New Roman"/>
                <w:b w:val="0"/>
                <w:bCs w:val="0"/>
                <w:color w:val="000000"/>
                <w:kern w:val="0"/>
                <w:sz w:val="24"/>
                <w:szCs w:val="24"/>
                <w:lang w:val="en-US" w:eastAsia="zh-CN" w:bidi="ar"/>
              </w:rPr>
              <w:t>在</w:t>
            </w:r>
            <w:r>
              <w:rPr>
                <w:rFonts w:hint="default" w:ascii="Times New Roman" w:hAnsi="Times New Roman" w:eastAsia="宋体" w:cs="Times New Roman"/>
                <w:b w:val="0"/>
                <w:bCs w:val="0"/>
                <w:color w:val="000000"/>
                <w:kern w:val="0"/>
                <w:sz w:val="24"/>
                <w:szCs w:val="24"/>
                <w:lang w:val="en-US" w:eastAsia="zh-CN" w:bidi="ar"/>
              </w:rPr>
              <w:t>100m内。</w:t>
            </w:r>
          </w:p>
          <w:p w14:paraId="6DCD2082">
            <w:pPr>
              <w:keepNext w:val="0"/>
              <w:keepLines w:val="0"/>
              <w:widowControl/>
              <w:numPr>
                <w:ilvl w:val="0"/>
                <w:numId w:val="27"/>
              </w:numPr>
              <w:suppressLineNumbers w:val="0"/>
              <w:ind w:left="0" w:leftChars="0" w:firstLine="480" w:firstLineChars="200"/>
              <w:jc w:val="left"/>
              <w:rPr>
                <w:rFonts w:hint="eastAsia" w:ascii="Times New Roman" w:hAnsi="Times New Roman" w:eastAsia="宋体" w:cs="Times New Roman"/>
                <w:b w:val="0"/>
                <w:bCs w:val="0"/>
                <w:color w:val="000000"/>
                <w:kern w:val="0"/>
                <w:sz w:val="24"/>
                <w:szCs w:val="24"/>
                <w:lang w:val="en-US" w:eastAsia="zh-CN" w:bidi="ar"/>
              </w:rPr>
            </w:pPr>
            <w:r>
              <w:rPr>
                <w:rFonts w:hint="eastAsia" w:ascii="Times New Roman" w:hAnsi="Times New Roman" w:eastAsia="宋体" w:cs="Times New Roman"/>
                <w:b w:val="0"/>
                <w:bCs w:val="0"/>
                <w:color w:val="000000"/>
                <w:kern w:val="0"/>
                <w:sz w:val="24"/>
                <w:szCs w:val="24"/>
                <w:lang w:val="en-US" w:eastAsia="zh-CN" w:bidi="ar"/>
              </w:rPr>
              <w:t>机械废气及车辆尾气</w:t>
            </w:r>
          </w:p>
          <w:p w14:paraId="16052AFE">
            <w:pPr>
              <w:keepNext w:val="0"/>
              <w:keepLines w:val="0"/>
              <w:widowControl/>
              <w:numPr>
                <w:ilvl w:val="0"/>
                <w:numId w:val="0"/>
              </w:numPr>
              <w:suppressLineNumbers w:val="0"/>
              <w:ind w:firstLine="480" w:firstLineChars="200"/>
              <w:jc w:val="left"/>
              <w:rPr>
                <w:rFonts w:hint="eastAsia" w:ascii="Times New Roman" w:hAnsi="Times New Roman" w:eastAsia="宋体" w:cs="Times New Roman"/>
                <w:b w:val="0"/>
                <w:bCs w:val="0"/>
                <w:color w:val="000000"/>
                <w:kern w:val="0"/>
                <w:sz w:val="24"/>
                <w:szCs w:val="24"/>
                <w:lang w:val="en-US" w:eastAsia="zh-CN" w:bidi="ar"/>
              </w:rPr>
            </w:pPr>
            <w:r>
              <w:rPr>
                <w:rFonts w:hint="eastAsia" w:ascii="Times New Roman" w:hAnsi="Times New Roman" w:eastAsia="宋体" w:cs="Times New Roman"/>
                <w:b w:val="0"/>
                <w:bCs w:val="0"/>
                <w:color w:val="000000"/>
                <w:kern w:val="0"/>
                <w:sz w:val="24"/>
                <w:szCs w:val="24"/>
                <w:lang w:val="en-US" w:eastAsia="zh-CN" w:bidi="ar"/>
              </w:rPr>
              <w:t>项目施工机械和交通运输在运行中产生尾气主要来自于建设施工期施工机械和交通运输车辆，排放的主要污染物为NOx、CO 和烃类物等。施工活动场所的运输车辆和燃油机械产生的尾气均为间歇式排放，对环境空气造成的影响大小取决于排放量和气候条件，影响面主要集中在施工场地 100-150m 范围内。</w:t>
            </w:r>
          </w:p>
          <w:p w14:paraId="00623423">
            <w:pPr>
              <w:keepNext w:val="0"/>
              <w:keepLines w:val="0"/>
              <w:widowControl/>
              <w:numPr>
                <w:ilvl w:val="0"/>
                <w:numId w:val="27"/>
              </w:numPr>
              <w:suppressLineNumbers w:val="0"/>
              <w:ind w:left="0" w:leftChars="0" w:firstLine="480" w:firstLineChars="200"/>
              <w:jc w:val="left"/>
              <w:rPr>
                <w:rFonts w:hint="eastAsia" w:cs="Times New Roman"/>
                <w:b w:val="0"/>
                <w:bCs w:val="0"/>
                <w:color w:val="000000"/>
                <w:kern w:val="0"/>
                <w:sz w:val="24"/>
                <w:szCs w:val="24"/>
                <w:lang w:val="en-US" w:eastAsia="zh-CN" w:bidi="ar"/>
              </w:rPr>
            </w:pPr>
            <w:r>
              <w:rPr>
                <w:rFonts w:hint="eastAsia" w:cs="Times New Roman"/>
                <w:b w:val="0"/>
                <w:bCs w:val="0"/>
                <w:color w:val="000000"/>
                <w:kern w:val="0"/>
                <w:sz w:val="24"/>
                <w:szCs w:val="24"/>
                <w:lang w:val="en-US" w:eastAsia="zh-CN" w:bidi="ar"/>
              </w:rPr>
              <w:t>沥青烟</w:t>
            </w:r>
          </w:p>
          <w:p w14:paraId="54D025E4">
            <w:pPr>
              <w:keepNext w:val="0"/>
              <w:keepLines w:val="0"/>
              <w:widowControl/>
              <w:numPr>
                <w:ilvl w:val="0"/>
                <w:numId w:val="0"/>
              </w:numPr>
              <w:suppressLineNumbers w:val="0"/>
              <w:ind w:firstLine="480" w:firstLineChars="200"/>
              <w:jc w:val="left"/>
              <w:rPr>
                <w:rFonts w:hint="eastAsia" w:cs="Times New Roman"/>
                <w:b w:val="0"/>
                <w:bCs w:val="0"/>
                <w:color w:val="000000"/>
                <w:kern w:val="0"/>
                <w:sz w:val="24"/>
                <w:szCs w:val="24"/>
                <w:lang w:val="en-US" w:eastAsia="zh-CN" w:bidi="ar"/>
              </w:rPr>
            </w:pPr>
            <w:r>
              <w:rPr>
                <w:rFonts w:hint="eastAsia" w:cs="Times New Roman"/>
                <w:color w:val="auto"/>
                <w:sz w:val="24"/>
                <w:szCs w:val="24"/>
                <w:highlight w:val="none"/>
                <w:lang w:eastAsia="zh-CN"/>
              </w:rPr>
              <w:t>项目道路整治阶段涉及沥青，</w:t>
            </w:r>
            <w:r>
              <w:rPr>
                <w:rFonts w:hint="default" w:ascii="Times New Roman" w:hAnsi="Times New Roman" w:eastAsia="宋体" w:cs="Times New Roman"/>
                <w:color w:val="auto"/>
                <w:sz w:val="24"/>
                <w:szCs w:val="24"/>
                <w:highlight w:val="none"/>
              </w:rPr>
              <w:t>沥</w:t>
            </w:r>
            <w:r>
              <w:rPr>
                <w:rFonts w:hint="default" w:ascii="Times New Roman" w:hAnsi="Times New Roman" w:eastAsia="宋体" w:cs="Times New Roman"/>
                <w:color w:val="auto"/>
                <w:sz w:val="24"/>
                <w:highlight w:val="none"/>
              </w:rPr>
              <w:t>青</w:t>
            </w:r>
            <w:r>
              <w:rPr>
                <w:rFonts w:hint="eastAsia" w:cs="Times New Roman"/>
                <w:color w:val="auto"/>
                <w:sz w:val="24"/>
                <w:highlight w:val="none"/>
                <w:lang w:eastAsia="zh-CN"/>
              </w:rPr>
              <w:t>在</w:t>
            </w:r>
            <w:r>
              <w:rPr>
                <w:rFonts w:hint="default" w:ascii="Times New Roman" w:hAnsi="Times New Roman" w:eastAsia="宋体" w:cs="Times New Roman"/>
                <w:color w:val="auto"/>
                <w:sz w:val="24"/>
                <w:highlight w:val="none"/>
              </w:rPr>
              <w:t>铺摊过程中将产生少量的沥青烟。有监测数据表明，沥青中释放出的有毒物质，随温度的降低数量减少</w:t>
            </w:r>
            <w:r>
              <w:rPr>
                <w:rFonts w:hint="default"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本项目仅芒市大街和勐焕路整治使用沥青烟</w:t>
            </w:r>
            <w:r>
              <w:rPr>
                <w:rFonts w:hint="default" w:ascii="Times New Roman" w:hAnsi="Times New Roman" w:cs="Times New Roman"/>
                <w:sz w:val="24"/>
                <w:lang w:eastAsia="zh-CN"/>
              </w:rPr>
              <w:t>，</w:t>
            </w:r>
            <w:r>
              <w:rPr>
                <w:rFonts w:hint="eastAsia" w:cs="Times New Roman"/>
                <w:sz w:val="24"/>
                <w:lang w:val="en-US" w:eastAsia="zh-CN"/>
              </w:rPr>
              <w:t>产生的沥青烟较少，</w:t>
            </w:r>
            <w:r>
              <w:rPr>
                <w:rFonts w:hint="default" w:ascii="Times New Roman" w:hAnsi="Times New Roman" w:eastAsia="宋体" w:cs="Times New Roman"/>
                <w:color w:val="auto"/>
                <w:sz w:val="24"/>
                <w:highlight w:val="none"/>
              </w:rPr>
              <w:t>因此对大气环境影响比较小</w:t>
            </w:r>
            <w:r>
              <w:rPr>
                <w:rFonts w:hint="default" w:ascii="Times New Roman" w:hAnsi="Times New Roman" w:eastAsia="宋体" w:cs="Times New Roman"/>
                <w:color w:val="auto"/>
                <w:sz w:val="24"/>
                <w:highlight w:val="none"/>
                <w:lang w:eastAsia="zh-CN"/>
              </w:rPr>
              <w:t>。</w:t>
            </w:r>
          </w:p>
          <w:p w14:paraId="38CFE1DB">
            <w:pPr>
              <w:keepNext w:val="0"/>
              <w:keepLines w:val="0"/>
              <w:widowControl/>
              <w:numPr>
                <w:ilvl w:val="0"/>
                <w:numId w:val="26"/>
              </w:numPr>
              <w:suppressLineNumbers w:val="0"/>
              <w:ind w:left="0" w:leftChars="0" w:firstLine="482" w:firstLineChars="200"/>
              <w:jc w:val="left"/>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施工期废水</w:t>
            </w:r>
          </w:p>
          <w:p w14:paraId="1FCA6B72">
            <w:pPr>
              <w:keepNext w:val="0"/>
              <w:keepLines w:val="0"/>
              <w:widowControl/>
              <w:numPr>
                <w:ilvl w:val="0"/>
                <w:numId w:val="0"/>
              </w:numPr>
              <w:suppressLineNumbers w:val="0"/>
              <w:ind w:firstLine="480" w:firstLineChars="200"/>
              <w:jc w:val="left"/>
              <w:rPr>
                <w:rFonts w:hint="eastAsia" w:cs="Times New Roman"/>
                <w:b w:val="0"/>
                <w:bCs w:val="0"/>
                <w:color w:val="000000"/>
                <w:kern w:val="0"/>
                <w:sz w:val="24"/>
                <w:szCs w:val="24"/>
                <w:lang w:val="en-US" w:eastAsia="zh-CN" w:bidi="ar"/>
              </w:rPr>
            </w:pPr>
            <w:r>
              <w:rPr>
                <w:rFonts w:hint="eastAsia" w:cs="Times New Roman"/>
                <w:b w:val="0"/>
                <w:bCs w:val="0"/>
                <w:color w:val="000000"/>
                <w:kern w:val="0"/>
                <w:sz w:val="24"/>
                <w:szCs w:val="24"/>
                <w:lang w:val="en-US" w:eastAsia="zh-CN" w:bidi="ar"/>
              </w:rPr>
              <w:t>项目施工期废水主要为施工废水、施工人员生活污水、地表雨水</w:t>
            </w:r>
          </w:p>
          <w:p w14:paraId="16217312">
            <w:pPr>
              <w:keepNext w:val="0"/>
              <w:keepLines w:val="0"/>
              <w:widowControl/>
              <w:numPr>
                <w:ilvl w:val="0"/>
                <w:numId w:val="28"/>
              </w:numPr>
              <w:suppressLineNumbers w:val="0"/>
              <w:ind w:firstLine="480" w:firstLineChars="200"/>
              <w:jc w:val="left"/>
              <w:rPr>
                <w:rFonts w:hint="eastAsia" w:cs="Times New Roman"/>
                <w:b w:val="0"/>
                <w:bCs w:val="0"/>
                <w:color w:val="auto"/>
                <w:kern w:val="0"/>
                <w:sz w:val="24"/>
                <w:szCs w:val="24"/>
                <w:lang w:val="en-US" w:eastAsia="zh-CN" w:bidi="ar"/>
              </w:rPr>
            </w:pPr>
            <w:r>
              <w:rPr>
                <w:rFonts w:hint="eastAsia" w:cs="Times New Roman"/>
                <w:b w:val="0"/>
                <w:bCs w:val="0"/>
                <w:color w:val="auto"/>
                <w:kern w:val="0"/>
                <w:sz w:val="24"/>
                <w:szCs w:val="24"/>
                <w:lang w:val="en-US" w:eastAsia="zh-CN" w:bidi="ar"/>
              </w:rPr>
              <w:t>施工废水</w:t>
            </w:r>
          </w:p>
          <w:p w14:paraId="478C747D">
            <w:pPr>
              <w:keepNext w:val="0"/>
              <w:keepLines w:val="0"/>
              <w:widowControl/>
              <w:numPr>
                <w:ilvl w:val="0"/>
                <w:numId w:val="0"/>
              </w:numPr>
              <w:suppressLineNumbers w:val="0"/>
              <w:ind w:firstLine="480" w:firstLineChars="200"/>
              <w:jc w:val="left"/>
              <w:rPr>
                <w:rFonts w:hint="eastAsia" w:cs="Times New Roman"/>
                <w:b w:val="0"/>
                <w:bCs w:val="0"/>
                <w:color w:val="auto"/>
                <w:kern w:val="0"/>
                <w:sz w:val="24"/>
                <w:szCs w:val="24"/>
                <w:lang w:val="en-US" w:eastAsia="zh-CN" w:bidi="ar"/>
              </w:rPr>
            </w:pPr>
            <w:r>
              <w:rPr>
                <w:rFonts w:hint="eastAsia" w:cs="Times New Roman"/>
                <w:b w:val="0"/>
                <w:bCs w:val="0"/>
                <w:color w:val="auto"/>
                <w:kern w:val="0"/>
                <w:sz w:val="24"/>
                <w:szCs w:val="24"/>
                <w:lang w:val="en-US" w:eastAsia="zh-CN" w:bidi="ar"/>
              </w:rPr>
              <w:t>根据用水定额每立方米混凝土养护水用量为0.2m</w:t>
            </w:r>
            <w:r>
              <w:rPr>
                <w:rFonts w:hint="eastAsia" w:cs="Times New Roman"/>
                <w:b w:val="0"/>
                <w:bCs w:val="0"/>
                <w:color w:val="auto"/>
                <w:kern w:val="0"/>
                <w:sz w:val="24"/>
                <w:szCs w:val="24"/>
                <w:vertAlign w:val="superscript"/>
                <w:lang w:val="en-US" w:eastAsia="zh-CN" w:bidi="ar"/>
              </w:rPr>
              <w:t>3</w:t>
            </w:r>
            <w:r>
              <w:rPr>
                <w:rFonts w:hint="eastAsia" w:cs="Times New Roman"/>
                <w:b w:val="0"/>
                <w:bCs w:val="0"/>
                <w:color w:val="auto"/>
                <w:kern w:val="0"/>
                <w:sz w:val="24"/>
                <w:szCs w:val="24"/>
                <w:lang w:val="en-US" w:eastAsia="zh-CN" w:bidi="ar"/>
              </w:rPr>
              <w:t>，本工程砼及钢筋砼浇筑总量约为22万m</w:t>
            </w:r>
            <w:r>
              <w:rPr>
                <w:rFonts w:hint="eastAsia" w:cs="Times New Roman"/>
                <w:b w:val="0"/>
                <w:bCs w:val="0"/>
                <w:color w:val="auto"/>
                <w:kern w:val="0"/>
                <w:sz w:val="24"/>
                <w:szCs w:val="24"/>
                <w:vertAlign w:val="superscript"/>
                <w:lang w:val="en-US" w:eastAsia="zh-CN" w:bidi="ar"/>
              </w:rPr>
              <w:t>3</w:t>
            </w:r>
            <w:r>
              <w:rPr>
                <w:rFonts w:hint="eastAsia" w:cs="Times New Roman"/>
                <w:b w:val="0"/>
                <w:bCs w:val="0"/>
                <w:color w:val="auto"/>
                <w:kern w:val="0"/>
                <w:sz w:val="24"/>
                <w:szCs w:val="24"/>
                <w:lang w:val="en-US" w:eastAsia="zh-CN" w:bidi="ar"/>
              </w:rPr>
              <w:t>，则本项目混凝土用水总量为44000m</w:t>
            </w:r>
            <w:r>
              <w:rPr>
                <w:rFonts w:hint="eastAsia" w:cs="Times New Roman"/>
                <w:b w:val="0"/>
                <w:bCs w:val="0"/>
                <w:color w:val="auto"/>
                <w:kern w:val="0"/>
                <w:sz w:val="24"/>
                <w:szCs w:val="24"/>
                <w:vertAlign w:val="superscript"/>
                <w:lang w:val="en-US" w:eastAsia="zh-CN" w:bidi="ar"/>
              </w:rPr>
              <w:t>3</w:t>
            </w:r>
            <w:r>
              <w:rPr>
                <w:rFonts w:hint="eastAsia" w:cs="Times New Roman"/>
                <w:b w:val="0"/>
                <w:bCs w:val="0"/>
                <w:color w:val="auto"/>
                <w:kern w:val="0"/>
                <w:sz w:val="24"/>
                <w:szCs w:val="24"/>
                <w:lang w:val="en-US" w:eastAsia="zh-CN" w:bidi="ar"/>
              </w:rPr>
              <w:t>，48.9m</w:t>
            </w:r>
            <w:r>
              <w:rPr>
                <w:rFonts w:hint="eastAsia" w:cs="Times New Roman"/>
                <w:b w:val="0"/>
                <w:bCs w:val="0"/>
                <w:color w:val="auto"/>
                <w:kern w:val="0"/>
                <w:sz w:val="24"/>
                <w:szCs w:val="24"/>
                <w:vertAlign w:val="superscript"/>
                <w:lang w:val="en-US" w:eastAsia="zh-CN" w:bidi="ar"/>
              </w:rPr>
              <w:t>3</w:t>
            </w:r>
            <w:r>
              <w:rPr>
                <w:rFonts w:hint="eastAsia" w:cs="Times New Roman"/>
                <w:b w:val="0"/>
                <w:bCs w:val="0"/>
                <w:color w:val="auto"/>
                <w:kern w:val="0"/>
                <w:sz w:val="24"/>
                <w:szCs w:val="24"/>
                <w:lang w:val="en-US" w:eastAsia="zh-CN" w:bidi="ar"/>
              </w:rPr>
              <w:t>/d，其中10%水不能被吸收产生多余养护水为4.89m</w:t>
            </w:r>
            <w:r>
              <w:rPr>
                <w:rFonts w:hint="eastAsia" w:cs="Times New Roman"/>
                <w:b w:val="0"/>
                <w:bCs w:val="0"/>
                <w:color w:val="auto"/>
                <w:kern w:val="0"/>
                <w:sz w:val="24"/>
                <w:szCs w:val="24"/>
                <w:vertAlign w:val="superscript"/>
                <w:lang w:val="en-US" w:eastAsia="zh-CN" w:bidi="ar"/>
              </w:rPr>
              <w:t>3</w:t>
            </w:r>
            <w:r>
              <w:rPr>
                <w:rFonts w:hint="eastAsia" w:cs="Times New Roman"/>
                <w:b w:val="0"/>
                <w:bCs w:val="0"/>
                <w:color w:val="auto"/>
                <w:kern w:val="0"/>
                <w:sz w:val="24"/>
                <w:szCs w:val="24"/>
                <w:lang w:val="en-US" w:eastAsia="zh-CN" w:bidi="ar"/>
              </w:rPr>
              <w:t>/d。</w:t>
            </w:r>
          </w:p>
          <w:p w14:paraId="4FF1285E">
            <w:pPr>
              <w:keepNext w:val="0"/>
              <w:keepLines w:val="0"/>
              <w:widowControl/>
              <w:numPr>
                <w:ilvl w:val="0"/>
                <w:numId w:val="28"/>
              </w:numPr>
              <w:suppressLineNumbers w:val="0"/>
              <w:ind w:firstLine="480" w:firstLineChars="200"/>
              <w:jc w:val="left"/>
              <w:rPr>
                <w:rFonts w:hint="eastAsia" w:cs="Times New Roman"/>
                <w:b w:val="0"/>
                <w:bCs w:val="0"/>
                <w:color w:val="auto"/>
                <w:kern w:val="0"/>
                <w:sz w:val="24"/>
                <w:szCs w:val="24"/>
                <w:lang w:val="en-US" w:eastAsia="zh-CN" w:bidi="ar"/>
              </w:rPr>
            </w:pPr>
            <w:r>
              <w:rPr>
                <w:rFonts w:hint="eastAsia" w:cs="Times New Roman"/>
                <w:b w:val="0"/>
                <w:bCs w:val="0"/>
                <w:color w:val="auto"/>
                <w:kern w:val="0"/>
                <w:sz w:val="24"/>
                <w:szCs w:val="24"/>
                <w:lang w:val="en-US" w:eastAsia="zh-CN" w:bidi="ar"/>
              </w:rPr>
              <w:t>施工人员生活污水</w:t>
            </w:r>
          </w:p>
          <w:p w14:paraId="0748F646">
            <w:pPr>
              <w:keepNext w:val="0"/>
              <w:keepLines w:val="0"/>
              <w:widowControl/>
              <w:numPr>
                <w:ilvl w:val="0"/>
                <w:numId w:val="0"/>
              </w:numPr>
              <w:suppressLineNumbers w:val="0"/>
              <w:ind w:firstLine="480" w:firstLineChars="200"/>
              <w:jc w:val="left"/>
              <w:rPr>
                <w:rFonts w:hint="default" w:eastAsia="宋体" w:cs="Times New Roman"/>
                <w:b w:val="0"/>
                <w:bCs w:val="0"/>
                <w:color w:val="auto"/>
                <w:kern w:val="0"/>
                <w:sz w:val="24"/>
                <w:szCs w:val="24"/>
                <w:vertAlign w:val="baseline"/>
                <w:lang w:val="en-US" w:eastAsia="zh-CN" w:bidi="ar"/>
              </w:rPr>
            </w:pPr>
            <w:r>
              <w:rPr>
                <w:rFonts w:hint="eastAsia" w:cs="Times New Roman"/>
                <w:b w:val="0"/>
                <w:bCs w:val="0"/>
                <w:color w:val="auto"/>
                <w:kern w:val="0"/>
                <w:sz w:val="24"/>
                <w:szCs w:val="24"/>
                <w:lang w:val="en-US" w:eastAsia="zh-CN" w:bidi="ar"/>
              </w:rPr>
              <w:t>项目不设施工营地，施工人员依托项目周边厕所，故不产生施工生活污水。</w:t>
            </w:r>
          </w:p>
          <w:p w14:paraId="2886EA09">
            <w:pPr>
              <w:keepNext w:val="0"/>
              <w:keepLines w:val="0"/>
              <w:widowControl/>
              <w:numPr>
                <w:ilvl w:val="0"/>
                <w:numId w:val="28"/>
              </w:numPr>
              <w:suppressLineNumbers w:val="0"/>
              <w:ind w:firstLine="480" w:firstLineChars="200"/>
              <w:jc w:val="left"/>
              <w:rPr>
                <w:rFonts w:hint="eastAsia" w:cs="Times New Roman"/>
                <w:b w:val="0"/>
                <w:bCs w:val="0"/>
                <w:color w:val="000000"/>
                <w:kern w:val="0"/>
                <w:sz w:val="24"/>
                <w:szCs w:val="24"/>
                <w:lang w:val="en-US" w:eastAsia="zh-CN" w:bidi="ar"/>
              </w:rPr>
            </w:pPr>
            <w:r>
              <w:rPr>
                <w:rFonts w:hint="eastAsia" w:cs="Times New Roman"/>
                <w:b w:val="0"/>
                <w:bCs w:val="0"/>
                <w:color w:val="000000"/>
                <w:kern w:val="0"/>
                <w:sz w:val="24"/>
                <w:szCs w:val="24"/>
                <w:lang w:val="en-US" w:eastAsia="zh-CN" w:bidi="ar"/>
              </w:rPr>
              <w:t>地表雨水</w:t>
            </w:r>
          </w:p>
          <w:p w14:paraId="321C869D">
            <w:pPr>
              <w:keepNext w:val="0"/>
              <w:keepLines w:val="0"/>
              <w:widowControl/>
              <w:numPr>
                <w:ilvl w:val="0"/>
                <w:numId w:val="0"/>
              </w:numPr>
              <w:suppressLineNumbers w:val="0"/>
              <w:ind w:firstLine="480" w:firstLineChars="200"/>
              <w:jc w:val="left"/>
              <w:rPr>
                <w:rFonts w:hint="eastAsia" w:cs="Times New Roman"/>
                <w:b w:val="0"/>
                <w:bCs w:val="0"/>
                <w:color w:val="000000"/>
                <w:kern w:val="0"/>
                <w:sz w:val="24"/>
                <w:szCs w:val="24"/>
                <w:lang w:val="en-US" w:eastAsia="zh-CN" w:bidi="ar"/>
              </w:rPr>
            </w:pPr>
            <w:r>
              <w:rPr>
                <w:rFonts w:hint="eastAsia" w:cs="Times New Roman"/>
                <w:b w:val="0"/>
                <w:bCs w:val="0"/>
                <w:color w:val="000000"/>
                <w:kern w:val="0"/>
                <w:sz w:val="24"/>
                <w:szCs w:val="24"/>
                <w:lang w:val="en-US" w:eastAsia="zh-CN" w:bidi="ar"/>
              </w:rPr>
              <w:t>项目在施工期间如果遇到雨天，会产生雨水地表径流。雨水地表径流会冲刷浮土、建筑砂石、垃圾、废弃土石方等产生高浊度污水，夹带大量泥沙，雨水的主要污染物为SS，为了降低地表径流的污染程度，尽量避免雨季土石方施工，暴雨期间停止施工。地表径流中的泥沙沉降时间按照30min计，项目在施工场地内需要在每个施工段下游设置一个容积为5m</w:t>
            </w:r>
            <w:r>
              <w:rPr>
                <w:rFonts w:hint="eastAsia" w:cs="Times New Roman"/>
                <w:b w:val="0"/>
                <w:bCs w:val="0"/>
                <w:color w:val="000000"/>
                <w:kern w:val="0"/>
                <w:sz w:val="24"/>
                <w:szCs w:val="24"/>
                <w:vertAlign w:val="superscript"/>
                <w:lang w:val="en-US" w:eastAsia="zh-CN" w:bidi="ar"/>
              </w:rPr>
              <w:t>3</w:t>
            </w:r>
            <w:r>
              <w:rPr>
                <w:rFonts w:hint="eastAsia" w:cs="Times New Roman"/>
                <w:b w:val="0"/>
                <w:bCs w:val="0"/>
                <w:color w:val="000000"/>
                <w:kern w:val="0"/>
                <w:sz w:val="24"/>
                <w:szCs w:val="24"/>
                <w:lang w:val="en-US" w:eastAsia="zh-CN" w:bidi="ar"/>
              </w:rPr>
              <w:t>的临时沉砂池来处理冲刷雨水。</w:t>
            </w:r>
          </w:p>
          <w:p w14:paraId="3CE11703">
            <w:pPr>
              <w:keepNext w:val="0"/>
              <w:keepLines w:val="0"/>
              <w:widowControl/>
              <w:numPr>
                <w:ilvl w:val="0"/>
                <w:numId w:val="26"/>
              </w:numPr>
              <w:suppressLineNumbers w:val="0"/>
              <w:ind w:left="0" w:leftChars="0" w:firstLine="482" w:firstLineChars="200"/>
              <w:jc w:val="left"/>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施工噪声</w:t>
            </w:r>
          </w:p>
          <w:p w14:paraId="790867BF">
            <w:pPr>
              <w:keepNext w:val="0"/>
              <w:keepLines w:val="0"/>
              <w:widowControl/>
              <w:numPr>
                <w:ilvl w:val="0"/>
                <w:numId w:val="0"/>
              </w:numPr>
              <w:suppressLineNumbers w:val="0"/>
              <w:ind w:firstLine="480" w:firstLineChars="200"/>
              <w:jc w:val="left"/>
              <w:rPr>
                <w:rFonts w:hint="eastAsia" w:cs="Times New Roman"/>
                <w:b w:val="0"/>
                <w:bCs w:val="0"/>
                <w:color w:val="000000"/>
                <w:kern w:val="0"/>
                <w:sz w:val="24"/>
                <w:szCs w:val="24"/>
                <w:lang w:val="en-US" w:eastAsia="zh-CN" w:bidi="ar"/>
              </w:rPr>
            </w:pPr>
            <w:r>
              <w:rPr>
                <w:rFonts w:hint="default" w:cs="Times New Roman"/>
                <w:b w:val="0"/>
                <w:bCs w:val="0"/>
                <w:color w:val="000000"/>
                <w:kern w:val="0"/>
                <w:sz w:val="24"/>
                <w:szCs w:val="24"/>
                <w:lang w:val="en-US" w:eastAsia="zh-CN" w:bidi="ar"/>
              </w:rPr>
              <w:t>施工期产生的噪声主要来源于施工机械设备噪声，如破拆机、挖掘机以及运输车辆等产生的机械噪声，另外，在装修阶段，所产生的噪声主要为切割钢材和水泥砖的机械噪声，产生的噪声具有阶段性、临时性和不固定性</w:t>
            </w:r>
            <w:r>
              <w:rPr>
                <w:rFonts w:hint="eastAsia" w:cs="Times New Roman"/>
                <w:b w:val="0"/>
                <w:bCs w:val="0"/>
                <w:color w:val="000000"/>
                <w:kern w:val="0"/>
                <w:sz w:val="24"/>
                <w:szCs w:val="24"/>
                <w:lang w:val="en-US" w:eastAsia="zh-CN" w:bidi="ar"/>
              </w:rPr>
              <w:t>。</w:t>
            </w:r>
          </w:p>
          <w:p w14:paraId="63944584">
            <w:pPr>
              <w:keepNext w:val="0"/>
              <w:keepLines w:val="0"/>
              <w:widowControl/>
              <w:numPr>
                <w:ilvl w:val="0"/>
                <w:numId w:val="0"/>
              </w:numPr>
              <w:suppressLineNumbers w:val="0"/>
              <w:jc w:val="center"/>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表5-1 主要施工机械噪声强度表</w:t>
            </w:r>
          </w:p>
          <w:tbl>
            <w:tblPr>
              <w:tblStyle w:val="10"/>
              <w:tblW w:w="83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7"/>
              <w:gridCol w:w="2256"/>
              <w:gridCol w:w="3301"/>
            </w:tblGrid>
            <w:tr w14:paraId="25622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777" w:type="dxa"/>
                  <w:vAlign w:val="center"/>
                </w:tcPr>
                <w:p w14:paraId="19E33275">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施工阶段</w:t>
                  </w:r>
                </w:p>
              </w:tc>
              <w:tc>
                <w:tcPr>
                  <w:tcW w:w="2256" w:type="dxa"/>
                  <w:vAlign w:val="center"/>
                </w:tcPr>
                <w:p w14:paraId="2B7C8A62">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机械名称</w:t>
                  </w:r>
                </w:p>
              </w:tc>
              <w:tc>
                <w:tcPr>
                  <w:tcW w:w="3301" w:type="dxa"/>
                  <w:vAlign w:val="center"/>
                </w:tcPr>
                <w:p w14:paraId="01B4FED9">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噪声强度dB（A）</w:t>
                  </w:r>
                  <w:r>
                    <w:rPr>
                      <w:rFonts w:hint="eastAsia" w:cs="Times New Roman"/>
                      <w:b w:val="0"/>
                      <w:bCs w:val="0"/>
                      <w:color w:val="000000"/>
                      <w:kern w:val="0"/>
                      <w:sz w:val="21"/>
                      <w:szCs w:val="21"/>
                      <w:vertAlign w:val="baseline"/>
                      <w:lang w:val="en-US" w:eastAsia="zh-CN" w:bidi="ar"/>
                    </w:rPr>
                    <w:t>（距声源1m）</w:t>
                  </w:r>
                </w:p>
              </w:tc>
            </w:tr>
            <w:tr w14:paraId="078AB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7" w:type="dxa"/>
                  <w:vMerge w:val="restart"/>
                  <w:vAlign w:val="center"/>
                </w:tcPr>
                <w:p w14:paraId="6FA28C93">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基础阶段</w:t>
                  </w:r>
                </w:p>
              </w:tc>
              <w:tc>
                <w:tcPr>
                  <w:tcW w:w="2256" w:type="dxa"/>
                  <w:vAlign w:val="center"/>
                </w:tcPr>
                <w:p w14:paraId="12A53783">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挖土机</w:t>
                  </w:r>
                </w:p>
              </w:tc>
              <w:tc>
                <w:tcPr>
                  <w:tcW w:w="3301" w:type="dxa"/>
                  <w:vAlign w:val="center"/>
                </w:tcPr>
                <w:p w14:paraId="783C6895">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80</w:t>
                  </w:r>
                </w:p>
              </w:tc>
            </w:tr>
            <w:tr w14:paraId="44F98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7" w:type="dxa"/>
                  <w:vMerge w:val="continue"/>
                  <w:vAlign w:val="center"/>
                </w:tcPr>
                <w:p w14:paraId="35A962E4">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p>
              </w:tc>
              <w:tc>
                <w:tcPr>
                  <w:tcW w:w="2256" w:type="dxa"/>
                  <w:vAlign w:val="center"/>
                </w:tcPr>
                <w:p w14:paraId="622C620F">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打桩机</w:t>
                  </w:r>
                </w:p>
              </w:tc>
              <w:tc>
                <w:tcPr>
                  <w:tcW w:w="3301" w:type="dxa"/>
                  <w:vAlign w:val="center"/>
                </w:tcPr>
                <w:p w14:paraId="162324E8">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79</w:t>
                  </w:r>
                </w:p>
              </w:tc>
            </w:tr>
            <w:tr w14:paraId="1D983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7" w:type="dxa"/>
                  <w:vMerge w:val="continue"/>
                  <w:vAlign w:val="center"/>
                </w:tcPr>
                <w:p w14:paraId="70A0747C">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p>
              </w:tc>
              <w:tc>
                <w:tcPr>
                  <w:tcW w:w="2256" w:type="dxa"/>
                  <w:vAlign w:val="center"/>
                </w:tcPr>
                <w:p w14:paraId="31FD5D5D">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载重车</w:t>
                  </w:r>
                </w:p>
              </w:tc>
              <w:tc>
                <w:tcPr>
                  <w:tcW w:w="3301" w:type="dxa"/>
                  <w:vAlign w:val="center"/>
                </w:tcPr>
                <w:p w14:paraId="6CF868A3">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79</w:t>
                  </w:r>
                </w:p>
              </w:tc>
            </w:tr>
            <w:tr w14:paraId="0396F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7" w:type="dxa"/>
                  <w:vMerge w:val="restart"/>
                  <w:vAlign w:val="center"/>
                </w:tcPr>
                <w:p w14:paraId="7D5BCB0F">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基础结构阶段</w:t>
                  </w:r>
                </w:p>
              </w:tc>
              <w:tc>
                <w:tcPr>
                  <w:tcW w:w="2256" w:type="dxa"/>
                  <w:vAlign w:val="center"/>
                </w:tcPr>
                <w:p w14:paraId="52D27D95">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输送泵</w:t>
                  </w:r>
                </w:p>
              </w:tc>
              <w:tc>
                <w:tcPr>
                  <w:tcW w:w="3301" w:type="dxa"/>
                  <w:vAlign w:val="center"/>
                </w:tcPr>
                <w:p w14:paraId="5F0E9751">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88</w:t>
                  </w:r>
                </w:p>
              </w:tc>
            </w:tr>
            <w:tr w14:paraId="57FB7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7" w:type="dxa"/>
                  <w:vMerge w:val="continue"/>
                  <w:vAlign w:val="center"/>
                </w:tcPr>
                <w:p w14:paraId="75E6A7F1">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p>
              </w:tc>
              <w:tc>
                <w:tcPr>
                  <w:tcW w:w="2256" w:type="dxa"/>
                  <w:vAlign w:val="center"/>
                </w:tcPr>
                <w:p w14:paraId="6C5A290A">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振捣器</w:t>
                  </w:r>
                </w:p>
              </w:tc>
              <w:tc>
                <w:tcPr>
                  <w:tcW w:w="3301" w:type="dxa"/>
                  <w:vAlign w:val="center"/>
                </w:tcPr>
                <w:p w14:paraId="58EAB818">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88</w:t>
                  </w:r>
                </w:p>
              </w:tc>
            </w:tr>
            <w:tr w14:paraId="0D187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7" w:type="dxa"/>
                  <w:vMerge w:val="continue"/>
                  <w:vAlign w:val="center"/>
                </w:tcPr>
                <w:p w14:paraId="140E819F">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p>
              </w:tc>
              <w:tc>
                <w:tcPr>
                  <w:tcW w:w="2256" w:type="dxa"/>
                  <w:vAlign w:val="center"/>
                </w:tcPr>
                <w:p w14:paraId="710E5456">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电锯</w:t>
                  </w:r>
                </w:p>
              </w:tc>
              <w:tc>
                <w:tcPr>
                  <w:tcW w:w="3301" w:type="dxa"/>
                  <w:vAlign w:val="center"/>
                </w:tcPr>
                <w:p w14:paraId="5A5BF7C7">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85</w:t>
                  </w:r>
                </w:p>
              </w:tc>
            </w:tr>
            <w:tr w14:paraId="21774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7" w:type="dxa"/>
                  <w:vMerge w:val="continue"/>
                  <w:vAlign w:val="center"/>
                </w:tcPr>
                <w:p w14:paraId="58BC806B">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p>
              </w:tc>
              <w:tc>
                <w:tcPr>
                  <w:tcW w:w="2256" w:type="dxa"/>
                  <w:vAlign w:val="center"/>
                </w:tcPr>
                <w:p w14:paraId="268058BA">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电焊机</w:t>
                  </w:r>
                </w:p>
              </w:tc>
              <w:tc>
                <w:tcPr>
                  <w:tcW w:w="3301" w:type="dxa"/>
                  <w:vAlign w:val="center"/>
                </w:tcPr>
                <w:p w14:paraId="15004445">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70</w:t>
                  </w:r>
                </w:p>
              </w:tc>
            </w:tr>
            <w:tr w14:paraId="497BE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7" w:type="dxa"/>
                  <w:vMerge w:val="continue"/>
                  <w:vAlign w:val="center"/>
                </w:tcPr>
                <w:p w14:paraId="3B62644B">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p>
              </w:tc>
              <w:tc>
                <w:tcPr>
                  <w:tcW w:w="2256" w:type="dxa"/>
                  <w:vAlign w:val="center"/>
                </w:tcPr>
                <w:p w14:paraId="6DEB8F9C">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中型载重车</w:t>
                  </w:r>
                </w:p>
              </w:tc>
              <w:tc>
                <w:tcPr>
                  <w:tcW w:w="3301" w:type="dxa"/>
                  <w:vAlign w:val="center"/>
                </w:tcPr>
                <w:p w14:paraId="5A277717">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74</w:t>
                  </w:r>
                </w:p>
              </w:tc>
            </w:tr>
            <w:tr w14:paraId="2D943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7" w:type="dxa"/>
                  <w:vMerge w:val="restart"/>
                  <w:vAlign w:val="center"/>
                </w:tcPr>
                <w:p w14:paraId="1A686673">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eastAsia" w:cs="Times New Roman"/>
                      <w:b w:val="0"/>
                      <w:bCs w:val="0"/>
                      <w:color w:val="000000"/>
                      <w:kern w:val="0"/>
                      <w:sz w:val="21"/>
                      <w:szCs w:val="21"/>
                      <w:vertAlign w:val="baseline"/>
                      <w:lang w:val="en-US" w:eastAsia="zh-CN" w:bidi="ar"/>
                    </w:rPr>
                    <w:t>安装</w:t>
                  </w:r>
                  <w:r>
                    <w:rPr>
                      <w:rFonts w:hint="default" w:ascii="Times New Roman" w:hAnsi="Times New Roman" w:cs="Times New Roman"/>
                      <w:b w:val="0"/>
                      <w:bCs w:val="0"/>
                      <w:color w:val="000000"/>
                      <w:kern w:val="0"/>
                      <w:sz w:val="21"/>
                      <w:szCs w:val="21"/>
                      <w:vertAlign w:val="baseline"/>
                      <w:lang w:val="en-US" w:eastAsia="zh-CN" w:bidi="ar"/>
                    </w:rPr>
                    <w:t>阶段</w:t>
                  </w:r>
                </w:p>
              </w:tc>
              <w:tc>
                <w:tcPr>
                  <w:tcW w:w="2256" w:type="dxa"/>
                  <w:vAlign w:val="center"/>
                </w:tcPr>
                <w:p w14:paraId="23FFAC8D">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电钻</w:t>
                  </w:r>
                </w:p>
              </w:tc>
              <w:tc>
                <w:tcPr>
                  <w:tcW w:w="3301" w:type="dxa"/>
                  <w:vAlign w:val="center"/>
                </w:tcPr>
                <w:p w14:paraId="585E2A2A">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85</w:t>
                  </w:r>
                </w:p>
              </w:tc>
            </w:tr>
            <w:tr w14:paraId="4EF0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7" w:type="dxa"/>
                  <w:vMerge w:val="continue"/>
                  <w:vAlign w:val="center"/>
                </w:tcPr>
                <w:p w14:paraId="632DF6A1">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p>
              </w:tc>
              <w:tc>
                <w:tcPr>
                  <w:tcW w:w="2256" w:type="dxa"/>
                  <w:vAlign w:val="center"/>
                </w:tcPr>
                <w:p w14:paraId="31C5C79C">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手工钻</w:t>
                  </w:r>
                </w:p>
              </w:tc>
              <w:tc>
                <w:tcPr>
                  <w:tcW w:w="3301" w:type="dxa"/>
                  <w:vAlign w:val="center"/>
                </w:tcPr>
                <w:p w14:paraId="5D236788">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80</w:t>
                  </w:r>
                </w:p>
              </w:tc>
            </w:tr>
            <w:tr w14:paraId="3E3F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7" w:type="dxa"/>
                  <w:vMerge w:val="continue"/>
                  <w:vAlign w:val="center"/>
                </w:tcPr>
                <w:p w14:paraId="414BA8BD">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p>
              </w:tc>
              <w:tc>
                <w:tcPr>
                  <w:tcW w:w="2256" w:type="dxa"/>
                  <w:vAlign w:val="center"/>
                </w:tcPr>
                <w:p w14:paraId="65EFDA82">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无齿锯</w:t>
                  </w:r>
                </w:p>
              </w:tc>
              <w:tc>
                <w:tcPr>
                  <w:tcW w:w="3301" w:type="dxa"/>
                  <w:vAlign w:val="center"/>
                </w:tcPr>
                <w:p w14:paraId="1E57A6A4">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85</w:t>
                  </w:r>
                </w:p>
              </w:tc>
            </w:tr>
            <w:tr w14:paraId="68E4D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7" w:type="dxa"/>
                  <w:vMerge w:val="continue"/>
                  <w:vAlign w:val="center"/>
                </w:tcPr>
                <w:p w14:paraId="58EA0228">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p>
              </w:tc>
              <w:tc>
                <w:tcPr>
                  <w:tcW w:w="2256" w:type="dxa"/>
                  <w:vAlign w:val="center"/>
                </w:tcPr>
                <w:p w14:paraId="1A4E6751">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电锯</w:t>
                  </w:r>
                </w:p>
              </w:tc>
              <w:tc>
                <w:tcPr>
                  <w:tcW w:w="3301" w:type="dxa"/>
                  <w:vAlign w:val="center"/>
                </w:tcPr>
                <w:p w14:paraId="40D6E817">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80</w:t>
                  </w:r>
                </w:p>
              </w:tc>
            </w:tr>
            <w:tr w14:paraId="74ECC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7" w:type="dxa"/>
                  <w:vMerge w:val="continue"/>
                  <w:vAlign w:val="center"/>
                </w:tcPr>
                <w:p w14:paraId="0A97011C">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p>
              </w:tc>
              <w:tc>
                <w:tcPr>
                  <w:tcW w:w="2256" w:type="dxa"/>
                  <w:vAlign w:val="center"/>
                </w:tcPr>
                <w:p w14:paraId="3D874D2E">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轻型载重车</w:t>
                  </w:r>
                </w:p>
              </w:tc>
              <w:tc>
                <w:tcPr>
                  <w:tcW w:w="3301" w:type="dxa"/>
                  <w:vAlign w:val="center"/>
                </w:tcPr>
                <w:p w14:paraId="22F69499">
                  <w:pPr>
                    <w:keepNext w:val="0"/>
                    <w:keepLines w:val="0"/>
                    <w:widowControl/>
                    <w:numPr>
                      <w:ilvl w:val="0"/>
                      <w:numId w:val="0"/>
                    </w:numPr>
                    <w:suppressLineNumbers w:val="0"/>
                    <w:spacing w:line="240" w:lineRule="auto"/>
                    <w:jc w:val="center"/>
                    <w:rPr>
                      <w:rFonts w:hint="default" w:ascii="Times New Roman" w:hAnsi="Times New Roman" w:cs="Times New Roman"/>
                      <w:b w:val="0"/>
                      <w:bCs w:val="0"/>
                      <w:color w:val="000000"/>
                      <w:kern w:val="0"/>
                      <w:sz w:val="21"/>
                      <w:szCs w:val="21"/>
                      <w:vertAlign w:val="baseline"/>
                      <w:lang w:val="en-US" w:eastAsia="zh-CN" w:bidi="ar"/>
                    </w:rPr>
                  </w:pPr>
                  <w:r>
                    <w:rPr>
                      <w:rFonts w:hint="default" w:ascii="Times New Roman" w:hAnsi="Times New Roman" w:cs="Times New Roman"/>
                      <w:b w:val="0"/>
                      <w:bCs w:val="0"/>
                      <w:color w:val="000000"/>
                      <w:kern w:val="0"/>
                      <w:sz w:val="21"/>
                      <w:szCs w:val="21"/>
                      <w:vertAlign w:val="baseline"/>
                      <w:lang w:val="en-US" w:eastAsia="zh-CN" w:bidi="ar"/>
                    </w:rPr>
                    <w:t>69</w:t>
                  </w:r>
                </w:p>
              </w:tc>
            </w:tr>
          </w:tbl>
          <w:p w14:paraId="62E19D25">
            <w:pPr>
              <w:keepNext w:val="0"/>
              <w:keepLines w:val="0"/>
              <w:widowControl/>
              <w:numPr>
                <w:ilvl w:val="0"/>
                <w:numId w:val="26"/>
              </w:numPr>
              <w:suppressLineNumbers w:val="0"/>
              <w:ind w:left="0" w:leftChars="0" w:firstLine="482" w:firstLineChars="200"/>
              <w:jc w:val="left"/>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施工固体废物</w:t>
            </w:r>
          </w:p>
          <w:p w14:paraId="68877130">
            <w:pPr>
              <w:keepNext w:val="0"/>
              <w:keepLines w:val="0"/>
              <w:widowControl/>
              <w:numPr>
                <w:ilvl w:val="0"/>
                <w:numId w:val="0"/>
              </w:numPr>
              <w:suppressLineNumbers w:val="0"/>
              <w:ind w:firstLine="480" w:firstLineChars="200"/>
              <w:jc w:val="left"/>
              <w:rPr>
                <w:rFonts w:hint="default" w:cs="Times New Roman"/>
                <w:b w:val="0"/>
                <w:bCs w:val="0"/>
                <w:color w:val="000000"/>
                <w:kern w:val="0"/>
                <w:sz w:val="24"/>
                <w:szCs w:val="24"/>
                <w:lang w:val="en-US" w:eastAsia="zh-CN" w:bidi="ar"/>
              </w:rPr>
            </w:pPr>
            <w:r>
              <w:rPr>
                <w:rFonts w:hint="default" w:cs="Times New Roman"/>
                <w:b w:val="0"/>
                <w:bCs w:val="0"/>
                <w:color w:val="000000"/>
                <w:kern w:val="0"/>
                <w:sz w:val="24"/>
                <w:szCs w:val="24"/>
                <w:lang w:val="en-US" w:eastAsia="zh-CN" w:bidi="ar"/>
              </w:rPr>
              <w:t>建设期固废主要有施工过程中挖出的土方、淤泥、建筑垃圾以及施工人员产生的生活垃圾。</w:t>
            </w:r>
          </w:p>
          <w:p w14:paraId="33EC0FF3">
            <w:pPr>
              <w:keepNext w:val="0"/>
              <w:keepLines w:val="0"/>
              <w:widowControl/>
              <w:numPr>
                <w:ilvl w:val="0"/>
                <w:numId w:val="29"/>
              </w:numPr>
              <w:suppressLineNumbers w:val="0"/>
              <w:ind w:firstLine="480" w:firstLineChars="200"/>
              <w:jc w:val="left"/>
              <w:rPr>
                <w:rFonts w:hint="eastAsia" w:cs="Times New Roman"/>
                <w:b w:val="0"/>
                <w:bCs w:val="0"/>
                <w:color w:val="auto"/>
                <w:kern w:val="0"/>
                <w:sz w:val="24"/>
                <w:szCs w:val="24"/>
                <w:lang w:val="en-US" w:eastAsia="zh-CN" w:bidi="ar"/>
              </w:rPr>
            </w:pPr>
            <w:r>
              <w:rPr>
                <w:rFonts w:hint="eastAsia" w:cs="Times New Roman"/>
                <w:b w:val="0"/>
                <w:bCs w:val="0"/>
                <w:color w:val="auto"/>
                <w:kern w:val="0"/>
                <w:sz w:val="24"/>
                <w:szCs w:val="24"/>
                <w:lang w:val="en-US" w:eastAsia="zh-CN" w:bidi="ar"/>
              </w:rPr>
              <w:t>土石方</w:t>
            </w:r>
          </w:p>
          <w:p w14:paraId="7780C552">
            <w:pPr>
              <w:keepNext w:val="0"/>
              <w:keepLines w:val="0"/>
              <w:widowControl/>
              <w:numPr>
                <w:ilvl w:val="0"/>
                <w:numId w:val="0"/>
              </w:numPr>
              <w:suppressLineNumbers w:val="0"/>
              <w:ind w:firstLine="480" w:firstLineChars="200"/>
              <w:jc w:val="left"/>
              <w:rPr>
                <w:rFonts w:hint="eastAsia" w:cs="Times New Roman"/>
                <w:b w:val="0"/>
                <w:bCs w:val="0"/>
                <w:color w:val="auto"/>
                <w:kern w:val="0"/>
                <w:sz w:val="24"/>
                <w:szCs w:val="24"/>
                <w:vertAlign w:val="baseline"/>
                <w:lang w:val="en-US" w:eastAsia="zh-CN" w:bidi="ar"/>
              </w:rPr>
            </w:pPr>
            <w:r>
              <w:rPr>
                <w:rFonts w:hint="eastAsia" w:cs="Times New Roman"/>
                <w:b w:val="0"/>
                <w:bCs w:val="0"/>
                <w:color w:val="auto"/>
                <w:kern w:val="0"/>
                <w:sz w:val="24"/>
                <w:szCs w:val="24"/>
                <w:lang w:val="en-US" w:eastAsia="zh-CN" w:bidi="ar"/>
              </w:rPr>
              <w:t>根据可研，本工程总挖方体积达171508.1m</w:t>
            </w:r>
            <w:r>
              <w:rPr>
                <w:rFonts w:hint="eastAsia" w:cs="Times New Roman"/>
                <w:b w:val="0"/>
                <w:bCs w:val="0"/>
                <w:color w:val="auto"/>
                <w:kern w:val="0"/>
                <w:sz w:val="24"/>
                <w:szCs w:val="24"/>
                <w:vertAlign w:val="superscript"/>
                <w:lang w:val="en-US" w:eastAsia="zh-CN" w:bidi="ar"/>
              </w:rPr>
              <w:t>3</w:t>
            </w:r>
            <w:r>
              <w:rPr>
                <w:rFonts w:hint="eastAsia" w:cs="Times New Roman"/>
                <w:b w:val="0"/>
                <w:bCs w:val="0"/>
                <w:color w:val="auto"/>
                <w:kern w:val="0"/>
                <w:sz w:val="24"/>
                <w:szCs w:val="24"/>
                <w:vertAlign w:val="baseline"/>
                <w:lang w:val="en-US" w:eastAsia="zh-CN" w:bidi="ar"/>
              </w:rPr>
              <w:t>，填方体积为128315.77</w:t>
            </w:r>
            <w:r>
              <w:rPr>
                <w:rFonts w:hint="eastAsia" w:cs="Times New Roman"/>
                <w:b w:val="0"/>
                <w:bCs w:val="0"/>
                <w:color w:val="auto"/>
                <w:kern w:val="0"/>
                <w:sz w:val="24"/>
                <w:szCs w:val="24"/>
                <w:lang w:val="en-US" w:eastAsia="zh-CN" w:bidi="ar"/>
              </w:rPr>
              <w:t>m</w:t>
            </w:r>
            <w:r>
              <w:rPr>
                <w:rFonts w:hint="eastAsia" w:cs="Times New Roman"/>
                <w:b w:val="0"/>
                <w:bCs w:val="0"/>
                <w:color w:val="auto"/>
                <w:kern w:val="0"/>
                <w:sz w:val="24"/>
                <w:szCs w:val="24"/>
                <w:vertAlign w:val="superscript"/>
                <w:lang w:val="en-US" w:eastAsia="zh-CN" w:bidi="ar"/>
              </w:rPr>
              <w:t>3</w:t>
            </w:r>
            <w:r>
              <w:rPr>
                <w:rFonts w:hint="eastAsia" w:cs="Times New Roman"/>
                <w:b w:val="0"/>
                <w:bCs w:val="0"/>
                <w:color w:val="auto"/>
                <w:kern w:val="0"/>
                <w:sz w:val="24"/>
                <w:szCs w:val="24"/>
                <w:vertAlign w:val="baseline"/>
                <w:lang w:val="en-US" w:eastAsia="zh-CN" w:bidi="ar"/>
              </w:rPr>
              <w:t>（回填99816.15m</w:t>
            </w:r>
            <w:r>
              <w:rPr>
                <w:rFonts w:hint="eastAsia" w:cs="Times New Roman"/>
                <w:b w:val="0"/>
                <w:bCs w:val="0"/>
                <w:color w:val="auto"/>
                <w:kern w:val="0"/>
                <w:sz w:val="24"/>
                <w:szCs w:val="24"/>
                <w:vertAlign w:val="superscript"/>
                <w:lang w:val="en-US" w:eastAsia="zh-CN" w:bidi="ar"/>
              </w:rPr>
              <w:t>3</w:t>
            </w:r>
            <w:r>
              <w:rPr>
                <w:rFonts w:hint="eastAsia" w:cs="Times New Roman"/>
                <w:b w:val="0"/>
                <w:bCs w:val="0"/>
                <w:color w:val="auto"/>
                <w:kern w:val="0"/>
                <w:sz w:val="24"/>
                <w:szCs w:val="24"/>
                <w:vertAlign w:val="baseline"/>
                <w:lang w:val="en-US" w:eastAsia="zh-CN" w:bidi="ar"/>
              </w:rPr>
              <w:t>，外购中粗砂28499.62m</w:t>
            </w:r>
            <w:r>
              <w:rPr>
                <w:rFonts w:hint="eastAsia" w:cs="Times New Roman"/>
                <w:b w:val="0"/>
                <w:bCs w:val="0"/>
                <w:color w:val="auto"/>
                <w:kern w:val="0"/>
                <w:sz w:val="24"/>
                <w:szCs w:val="24"/>
                <w:vertAlign w:val="superscript"/>
                <w:lang w:val="en-US" w:eastAsia="zh-CN" w:bidi="ar"/>
              </w:rPr>
              <w:t>3</w:t>
            </w:r>
            <w:r>
              <w:rPr>
                <w:rFonts w:hint="eastAsia" w:cs="Times New Roman"/>
                <w:b w:val="0"/>
                <w:bCs w:val="0"/>
                <w:color w:val="auto"/>
                <w:kern w:val="0"/>
                <w:sz w:val="24"/>
                <w:szCs w:val="24"/>
                <w:vertAlign w:val="baseline"/>
                <w:lang w:val="en-US" w:eastAsia="zh-CN" w:bidi="ar"/>
              </w:rPr>
              <w:t>），需废弃土石方71691.95m</w:t>
            </w:r>
            <w:r>
              <w:rPr>
                <w:rFonts w:hint="eastAsia" w:cs="Times New Roman"/>
                <w:b w:val="0"/>
                <w:bCs w:val="0"/>
                <w:color w:val="auto"/>
                <w:kern w:val="0"/>
                <w:sz w:val="24"/>
                <w:szCs w:val="24"/>
                <w:vertAlign w:val="superscript"/>
                <w:lang w:val="en-US" w:eastAsia="zh-CN" w:bidi="ar"/>
              </w:rPr>
              <w:t>3</w:t>
            </w:r>
            <w:r>
              <w:rPr>
                <w:rFonts w:hint="eastAsia" w:cs="Times New Roman"/>
                <w:b w:val="0"/>
                <w:bCs w:val="0"/>
                <w:color w:val="auto"/>
                <w:kern w:val="0"/>
                <w:sz w:val="24"/>
                <w:szCs w:val="24"/>
                <w:vertAlign w:val="baseline"/>
                <w:lang w:val="en-US" w:eastAsia="zh-CN" w:bidi="ar"/>
              </w:rPr>
              <w:t>。废弃的土石方运往芒市帕底分场水库。本项目土石方平衡情况见下表。</w:t>
            </w:r>
          </w:p>
          <w:p w14:paraId="475B4D40">
            <w:pPr>
              <w:keepNext w:val="0"/>
              <w:keepLines w:val="0"/>
              <w:widowControl/>
              <w:numPr>
                <w:ilvl w:val="0"/>
                <w:numId w:val="0"/>
              </w:numPr>
              <w:suppressLineNumbers w:val="0"/>
              <w:ind w:firstLine="482" w:firstLineChars="200"/>
              <w:jc w:val="center"/>
              <w:rPr>
                <w:rFonts w:hint="default" w:cs="Times New Roman"/>
                <w:b/>
                <w:bCs/>
                <w:color w:val="auto"/>
                <w:kern w:val="0"/>
                <w:sz w:val="24"/>
                <w:szCs w:val="24"/>
                <w:vertAlign w:val="baseline"/>
                <w:lang w:val="en-US" w:eastAsia="zh-CN" w:bidi="ar"/>
              </w:rPr>
            </w:pPr>
            <w:r>
              <w:rPr>
                <w:rFonts w:hint="eastAsia" w:cs="Times New Roman"/>
                <w:b/>
                <w:bCs/>
                <w:color w:val="auto"/>
                <w:kern w:val="0"/>
                <w:sz w:val="24"/>
                <w:szCs w:val="24"/>
                <w:vertAlign w:val="baseline"/>
                <w:lang w:val="en-US" w:eastAsia="zh-CN" w:bidi="ar"/>
              </w:rPr>
              <w:t>表5-2 土石方平衡表</w:t>
            </w:r>
          </w:p>
          <w:tbl>
            <w:tblPr>
              <w:tblStyle w:val="10"/>
              <w:tblW w:w="83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1669"/>
              <w:gridCol w:w="1668"/>
              <w:gridCol w:w="1667"/>
              <w:gridCol w:w="1669"/>
            </w:tblGrid>
            <w:tr w14:paraId="5B65A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vAlign w:val="center"/>
                </w:tcPr>
                <w:p w14:paraId="2C964CD7">
                  <w:pPr>
                    <w:keepNext w:val="0"/>
                    <w:keepLines w:val="0"/>
                    <w:widowControl/>
                    <w:numPr>
                      <w:ilvl w:val="0"/>
                      <w:numId w:val="0"/>
                    </w:numPr>
                    <w:suppressLineNumbers w:val="0"/>
                    <w:spacing w:line="240" w:lineRule="auto"/>
                    <w:jc w:val="center"/>
                    <w:rPr>
                      <w:rFonts w:hint="eastAsia" w:cs="Times New Roman"/>
                      <w:b w:val="0"/>
                      <w:bCs w:val="0"/>
                      <w:color w:val="auto"/>
                      <w:kern w:val="0"/>
                      <w:sz w:val="21"/>
                      <w:szCs w:val="21"/>
                      <w:vertAlign w:val="baseline"/>
                      <w:lang w:val="en-US" w:eastAsia="zh-CN" w:bidi="ar"/>
                    </w:rPr>
                  </w:pPr>
                </w:p>
              </w:tc>
              <w:tc>
                <w:tcPr>
                  <w:tcW w:w="1669" w:type="dxa"/>
                  <w:vAlign w:val="center"/>
                </w:tcPr>
                <w:p w14:paraId="2CA4D148">
                  <w:pPr>
                    <w:keepNext w:val="0"/>
                    <w:keepLines w:val="0"/>
                    <w:widowControl/>
                    <w:numPr>
                      <w:ilvl w:val="0"/>
                      <w:numId w:val="0"/>
                    </w:numPr>
                    <w:suppressLineNumbers w:val="0"/>
                    <w:spacing w:line="240" w:lineRule="auto"/>
                    <w:jc w:val="center"/>
                    <w:rPr>
                      <w:rFonts w:hint="default"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挖方</w:t>
                  </w:r>
                </w:p>
              </w:tc>
              <w:tc>
                <w:tcPr>
                  <w:tcW w:w="1668" w:type="dxa"/>
                  <w:vAlign w:val="center"/>
                </w:tcPr>
                <w:p w14:paraId="3534648A">
                  <w:pPr>
                    <w:keepNext w:val="0"/>
                    <w:keepLines w:val="0"/>
                    <w:widowControl/>
                    <w:numPr>
                      <w:ilvl w:val="0"/>
                      <w:numId w:val="0"/>
                    </w:numPr>
                    <w:suppressLineNumbers w:val="0"/>
                    <w:spacing w:line="240" w:lineRule="auto"/>
                    <w:jc w:val="center"/>
                    <w:rPr>
                      <w:rFonts w:hint="default"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回填</w:t>
                  </w:r>
                </w:p>
              </w:tc>
              <w:tc>
                <w:tcPr>
                  <w:tcW w:w="1667" w:type="dxa"/>
                  <w:vAlign w:val="center"/>
                </w:tcPr>
                <w:p w14:paraId="599D6B74">
                  <w:pPr>
                    <w:keepNext w:val="0"/>
                    <w:keepLines w:val="0"/>
                    <w:widowControl/>
                    <w:numPr>
                      <w:ilvl w:val="0"/>
                      <w:numId w:val="0"/>
                    </w:numPr>
                    <w:suppressLineNumbers w:val="0"/>
                    <w:spacing w:line="240" w:lineRule="auto"/>
                    <w:jc w:val="center"/>
                    <w:rPr>
                      <w:rFonts w:hint="default"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调入（中粗砂）</w:t>
                  </w:r>
                </w:p>
              </w:tc>
              <w:tc>
                <w:tcPr>
                  <w:tcW w:w="1669" w:type="dxa"/>
                  <w:vAlign w:val="center"/>
                </w:tcPr>
                <w:p w14:paraId="32970D08">
                  <w:pPr>
                    <w:keepNext w:val="0"/>
                    <w:keepLines w:val="0"/>
                    <w:widowControl/>
                    <w:numPr>
                      <w:ilvl w:val="0"/>
                      <w:numId w:val="0"/>
                    </w:numPr>
                    <w:suppressLineNumbers w:val="0"/>
                    <w:spacing w:line="240" w:lineRule="auto"/>
                    <w:jc w:val="center"/>
                    <w:rPr>
                      <w:rFonts w:hint="default"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弃方</w:t>
                  </w:r>
                </w:p>
              </w:tc>
            </w:tr>
            <w:tr w14:paraId="303D8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vAlign w:val="center"/>
                </w:tcPr>
                <w:p w14:paraId="0F02BE38">
                  <w:pPr>
                    <w:keepNext w:val="0"/>
                    <w:keepLines w:val="0"/>
                    <w:widowControl/>
                    <w:numPr>
                      <w:ilvl w:val="0"/>
                      <w:numId w:val="0"/>
                    </w:numPr>
                    <w:suppressLineNumbers w:val="0"/>
                    <w:spacing w:line="240" w:lineRule="auto"/>
                    <w:jc w:val="center"/>
                    <w:rPr>
                      <w:rFonts w:hint="default"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综合管廊</w:t>
                  </w:r>
                </w:p>
              </w:tc>
              <w:tc>
                <w:tcPr>
                  <w:tcW w:w="1669" w:type="dxa"/>
                  <w:vAlign w:val="center"/>
                </w:tcPr>
                <w:p w14:paraId="600822C7">
                  <w:pPr>
                    <w:keepNext w:val="0"/>
                    <w:keepLines w:val="0"/>
                    <w:widowControl/>
                    <w:numPr>
                      <w:ilvl w:val="0"/>
                      <w:numId w:val="0"/>
                    </w:numPr>
                    <w:suppressLineNumbers w:val="0"/>
                    <w:spacing w:line="240" w:lineRule="auto"/>
                    <w:jc w:val="center"/>
                    <w:rPr>
                      <w:rFonts w:hint="default"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35624.52</w:t>
                  </w:r>
                </w:p>
              </w:tc>
              <w:tc>
                <w:tcPr>
                  <w:tcW w:w="1668" w:type="dxa"/>
                  <w:vAlign w:val="center"/>
                </w:tcPr>
                <w:p w14:paraId="6B82236B">
                  <w:pPr>
                    <w:keepNext w:val="0"/>
                    <w:keepLines w:val="0"/>
                    <w:widowControl/>
                    <w:numPr>
                      <w:ilvl w:val="0"/>
                      <w:numId w:val="0"/>
                    </w:numPr>
                    <w:suppressLineNumbers w:val="0"/>
                    <w:spacing w:line="240" w:lineRule="auto"/>
                    <w:jc w:val="center"/>
                    <w:rPr>
                      <w:rFonts w:hint="default"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28499.62</w:t>
                  </w:r>
                </w:p>
              </w:tc>
              <w:tc>
                <w:tcPr>
                  <w:tcW w:w="1667" w:type="dxa"/>
                  <w:vAlign w:val="center"/>
                </w:tcPr>
                <w:p w14:paraId="32D997BC">
                  <w:pPr>
                    <w:keepNext w:val="0"/>
                    <w:keepLines w:val="0"/>
                    <w:widowControl/>
                    <w:numPr>
                      <w:ilvl w:val="0"/>
                      <w:numId w:val="0"/>
                    </w:numPr>
                    <w:suppressLineNumbers w:val="0"/>
                    <w:spacing w:line="240" w:lineRule="auto"/>
                    <w:jc w:val="center"/>
                    <w:rPr>
                      <w:rFonts w:hint="eastAsia"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28499.62</w:t>
                  </w:r>
                </w:p>
              </w:tc>
              <w:tc>
                <w:tcPr>
                  <w:tcW w:w="1669" w:type="dxa"/>
                  <w:vAlign w:val="center"/>
                </w:tcPr>
                <w:p w14:paraId="3DEDC893">
                  <w:pPr>
                    <w:keepNext w:val="0"/>
                    <w:keepLines w:val="0"/>
                    <w:widowControl/>
                    <w:numPr>
                      <w:ilvl w:val="0"/>
                      <w:numId w:val="0"/>
                    </w:numPr>
                    <w:suppressLineNumbers w:val="0"/>
                    <w:spacing w:line="240" w:lineRule="auto"/>
                    <w:jc w:val="center"/>
                    <w:rPr>
                      <w:rFonts w:hint="default"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35624.52</w:t>
                  </w:r>
                </w:p>
              </w:tc>
            </w:tr>
            <w:tr w14:paraId="79BA1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vAlign w:val="center"/>
                </w:tcPr>
                <w:p w14:paraId="59BFDB33">
                  <w:pPr>
                    <w:keepNext w:val="0"/>
                    <w:keepLines w:val="0"/>
                    <w:widowControl/>
                    <w:numPr>
                      <w:ilvl w:val="0"/>
                      <w:numId w:val="0"/>
                    </w:numPr>
                    <w:suppressLineNumbers w:val="0"/>
                    <w:spacing w:line="240" w:lineRule="auto"/>
                    <w:jc w:val="center"/>
                    <w:rPr>
                      <w:rFonts w:hint="default"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道路整治</w:t>
                  </w:r>
                </w:p>
              </w:tc>
              <w:tc>
                <w:tcPr>
                  <w:tcW w:w="1669" w:type="dxa"/>
                  <w:vAlign w:val="center"/>
                </w:tcPr>
                <w:p w14:paraId="16FA513C">
                  <w:pPr>
                    <w:keepNext w:val="0"/>
                    <w:keepLines w:val="0"/>
                    <w:widowControl/>
                    <w:numPr>
                      <w:ilvl w:val="0"/>
                      <w:numId w:val="0"/>
                    </w:numPr>
                    <w:suppressLineNumbers w:val="0"/>
                    <w:spacing w:line="240" w:lineRule="auto"/>
                    <w:jc w:val="center"/>
                    <w:rPr>
                      <w:rFonts w:hint="default"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135883.58</w:t>
                  </w:r>
                </w:p>
              </w:tc>
              <w:tc>
                <w:tcPr>
                  <w:tcW w:w="1668" w:type="dxa"/>
                  <w:vAlign w:val="center"/>
                </w:tcPr>
                <w:p w14:paraId="6CE68C4C">
                  <w:pPr>
                    <w:keepNext w:val="0"/>
                    <w:keepLines w:val="0"/>
                    <w:widowControl/>
                    <w:numPr>
                      <w:ilvl w:val="0"/>
                      <w:numId w:val="0"/>
                    </w:numPr>
                    <w:suppressLineNumbers w:val="0"/>
                    <w:spacing w:line="240" w:lineRule="auto"/>
                    <w:jc w:val="center"/>
                    <w:rPr>
                      <w:rFonts w:hint="default"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99816.15</w:t>
                  </w:r>
                </w:p>
              </w:tc>
              <w:tc>
                <w:tcPr>
                  <w:tcW w:w="1667" w:type="dxa"/>
                  <w:vAlign w:val="center"/>
                </w:tcPr>
                <w:p w14:paraId="46A26B55">
                  <w:pPr>
                    <w:keepNext w:val="0"/>
                    <w:keepLines w:val="0"/>
                    <w:widowControl/>
                    <w:numPr>
                      <w:ilvl w:val="0"/>
                      <w:numId w:val="0"/>
                    </w:numPr>
                    <w:suppressLineNumbers w:val="0"/>
                    <w:spacing w:line="240" w:lineRule="auto"/>
                    <w:jc w:val="center"/>
                    <w:rPr>
                      <w:rFonts w:hint="default"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0</w:t>
                  </w:r>
                </w:p>
              </w:tc>
              <w:tc>
                <w:tcPr>
                  <w:tcW w:w="1669" w:type="dxa"/>
                  <w:vAlign w:val="center"/>
                </w:tcPr>
                <w:p w14:paraId="07CE0C64">
                  <w:pPr>
                    <w:keepNext w:val="0"/>
                    <w:keepLines w:val="0"/>
                    <w:widowControl/>
                    <w:numPr>
                      <w:ilvl w:val="0"/>
                      <w:numId w:val="0"/>
                    </w:numPr>
                    <w:suppressLineNumbers w:val="0"/>
                    <w:spacing w:line="240" w:lineRule="auto"/>
                    <w:jc w:val="center"/>
                    <w:rPr>
                      <w:rFonts w:hint="default"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36067.43</w:t>
                  </w:r>
                </w:p>
              </w:tc>
            </w:tr>
            <w:tr w14:paraId="6FC89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vAlign w:val="center"/>
                </w:tcPr>
                <w:p w14:paraId="65B79984">
                  <w:pPr>
                    <w:keepNext w:val="0"/>
                    <w:keepLines w:val="0"/>
                    <w:widowControl/>
                    <w:numPr>
                      <w:ilvl w:val="0"/>
                      <w:numId w:val="0"/>
                    </w:numPr>
                    <w:suppressLineNumbers w:val="0"/>
                    <w:spacing w:line="240" w:lineRule="auto"/>
                    <w:jc w:val="center"/>
                    <w:rPr>
                      <w:rFonts w:hint="default"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合计</w:t>
                  </w:r>
                </w:p>
              </w:tc>
              <w:tc>
                <w:tcPr>
                  <w:tcW w:w="1669" w:type="dxa"/>
                  <w:vAlign w:val="center"/>
                </w:tcPr>
                <w:p w14:paraId="3DC514C6">
                  <w:pPr>
                    <w:keepNext w:val="0"/>
                    <w:keepLines w:val="0"/>
                    <w:widowControl/>
                    <w:numPr>
                      <w:ilvl w:val="0"/>
                      <w:numId w:val="0"/>
                    </w:numPr>
                    <w:suppressLineNumbers w:val="0"/>
                    <w:spacing w:line="240" w:lineRule="auto"/>
                    <w:jc w:val="center"/>
                    <w:rPr>
                      <w:rFonts w:hint="default"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171508.1</w:t>
                  </w:r>
                </w:p>
              </w:tc>
              <w:tc>
                <w:tcPr>
                  <w:tcW w:w="1668" w:type="dxa"/>
                  <w:vAlign w:val="center"/>
                </w:tcPr>
                <w:p w14:paraId="0E809849">
                  <w:pPr>
                    <w:keepNext w:val="0"/>
                    <w:keepLines w:val="0"/>
                    <w:widowControl/>
                    <w:numPr>
                      <w:ilvl w:val="0"/>
                      <w:numId w:val="0"/>
                    </w:numPr>
                    <w:suppressLineNumbers w:val="0"/>
                    <w:spacing w:line="240" w:lineRule="auto"/>
                    <w:jc w:val="center"/>
                    <w:rPr>
                      <w:rFonts w:hint="default"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128315.77</w:t>
                  </w:r>
                </w:p>
              </w:tc>
              <w:tc>
                <w:tcPr>
                  <w:tcW w:w="1667" w:type="dxa"/>
                  <w:vAlign w:val="center"/>
                </w:tcPr>
                <w:p w14:paraId="3DF80638">
                  <w:pPr>
                    <w:keepNext w:val="0"/>
                    <w:keepLines w:val="0"/>
                    <w:widowControl/>
                    <w:numPr>
                      <w:ilvl w:val="0"/>
                      <w:numId w:val="0"/>
                    </w:numPr>
                    <w:suppressLineNumbers w:val="0"/>
                    <w:spacing w:line="240" w:lineRule="auto"/>
                    <w:jc w:val="center"/>
                    <w:rPr>
                      <w:rFonts w:hint="default"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28499.62</w:t>
                  </w:r>
                </w:p>
              </w:tc>
              <w:tc>
                <w:tcPr>
                  <w:tcW w:w="1669" w:type="dxa"/>
                  <w:vAlign w:val="center"/>
                </w:tcPr>
                <w:p w14:paraId="688353D7">
                  <w:pPr>
                    <w:keepNext w:val="0"/>
                    <w:keepLines w:val="0"/>
                    <w:widowControl/>
                    <w:numPr>
                      <w:ilvl w:val="0"/>
                      <w:numId w:val="0"/>
                    </w:numPr>
                    <w:suppressLineNumbers w:val="0"/>
                    <w:spacing w:line="240" w:lineRule="auto"/>
                    <w:jc w:val="center"/>
                    <w:rPr>
                      <w:rFonts w:hint="default" w:cs="Times New Roman"/>
                      <w:b w:val="0"/>
                      <w:bCs w:val="0"/>
                      <w:color w:val="auto"/>
                      <w:kern w:val="0"/>
                      <w:sz w:val="21"/>
                      <w:szCs w:val="21"/>
                      <w:vertAlign w:val="baseline"/>
                      <w:lang w:val="en-US" w:eastAsia="zh-CN" w:bidi="ar"/>
                    </w:rPr>
                  </w:pPr>
                  <w:r>
                    <w:rPr>
                      <w:rFonts w:hint="eastAsia" w:cs="Times New Roman"/>
                      <w:b w:val="0"/>
                      <w:bCs w:val="0"/>
                      <w:color w:val="auto"/>
                      <w:kern w:val="0"/>
                      <w:sz w:val="21"/>
                      <w:szCs w:val="21"/>
                      <w:vertAlign w:val="baseline"/>
                      <w:lang w:val="en-US" w:eastAsia="zh-CN" w:bidi="ar"/>
                    </w:rPr>
                    <w:t>71691.95</w:t>
                  </w:r>
                </w:p>
              </w:tc>
            </w:tr>
          </w:tbl>
          <w:p w14:paraId="13FF5DE8">
            <w:pPr>
              <w:keepNext w:val="0"/>
              <w:keepLines w:val="0"/>
              <w:widowControl/>
              <w:numPr>
                <w:ilvl w:val="0"/>
                <w:numId w:val="0"/>
              </w:numPr>
              <w:suppressLineNumbers w:val="0"/>
              <w:jc w:val="both"/>
              <w:rPr>
                <w:rFonts w:hint="default" w:cs="Times New Roman"/>
                <w:b w:val="0"/>
                <w:bCs w:val="0"/>
                <w:color w:val="auto"/>
                <w:kern w:val="0"/>
                <w:sz w:val="22"/>
                <w:szCs w:val="22"/>
                <w:vertAlign w:val="baseline"/>
                <w:lang w:val="en-US" w:eastAsia="zh-CN" w:bidi="ar"/>
              </w:rPr>
            </w:pPr>
            <w:r>
              <w:rPr>
                <w:rFonts w:hint="eastAsia" w:cs="Times New Roman"/>
                <w:b w:val="0"/>
                <w:bCs w:val="0"/>
                <w:color w:val="auto"/>
                <w:kern w:val="0"/>
                <w:sz w:val="22"/>
                <w:szCs w:val="22"/>
                <w:vertAlign w:val="baseline"/>
                <w:lang w:val="en-US" w:eastAsia="zh-CN" w:bidi="ar"/>
              </w:rPr>
              <w:t>注：平衡公式为：挖方+调入=填方+弃方</w:t>
            </w:r>
          </w:p>
          <w:p w14:paraId="10D8D626">
            <w:pPr>
              <w:keepNext w:val="0"/>
              <w:keepLines w:val="0"/>
              <w:widowControl/>
              <w:numPr>
                <w:ilvl w:val="0"/>
                <w:numId w:val="29"/>
              </w:numPr>
              <w:suppressLineNumbers w:val="0"/>
              <w:ind w:firstLine="480" w:firstLineChars="200"/>
              <w:jc w:val="left"/>
              <w:rPr>
                <w:rFonts w:hint="default" w:cs="Times New Roman"/>
                <w:b w:val="0"/>
                <w:bCs w:val="0"/>
                <w:color w:val="000000"/>
                <w:kern w:val="0"/>
                <w:sz w:val="24"/>
                <w:szCs w:val="24"/>
                <w:lang w:val="en-US" w:eastAsia="zh-CN" w:bidi="ar"/>
              </w:rPr>
            </w:pPr>
            <w:r>
              <w:rPr>
                <w:rFonts w:hint="eastAsia" w:cs="Times New Roman"/>
                <w:b w:val="0"/>
                <w:bCs w:val="0"/>
                <w:color w:val="000000"/>
                <w:kern w:val="0"/>
                <w:sz w:val="24"/>
                <w:szCs w:val="24"/>
                <w:lang w:val="en-US" w:eastAsia="zh-CN" w:bidi="ar"/>
              </w:rPr>
              <w:t>淤泥</w:t>
            </w:r>
          </w:p>
          <w:p w14:paraId="3ED4070C">
            <w:pPr>
              <w:keepNext w:val="0"/>
              <w:keepLines w:val="0"/>
              <w:widowControl/>
              <w:numPr>
                <w:ilvl w:val="0"/>
                <w:numId w:val="0"/>
              </w:numPr>
              <w:suppressLineNumbers w:val="0"/>
              <w:ind w:firstLine="480" w:firstLineChars="200"/>
              <w:jc w:val="left"/>
              <w:rPr>
                <w:rFonts w:hint="default" w:cs="Times New Roman"/>
                <w:b w:val="0"/>
                <w:bCs w:val="0"/>
                <w:color w:val="000000"/>
                <w:kern w:val="0"/>
                <w:sz w:val="24"/>
                <w:szCs w:val="24"/>
                <w:lang w:val="en-US" w:eastAsia="zh-CN" w:bidi="ar"/>
              </w:rPr>
            </w:pPr>
            <w:r>
              <w:rPr>
                <w:rFonts w:hint="default" w:cs="Times New Roman"/>
                <w:b w:val="0"/>
                <w:bCs w:val="0"/>
                <w:color w:val="000000"/>
                <w:kern w:val="0"/>
                <w:sz w:val="24"/>
                <w:szCs w:val="24"/>
                <w:lang w:val="en-US" w:eastAsia="zh-CN" w:bidi="ar"/>
              </w:rPr>
              <w:t>项目在对河道区域施工过程中会有淤泥清出，但由于涉及河道施工的区域较小，产生的淤泥量较少。经抽吸和打捞上来的淤泥用编织袋捆装，放置在河道斜坡上，待淤泥水分浸出流入河道后，淤泥用于回填处理。</w:t>
            </w:r>
          </w:p>
          <w:p w14:paraId="1ACD8F70">
            <w:pPr>
              <w:keepNext w:val="0"/>
              <w:keepLines w:val="0"/>
              <w:widowControl/>
              <w:numPr>
                <w:ilvl w:val="0"/>
                <w:numId w:val="29"/>
              </w:numPr>
              <w:suppressLineNumbers w:val="0"/>
              <w:ind w:left="0" w:leftChars="0" w:firstLine="480" w:firstLineChars="200"/>
              <w:jc w:val="both"/>
              <w:rPr>
                <w:rFonts w:hint="eastAsia" w:cs="Times New Roman"/>
                <w:b w:val="0"/>
                <w:bCs w:val="0"/>
                <w:color w:val="000000"/>
                <w:kern w:val="0"/>
                <w:sz w:val="24"/>
                <w:szCs w:val="24"/>
                <w:lang w:val="en-US" w:eastAsia="zh-CN" w:bidi="ar"/>
              </w:rPr>
            </w:pPr>
            <w:r>
              <w:rPr>
                <w:rFonts w:hint="eastAsia" w:cs="Times New Roman"/>
                <w:b w:val="0"/>
                <w:bCs w:val="0"/>
                <w:color w:val="000000"/>
                <w:kern w:val="0"/>
                <w:sz w:val="24"/>
                <w:szCs w:val="24"/>
                <w:lang w:val="en-US" w:eastAsia="zh-CN" w:bidi="ar"/>
              </w:rPr>
              <w:t>建筑垃圾</w:t>
            </w:r>
          </w:p>
          <w:p w14:paraId="2D8491C4">
            <w:pPr>
              <w:keepNext w:val="0"/>
              <w:keepLines w:val="0"/>
              <w:widowControl/>
              <w:numPr>
                <w:ilvl w:val="0"/>
                <w:numId w:val="0"/>
              </w:numPr>
              <w:suppressLineNumbers w:val="0"/>
              <w:ind w:firstLine="480" w:firstLineChars="200"/>
              <w:jc w:val="both"/>
              <w:rPr>
                <w:rFonts w:hint="default" w:cs="Times New Roman"/>
                <w:b w:val="0"/>
                <w:bCs w:val="0"/>
                <w:color w:val="000000"/>
                <w:kern w:val="0"/>
                <w:sz w:val="24"/>
                <w:szCs w:val="24"/>
                <w:lang w:val="en-US" w:eastAsia="zh-CN" w:bidi="ar"/>
              </w:rPr>
            </w:pPr>
            <w:r>
              <w:rPr>
                <w:rFonts w:hint="default" w:cs="Times New Roman"/>
                <w:b w:val="0"/>
                <w:bCs w:val="0"/>
                <w:color w:val="000000"/>
                <w:kern w:val="0"/>
                <w:sz w:val="24"/>
                <w:szCs w:val="24"/>
                <w:lang w:val="en-US" w:eastAsia="zh-CN" w:bidi="ar"/>
              </w:rPr>
              <w:t>建筑垃圾是在建筑物的建设过程中产生的，主要废钢筋和各种废钢配件，金属管线废料、包装袋等，散落的砂浆和混凝土，碎砖和碎混凝土块。据类比调查，一般建筑垃圾产生量约为20kg/m</w:t>
            </w:r>
            <w:r>
              <w:rPr>
                <w:rFonts w:hint="eastAsia" w:cs="Times New Roman"/>
                <w:b w:val="0"/>
                <w:bCs w:val="0"/>
                <w:color w:val="000000"/>
                <w:kern w:val="0"/>
                <w:sz w:val="24"/>
                <w:szCs w:val="24"/>
                <w:vertAlign w:val="superscript"/>
                <w:lang w:val="en-US" w:eastAsia="zh-CN" w:bidi="ar"/>
              </w:rPr>
              <w:t>2</w:t>
            </w:r>
            <w:r>
              <w:rPr>
                <w:rFonts w:hint="default" w:cs="Times New Roman"/>
                <w:b w:val="0"/>
                <w:bCs w:val="0"/>
                <w:color w:val="000000"/>
                <w:kern w:val="0"/>
                <w:sz w:val="24"/>
                <w:szCs w:val="24"/>
                <w:lang w:val="en-US" w:eastAsia="zh-CN" w:bidi="ar"/>
              </w:rPr>
              <w:t>，即单位建筑面积的产生量</w:t>
            </w:r>
            <w:r>
              <w:rPr>
                <w:rFonts w:hint="eastAsia" w:cs="Times New Roman"/>
                <w:b w:val="0"/>
                <w:bCs w:val="0"/>
                <w:color w:val="000000"/>
                <w:kern w:val="0"/>
                <w:sz w:val="24"/>
                <w:szCs w:val="24"/>
                <w:lang w:val="en-US" w:eastAsia="zh-CN" w:bidi="ar"/>
              </w:rPr>
              <w:t>为</w:t>
            </w:r>
            <w:r>
              <w:rPr>
                <w:rFonts w:hint="default" w:cs="Times New Roman"/>
                <w:b w:val="0"/>
                <w:bCs w:val="0"/>
                <w:color w:val="000000"/>
                <w:kern w:val="0"/>
                <w:sz w:val="24"/>
                <w:szCs w:val="24"/>
                <w:lang w:val="en-US" w:eastAsia="zh-CN" w:bidi="ar"/>
              </w:rPr>
              <w:t>20kg，本项目长度</w:t>
            </w:r>
            <w:r>
              <w:rPr>
                <w:rFonts w:hint="eastAsia" w:cs="Times New Roman"/>
                <w:b w:val="0"/>
                <w:bCs w:val="0"/>
                <w:color w:val="000000"/>
                <w:kern w:val="0"/>
                <w:sz w:val="24"/>
                <w:szCs w:val="24"/>
                <w:lang w:val="en-US" w:eastAsia="zh-CN" w:bidi="ar"/>
              </w:rPr>
              <w:t>16200</w:t>
            </w:r>
            <w:r>
              <w:rPr>
                <w:rFonts w:hint="default" w:cs="Times New Roman"/>
                <w:b w:val="0"/>
                <w:bCs w:val="0"/>
                <w:color w:val="000000"/>
                <w:kern w:val="0"/>
                <w:sz w:val="24"/>
                <w:szCs w:val="24"/>
                <w:lang w:val="en-US" w:eastAsia="zh-CN" w:bidi="ar"/>
              </w:rPr>
              <w:t>m，平均断面面积为</w:t>
            </w:r>
            <w:r>
              <w:rPr>
                <w:rFonts w:hint="eastAsia" w:cs="Times New Roman"/>
                <w:b w:val="0"/>
                <w:bCs w:val="0"/>
                <w:color w:val="000000"/>
                <w:kern w:val="0"/>
                <w:sz w:val="24"/>
                <w:szCs w:val="24"/>
                <w:lang w:val="en-US" w:eastAsia="zh-CN" w:bidi="ar"/>
              </w:rPr>
              <w:t>4m</w:t>
            </w:r>
            <w:r>
              <w:rPr>
                <w:rFonts w:hint="eastAsia" w:cs="Times New Roman"/>
                <w:b w:val="0"/>
                <w:bCs w:val="0"/>
                <w:color w:val="000000"/>
                <w:kern w:val="0"/>
                <w:sz w:val="24"/>
                <w:szCs w:val="24"/>
                <w:vertAlign w:val="superscript"/>
                <w:lang w:val="en-US" w:eastAsia="zh-CN" w:bidi="ar"/>
              </w:rPr>
              <w:t>2</w:t>
            </w:r>
            <w:r>
              <w:rPr>
                <w:rFonts w:hint="default" w:cs="Times New Roman"/>
                <w:b w:val="0"/>
                <w:bCs w:val="0"/>
                <w:color w:val="000000"/>
                <w:kern w:val="0"/>
                <w:sz w:val="24"/>
                <w:szCs w:val="24"/>
                <w:lang w:val="en-US" w:eastAsia="zh-CN" w:bidi="ar"/>
              </w:rPr>
              <w:t>，由此折算项目建筑面积为</w:t>
            </w:r>
            <w:r>
              <w:rPr>
                <w:rFonts w:hint="eastAsia" w:cs="Times New Roman"/>
                <w:b w:val="0"/>
                <w:bCs w:val="0"/>
                <w:color w:val="000000"/>
                <w:kern w:val="0"/>
                <w:sz w:val="24"/>
                <w:szCs w:val="24"/>
                <w:lang w:val="en-US" w:eastAsia="zh-CN" w:bidi="ar"/>
              </w:rPr>
              <w:t>64800</w:t>
            </w:r>
            <w:r>
              <w:rPr>
                <w:rFonts w:hint="default" w:cs="Times New Roman"/>
                <w:b w:val="0"/>
                <w:bCs w:val="0"/>
                <w:color w:val="000000"/>
                <w:kern w:val="0"/>
                <w:sz w:val="24"/>
                <w:szCs w:val="24"/>
                <w:lang w:val="en-US" w:eastAsia="zh-CN" w:bidi="ar"/>
              </w:rPr>
              <w:t>m</w:t>
            </w:r>
            <w:r>
              <w:rPr>
                <w:rFonts w:hint="eastAsia" w:cs="Times New Roman"/>
                <w:b w:val="0"/>
                <w:bCs w:val="0"/>
                <w:color w:val="000000"/>
                <w:kern w:val="0"/>
                <w:sz w:val="24"/>
                <w:szCs w:val="24"/>
                <w:vertAlign w:val="superscript"/>
                <w:lang w:val="en-US" w:eastAsia="zh-CN" w:bidi="ar"/>
              </w:rPr>
              <w:t>2</w:t>
            </w:r>
            <w:r>
              <w:rPr>
                <w:rFonts w:hint="default" w:cs="Times New Roman"/>
                <w:b w:val="0"/>
                <w:bCs w:val="0"/>
                <w:color w:val="000000"/>
                <w:kern w:val="0"/>
                <w:sz w:val="24"/>
                <w:szCs w:val="24"/>
                <w:lang w:val="en-US" w:eastAsia="zh-CN" w:bidi="ar"/>
              </w:rPr>
              <w:t>，则项目施工期间建筑垃圾发生量为</w:t>
            </w:r>
            <w:r>
              <w:rPr>
                <w:rFonts w:hint="eastAsia" w:cs="Times New Roman"/>
                <w:b w:val="0"/>
                <w:bCs w:val="0"/>
                <w:color w:val="000000"/>
                <w:kern w:val="0"/>
                <w:sz w:val="24"/>
                <w:szCs w:val="24"/>
                <w:lang w:val="en-US" w:eastAsia="zh-CN" w:bidi="ar"/>
              </w:rPr>
              <w:t>1296</w:t>
            </w:r>
            <w:r>
              <w:rPr>
                <w:rFonts w:hint="default" w:cs="Times New Roman"/>
                <w:b w:val="0"/>
                <w:bCs w:val="0"/>
                <w:color w:val="000000"/>
                <w:kern w:val="0"/>
                <w:sz w:val="24"/>
                <w:szCs w:val="24"/>
                <w:lang w:val="en-US" w:eastAsia="zh-CN" w:bidi="ar"/>
              </w:rPr>
              <w:t>t。工程施工阶段产生的建筑垃圾应分类清理，其中能回收利用的回收利用，不可回收利用的运往城市建设管理部门指定地点堆存，不得随意丢弃。</w:t>
            </w:r>
          </w:p>
          <w:p w14:paraId="437D47D1">
            <w:pPr>
              <w:keepNext w:val="0"/>
              <w:keepLines w:val="0"/>
              <w:widowControl/>
              <w:numPr>
                <w:ilvl w:val="0"/>
                <w:numId w:val="29"/>
              </w:numPr>
              <w:suppressLineNumbers w:val="0"/>
              <w:ind w:left="0" w:leftChars="0" w:firstLine="480" w:firstLineChars="200"/>
              <w:jc w:val="both"/>
              <w:rPr>
                <w:rFonts w:hint="eastAsia" w:cs="Times New Roman"/>
                <w:b w:val="0"/>
                <w:bCs w:val="0"/>
                <w:color w:val="000000"/>
                <w:kern w:val="0"/>
                <w:sz w:val="24"/>
                <w:szCs w:val="24"/>
                <w:lang w:val="en-US" w:eastAsia="zh-CN" w:bidi="ar"/>
              </w:rPr>
            </w:pPr>
            <w:r>
              <w:rPr>
                <w:rFonts w:hint="eastAsia" w:cs="Times New Roman"/>
                <w:b w:val="0"/>
                <w:bCs w:val="0"/>
                <w:color w:val="000000"/>
                <w:kern w:val="0"/>
                <w:sz w:val="24"/>
                <w:szCs w:val="24"/>
                <w:lang w:val="en-US" w:eastAsia="zh-CN" w:bidi="ar"/>
              </w:rPr>
              <w:t>施工人员产生的生活垃圾</w:t>
            </w:r>
          </w:p>
          <w:p w14:paraId="134D0CC6">
            <w:pPr>
              <w:keepNext w:val="0"/>
              <w:keepLines w:val="0"/>
              <w:widowControl/>
              <w:numPr>
                <w:ilvl w:val="0"/>
                <w:numId w:val="0"/>
              </w:numPr>
              <w:suppressLineNumbers w:val="0"/>
              <w:ind w:firstLine="480" w:firstLineChars="200"/>
              <w:jc w:val="both"/>
              <w:rPr>
                <w:rFonts w:hint="default" w:cs="Times New Roman"/>
                <w:b w:val="0"/>
                <w:bCs w:val="0"/>
                <w:color w:val="000000"/>
                <w:kern w:val="0"/>
                <w:sz w:val="24"/>
                <w:szCs w:val="24"/>
                <w:lang w:val="en-US" w:eastAsia="zh-CN" w:bidi="ar"/>
              </w:rPr>
            </w:pPr>
            <w:r>
              <w:rPr>
                <w:rFonts w:hint="default" w:cs="Times New Roman"/>
                <w:b w:val="0"/>
                <w:bCs w:val="0"/>
                <w:color w:val="000000"/>
                <w:kern w:val="0"/>
                <w:sz w:val="24"/>
                <w:szCs w:val="24"/>
                <w:lang w:val="en-US" w:eastAsia="zh-CN" w:bidi="ar"/>
              </w:rPr>
              <w:t>项目施工人员有少量的生活垃圾产生，主要来自现场施工人员的日常生活</w:t>
            </w:r>
            <w:r>
              <w:rPr>
                <w:rFonts w:hint="eastAsia" w:cs="Times New Roman"/>
                <w:b w:val="0"/>
                <w:bCs w:val="0"/>
                <w:color w:val="000000"/>
                <w:kern w:val="0"/>
                <w:sz w:val="24"/>
                <w:szCs w:val="24"/>
                <w:lang w:val="en-US" w:eastAsia="zh-CN" w:bidi="ar"/>
              </w:rPr>
              <w:t>，</w:t>
            </w:r>
            <w:r>
              <w:rPr>
                <w:rFonts w:hint="default" w:cs="Times New Roman"/>
                <w:b w:val="0"/>
                <w:bCs w:val="0"/>
                <w:color w:val="auto"/>
                <w:kern w:val="0"/>
                <w:sz w:val="24"/>
                <w:szCs w:val="24"/>
                <w:lang w:val="en-US" w:eastAsia="zh-CN" w:bidi="ar"/>
              </w:rPr>
              <w:t>本项目施工人数和管理人员人数约</w:t>
            </w:r>
            <w:r>
              <w:rPr>
                <w:rFonts w:hint="eastAsia" w:cs="Times New Roman"/>
                <w:b w:val="0"/>
                <w:bCs w:val="0"/>
                <w:color w:val="auto"/>
                <w:kern w:val="0"/>
                <w:sz w:val="24"/>
                <w:szCs w:val="24"/>
                <w:lang w:val="en-US" w:eastAsia="zh-CN" w:bidi="ar"/>
              </w:rPr>
              <w:t>390</w:t>
            </w:r>
            <w:r>
              <w:rPr>
                <w:rFonts w:hint="default" w:cs="Times New Roman"/>
                <w:b w:val="0"/>
                <w:bCs w:val="0"/>
                <w:color w:val="auto"/>
                <w:kern w:val="0"/>
                <w:sz w:val="24"/>
                <w:szCs w:val="24"/>
                <w:lang w:val="en-US" w:eastAsia="zh-CN" w:bidi="ar"/>
              </w:rPr>
              <w:t>人，施工人员产生的生活垃圾按 0.15 kg/人·d 进行计算，施工人员生活垃圾产生量约</w:t>
            </w:r>
            <w:r>
              <w:rPr>
                <w:rFonts w:hint="eastAsia" w:cs="Times New Roman"/>
                <w:b w:val="0"/>
                <w:bCs w:val="0"/>
                <w:color w:val="auto"/>
                <w:kern w:val="0"/>
                <w:sz w:val="24"/>
                <w:szCs w:val="24"/>
                <w:lang w:val="en-US" w:eastAsia="zh-CN" w:bidi="ar"/>
              </w:rPr>
              <w:t>58.5</w:t>
            </w:r>
            <w:r>
              <w:rPr>
                <w:rFonts w:hint="default" w:cs="Times New Roman"/>
                <w:b w:val="0"/>
                <w:bCs w:val="0"/>
                <w:color w:val="auto"/>
                <w:kern w:val="0"/>
                <w:sz w:val="24"/>
                <w:szCs w:val="24"/>
                <w:lang w:val="en-US" w:eastAsia="zh-CN" w:bidi="ar"/>
              </w:rPr>
              <w:t>kg/d，使用垃圾桶集中收集后</w:t>
            </w:r>
            <w:r>
              <w:rPr>
                <w:rFonts w:hint="default" w:cs="Times New Roman"/>
                <w:b w:val="0"/>
                <w:bCs w:val="0"/>
                <w:color w:val="000000"/>
                <w:kern w:val="0"/>
                <w:sz w:val="24"/>
                <w:szCs w:val="24"/>
                <w:lang w:val="en-US" w:eastAsia="zh-CN" w:bidi="ar"/>
              </w:rPr>
              <w:t>委托当地环卫部门及时清运处置，做到日产日清，不得随意堆放、倾倒。</w:t>
            </w:r>
          </w:p>
          <w:p w14:paraId="39144A5F">
            <w:pPr>
              <w:keepNext w:val="0"/>
              <w:keepLines w:val="0"/>
              <w:widowControl/>
              <w:numPr>
                <w:ilvl w:val="0"/>
                <w:numId w:val="29"/>
              </w:numPr>
              <w:suppressLineNumbers w:val="0"/>
              <w:ind w:left="0" w:leftChars="0" w:firstLine="480" w:firstLineChars="200"/>
              <w:jc w:val="both"/>
              <w:rPr>
                <w:rFonts w:hint="eastAsia" w:cs="Times New Roman"/>
                <w:b w:val="0"/>
                <w:bCs w:val="0"/>
                <w:color w:val="000000"/>
                <w:kern w:val="0"/>
                <w:sz w:val="24"/>
                <w:szCs w:val="24"/>
                <w:lang w:val="en-US" w:eastAsia="zh-CN" w:bidi="ar"/>
              </w:rPr>
            </w:pPr>
            <w:r>
              <w:rPr>
                <w:rFonts w:hint="eastAsia" w:cs="Times New Roman"/>
                <w:b w:val="0"/>
                <w:bCs w:val="0"/>
                <w:color w:val="000000"/>
                <w:kern w:val="0"/>
                <w:sz w:val="24"/>
                <w:szCs w:val="24"/>
                <w:lang w:val="en-US" w:eastAsia="zh-CN" w:bidi="ar"/>
              </w:rPr>
              <w:t>废沥青</w:t>
            </w:r>
          </w:p>
          <w:p w14:paraId="2D049750">
            <w:pPr>
              <w:spacing w:line="360" w:lineRule="auto"/>
              <w:ind w:firstLine="480" w:firstLineChars="200"/>
              <w:rPr>
                <w:rFonts w:hint="default" w:cs="Times New Roman"/>
                <w:b w:val="0"/>
                <w:bCs w:val="0"/>
                <w:color w:val="000000"/>
                <w:kern w:val="0"/>
                <w:sz w:val="24"/>
                <w:szCs w:val="24"/>
                <w:lang w:val="en-US" w:eastAsia="zh-CN" w:bidi="ar"/>
              </w:rPr>
            </w:pPr>
            <w:r>
              <w:rPr>
                <w:rFonts w:hint="default" w:ascii="Times New Roman" w:hAnsi="Times New Roman" w:cs="Times New Roman"/>
                <w:sz w:val="24"/>
                <w:lang w:eastAsia="zh-CN"/>
              </w:rPr>
              <w:t>本项目</w:t>
            </w:r>
            <w:r>
              <w:rPr>
                <w:rFonts w:hint="eastAsia" w:cs="Times New Roman"/>
                <w:sz w:val="24"/>
                <w:lang w:val="en-US" w:eastAsia="zh-CN"/>
              </w:rPr>
              <w:t>整治</w:t>
            </w:r>
            <w:r>
              <w:rPr>
                <w:rFonts w:hint="default" w:ascii="Times New Roman" w:hAnsi="Times New Roman" w:cs="Times New Roman"/>
                <w:sz w:val="24"/>
                <w:lang w:eastAsia="zh-CN"/>
              </w:rPr>
              <w:t>道路</w:t>
            </w:r>
            <w:r>
              <w:rPr>
                <w:rFonts w:hint="eastAsia" w:cs="Times New Roman"/>
                <w:sz w:val="24"/>
                <w:lang w:val="en-US" w:eastAsia="zh-CN"/>
              </w:rPr>
              <w:t>使用沥青</w:t>
            </w:r>
            <w:r>
              <w:rPr>
                <w:rFonts w:hint="default" w:ascii="Times New Roman" w:hAnsi="Times New Roman" w:cs="Times New Roman"/>
                <w:sz w:val="24"/>
              </w:rPr>
              <w:t>，在施工过程中会产生会产生一定量的废沥青</w:t>
            </w:r>
            <w:r>
              <w:rPr>
                <w:rFonts w:hint="eastAsia" w:cs="Times New Roman"/>
                <w:sz w:val="24"/>
                <w:lang w:val="en-US" w:eastAsia="zh-CN"/>
              </w:rPr>
              <w:t>及多余沥青</w:t>
            </w:r>
            <w:r>
              <w:rPr>
                <w:rFonts w:hint="default" w:ascii="Times New Roman" w:hAnsi="Times New Roman" w:cs="Times New Roman"/>
                <w:sz w:val="24"/>
              </w:rPr>
              <w:t>。</w:t>
            </w:r>
            <w:r>
              <w:rPr>
                <w:rFonts w:hint="default" w:ascii="Times New Roman" w:hAnsi="Times New Roman" w:cs="Times New Roman"/>
                <w:sz w:val="24"/>
                <w:szCs w:val="24"/>
              </w:rPr>
              <w:t>根据《国家危险废物名录》（2016年</w:t>
            </w:r>
            <w:r>
              <w:rPr>
                <w:rFonts w:hint="eastAsia" w:cs="Times New Roman"/>
                <w:sz w:val="24"/>
                <w:szCs w:val="24"/>
                <w:lang w:eastAsia="zh-CN"/>
              </w:rPr>
              <w:t>）</w:t>
            </w:r>
            <w:r>
              <w:rPr>
                <w:rFonts w:hint="default" w:ascii="Times New Roman" w:hAnsi="Times New Roman" w:cs="Times New Roman"/>
                <w:sz w:val="24"/>
                <w:szCs w:val="24"/>
              </w:rPr>
              <w:t>，废沥青属于HW11精（蒸） 馏残渣，废物代码为900-013-11。废沥青</w:t>
            </w:r>
            <w:r>
              <w:rPr>
                <w:rFonts w:hint="eastAsia" w:cs="Times New Roman"/>
                <w:sz w:val="24"/>
                <w:szCs w:val="24"/>
                <w:lang w:val="en-US" w:eastAsia="zh-CN"/>
              </w:rPr>
              <w:t>和多余沥青</w:t>
            </w:r>
            <w:r>
              <w:rPr>
                <w:rFonts w:hint="default" w:ascii="Times New Roman" w:hAnsi="Times New Roman" w:cs="Times New Roman"/>
                <w:sz w:val="24"/>
                <w:szCs w:val="24"/>
              </w:rPr>
              <w:t>经施工人员统一收集后，交由</w:t>
            </w:r>
            <w:r>
              <w:rPr>
                <w:rFonts w:hint="eastAsia" w:cs="Times New Roman"/>
                <w:sz w:val="24"/>
                <w:szCs w:val="24"/>
                <w:lang w:val="en-US" w:eastAsia="zh-CN"/>
              </w:rPr>
              <w:t>沥青</w:t>
            </w:r>
            <w:r>
              <w:rPr>
                <w:rFonts w:hint="eastAsia" w:cs="Times New Roman"/>
                <w:sz w:val="24"/>
                <w:szCs w:val="24"/>
                <w:lang w:eastAsia="zh-CN"/>
              </w:rPr>
              <w:t>搅拌站回收</w:t>
            </w:r>
            <w:r>
              <w:rPr>
                <w:rFonts w:hint="eastAsia" w:cs="Times New Roman"/>
                <w:sz w:val="24"/>
                <w:szCs w:val="24"/>
                <w:lang w:val="en-US" w:eastAsia="zh-CN"/>
              </w:rPr>
              <w:t>利用</w:t>
            </w:r>
            <w:r>
              <w:rPr>
                <w:rFonts w:hint="default" w:ascii="Times New Roman" w:hAnsi="Times New Roman" w:cs="Times New Roman"/>
                <w:sz w:val="24"/>
                <w:szCs w:val="24"/>
              </w:rPr>
              <w:t>。</w:t>
            </w:r>
          </w:p>
          <w:p w14:paraId="5D6E18C8">
            <w:pPr>
              <w:keepNext w:val="0"/>
              <w:keepLines w:val="0"/>
              <w:widowControl/>
              <w:numPr>
                <w:ilvl w:val="0"/>
                <w:numId w:val="25"/>
              </w:numPr>
              <w:suppressLineNumbers w:val="0"/>
              <w:ind w:left="0" w:leftChars="0" w:firstLine="0" w:firstLineChars="0"/>
              <w:jc w:val="both"/>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营运期污染物分析</w:t>
            </w:r>
          </w:p>
          <w:p w14:paraId="12BEE309">
            <w:pPr>
              <w:keepNext w:val="0"/>
              <w:keepLines w:val="0"/>
              <w:widowControl/>
              <w:numPr>
                <w:ilvl w:val="0"/>
                <w:numId w:val="0"/>
              </w:numPr>
              <w:suppressLineNumbers w:val="0"/>
              <w:ind w:leftChars="0" w:firstLine="480" w:firstLineChars="200"/>
              <w:jc w:val="both"/>
              <w:rPr>
                <w:rFonts w:hint="default" w:cs="Times New Roman"/>
                <w:b w:val="0"/>
                <w:bCs w:val="0"/>
                <w:color w:val="000000"/>
                <w:kern w:val="0"/>
                <w:sz w:val="24"/>
                <w:szCs w:val="24"/>
                <w:lang w:val="en-US" w:eastAsia="zh-CN" w:bidi="ar"/>
              </w:rPr>
            </w:pPr>
            <w:r>
              <w:rPr>
                <w:rFonts w:hint="default" w:cs="Times New Roman"/>
                <w:b w:val="0"/>
                <w:bCs w:val="0"/>
                <w:color w:val="000000"/>
                <w:kern w:val="0"/>
                <w:sz w:val="24"/>
                <w:szCs w:val="24"/>
                <w:lang w:val="en-US" w:eastAsia="zh-CN" w:bidi="ar"/>
              </w:rPr>
              <w:t>本工程为综合管廊的建设，管网敷设于地下管道内，项目建设后运营期主要是对工程进行维护、保养。管廊工程对环境的影响随着施工结束而结束，故运营期无废水、废气等污染物排放。</w:t>
            </w:r>
          </w:p>
        </w:tc>
      </w:tr>
    </w:tbl>
    <w:p w14:paraId="234D87EB">
      <w:pPr>
        <w:rPr>
          <w:rFonts w:hint="eastAsia"/>
          <w:lang w:val="en-US" w:eastAsia="zh-CN"/>
        </w:rPr>
      </w:pPr>
      <w:r>
        <w:rPr>
          <w:rFonts w:hint="eastAsia"/>
          <w:lang w:val="en-US" w:eastAsia="zh-CN"/>
        </w:rPr>
        <w:br w:type="page"/>
      </w:r>
    </w:p>
    <w:p w14:paraId="47B6AFA9">
      <w:pPr>
        <w:pStyle w:val="2"/>
        <w:bidi w:val="0"/>
        <w:rPr>
          <w:rFonts w:hint="eastAsia"/>
          <w:lang w:val="en-US" w:eastAsia="zh-CN"/>
        </w:rPr>
      </w:pPr>
      <w:r>
        <w:rPr>
          <w:rFonts w:hint="eastAsia"/>
          <w:lang w:val="en-US" w:eastAsia="zh-CN"/>
        </w:rPr>
        <w:t>表六、项目主要污染物产生及预计排放情况</w:t>
      </w:r>
    </w:p>
    <w:tbl>
      <w:tblPr>
        <w:tblStyle w:val="9"/>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1538"/>
        <w:gridCol w:w="2068"/>
        <w:gridCol w:w="1989"/>
        <w:gridCol w:w="2063"/>
      </w:tblGrid>
      <w:tr w14:paraId="7F8E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839" w:type="dxa"/>
            <w:tcBorders>
              <w:tl2br w:val="single" w:color="auto" w:sz="4" w:space="0"/>
            </w:tcBorders>
            <w:vAlign w:val="center"/>
          </w:tcPr>
          <w:p w14:paraId="404F3535">
            <w:pPr>
              <w:spacing w:line="240" w:lineRule="auto"/>
              <w:jc w:val="center"/>
              <w:rPr>
                <w:rFonts w:hint="default" w:ascii="Times New Roman" w:hAnsi="Times New Roman" w:eastAsia="宋体" w:cs="Times New Roman"/>
                <w:b/>
                <w:color w:val="auto"/>
                <w:spacing w:val="-20"/>
                <w:sz w:val="21"/>
                <w:szCs w:val="21"/>
              </w:rPr>
            </w:pPr>
            <w:r>
              <w:rPr>
                <w:rFonts w:hint="default" w:ascii="Times New Roman" w:hAnsi="Times New Roman" w:eastAsia="宋体" w:cs="Times New Roman"/>
                <w:b/>
                <w:color w:val="auto"/>
                <w:spacing w:val="-20"/>
                <w:sz w:val="21"/>
                <w:szCs w:val="21"/>
              </w:rPr>
              <w:t>内容</w:t>
            </w:r>
          </w:p>
          <w:p w14:paraId="1B7DC594">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类型</w:t>
            </w:r>
          </w:p>
        </w:tc>
        <w:tc>
          <w:tcPr>
            <w:tcW w:w="1538" w:type="dxa"/>
            <w:vAlign w:val="center"/>
          </w:tcPr>
          <w:p w14:paraId="30E8A7BA">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排放源</w:t>
            </w:r>
          </w:p>
          <w:p w14:paraId="0366FD03">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（编号）</w:t>
            </w:r>
          </w:p>
        </w:tc>
        <w:tc>
          <w:tcPr>
            <w:tcW w:w="2068" w:type="dxa"/>
            <w:vAlign w:val="center"/>
          </w:tcPr>
          <w:p w14:paraId="432E6F2D">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p w14:paraId="0A528EE6">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名称</w:t>
            </w:r>
          </w:p>
        </w:tc>
        <w:tc>
          <w:tcPr>
            <w:tcW w:w="1989" w:type="dxa"/>
            <w:vAlign w:val="center"/>
          </w:tcPr>
          <w:p w14:paraId="30788661">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处理前产生浓度</w:t>
            </w:r>
          </w:p>
          <w:p w14:paraId="40F2B422">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及产生量</w:t>
            </w:r>
          </w:p>
        </w:tc>
        <w:tc>
          <w:tcPr>
            <w:tcW w:w="2063" w:type="dxa"/>
            <w:vAlign w:val="center"/>
          </w:tcPr>
          <w:p w14:paraId="28508B58">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排放浓度</w:t>
            </w:r>
          </w:p>
          <w:p w14:paraId="50D65787">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及排放量</w:t>
            </w:r>
          </w:p>
        </w:tc>
      </w:tr>
      <w:tr w14:paraId="47567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9" w:type="dxa"/>
            <w:vMerge w:val="restart"/>
            <w:vAlign w:val="center"/>
          </w:tcPr>
          <w:p w14:paraId="3BD94288">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大</w:t>
            </w:r>
          </w:p>
          <w:p w14:paraId="76B4FB56">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气</w:t>
            </w:r>
          </w:p>
          <w:p w14:paraId="2E481A8E">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w:t>
            </w:r>
          </w:p>
          <w:p w14:paraId="5B072EE2">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染</w:t>
            </w:r>
          </w:p>
          <w:p w14:paraId="4781893B">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物</w:t>
            </w:r>
          </w:p>
        </w:tc>
        <w:tc>
          <w:tcPr>
            <w:tcW w:w="1538" w:type="dxa"/>
            <w:vAlign w:val="center"/>
          </w:tcPr>
          <w:p w14:paraId="6FACFBD7">
            <w:pPr>
              <w:spacing w:line="240" w:lineRule="auto"/>
              <w:jc w:val="center"/>
              <w:rPr>
                <w:rFonts w:hint="default" w:ascii="Times New Roman" w:hAnsi="Times New Roman" w:eastAsia="宋体" w:cs="Times New Roman"/>
                <w:color w:val="auto"/>
                <w:sz w:val="21"/>
                <w:szCs w:val="21"/>
                <w:lang w:val="en-US"/>
              </w:rPr>
            </w:pPr>
            <w:r>
              <w:rPr>
                <w:rFonts w:hint="eastAsia" w:ascii="Times New Roman" w:hAnsi="Times New Roman" w:cs="Times New Roman"/>
                <w:color w:val="auto"/>
                <w:sz w:val="21"/>
                <w:szCs w:val="21"/>
                <w:lang w:val="en-US" w:eastAsia="zh-CN"/>
              </w:rPr>
              <w:t>土方开挖</w:t>
            </w:r>
          </w:p>
        </w:tc>
        <w:tc>
          <w:tcPr>
            <w:tcW w:w="2068" w:type="dxa"/>
            <w:vAlign w:val="center"/>
          </w:tcPr>
          <w:p w14:paraId="3C6446AA">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扬尘</w:t>
            </w:r>
          </w:p>
        </w:tc>
        <w:tc>
          <w:tcPr>
            <w:tcW w:w="1989" w:type="dxa"/>
            <w:vAlign w:val="center"/>
          </w:tcPr>
          <w:p w14:paraId="55A4D094">
            <w:pPr>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少量（无组织排放）</w:t>
            </w:r>
          </w:p>
        </w:tc>
        <w:tc>
          <w:tcPr>
            <w:tcW w:w="2063" w:type="dxa"/>
            <w:vAlign w:val="center"/>
          </w:tcPr>
          <w:p w14:paraId="3339B79D">
            <w:pPr>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少量（无组织排放）</w:t>
            </w:r>
          </w:p>
        </w:tc>
      </w:tr>
      <w:tr w14:paraId="670CD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39" w:type="dxa"/>
            <w:vMerge w:val="continue"/>
            <w:vAlign w:val="center"/>
          </w:tcPr>
          <w:p w14:paraId="30F2E4AD">
            <w:pPr>
              <w:spacing w:line="240" w:lineRule="auto"/>
              <w:jc w:val="center"/>
              <w:rPr>
                <w:rFonts w:hint="default" w:ascii="Times New Roman" w:hAnsi="Times New Roman" w:eastAsia="宋体" w:cs="Times New Roman"/>
                <w:b/>
                <w:color w:val="auto"/>
                <w:sz w:val="21"/>
                <w:szCs w:val="21"/>
              </w:rPr>
            </w:pPr>
          </w:p>
        </w:tc>
        <w:tc>
          <w:tcPr>
            <w:tcW w:w="1538" w:type="dxa"/>
            <w:vAlign w:val="center"/>
          </w:tcPr>
          <w:p w14:paraId="3C77895F">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道路整治</w:t>
            </w:r>
          </w:p>
        </w:tc>
        <w:tc>
          <w:tcPr>
            <w:tcW w:w="2068" w:type="dxa"/>
            <w:vAlign w:val="center"/>
          </w:tcPr>
          <w:p w14:paraId="08B0590C">
            <w:pPr>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沥青烟</w:t>
            </w:r>
          </w:p>
        </w:tc>
        <w:tc>
          <w:tcPr>
            <w:tcW w:w="1989" w:type="dxa"/>
            <w:vAlign w:val="center"/>
          </w:tcPr>
          <w:p w14:paraId="1405A6BC">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少量</w:t>
            </w:r>
            <w:r>
              <w:rPr>
                <w:rFonts w:hint="eastAsia" w:ascii="Times New Roman" w:hAnsi="Times New Roman" w:cs="Times New Roman"/>
                <w:color w:val="auto"/>
                <w:sz w:val="21"/>
                <w:szCs w:val="21"/>
                <w:lang w:eastAsia="zh-CN"/>
              </w:rPr>
              <w:t>（无组织排放）</w:t>
            </w:r>
          </w:p>
        </w:tc>
        <w:tc>
          <w:tcPr>
            <w:tcW w:w="2063" w:type="dxa"/>
            <w:vAlign w:val="center"/>
          </w:tcPr>
          <w:p w14:paraId="7B232112">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少量</w:t>
            </w:r>
            <w:r>
              <w:rPr>
                <w:rFonts w:hint="eastAsia" w:ascii="Times New Roman" w:hAnsi="Times New Roman" w:cs="Times New Roman"/>
                <w:color w:val="auto"/>
                <w:sz w:val="21"/>
                <w:szCs w:val="21"/>
                <w:lang w:eastAsia="zh-CN"/>
              </w:rPr>
              <w:t>（无组织排放）</w:t>
            </w:r>
          </w:p>
        </w:tc>
      </w:tr>
      <w:tr w14:paraId="7CFA4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839" w:type="dxa"/>
            <w:vMerge w:val="continue"/>
            <w:vAlign w:val="center"/>
          </w:tcPr>
          <w:p w14:paraId="36DA8A5E">
            <w:pPr>
              <w:spacing w:line="240" w:lineRule="auto"/>
              <w:jc w:val="center"/>
              <w:rPr>
                <w:rFonts w:hint="default" w:ascii="Times New Roman" w:hAnsi="Times New Roman" w:eastAsia="宋体" w:cs="Times New Roman"/>
                <w:b/>
                <w:color w:val="auto"/>
                <w:sz w:val="21"/>
                <w:szCs w:val="21"/>
              </w:rPr>
            </w:pPr>
          </w:p>
        </w:tc>
        <w:tc>
          <w:tcPr>
            <w:tcW w:w="1538" w:type="dxa"/>
            <w:vAlign w:val="center"/>
          </w:tcPr>
          <w:p w14:paraId="5D1CF3E2">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机械废气及车辆尾气</w:t>
            </w:r>
          </w:p>
        </w:tc>
        <w:tc>
          <w:tcPr>
            <w:tcW w:w="2068" w:type="dxa"/>
            <w:vAlign w:val="center"/>
          </w:tcPr>
          <w:p w14:paraId="2806799D">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x</w:t>
            </w:r>
            <w:r>
              <w:rPr>
                <w:rFonts w:hint="eastAsia" w:ascii="Times New Roman" w:hAnsi="Times New Roman" w:cs="Times New Roman"/>
                <w:color w:val="auto"/>
                <w:sz w:val="21"/>
                <w:szCs w:val="21"/>
                <w:vertAlign w:val="subscript"/>
                <w:lang w:eastAsia="zh-CN"/>
              </w:rPr>
              <w:t>、</w:t>
            </w:r>
            <w:r>
              <w:rPr>
                <w:rFonts w:hint="default" w:ascii="Times New Roman" w:hAnsi="Times New Roman" w:eastAsia="宋体" w:cs="Times New Roman"/>
                <w:color w:val="auto"/>
                <w:sz w:val="21"/>
                <w:szCs w:val="21"/>
              </w:rPr>
              <w:t>THC</w:t>
            </w:r>
          </w:p>
        </w:tc>
        <w:tc>
          <w:tcPr>
            <w:tcW w:w="1989" w:type="dxa"/>
            <w:vAlign w:val="center"/>
          </w:tcPr>
          <w:p w14:paraId="32FEA670">
            <w:pPr>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少量（无组织排放）</w:t>
            </w:r>
          </w:p>
        </w:tc>
        <w:tc>
          <w:tcPr>
            <w:tcW w:w="2063" w:type="dxa"/>
            <w:vAlign w:val="center"/>
          </w:tcPr>
          <w:p w14:paraId="52382367">
            <w:pPr>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少量（无组织排放）</w:t>
            </w:r>
          </w:p>
        </w:tc>
      </w:tr>
      <w:tr w14:paraId="6D2FF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839" w:type="dxa"/>
            <w:vMerge w:val="restart"/>
            <w:vAlign w:val="center"/>
          </w:tcPr>
          <w:p w14:paraId="32296538">
            <w:pPr>
              <w:spacing w:line="240" w:lineRule="auto"/>
              <w:jc w:val="both"/>
              <w:rPr>
                <w:rFonts w:hint="eastAsia" w:ascii="Times New Roman" w:hAnsi="Times New Roman" w:eastAsia="宋体" w:cs="Times New Roman"/>
                <w:b/>
                <w:color w:val="auto"/>
                <w:sz w:val="21"/>
                <w:szCs w:val="21"/>
                <w:lang w:val="en-US" w:eastAsia="zh-CN"/>
              </w:rPr>
            </w:pPr>
            <w:r>
              <w:rPr>
                <w:rFonts w:hint="eastAsia" w:ascii="Times New Roman" w:hAnsi="Times New Roman" w:cs="Times New Roman"/>
                <w:b/>
                <w:color w:val="auto"/>
                <w:sz w:val="21"/>
                <w:szCs w:val="21"/>
                <w:lang w:val="en-US" w:eastAsia="zh-CN"/>
              </w:rPr>
              <w:t>水污染物</w:t>
            </w:r>
          </w:p>
        </w:tc>
        <w:tc>
          <w:tcPr>
            <w:tcW w:w="1538" w:type="dxa"/>
            <w:vAlign w:val="center"/>
          </w:tcPr>
          <w:p w14:paraId="5B97EA14">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建筑</w:t>
            </w:r>
          </w:p>
        </w:tc>
        <w:tc>
          <w:tcPr>
            <w:tcW w:w="2068" w:type="dxa"/>
            <w:vAlign w:val="center"/>
          </w:tcPr>
          <w:p w14:paraId="73A15714">
            <w:pPr>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施工废水</w:t>
            </w:r>
          </w:p>
        </w:tc>
        <w:tc>
          <w:tcPr>
            <w:tcW w:w="1989" w:type="dxa"/>
            <w:vAlign w:val="center"/>
          </w:tcPr>
          <w:p w14:paraId="2B1AA2B0">
            <w:pPr>
              <w:spacing w:line="240" w:lineRule="auto"/>
              <w:jc w:val="center"/>
              <w:rPr>
                <w:rFonts w:hint="default" w:ascii="Times New Roman" w:hAnsi="Times New Roman" w:cs="Times New Roman"/>
                <w:color w:val="auto"/>
                <w:sz w:val="21"/>
                <w:szCs w:val="21"/>
                <w:vertAlign w:val="baseline"/>
                <w:lang w:val="en-US" w:eastAsia="zh-CN"/>
              </w:rPr>
            </w:pPr>
            <w:r>
              <w:rPr>
                <w:rFonts w:hint="eastAsia" w:cs="Times New Roman"/>
                <w:color w:val="auto"/>
                <w:sz w:val="21"/>
                <w:szCs w:val="21"/>
                <w:lang w:val="en-US" w:eastAsia="zh-CN"/>
              </w:rPr>
              <w:t>4.89m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/d</w:t>
            </w:r>
          </w:p>
        </w:tc>
        <w:tc>
          <w:tcPr>
            <w:tcW w:w="2063" w:type="dxa"/>
            <w:vAlign w:val="center"/>
          </w:tcPr>
          <w:p w14:paraId="22D6B181">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经临时沉砂池沉淀处理后回用于场地洒水降尘，不外排</w:t>
            </w:r>
          </w:p>
        </w:tc>
      </w:tr>
      <w:tr w14:paraId="63608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839" w:type="dxa"/>
            <w:vMerge w:val="continue"/>
            <w:vAlign w:val="center"/>
          </w:tcPr>
          <w:p w14:paraId="57304418">
            <w:pPr>
              <w:spacing w:line="240" w:lineRule="auto"/>
              <w:jc w:val="center"/>
              <w:rPr>
                <w:rFonts w:hint="default" w:ascii="Times New Roman" w:hAnsi="Times New Roman" w:eastAsia="宋体" w:cs="Times New Roman"/>
                <w:b/>
                <w:color w:val="auto"/>
                <w:sz w:val="21"/>
                <w:szCs w:val="21"/>
              </w:rPr>
            </w:pPr>
          </w:p>
        </w:tc>
        <w:tc>
          <w:tcPr>
            <w:tcW w:w="1538" w:type="dxa"/>
            <w:vAlign w:val="center"/>
          </w:tcPr>
          <w:p w14:paraId="2370DB5D">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施工人员</w:t>
            </w:r>
          </w:p>
        </w:tc>
        <w:tc>
          <w:tcPr>
            <w:tcW w:w="2068" w:type="dxa"/>
            <w:vAlign w:val="center"/>
          </w:tcPr>
          <w:p w14:paraId="266E8D68">
            <w:pPr>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生活污水</w:t>
            </w:r>
          </w:p>
        </w:tc>
        <w:tc>
          <w:tcPr>
            <w:tcW w:w="1989" w:type="dxa"/>
            <w:vAlign w:val="center"/>
          </w:tcPr>
          <w:p w14:paraId="59E693EF">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w:t>
            </w:r>
          </w:p>
        </w:tc>
        <w:tc>
          <w:tcPr>
            <w:tcW w:w="2063" w:type="dxa"/>
            <w:vAlign w:val="center"/>
          </w:tcPr>
          <w:p w14:paraId="2E3D0AF9">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施工人员依托项目周边厕所，故不产生生活污水</w:t>
            </w:r>
          </w:p>
        </w:tc>
      </w:tr>
      <w:tr w14:paraId="5FE5F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839" w:type="dxa"/>
            <w:vMerge w:val="continue"/>
            <w:vAlign w:val="center"/>
          </w:tcPr>
          <w:p w14:paraId="7574DF22">
            <w:pPr>
              <w:spacing w:line="240" w:lineRule="auto"/>
              <w:jc w:val="center"/>
              <w:rPr>
                <w:rFonts w:hint="default" w:ascii="Times New Roman" w:hAnsi="Times New Roman" w:eastAsia="宋体" w:cs="Times New Roman"/>
                <w:b/>
                <w:color w:val="auto"/>
                <w:sz w:val="21"/>
                <w:szCs w:val="21"/>
              </w:rPr>
            </w:pPr>
          </w:p>
        </w:tc>
        <w:tc>
          <w:tcPr>
            <w:tcW w:w="1538" w:type="dxa"/>
            <w:vAlign w:val="center"/>
          </w:tcPr>
          <w:p w14:paraId="6E57587B">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地表雨水</w:t>
            </w:r>
          </w:p>
        </w:tc>
        <w:tc>
          <w:tcPr>
            <w:tcW w:w="2068" w:type="dxa"/>
            <w:vAlign w:val="center"/>
          </w:tcPr>
          <w:p w14:paraId="7BA8D00C">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雨水</w:t>
            </w:r>
          </w:p>
        </w:tc>
        <w:tc>
          <w:tcPr>
            <w:tcW w:w="1989" w:type="dxa"/>
            <w:vAlign w:val="center"/>
          </w:tcPr>
          <w:p w14:paraId="4C617BBB">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少量</w:t>
            </w:r>
          </w:p>
        </w:tc>
        <w:tc>
          <w:tcPr>
            <w:tcW w:w="2063" w:type="dxa"/>
            <w:vAlign w:val="center"/>
          </w:tcPr>
          <w:p w14:paraId="6C2987C2">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经临时沉砂池处理后回用于场地洒水降尘</w:t>
            </w:r>
          </w:p>
        </w:tc>
      </w:tr>
      <w:tr w14:paraId="4A04E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839" w:type="dxa"/>
            <w:vMerge w:val="restart"/>
            <w:vAlign w:val="center"/>
          </w:tcPr>
          <w:p w14:paraId="473C7AB3">
            <w:pPr>
              <w:spacing w:line="240" w:lineRule="auto"/>
              <w:jc w:val="center"/>
              <w:rPr>
                <w:rFonts w:hint="eastAsia" w:ascii="Times New Roman" w:hAnsi="Times New Roman" w:eastAsia="宋体" w:cs="Times New Roman"/>
                <w:b/>
                <w:color w:val="auto"/>
                <w:sz w:val="21"/>
                <w:szCs w:val="21"/>
                <w:lang w:val="en-US" w:eastAsia="zh-CN"/>
              </w:rPr>
            </w:pPr>
            <w:r>
              <w:rPr>
                <w:rFonts w:hint="eastAsia" w:ascii="Times New Roman" w:hAnsi="Times New Roman" w:cs="Times New Roman"/>
                <w:b/>
                <w:color w:val="auto"/>
                <w:sz w:val="21"/>
                <w:szCs w:val="21"/>
                <w:lang w:val="en-US" w:eastAsia="zh-CN"/>
              </w:rPr>
              <w:t>固体废弃物</w:t>
            </w:r>
          </w:p>
        </w:tc>
        <w:tc>
          <w:tcPr>
            <w:tcW w:w="1538" w:type="dxa"/>
            <w:vAlign w:val="center"/>
          </w:tcPr>
          <w:p w14:paraId="17B621BA">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施工垃圾</w:t>
            </w:r>
          </w:p>
        </w:tc>
        <w:tc>
          <w:tcPr>
            <w:tcW w:w="2068" w:type="dxa"/>
            <w:vAlign w:val="center"/>
          </w:tcPr>
          <w:p w14:paraId="56293C93">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土石方</w:t>
            </w:r>
          </w:p>
        </w:tc>
        <w:tc>
          <w:tcPr>
            <w:tcW w:w="1989" w:type="dxa"/>
            <w:vAlign w:val="center"/>
          </w:tcPr>
          <w:p w14:paraId="774742C5">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71691.95</w:t>
            </w:r>
            <w:r>
              <w:rPr>
                <w:rFonts w:hint="eastAsia" w:ascii="Times New Roman" w:hAnsi="Times New Roman" w:cs="Times New Roman"/>
                <w:color w:val="auto"/>
                <w:sz w:val="24"/>
                <w:highlight w:val="none"/>
                <w:vertAlign w:val="baseline"/>
                <w:lang w:val="en-US" w:eastAsia="zh-CN"/>
              </w:rPr>
              <w:t>m</w:t>
            </w:r>
            <w:r>
              <w:rPr>
                <w:rFonts w:hint="eastAsia" w:ascii="Times New Roman" w:hAnsi="Times New Roman" w:cs="Times New Roman"/>
                <w:color w:val="auto"/>
                <w:sz w:val="24"/>
                <w:highlight w:val="none"/>
                <w:vertAlign w:val="superscript"/>
                <w:lang w:val="en-US" w:eastAsia="zh-CN"/>
              </w:rPr>
              <w:t>3</w:t>
            </w:r>
          </w:p>
        </w:tc>
        <w:tc>
          <w:tcPr>
            <w:tcW w:w="2063" w:type="dxa"/>
            <w:vAlign w:val="center"/>
          </w:tcPr>
          <w:p w14:paraId="6D9985AC">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eastAsia="zh-CN"/>
              </w:rPr>
              <w:t>运往</w:t>
            </w:r>
            <w:r>
              <w:rPr>
                <w:rFonts w:hint="eastAsia" w:cs="Times New Roman"/>
                <w:color w:val="auto"/>
                <w:sz w:val="21"/>
                <w:szCs w:val="21"/>
                <w:lang w:val="en-US" w:eastAsia="zh-CN"/>
              </w:rPr>
              <w:t>芒市帕底分场水库</w:t>
            </w:r>
          </w:p>
        </w:tc>
      </w:tr>
      <w:tr w14:paraId="06B7D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839" w:type="dxa"/>
            <w:vMerge w:val="continue"/>
            <w:vAlign w:val="center"/>
          </w:tcPr>
          <w:p w14:paraId="42F6F5BB">
            <w:pPr>
              <w:spacing w:line="240" w:lineRule="auto"/>
              <w:jc w:val="center"/>
              <w:rPr>
                <w:rFonts w:hint="default" w:ascii="Times New Roman" w:hAnsi="Times New Roman" w:eastAsia="宋体" w:cs="Times New Roman"/>
                <w:b/>
                <w:color w:val="auto"/>
                <w:sz w:val="21"/>
                <w:szCs w:val="21"/>
              </w:rPr>
            </w:pPr>
          </w:p>
        </w:tc>
        <w:tc>
          <w:tcPr>
            <w:tcW w:w="1538" w:type="dxa"/>
            <w:vAlign w:val="center"/>
          </w:tcPr>
          <w:p w14:paraId="78CA27D3">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河道</w:t>
            </w:r>
          </w:p>
        </w:tc>
        <w:tc>
          <w:tcPr>
            <w:tcW w:w="2068" w:type="dxa"/>
            <w:vAlign w:val="center"/>
          </w:tcPr>
          <w:p w14:paraId="48B53714">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淤泥</w:t>
            </w:r>
          </w:p>
        </w:tc>
        <w:tc>
          <w:tcPr>
            <w:tcW w:w="1989" w:type="dxa"/>
            <w:vAlign w:val="center"/>
          </w:tcPr>
          <w:p w14:paraId="29352749">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少量</w:t>
            </w:r>
          </w:p>
        </w:tc>
        <w:tc>
          <w:tcPr>
            <w:tcW w:w="2063" w:type="dxa"/>
            <w:vAlign w:val="center"/>
          </w:tcPr>
          <w:p w14:paraId="51D344E0">
            <w:pPr>
              <w:spacing w:line="240" w:lineRule="auto"/>
              <w:jc w:val="center"/>
              <w:rPr>
                <w:rFonts w:hint="eastAsia" w:ascii="Times New Roman" w:hAnsi="Times New Roman" w:cs="Times New Roman"/>
                <w:color w:val="auto"/>
                <w:sz w:val="21"/>
                <w:szCs w:val="21"/>
                <w:lang w:eastAsia="zh-CN"/>
              </w:rPr>
            </w:pPr>
            <w:r>
              <w:rPr>
                <w:rFonts w:hint="default" w:cs="Times New Roman"/>
                <w:b w:val="0"/>
                <w:bCs w:val="0"/>
                <w:color w:val="000000"/>
                <w:kern w:val="0"/>
                <w:sz w:val="21"/>
                <w:szCs w:val="21"/>
                <w:lang w:val="en-US" w:eastAsia="zh-CN" w:bidi="ar"/>
              </w:rPr>
              <w:t>待淤泥水分浸出流入河道后，淤泥用于回填处理</w:t>
            </w:r>
          </w:p>
        </w:tc>
      </w:tr>
      <w:tr w14:paraId="31D70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839" w:type="dxa"/>
            <w:vMerge w:val="continue"/>
            <w:vAlign w:val="center"/>
          </w:tcPr>
          <w:p w14:paraId="7209598C">
            <w:pPr>
              <w:spacing w:line="240" w:lineRule="auto"/>
              <w:jc w:val="center"/>
              <w:rPr>
                <w:rFonts w:hint="default" w:ascii="Times New Roman" w:hAnsi="Times New Roman" w:eastAsia="宋体" w:cs="Times New Roman"/>
                <w:b/>
                <w:color w:val="auto"/>
                <w:sz w:val="21"/>
                <w:szCs w:val="21"/>
              </w:rPr>
            </w:pPr>
          </w:p>
        </w:tc>
        <w:tc>
          <w:tcPr>
            <w:tcW w:w="1538" w:type="dxa"/>
            <w:vAlign w:val="center"/>
          </w:tcPr>
          <w:p w14:paraId="1FC18EB3">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施工人员</w:t>
            </w:r>
          </w:p>
        </w:tc>
        <w:tc>
          <w:tcPr>
            <w:tcW w:w="2068" w:type="dxa"/>
            <w:vAlign w:val="center"/>
          </w:tcPr>
          <w:p w14:paraId="1B865125">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生活垃圾</w:t>
            </w:r>
          </w:p>
        </w:tc>
        <w:tc>
          <w:tcPr>
            <w:tcW w:w="1989" w:type="dxa"/>
            <w:vAlign w:val="center"/>
          </w:tcPr>
          <w:p w14:paraId="69888335">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1296t</w:t>
            </w:r>
          </w:p>
        </w:tc>
        <w:tc>
          <w:tcPr>
            <w:tcW w:w="2063" w:type="dxa"/>
            <w:vAlign w:val="center"/>
          </w:tcPr>
          <w:p w14:paraId="3BF967A7">
            <w:pPr>
              <w:spacing w:line="240" w:lineRule="auto"/>
              <w:jc w:val="center"/>
              <w:rPr>
                <w:rFonts w:hint="eastAsia" w:cs="Times New Roman"/>
                <w:b w:val="0"/>
                <w:bCs w:val="0"/>
                <w:color w:val="000000"/>
                <w:kern w:val="0"/>
                <w:sz w:val="21"/>
                <w:szCs w:val="21"/>
                <w:lang w:val="en-US" w:eastAsia="zh-CN" w:bidi="ar"/>
              </w:rPr>
            </w:pPr>
            <w:r>
              <w:rPr>
                <w:rFonts w:hint="default" w:cs="Times New Roman"/>
                <w:b w:val="0"/>
                <w:bCs w:val="0"/>
                <w:color w:val="auto"/>
                <w:kern w:val="0"/>
                <w:sz w:val="21"/>
                <w:szCs w:val="21"/>
                <w:lang w:val="en-US" w:eastAsia="zh-CN" w:bidi="ar"/>
              </w:rPr>
              <w:t>用垃圾桶集中收集后</w:t>
            </w:r>
            <w:r>
              <w:rPr>
                <w:rFonts w:hint="default" w:cs="Times New Roman"/>
                <w:b w:val="0"/>
                <w:bCs w:val="0"/>
                <w:color w:val="000000"/>
                <w:kern w:val="0"/>
                <w:sz w:val="21"/>
                <w:szCs w:val="21"/>
                <w:lang w:val="en-US" w:eastAsia="zh-CN" w:bidi="ar"/>
              </w:rPr>
              <w:t>委托当地环卫部门及时清运处置</w:t>
            </w:r>
          </w:p>
        </w:tc>
      </w:tr>
      <w:tr w14:paraId="7622C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839" w:type="dxa"/>
            <w:vMerge w:val="continue"/>
            <w:vAlign w:val="center"/>
          </w:tcPr>
          <w:p w14:paraId="58C4ADB6">
            <w:pPr>
              <w:spacing w:line="240" w:lineRule="auto"/>
              <w:jc w:val="center"/>
              <w:rPr>
                <w:rFonts w:hint="default" w:ascii="Times New Roman" w:hAnsi="Times New Roman" w:eastAsia="宋体" w:cs="Times New Roman"/>
                <w:b/>
                <w:color w:val="auto"/>
                <w:sz w:val="21"/>
                <w:szCs w:val="21"/>
              </w:rPr>
            </w:pPr>
          </w:p>
        </w:tc>
        <w:tc>
          <w:tcPr>
            <w:tcW w:w="1538" w:type="dxa"/>
            <w:vAlign w:val="center"/>
          </w:tcPr>
          <w:p w14:paraId="5A1D59C3">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道路整治</w:t>
            </w:r>
          </w:p>
        </w:tc>
        <w:tc>
          <w:tcPr>
            <w:tcW w:w="2068" w:type="dxa"/>
            <w:vAlign w:val="center"/>
          </w:tcPr>
          <w:p w14:paraId="3331DFF3">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废沥青</w:t>
            </w:r>
          </w:p>
        </w:tc>
        <w:tc>
          <w:tcPr>
            <w:tcW w:w="1989" w:type="dxa"/>
            <w:vAlign w:val="center"/>
          </w:tcPr>
          <w:p w14:paraId="07C2DE21">
            <w:pPr>
              <w:spacing w:line="240" w:lineRule="auto"/>
              <w:jc w:val="center"/>
              <w:rPr>
                <w:rFonts w:hint="default" w:cs="Times New Roman"/>
                <w:b w:val="0"/>
                <w:bCs w:val="0"/>
                <w:color w:val="auto"/>
                <w:kern w:val="0"/>
                <w:sz w:val="24"/>
                <w:szCs w:val="24"/>
                <w:lang w:val="en-US" w:eastAsia="zh-CN" w:bidi="ar"/>
              </w:rPr>
            </w:pPr>
            <w:r>
              <w:rPr>
                <w:rFonts w:hint="eastAsia" w:cs="Times New Roman"/>
                <w:b w:val="0"/>
                <w:bCs w:val="0"/>
                <w:color w:val="auto"/>
                <w:kern w:val="0"/>
                <w:sz w:val="24"/>
                <w:szCs w:val="24"/>
                <w:lang w:val="en-US" w:eastAsia="zh-CN" w:bidi="ar"/>
              </w:rPr>
              <w:t>不定量</w:t>
            </w:r>
          </w:p>
        </w:tc>
        <w:tc>
          <w:tcPr>
            <w:tcW w:w="2063" w:type="dxa"/>
            <w:vAlign w:val="center"/>
          </w:tcPr>
          <w:p w14:paraId="6D868E79">
            <w:pPr>
              <w:spacing w:line="240" w:lineRule="auto"/>
              <w:jc w:val="center"/>
              <w:rPr>
                <w:rFonts w:hint="default" w:cs="Times New Roman"/>
                <w:b w:val="0"/>
                <w:bCs w:val="0"/>
                <w:color w:val="auto"/>
                <w:kern w:val="0"/>
                <w:sz w:val="21"/>
                <w:szCs w:val="21"/>
                <w:lang w:val="en-US" w:eastAsia="zh-CN" w:bidi="ar"/>
              </w:rPr>
            </w:pPr>
            <w:r>
              <w:rPr>
                <w:rFonts w:hint="eastAsia" w:ascii="Times New Roman" w:hAnsi="Times New Roman"/>
                <w:sz w:val="21"/>
                <w:szCs w:val="21"/>
              </w:rPr>
              <w:t>经施工人员</w:t>
            </w:r>
            <w:r>
              <w:rPr>
                <w:rFonts w:ascii="Times New Roman" w:hAnsi="Times New Roman"/>
                <w:sz w:val="21"/>
                <w:szCs w:val="21"/>
              </w:rPr>
              <w:t>统一收集后，</w:t>
            </w:r>
            <w:r>
              <w:rPr>
                <w:rFonts w:hint="eastAsia" w:ascii="Times New Roman" w:hAnsi="Times New Roman"/>
                <w:sz w:val="21"/>
                <w:szCs w:val="21"/>
              </w:rPr>
              <w:t>交由</w:t>
            </w:r>
            <w:r>
              <w:rPr>
                <w:rFonts w:hint="eastAsia"/>
                <w:sz w:val="21"/>
                <w:szCs w:val="21"/>
                <w:lang w:eastAsia="zh-CN"/>
              </w:rPr>
              <w:t>搅拌站回收</w:t>
            </w:r>
            <w:r>
              <w:rPr>
                <w:rFonts w:hint="eastAsia"/>
                <w:sz w:val="21"/>
                <w:szCs w:val="21"/>
                <w:lang w:val="en-US" w:eastAsia="zh-CN"/>
              </w:rPr>
              <w:t>利用</w:t>
            </w:r>
          </w:p>
        </w:tc>
      </w:tr>
      <w:tr w14:paraId="2657E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839" w:type="dxa"/>
            <w:vMerge w:val="continue"/>
            <w:vAlign w:val="center"/>
          </w:tcPr>
          <w:p w14:paraId="234DA8EC">
            <w:pPr>
              <w:spacing w:line="240" w:lineRule="auto"/>
              <w:jc w:val="center"/>
              <w:rPr>
                <w:rFonts w:hint="default" w:ascii="Times New Roman" w:hAnsi="Times New Roman" w:eastAsia="宋体" w:cs="Times New Roman"/>
                <w:b/>
                <w:color w:val="auto"/>
                <w:sz w:val="21"/>
                <w:szCs w:val="21"/>
              </w:rPr>
            </w:pPr>
          </w:p>
        </w:tc>
        <w:tc>
          <w:tcPr>
            <w:tcW w:w="1538" w:type="dxa"/>
            <w:vAlign w:val="center"/>
          </w:tcPr>
          <w:p w14:paraId="795C21EA">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项目建设</w:t>
            </w:r>
          </w:p>
        </w:tc>
        <w:tc>
          <w:tcPr>
            <w:tcW w:w="2068" w:type="dxa"/>
            <w:vAlign w:val="center"/>
          </w:tcPr>
          <w:p w14:paraId="57A9B9DE">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建筑垃圾</w:t>
            </w:r>
          </w:p>
        </w:tc>
        <w:tc>
          <w:tcPr>
            <w:tcW w:w="1989" w:type="dxa"/>
            <w:vAlign w:val="center"/>
          </w:tcPr>
          <w:p w14:paraId="77AAC4C7">
            <w:pPr>
              <w:spacing w:line="240" w:lineRule="auto"/>
              <w:jc w:val="center"/>
              <w:rPr>
                <w:rFonts w:hint="eastAsia" w:ascii="Times New Roman" w:hAnsi="Times New Roman" w:cs="Times New Roman"/>
                <w:color w:val="auto"/>
                <w:sz w:val="21"/>
                <w:szCs w:val="21"/>
                <w:lang w:eastAsia="zh-CN"/>
              </w:rPr>
            </w:pPr>
            <w:r>
              <w:rPr>
                <w:rFonts w:hint="eastAsia" w:cs="Times New Roman"/>
                <w:b w:val="0"/>
                <w:bCs w:val="0"/>
                <w:color w:val="auto"/>
                <w:kern w:val="0"/>
                <w:sz w:val="24"/>
                <w:szCs w:val="24"/>
                <w:lang w:val="en-US" w:eastAsia="zh-CN" w:bidi="ar"/>
              </w:rPr>
              <w:t>58.5</w:t>
            </w:r>
            <w:r>
              <w:rPr>
                <w:rFonts w:hint="default" w:cs="Times New Roman"/>
                <w:b w:val="0"/>
                <w:bCs w:val="0"/>
                <w:color w:val="auto"/>
                <w:kern w:val="0"/>
                <w:sz w:val="24"/>
                <w:szCs w:val="24"/>
                <w:lang w:val="en-US" w:eastAsia="zh-CN" w:bidi="ar"/>
              </w:rPr>
              <w:t>kg/d</w:t>
            </w:r>
          </w:p>
        </w:tc>
        <w:tc>
          <w:tcPr>
            <w:tcW w:w="2063" w:type="dxa"/>
            <w:vAlign w:val="center"/>
          </w:tcPr>
          <w:p w14:paraId="1F27318E">
            <w:pPr>
              <w:spacing w:line="240" w:lineRule="auto"/>
              <w:jc w:val="center"/>
              <w:rPr>
                <w:rFonts w:hint="eastAsia" w:ascii="Times New Roman" w:hAnsi="Times New Roman" w:cs="Times New Roman"/>
                <w:color w:val="auto"/>
                <w:sz w:val="21"/>
                <w:szCs w:val="21"/>
                <w:lang w:eastAsia="zh-CN"/>
              </w:rPr>
            </w:pPr>
            <w:r>
              <w:rPr>
                <w:rFonts w:hint="default" w:cs="Times New Roman"/>
                <w:b w:val="0"/>
                <w:bCs w:val="0"/>
                <w:color w:val="000000"/>
                <w:kern w:val="0"/>
                <w:sz w:val="21"/>
                <w:szCs w:val="21"/>
                <w:lang w:val="en-US" w:eastAsia="zh-CN" w:bidi="ar"/>
              </w:rPr>
              <w:t>能回收利用的回收利用，不可回收利用的运往城市建设管理部门指定地点堆存</w:t>
            </w:r>
          </w:p>
        </w:tc>
      </w:tr>
      <w:tr w14:paraId="7E688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839" w:type="dxa"/>
            <w:vAlign w:val="center"/>
          </w:tcPr>
          <w:p w14:paraId="0081A595">
            <w:pPr>
              <w:spacing w:line="240" w:lineRule="auto"/>
              <w:jc w:val="center"/>
              <w:rPr>
                <w:rFonts w:hint="eastAsia" w:ascii="Times New Roman" w:hAnsi="Times New Roman" w:eastAsia="宋体" w:cs="Times New Roman"/>
                <w:b/>
                <w:color w:val="auto"/>
                <w:sz w:val="21"/>
                <w:szCs w:val="21"/>
                <w:lang w:val="en-US" w:eastAsia="zh-CN"/>
              </w:rPr>
            </w:pPr>
            <w:r>
              <w:rPr>
                <w:rFonts w:hint="eastAsia" w:ascii="Times New Roman" w:hAnsi="Times New Roman" w:cs="Times New Roman"/>
                <w:b/>
                <w:color w:val="auto"/>
                <w:sz w:val="21"/>
                <w:szCs w:val="21"/>
                <w:lang w:val="en-US" w:eastAsia="zh-CN"/>
              </w:rPr>
              <w:t>噪声</w:t>
            </w:r>
          </w:p>
        </w:tc>
        <w:tc>
          <w:tcPr>
            <w:tcW w:w="1538" w:type="dxa"/>
            <w:vAlign w:val="center"/>
          </w:tcPr>
          <w:p w14:paraId="3ECAC349">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施工机械及运输车辆</w:t>
            </w:r>
          </w:p>
        </w:tc>
        <w:tc>
          <w:tcPr>
            <w:tcW w:w="2068" w:type="dxa"/>
            <w:vAlign w:val="center"/>
          </w:tcPr>
          <w:p w14:paraId="5E493856">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噪声</w:t>
            </w:r>
          </w:p>
        </w:tc>
        <w:tc>
          <w:tcPr>
            <w:tcW w:w="1989" w:type="dxa"/>
            <w:vAlign w:val="center"/>
          </w:tcPr>
          <w:p w14:paraId="7ED86628">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74.2-44.6</w:t>
            </w:r>
            <w:r>
              <w:rPr>
                <w:rFonts w:ascii="Times New Roman" w:hAnsi="Times New Roman" w:cs="Times New Roman"/>
                <w:color w:val="auto"/>
                <w:sz w:val="21"/>
                <w:szCs w:val="21"/>
                <w:highlight w:val="none"/>
              </w:rPr>
              <w:t>dB(A)</w:t>
            </w:r>
          </w:p>
        </w:tc>
        <w:tc>
          <w:tcPr>
            <w:tcW w:w="2063" w:type="dxa"/>
            <w:vAlign w:val="center"/>
          </w:tcPr>
          <w:p w14:paraId="23F1B538">
            <w:pPr>
              <w:spacing w:line="240" w:lineRule="auto"/>
              <w:jc w:val="center"/>
              <w:rPr>
                <w:rFonts w:hint="eastAsia" w:ascii="Times New Roman" w:hAnsi="Times New Roman" w:cs="Times New Roman"/>
                <w:color w:val="auto"/>
                <w:sz w:val="21"/>
                <w:szCs w:val="21"/>
                <w:lang w:eastAsia="zh-CN"/>
              </w:rPr>
            </w:pPr>
            <w:r>
              <w:rPr>
                <w:rFonts w:ascii="Times New Roman" w:hAnsi="Times New Roman" w:cs="Times New Roman"/>
                <w:snapToGrid w:val="0"/>
                <w:color w:val="auto"/>
                <w:kern w:val="0"/>
                <w:sz w:val="21"/>
                <w:szCs w:val="21"/>
                <w:highlight w:val="none"/>
              </w:rPr>
              <w:t>《建筑施工场界环境噪声排放标准》（GB12523-2011）</w:t>
            </w:r>
          </w:p>
        </w:tc>
      </w:tr>
      <w:tr w14:paraId="50558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8497" w:type="dxa"/>
            <w:gridSpan w:val="5"/>
            <w:vAlign w:val="top"/>
          </w:tcPr>
          <w:p w14:paraId="311AF935">
            <w:pPr>
              <w:spacing w:line="240" w:lineRule="auto"/>
              <w:jc w:val="both"/>
              <w:rPr>
                <w:rFonts w:hint="eastAsia"/>
                <w:b/>
                <w:bCs/>
                <w:lang w:val="en-US" w:eastAsia="zh-CN"/>
              </w:rPr>
            </w:pPr>
            <w:r>
              <w:rPr>
                <w:rFonts w:hint="eastAsia"/>
                <w:b/>
                <w:bCs/>
                <w:lang w:val="en-US" w:eastAsia="zh-CN"/>
              </w:rPr>
              <w:t>主要生态影响：</w:t>
            </w:r>
          </w:p>
          <w:p w14:paraId="134CDBE5">
            <w:pPr>
              <w:pStyle w:val="13"/>
              <w:ind w:left="0" w:leftChars="0" w:firstLine="480" w:firstLineChars="200"/>
              <w:jc w:val="both"/>
              <w:rPr>
                <w:rFonts w:hint="default"/>
                <w:lang w:val="en-US" w:eastAsia="zh-CN"/>
              </w:rPr>
            </w:pPr>
            <w:r>
              <w:rPr>
                <w:rFonts w:hint="eastAsia"/>
                <w:lang w:val="en-US" w:eastAsia="zh-CN"/>
              </w:rPr>
              <w:t>1.</w:t>
            </w:r>
            <w:r>
              <w:rPr>
                <w:rFonts w:hint="default"/>
                <w:lang w:val="en-US" w:eastAsia="zh-CN"/>
              </w:rPr>
              <w:t>水土流失</w:t>
            </w:r>
            <w:r>
              <w:rPr>
                <w:rFonts w:hint="eastAsia"/>
                <w:lang w:val="en-US" w:eastAsia="zh-CN"/>
              </w:rPr>
              <w:t>：</w:t>
            </w:r>
            <w:r>
              <w:rPr>
                <w:rFonts w:hint="default"/>
                <w:lang w:val="en-US" w:eastAsia="zh-CN"/>
              </w:rPr>
              <w:t>体现在地基的开挖填补、施工材料和石方的临时堆放。水土流</w:t>
            </w:r>
          </w:p>
          <w:p w14:paraId="68E8329A">
            <w:pPr>
              <w:pStyle w:val="13"/>
              <w:ind w:left="0" w:leftChars="0" w:firstLine="0" w:firstLineChars="0"/>
              <w:jc w:val="both"/>
              <w:rPr>
                <w:rFonts w:hint="default"/>
                <w:lang w:val="en-US" w:eastAsia="zh-CN"/>
              </w:rPr>
            </w:pPr>
            <w:r>
              <w:rPr>
                <w:rFonts w:hint="default"/>
                <w:lang w:val="en-US" w:eastAsia="zh-CN"/>
              </w:rPr>
              <w:t>失程度和植被破坏程度取决于施工时的管理水平和水土保持措施合理而严格实</w:t>
            </w:r>
          </w:p>
          <w:p w14:paraId="6F6BFD4E">
            <w:pPr>
              <w:pStyle w:val="13"/>
              <w:ind w:left="0" w:leftChars="0" w:firstLine="0" w:firstLineChars="0"/>
              <w:jc w:val="both"/>
              <w:rPr>
                <w:rFonts w:hint="default"/>
                <w:lang w:val="en-US" w:eastAsia="zh-CN"/>
              </w:rPr>
            </w:pPr>
            <w:r>
              <w:rPr>
                <w:rFonts w:hint="default"/>
                <w:lang w:val="en-US" w:eastAsia="zh-CN"/>
              </w:rPr>
              <w:t>施程度。</w:t>
            </w:r>
          </w:p>
          <w:p w14:paraId="7635673E">
            <w:pPr>
              <w:pStyle w:val="13"/>
              <w:ind w:left="0" w:leftChars="0" w:firstLine="480" w:firstLineChars="200"/>
              <w:jc w:val="both"/>
              <w:rPr>
                <w:rFonts w:hint="default"/>
                <w:lang w:val="en-US" w:eastAsia="zh-CN"/>
              </w:rPr>
            </w:pPr>
            <w:r>
              <w:rPr>
                <w:rFonts w:hint="eastAsia"/>
                <w:lang w:val="en-US" w:eastAsia="zh-CN"/>
              </w:rPr>
              <w:t>2.</w:t>
            </w:r>
            <w:r>
              <w:rPr>
                <w:rFonts w:hint="default"/>
                <w:lang w:val="en-US" w:eastAsia="zh-CN"/>
              </w:rPr>
              <w:t>营运期无三废排放，施工降低了原有绿化程度，在施工期结束后可通过绿化带对生态系统带来积极影响。</w:t>
            </w:r>
          </w:p>
        </w:tc>
      </w:tr>
    </w:tbl>
    <w:p w14:paraId="3353271C">
      <w:pPr>
        <w:rPr>
          <w:rFonts w:hint="default"/>
          <w:lang w:val="en-US" w:eastAsia="zh-CN"/>
        </w:rPr>
      </w:pPr>
      <w:r>
        <w:rPr>
          <w:rFonts w:hint="default"/>
          <w:lang w:val="en-US" w:eastAsia="zh-CN"/>
        </w:rPr>
        <w:br w:type="page"/>
      </w:r>
    </w:p>
    <w:p w14:paraId="00E50F87">
      <w:pPr>
        <w:pStyle w:val="2"/>
        <w:bidi w:val="0"/>
        <w:rPr>
          <w:rFonts w:hint="eastAsia"/>
          <w:lang w:val="en-US" w:eastAsia="zh-CN"/>
        </w:rPr>
      </w:pPr>
      <w:r>
        <w:rPr>
          <w:rFonts w:hint="eastAsia"/>
          <w:lang w:val="en-US" w:eastAsia="zh-CN"/>
        </w:rPr>
        <w:t>表七、环境影响分析</w:t>
      </w:r>
    </w:p>
    <w:tbl>
      <w:tblPr>
        <w:tblStyle w:val="10"/>
        <w:tblW w:w="8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0"/>
      </w:tblGrid>
      <w:tr w14:paraId="7E049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3" w:hRule="atLeast"/>
        </w:trPr>
        <w:tc>
          <w:tcPr>
            <w:tcW w:w="8580" w:type="dxa"/>
          </w:tcPr>
          <w:p w14:paraId="404F1E8E">
            <w:pPr>
              <w:rPr>
                <w:rFonts w:hint="default"/>
                <w:b/>
                <w:bCs/>
                <w:lang w:val="en-US" w:eastAsia="zh-CN"/>
              </w:rPr>
            </w:pPr>
            <w:r>
              <w:rPr>
                <w:rFonts w:hint="default"/>
                <w:b/>
                <w:bCs/>
                <w:lang w:val="en-US" w:eastAsia="zh-CN"/>
              </w:rPr>
              <w:t>施工期环境影响分析：</w:t>
            </w:r>
          </w:p>
          <w:p w14:paraId="51309589">
            <w:pPr>
              <w:keepNext w:val="0"/>
              <w:keepLines w:val="0"/>
              <w:widowControl/>
              <w:numPr>
                <w:ilvl w:val="0"/>
                <w:numId w:val="0"/>
              </w:numPr>
              <w:suppressLineNumbers w:val="0"/>
              <w:ind w:firstLine="480" w:firstLineChars="200"/>
              <w:jc w:val="left"/>
              <w:rPr>
                <w:rFonts w:hint="default"/>
                <w:lang w:val="en-US" w:eastAsia="zh-CN"/>
              </w:rPr>
            </w:pPr>
            <w:r>
              <w:rPr>
                <w:rFonts w:hint="default"/>
                <w:lang w:val="en-US" w:eastAsia="zh-CN"/>
              </w:rPr>
              <w:t>项目施工期包括土方开挖、土建施工、绿化等几个阶段。施工期对环境的影响主要是废气、废水、噪声、</w:t>
            </w:r>
            <w:r>
              <w:rPr>
                <w:rFonts w:hint="eastAsia"/>
                <w:lang w:val="en-US" w:eastAsia="zh-CN"/>
              </w:rPr>
              <w:t>固体废物</w:t>
            </w:r>
            <w:r>
              <w:rPr>
                <w:rFonts w:hint="default"/>
                <w:lang w:val="en-US" w:eastAsia="zh-CN"/>
              </w:rPr>
              <w:t>等对环境的影响：</w:t>
            </w:r>
          </w:p>
          <w:p w14:paraId="7E190C1F">
            <w:pPr>
              <w:numPr>
                <w:ilvl w:val="0"/>
                <w:numId w:val="30"/>
              </w:numPr>
              <w:bidi w:val="0"/>
              <w:rPr>
                <w:rFonts w:hint="eastAsia"/>
                <w:b/>
                <w:bCs/>
                <w:lang w:val="en-US" w:eastAsia="zh-CN"/>
              </w:rPr>
            </w:pPr>
            <w:r>
              <w:rPr>
                <w:rFonts w:hint="eastAsia"/>
                <w:b/>
                <w:bCs/>
                <w:lang w:val="en-US" w:eastAsia="zh-CN"/>
              </w:rPr>
              <w:t>大气环境的影响分析</w:t>
            </w:r>
          </w:p>
          <w:p w14:paraId="6FF0891A">
            <w:pPr>
              <w:numPr>
                <w:ilvl w:val="0"/>
                <w:numId w:val="31"/>
              </w:numPr>
              <w:bidi w:val="0"/>
              <w:ind w:firstLine="482" w:firstLineChars="200"/>
              <w:rPr>
                <w:rFonts w:hint="default"/>
                <w:b/>
                <w:bCs/>
                <w:lang w:val="en-US" w:eastAsia="zh-CN"/>
              </w:rPr>
            </w:pPr>
            <w:r>
              <w:rPr>
                <w:rFonts w:hint="default"/>
                <w:b/>
                <w:bCs/>
                <w:lang w:val="en-US" w:eastAsia="zh-CN"/>
              </w:rPr>
              <w:t>扬尘对环境的影响</w:t>
            </w:r>
          </w:p>
          <w:p w14:paraId="6DBE03A2">
            <w:pPr>
              <w:numPr>
                <w:ilvl w:val="0"/>
                <w:numId w:val="0"/>
              </w:numPr>
              <w:bidi w:val="0"/>
              <w:ind w:firstLine="480" w:firstLineChars="200"/>
              <w:rPr>
                <w:rFonts w:hint="default"/>
                <w:lang w:val="en-US" w:eastAsia="zh-CN"/>
              </w:rPr>
            </w:pPr>
            <w:r>
              <w:rPr>
                <w:rFonts w:hint="default"/>
                <w:lang w:val="en-US" w:eastAsia="zh-CN"/>
              </w:rPr>
              <w:t xml:space="preserve">项目施工期对环境空气影响的主要污染物为施工扬尘。在项目的建设施工中由于土方开挖、回填土石方以及建筑材料的运输、装卸、堆放等，会产生不同影响程度的扬尘，还有施工机械和车辆引起的道路扬尘，污染因子为TSP、PM 10 </w:t>
            </w:r>
            <w:r>
              <w:rPr>
                <w:rFonts w:hint="eastAsia"/>
                <w:lang w:val="en-US" w:eastAsia="zh-CN"/>
              </w:rPr>
              <w:t>，</w:t>
            </w:r>
            <w:r>
              <w:rPr>
                <w:rFonts w:hint="default"/>
                <w:lang w:val="en-US" w:eastAsia="zh-CN"/>
              </w:rPr>
              <w:t>扬尘的产生量与施工方式、土壤含水量、气象条件等有关。</w:t>
            </w:r>
          </w:p>
          <w:p w14:paraId="0360870F">
            <w:pPr>
              <w:numPr>
                <w:ilvl w:val="0"/>
                <w:numId w:val="0"/>
              </w:numPr>
              <w:bidi w:val="0"/>
              <w:ind w:firstLine="480" w:firstLineChars="200"/>
              <w:rPr>
                <w:rFonts w:hint="eastAsia"/>
                <w:lang w:eastAsia="zh-CN"/>
              </w:rPr>
            </w:pPr>
            <w:r>
              <w:rPr>
                <w:rFonts w:hint="default"/>
                <w:lang w:val="en-US" w:eastAsia="zh-CN"/>
              </w:rPr>
              <w:t>在空气干燥、风速较大的气候条件下，施工建设过程中会导致现场尘土飞扬</w:t>
            </w:r>
            <w:r>
              <w:rPr>
                <w:rFonts w:hint="eastAsia"/>
                <w:lang w:val="en-US" w:eastAsia="zh-CN"/>
              </w:rPr>
              <w:t>，</w:t>
            </w:r>
            <w:r>
              <w:rPr>
                <w:rFonts w:hint="default"/>
                <w:lang w:val="en-US" w:eastAsia="zh-CN"/>
              </w:rPr>
              <w:t>使空气中颗粒物浓度增加，并随风扩散，影响下风区域及周围环境空气质量，对施工场地周围居民的居住环境带来一定影响，且会随雨水的冲刷转移至附近水体。反之，在静风、小雨湿润条件下，其对空气环境的影响范围将减小、程度减轻。</w:t>
            </w:r>
            <w:r>
              <w:t>根据同类施工现场的实测资料，在一般气候条件下，平均风速2.5m/s时，建筑工地的TPS浓度为其上风向的2~2.25倍，其扬尘的影响范围在其下风向可达150m，影响范围内TSP浓度均值为0.49mg/N</w:t>
            </w:r>
            <w:r>
              <w:rPr>
                <w:rFonts w:hint="eastAsia"/>
                <w:lang w:eastAsia="zh-CN"/>
              </w:rPr>
              <w:t>m³</w:t>
            </w:r>
            <w:r>
              <w:t>，是《环境空气质量标准》中二级标准值的1.6倍。当有围栏时，在同等气候条件下，其影响距离可缩短40%，即影响范围为90m。如果在施工期间对车辆行驶的路面实施洒水抑尘，每天洒水4～5次，可使扬尘减少70%左右，可有效地控制施工扬尘，可将TSP的污染距离缩小到20m～50m</w:t>
            </w:r>
            <w:r>
              <w:rPr>
                <w:rFonts w:hint="eastAsia"/>
                <w:lang w:eastAsia="zh-CN"/>
              </w:rPr>
              <w:t>。</w:t>
            </w:r>
          </w:p>
          <w:p w14:paraId="3FA41B0F">
            <w:pPr>
              <w:tabs>
                <w:tab w:val="left" w:pos="615"/>
              </w:tabs>
              <w:adjustRightInd w:val="0"/>
              <w:snapToGrid w:val="0"/>
              <w:spacing w:line="360" w:lineRule="auto"/>
              <w:ind w:firstLine="480"/>
            </w:pPr>
            <w:r>
              <w:t>为了减少施工</w:t>
            </w:r>
            <w:r>
              <w:rPr>
                <w:rFonts w:hint="eastAsia"/>
                <w:lang w:val="en-US" w:eastAsia="zh-CN"/>
              </w:rPr>
              <w:t>扬尘</w:t>
            </w:r>
            <w:r>
              <w:t>对敏感点的影响，项目建设时应采取以下措施：</w:t>
            </w:r>
          </w:p>
          <w:p w14:paraId="27B9D4E0">
            <w:pPr>
              <w:autoSpaceDE w:val="0"/>
              <w:autoSpaceDN w:val="0"/>
              <w:adjustRightInd w:val="0"/>
              <w:spacing w:line="360" w:lineRule="auto"/>
              <w:ind w:firstLine="480" w:firstLineChars="200"/>
              <w:rPr>
                <w:color w:val="FF0000"/>
              </w:rPr>
            </w:pPr>
            <w:r>
              <w:rPr>
                <w:color w:val="FF0000"/>
              </w:rPr>
              <w:fldChar w:fldCharType="begin"/>
            </w:r>
            <w:r>
              <w:rPr>
                <w:color w:val="FF0000"/>
              </w:rPr>
              <w:instrText xml:space="preserve"> = 1 \* GB3 </w:instrText>
            </w:r>
            <w:r>
              <w:rPr>
                <w:color w:val="FF0000"/>
              </w:rPr>
              <w:fldChar w:fldCharType="separate"/>
            </w:r>
            <w:r>
              <w:rPr>
                <w:color w:val="FF0000"/>
                <w:lang w:val="zh-CN"/>
              </w:rPr>
              <w:t>①</w:t>
            </w:r>
            <w:r>
              <w:rPr>
                <w:color w:val="FF0000"/>
              </w:rPr>
              <w:fldChar w:fldCharType="end"/>
            </w:r>
            <w:r>
              <w:rPr>
                <w:color w:val="FF0000"/>
              </w:rPr>
              <w:t>建材堆放点要相对集中，并</w:t>
            </w:r>
            <w:r>
              <w:rPr>
                <w:rFonts w:hint="eastAsia"/>
                <w:color w:val="FF0000"/>
                <w:lang w:val="en-US" w:eastAsia="zh-CN"/>
              </w:rPr>
              <w:t>全部</w:t>
            </w:r>
            <w:r>
              <w:rPr>
                <w:rFonts w:hint="eastAsia"/>
                <w:color w:val="FF0000"/>
                <w:lang w:eastAsia="zh-CN"/>
              </w:rPr>
              <w:t>覆盖防尘布，定期</w:t>
            </w:r>
            <w:r>
              <w:rPr>
                <w:color w:val="FF0000"/>
              </w:rPr>
              <w:t>洒水</w:t>
            </w:r>
            <w:r>
              <w:rPr>
                <w:rFonts w:hint="eastAsia"/>
                <w:color w:val="FF0000"/>
                <w:lang w:eastAsia="zh-CN"/>
              </w:rPr>
              <w:t>降</w:t>
            </w:r>
            <w:r>
              <w:rPr>
                <w:color w:val="FF0000"/>
              </w:rPr>
              <w:t>尘；</w:t>
            </w:r>
          </w:p>
          <w:p w14:paraId="1EFE592A">
            <w:pPr>
              <w:tabs>
                <w:tab w:val="left" w:pos="9396"/>
              </w:tabs>
              <w:autoSpaceDE w:val="0"/>
              <w:autoSpaceDN w:val="0"/>
              <w:adjustRightInd w:val="0"/>
              <w:spacing w:line="360" w:lineRule="auto"/>
              <w:ind w:firstLine="480" w:firstLineChars="200"/>
              <w:rPr>
                <w:color w:val="FF0000"/>
              </w:rPr>
            </w:pPr>
            <w:r>
              <w:rPr>
                <w:color w:val="FF0000"/>
              </w:rPr>
              <w:fldChar w:fldCharType="begin"/>
            </w:r>
            <w:r>
              <w:rPr>
                <w:color w:val="FF0000"/>
              </w:rPr>
              <w:instrText xml:space="preserve"> = 2 \* GB3 </w:instrText>
            </w:r>
            <w:r>
              <w:rPr>
                <w:color w:val="FF0000"/>
              </w:rPr>
              <w:fldChar w:fldCharType="separate"/>
            </w:r>
            <w:r>
              <w:rPr>
                <w:color w:val="FF0000"/>
                <w:lang w:val="zh-CN"/>
              </w:rPr>
              <w:t>②</w:t>
            </w:r>
            <w:r>
              <w:rPr>
                <w:color w:val="FF0000"/>
              </w:rPr>
              <w:fldChar w:fldCharType="end"/>
            </w:r>
            <w:r>
              <w:rPr>
                <w:color w:val="FF0000"/>
              </w:rPr>
              <w:t>运输渣土、</w:t>
            </w:r>
            <w:r>
              <w:rPr>
                <w:rFonts w:hint="eastAsia"/>
                <w:color w:val="FF0000"/>
                <w:lang w:eastAsia="zh-CN"/>
              </w:rPr>
              <w:t>原材料及施工垃圾等</w:t>
            </w:r>
            <w:r>
              <w:rPr>
                <w:color w:val="FF0000"/>
              </w:rPr>
              <w:t>车辆出场时必须采取覆盖措施，避免在运输过程中的抛洒现象</w:t>
            </w:r>
            <w:r>
              <w:rPr>
                <w:rFonts w:hint="eastAsia"/>
                <w:color w:val="FF0000"/>
                <w:lang w:eastAsia="zh-CN"/>
              </w:rPr>
              <w:t>，对施工现场车辆来往抛撒下来的汇成应及时清扫，减少烟尘产生</w:t>
            </w:r>
            <w:r>
              <w:rPr>
                <w:color w:val="FF0000"/>
              </w:rPr>
              <w:t>；</w:t>
            </w:r>
          </w:p>
          <w:p w14:paraId="5F29DCBF">
            <w:pPr>
              <w:autoSpaceDE w:val="0"/>
              <w:autoSpaceDN w:val="0"/>
              <w:adjustRightInd w:val="0"/>
              <w:spacing w:line="360" w:lineRule="auto"/>
              <w:ind w:firstLine="480" w:firstLineChars="200"/>
              <w:rPr>
                <w:color w:val="FF0000"/>
              </w:rPr>
            </w:pPr>
            <w:r>
              <w:rPr>
                <w:color w:val="FF0000"/>
              </w:rPr>
              <w:fldChar w:fldCharType="begin"/>
            </w:r>
            <w:r>
              <w:rPr>
                <w:color w:val="FF0000"/>
              </w:rPr>
              <w:instrText xml:space="preserve"> = 3 \* GB3 </w:instrText>
            </w:r>
            <w:r>
              <w:rPr>
                <w:color w:val="FF0000"/>
              </w:rPr>
              <w:fldChar w:fldCharType="separate"/>
            </w:r>
            <w:r>
              <w:rPr>
                <w:color w:val="FF0000"/>
                <w:lang w:val="zh-CN"/>
              </w:rPr>
              <w:t>③</w:t>
            </w:r>
            <w:r>
              <w:rPr>
                <w:color w:val="FF0000"/>
              </w:rPr>
              <w:fldChar w:fldCharType="end"/>
            </w:r>
            <w:r>
              <w:rPr>
                <w:color w:val="FF0000"/>
              </w:rPr>
              <w:t>在施工场地清理阶段，做到先洒水，后清扫，防止扬尘产生。</w:t>
            </w:r>
          </w:p>
          <w:p w14:paraId="77F25F2C">
            <w:pPr>
              <w:bidi w:val="0"/>
              <w:ind w:firstLine="480" w:firstLineChars="200"/>
              <w:rPr>
                <w:rFonts w:hint="eastAsia"/>
                <w:color w:val="FF0000"/>
                <w:lang w:eastAsia="zh-CN"/>
              </w:rPr>
            </w:pPr>
            <w:r>
              <w:rPr>
                <w:rFonts w:hint="eastAsia"/>
                <w:color w:val="FF0000"/>
                <w:lang w:eastAsia="zh-CN"/>
              </w:rPr>
              <w:t>④施工现场采用封闭遮挡施工，</w:t>
            </w:r>
            <w:r>
              <w:rPr>
                <w:rFonts w:hint="eastAsia"/>
                <w:color w:val="FF0000"/>
                <w:lang w:val="en-US" w:eastAsia="zh-CN"/>
              </w:rPr>
              <w:t>采用2.5m遮挡围墙，</w:t>
            </w:r>
            <w:r>
              <w:rPr>
                <w:rFonts w:hint="eastAsia"/>
                <w:color w:val="FF0000"/>
                <w:lang w:eastAsia="zh-CN"/>
              </w:rPr>
              <w:t>以减少施工扬尘的扩散，减轻扬尘对周围村镇居民的污染</w:t>
            </w:r>
          </w:p>
          <w:p w14:paraId="1374E65B">
            <w:pPr>
              <w:bidi w:val="0"/>
              <w:ind w:firstLine="480" w:firstLineChars="200"/>
              <w:rPr>
                <w:rFonts w:hint="eastAsia"/>
                <w:color w:val="FF0000"/>
                <w:lang w:eastAsia="zh-CN"/>
              </w:rPr>
            </w:pPr>
            <w:r>
              <w:rPr>
                <w:rFonts w:hint="eastAsia"/>
                <w:color w:val="FF0000"/>
                <w:lang w:eastAsia="zh-CN"/>
              </w:rPr>
              <w:t>⑤定时对施工现场进行洒水降尘，防止粉尘飞扬。</w:t>
            </w:r>
          </w:p>
          <w:p w14:paraId="33F4E713">
            <w:pPr>
              <w:bidi w:val="0"/>
              <w:ind w:firstLine="480" w:firstLineChars="200"/>
              <w:rPr>
                <w:rFonts w:hint="default"/>
                <w:color w:val="FF0000"/>
                <w:lang w:val="en-US" w:eastAsia="zh-CN"/>
              </w:rPr>
            </w:pPr>
            <w:r>
              <w:rPr>
                <w:rFonts w:hint="eastAsia"/>
                <w:color w:val="FF0000"/>
                <w:lang w:val="en-US" w:eastAsia="zh-CN"/>
              </w:rPr>
              <w:t>⑥对运输车辆进出、装卸场地时用水将轮胎冲洗干净，防治轮胎带离粉尘。</w:t>
            </w:r>
          </w:p>
          <w:p w14:paraId="3A493660">
            <w:pPr>
              <w:adjustRightInd w:val="0"/>
              <w:snapToGrid w:val="0"/>
              <w:spacing w:line="360" w:lineRule="auto"/>
              <w:ind w:firstLine="480" w:firstLineChars="200"/>
            </w:pPr>
            <w:r>
              <w:rPr>
                <w:rFonts w:hint="eastAsia"/>
                <w:lang w:eastAsia="zh-CN"/>
              </w:rPr>
              <w:t>扬尘</w:t>
            </w:r>
            <w:r>
              <w:t>对空气环境的影响是断续的，短时的，随施工期的结束而结束，采取上述措施后，对区域空气质量影响较小。</w:t>
            </w:r>
          </w:p>
          <w:p w14:paraId="12854A5A">
            <w:pPr>
              <w:numPr>
                <w:ilvl w:val="0"/>
                <w:numId w:val="31"/>
              </w:numPr>
              <w:bidi w:val="0"/>
              <w:ind w:left="0" w:leftChars="0" w:firstLine="482" w:firstLineChars="200"/>
              <w:rPr>
                <w:rFonts w:hint="default"/>
                <w:b/>
                <w:bCs/>
                <w:lang w:val="en-US" w:eastAsia="zh-CN"/>
              </w:rPr>
            </w:pPr>
            <w:r>
              <w:rPr>
                <w:rFonts w:hint="eastAsia"/>
                <w:b/>
                <w:bCs/>
                <w:lang w:val="en-US" w:eastAsia="zh-CN"/>
              </w:rPr>
              <w:t>机械废气、车辆尾气对环境的影响</w:t>
            </w:r>
          </w:p>
          <w:p w14:paraId="4DFF90DE">
            <w:pPr>
              <w:bidi w:val="0"/>
              <w:ind w:firstLine="480" w:firstLineChars="200"/>
              <w:rPr>
                <w:rFonts w:hint="default"/>
                <w:lang w:val="en-US" w:eastAsia="zh-CN"/>
              </w:rPr>
            </w:pPr>
            <w:r>
              <w:rPr>
                <w:rFonts w:hint="default"/>
                <w:lang w:val="en-US" w:eastAsia="zh-CN"/>
              </w:rPr>
              <w:t>施工机械和运输车辆作业期间产生的尾气，也是影响空气环境的主要污染物之一。施工机械产生的废气主要有在土石方阶段使用的挖土机、运输车辆等。其排放的废气主要污染物</w:t>
            </w:r>
            <w:r>
              <w:rPr>
                <w:rFonts w:hint="eastAsia"/>
                <w:lang w:val="en-US" w:eastAsia="zh-CN"/>
              </w:rPr>
              <w:t>为</w:t>
            </w:r>
            <w:r>
              <w:rPr>
                <w:rFonts w:hint="default"/>
                <w:lang w:val="en-US" w:eastAsia="zh-CN"/>
              </w:rPr>
              <w:t>NO</w:t>
            </w:r>
            <w:r>
              <w:rPr>
                <w:rFonts w:hint="eastAsia"/>
                <w:vertAlign w:val="subscript"/>
                <w:lang w:val="en-US" w:eastAsia="zh-CN"/>
              </w:rPr>
              <w:t>x</w:t>
            </w:r>
            <w:r>
              <w:rPr>
                <w:rFonts w:hint="eastAsia"/>
                <w:vertAlign w:val="baseline"/>
                <w:lang w:val="en-US" w:eastAsia="zh-CN"/>
              </w:rPr>
              <w:t>、</w:t>
            </w:r>
            <w:r>
              <w:rPr>
                <w:rFonts w:hint="default"/>
                <w:lang w:val="en-US" w:eastAsia="zh-CN"/>
              </w:rPr>
              <w:t>CO和CH</w:t>
            </w:r>
            <w:r>
              <w:rPr>
                <w:rFonts w:hint="eastAsia"/>
                <w:vertAlign w:val="subscript"/>
                <w:lang w:val="en-US" w:eastAsia="zh-CN"/>
              </w:rPr>
              <w:t>x</w:t>
            </w:r>
            <w:r>
              <w:rPr>
                <w:rFonts w:hint="default"/>
                <w:lang w:val="en-US" w:eastAsia="zh-CN"/>
              </w:rPr>
              <w:t>等。施工机械和运输车辆外排尾</w:t>
            </w:r>
            <w:r>
              <w:rPr>
                <w:rFonts w:hint="eastAsia"/>
                <w:lang w:val="en-US" w:eastAsia="zh-CN"/>
              </w:rPr>
              <w:t>气</w:t>
            </w:r>
            <w:r>
              <w:rPr>
                <w:rFonts w:hint="default"/>
                <w:lang w:val="en-US" w:eastAsia="zh-CN"/>
              </w:rPr>
              <w:t>量均不是很大，尾气排放点随设备移动呈不固定方式排放，在空气环境中经一定的距离自然扩散、稀释后，对评价区域敏感点影响较小。</w:t>
            </w:r>
          </w:p>
          <w:p w14:paraId="6B54DB13">
            <w:pPr>
              <w:numPr>
                <w:ilvl w:val="0"/>
                <w:numId w:val="31"/>
              </w:numPr>
              <w:bidi w:val="0"/>
              <w:ind w:left="0" w:leftChars="0" w:firstLine="482" w:firstLineChars="200"/>
              <w:rPr>
                <w:rFonts w:hint="eastAsia"/>
                <w:b/>
                <w:bCs/>
                <w:lang w:val="en-US" w:eastAsia="zh-CN"/>
              </w:rPr>
            </w:pPr>
            <w:r>
              <w:rPr>
                <w:rFonts w:hint="eastAsia"/>
                <w:b/>
                <w:bCs/>
                <w:lang w:val="en-US" w:eastAsia="zh-CN"/>
              </w:rPr>
              <w:t>沥青烟</w:t>
            </w:r>
          </w:p>
          <w:p w14:paraId="0EA22DB4">
            <w:pPr>
              <w:numPr>
                <w:ilvl w:val="0"/>
                <w:numId w:val="0"/>
              </w:numPr>
              <w:bidi w:val="0"/>
              <w:ind w:firstLine="480" w:firstLineChars="200"/>
              <w:rPr>
                <w:rFonts w:hint="default" w:ascii="Times New Roman" w:hAnsi="Times New Roman" w:eastAsia="宋体" w:cs="Times New Roman"/>
                <w:color w:val="auto"/>
                <w:sz w:val="24"/>
                <w:highlight w:val="none"/>
                <w:lang w:eastAsia="zh-CN"/>
              </w:rPr>
            </w:pPr>
            <w:r>
              <w:rPr>
                <w:rFonts w:hint="eastAsia" w:cs="Times New Roman"/>
                <w:color w:val="auto"/>
                <w:sz w:val="24"/>
                <w:szCs w:val="24"/>
                <w:highlight w:val="none"/>
                <w:lang w:eastAsia="zh-CN"/>
              </w:rPr>
              <w:t>项目道路整治阶段涉及沥青，</w:t>
            </w:r>
            <w:r>
              <w:rPr>
                <w:rFonts w:hint="default" w:ascii="Times New Roman" w:hAnsi="Times New Roman" w:eastAsia="宋体" w:cs="Times New Roman"/>
                <w:color w:val="auto"/>
                <w:sz w:val="24"/>
                <w:szCs w:val="24"/>
                <w:highlight w:val="none"/>
              </w:rPr>
              <w:t>沥</w:t>
            </w:r>
            <w:r>
              <w:rPr>
                <w:rFonts w:hint="default" w:ascii="Times New Roman" w:hAnsi="Times New Roman" w:eastAsia="宋体" w:cs="Times New Roman"/>
                <w:color w:val="auto"/>
                <w:sz w:val="24"/>
                <w:highlight w:val="none"/>
              </w:rPr>
              <w:t>青</w:t>
            </w:r>
            <w:r>
              <w:rPr>
                <w:rFonts w:hint="eastAsia" w:cs="Times New Roman"/>
                <w:color w:val="auto"/>
                <w:sz w:val="24"/>
                <w:highlight w:val="none"/>
                <w:lang w:eastAsia="zh-CN"/>
              </w:rPr>
              <w:t>在</w:t>
            </w:r>
            <w:r>
              <w:rPr>
                <w:rFonts w:hint="default" w:ascii="Times New Roman" w:hAnsi="Times New Roman" w:eastAsia="宋体" w:cs="Times New Roman"/>
                <w:color w:val="auto"/>
                <w:sz w:val="24"/>
                <w:highlight w:val="none"/>
              </w:rPr>
              <w:t>铺摊过程中将产生少量的沥青烟。有监测数据表明，沥青中释放出的有毒物质，随温度的降低数量减少</w:t>
            </w:r>
            <w:r>
              <w:rPr>
                <w:rFonts w:hint="default"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本项目仅芒市大街、勐焕路和团结大街道路整治使用沥青烟</w:t>
            </w:r>
            <w:r>
              <w:rPr>
                <w:rFonts w:hint="default" w:ascii="Times New Roman" w:hAnsi="Times New Roman" w:cs="Times New Roman"/>
                <w:sz w:val="24"/>
                <w:lang w:eastAsia="zh-CN"/>
              </w:rPr>
              <w:t>，</w:t>
            </w:r>
            <w:r>
              <w:rPr>
                <w:rFonts w:hint="eastAsia" w:cs="Times New Roman"/>
                <w:sz w:val="24"/>
                <w:lang w:val="en-US" w:eastAsia="zh-CN"/>
              </w:rPr>
              <w:t>产生的沥青烟较少，</w:t>
            </w:r>
            <w:r>
              <w:rPr>
                <w:rFonts w:hint="default" w:ascii="Times New Roman" w:hAnsi="Times New Roman" w:eastAsia="宋体" w:cs="Times New Roman"/>
                <w:color w:val="auto"/>
                <w:sz w:val="24"/>
                <w:highlight w:val="none"/>
              </w:rPr>
              <w:t>因此对大气环境影响比较小</w:t>
            </w:r>
            <w:r>
              <w:rPr>
                <w:rFonts w:hint="default" w:ascii="Times New Roman" w:hAnsi="Times New Roman" w:eastAsia="宋体" w:cs="Times New Roman"/>
                <w:color w:val="auto"/>
                <w:sz w:val="24"/>
                <w:highlight w:val="none"/>
                <w:lang w:eastAsia="zh-CN"/>
              </w:rPr>
              <w:t>。</w:t>
            </w:r>
          </w:p>
          <w:p w14:paraId="0E531E60">
            <w:pPr>
              <w:numPr>
                <w:ilvl w:val="0"/>
                <w:numId w:val="0"/>
              </w:numPr>
              <w:bidi w:val="0"/>
              <w:ind w:firstLine="480" w:firstLineChars="200"/>
              <w:rPr>
                <w:rFonts w:hint="eastAsia"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综上所述，施工期产生的废气采取措施后对周围环境影响不大，</w:t>
            </w:r>
            <w:r>
              <w:rPr>
                <w:rFonts w:hint="default" w:ascii="Times New Roman" w:hAnsi="Times New Roman" w:cs="Times New Roman"/>
                <w:color w:val="auto"/>
                <w:sz w:val="24"/>
                <w:highlight w:val="none"/>
              </w:rPr>
              <w:t>其影响随施工活动的结束而消失</w:t>
            </w:r>
            <w:r>
              <w:rPr>
                <w:rFonts w:hint="eastAsia" w:cs="Times New Roman"/>
                <w:color w:val="auto"/>
                <w:sz w:val="24"/>
                <w:highlight w:val="none"/>
                <w:lang w:eastAsia="zh-CN"/>
              </w:rPr>
              <w:t>。</w:t>
            </w:r>
          </w:p>
          <w:p w14:paraId="577ED69A">
            <w:pPr>
              <w:numPr>
                <w:ilvl w:val="0"/>
                <w:numId w:val="30"/>
              </w:numPr>
              <w:bidi w:val="0"/>
              <w:ind w:left="0" w:leftChars="0" w:firstLine="0" w:firstLineChars="0"/>
              <w:rPr>
                <w:rFonts w:hint="eastAsia"/>
                <w:b/>
                <w:bCs/>
                <w:lang w:val="en-US" w:eastAsia="zh-CN"/>
              </w:rPr>
            </w:pPr>
            <w:r>
              <w:rPr>
                <w:rFonts w:hint="eastAsia"/>
                <w:b/>
                <w:bCs/>
                <w:lang w:val="en-US" w:eastAsia="zh-CN"/>
              </w:rPr>
              <w:t>水环境的影响分析</w:t>
            </w:r>
          </w:p>
          <w:p w14:paraId="43505D57">
            <w:pPr>
              <w:numPr>
                <w:ilvl w:val="0"/>
                <w:numId w:val="32"/>
              </w:numPr>
              <w:bidi w:val="0"/>
              <w:ind w:leftChars="0" w:firstLine="482" w:firstLineChars="200"/>
              <w:rPr>
                <w:rFonts w:hint="eastAsia"/>
                <w:b/>
                <w:bCs/>
                <w:lang w:val="en-US" w:eastAsia="zh-CN"/>
              </w:rPr>
            </w:pPr>
            <w:r>
              <w:rPr>
                <w:rFonts w:hint="eastAsia"/>
                <w:b/>
                <w:bCs/>
                <w:lang w:val="en-US" w:eastAsia="zh-CN"/>
              </w:rPr>
              <w:t>施工废水影响分析</w:t>
            </w:r>
          </w:p>
          <w:p w14:paraId="456CAEB2">
            <w:pPr>
              <w:keepNext w:val="0"/>
              <w:keepLines w:val="0"/>
              <w:widowControl/>
              <w:numPr>
                <w:ilvl w:val="0"/>
                <w:numId w:val="0"/>
              </w:numPr>
              <w:suppressLineNumbers w:val="0"/>
              <w:ind w:firstLine="480" w:firstLineChars="200"/>
              <w:jc w:val="left"/>
              <w:rPr>
                <w:rFonts w:hint="eastAsia"/>
                <w:lang w:val="en-US" w:eastAsia="zh-CN"/>
              </w:rPr>
            </w:pPr>
            <w:r>
              <w:rPr>
                <w:rFonts w:hint="eastAsia" w:cs="Times New Roman"/>
                <w:b w:val="0"/>
                <w:bCs w:val="0"/>
                <w:color w:val="auto"/>
                <w:kern w:val="0"/>
                <w:sz w:val="24"/>
                <w:szCs w:val="24"/>
                <w:lang w:val="en-US" w:eastAsia="zh-CN" w:bidi="ar"/>
              </w:rPr>
              <w:t>根据用水定额每立方米混凝土养护水用量为0.2m</w:t>
            </w:r>
            <w:r>
              <w:rPr>
                <w:rFonts w:hint="eastAsia" w:cs="Times New Roman"/>
                <w:b w:val="0"/>
                <w:bCs w:val="0"/>
                <w:color w:val="auto"/>
                <w:kern w:val="0"/>
                <w:sz w:val="24"/>
                <w:szCs w:val="24"/>
                <w:vertAlign w:val="superscript"/>
                <w:lang w:val="en-US" w:eastAsia="zh-CN" w:bidi="ar"/>
              </w:rPr>
              <w:t>3</w:t>
            </w:r>
            <w:r>
              <w:rPr>
                <w:rFonts w:hint="eastAsia" w:cs="Times New Roman"/>
                <w:b w:val="0"/>
                <w:bCs w:val="0"/>
                <w:color w:val="auto"/>
                <w:kern w:val="0"/>
                <w:sz w:val="24"/>
                <w:szCs w:val="24"/>
                <w:vertAlign w:val="baseline"/>
                <w:lang w:val="en-US" w:eastAsia="zh-CN" w:bidi="ar"/>
              </w:rPr>
              <w:t>/m</w:t>
            </w:r>
            <w:r>
              <w:rPr>
                <w:rFonts w:hint="eastAsia" w:cs="Times New Roman"/>
                <w:b w:val="0"/>
                <w:bCs w:val="0"/>
                <w:color w:val="auto"/>
                <w:kern w:val="0"/>
                <w:sz w:val="24"/>
                <w:szCs w:val="24"/>
                <w:vertAlign w:val="superscript"/>
                <w:lang w:val="en-US" w:eastAsia="zh-CN" w:bidi="ar"/>
              </w:rPr>
              <w:t>3</w:t>
            </w:r>
            <w:r>
              <w:rPr>
                <w:rFonts w:hint="eastAsia" w:cs="Times New Roman"/>
                <w:b w:val="0"/>
                <w:bCs w:val="0"/>
                <w:color w:val="auto"/>
                <w:kern w:val="0"/>
                <w:sz w:val="24"/>
                <w:szCs w:val="24"/>
                <w:lang w:val="en-US" w:eastAsia="zh-CN" w:bidi="ar"/>
              </w:rPr>
              <w:t>，本工程砼及钢筋砼浇筑总量约为22万m</w:t>
            </w:r>
            <w:r>
              <w:rPr>
                <w:rFonts w:hint="eastAsia" w:cs="Times New Roman"/>
                <w:b w:val="0"/>
                <w:bCs w:val="0"/>
                <w:color w:val="auto"/>
                <w:kern w:val="0"/>
                <w:sz w:val="24"/>
                <w:szCs w:val="24"/>
                <w:vertAlign w:val="superscript"/>
                <w:lang w:val="en-US" w:eastAsia="zh-CN" w:bidi="ar"/>
              </w:rPr>
              <w:t>3</w:t>
            </w:r>
            <w:r>
              <w:rPr>
                <w:rFonts w:hint="eastAsia" w:cs="Times New Roman"/>
                <w:b w:val="0"/>
                <w:bCs w:val="0"/>
                <w:color w:val="auto"/>
                <w:kern w:val="0"/>
                <w:sz w:val="24"/>
                <w:szCs w:val="24"/>
                <w:lang w:val="en-US" w:eastAsia="zh-CN" w:bidi="ar"/>
              </w:rPr>
              <w:t>，则本项目混凝土用水总量为44000m</w:t>
            </w:r>
            <w:r>
              <w:rPr>
                <w:rFonts w:hint="eastAsia" w:cs="Times New Roman"/>
                <w:b w:val="0"/>
                <w:bCs w:val="0"/>
                <w:color w:val="auto"/>
                <w:kern w:val="0"/>
                <w:sz w:val="24"/>
                <w:szCs w:val="24"/>
                <w:vertAlign w:val="superscript"/>
                <w:lang w:val="en-US" w:eastAsia="zh-CN" w:bidi="ar"/>
              </w:rPr>
              <w:t>3</w:t>
            </w:r>
            <w:r>
              <w:rPr>
                <w:rFonts w:hint="eastAsia" w:cs="Times New Roman"/>
                <w:b w:val="0"/>
                <w:bCs w:val="0"/>
                <w:color w:val="auto"/>
                <w:kern w:val="0"/>
                <w:sz w:val="24"/>
                <w:szCs w:val="24"/>
                <w:lang w:val="en-US" w:eastAsia="zh-CN" w:bidi="ar"/>
              </w:rPr>
              <w:t>，48.9m</w:t>
            </w:r>
            <w:r>
              <w:rPr>
                <w:rFonts w:hint="eastAsia" w:cs="Times New Roman"/>
                <w:b w:val="0"/>
                <w:bCs w:val="0"/>
                <w:color w:val="auto"/>
                <w:kern w:val="0"/>
                <w:sz w:val="24"/>
                <w:szCs w:val="24"/>
                <w:vertAlign w:val="superscript"/>
                <w:lang w:val="en-US" w:eastAsia="zh-CN" w:bidi="ar"/>
              </w:rPr>
              <w:t>3</w:t>
            </w:r>
            <w:r>
              <w:rPr>
                <w:rFonts w:hint="eastAsia" w:cs="Times New Roman"/>
                <w:b w:val="0"/>
                <w:bCs w:val="0"/>
                <w:color w:val="auto"/>
                <w:kern w:val="0"/>
                <w:sz w:val="24"/>
                <w:szCs w:val="24"/>
                <w:lang w:val="en-US" w:eastAsia="zh-CN" w:bidi="ar"/>
              </w:rPr>
              <w:t>/d，其中10%水不能被吸收产生多余养护水为4.89m</w:t>
            </w:r>
            <w:r>
              <w:rPr>
                <w:rFonts w:hint="eastAsia" w:cs="Times New Roman"/>
                <w:b w:val="0"/>
                <w:bCs w:val="0"/>
                <w:color w:val="auto"/>
                <w:kern w:val="0"/>
                <w:sz w:val="24"/>
                <w:szCs w:val="24"/>
                <w:vertAlign w:val="superscript"/>
                <w:lang w:val="en-US" w:eastAsia="zh-CN" w:bidi="ar"/>
              </w:rPr>
              <w:t>3</w:t>
            </w:r>
            <w:r>
              <w:rPr>
                <w:rFonts w:hint="eastAsia" w:cs="Times New Roman"/>
                <w:b w:val="0"/>
                <w:bCs w:val="0"/>
                <w:color w:val="auto"/>
                <w:kern w:val="0"/>
                <w:sz w:val="24"/>
                <w:szCs w:val="24"/>
                <w:lang w:val="en-US" w:eastAsia="zh-CN" w:bidi="ar"/>
              </w:rPr>
              <w:t>/d。</w:t>
            </w:r>
            <w:r>
              <w:rPr>
                <w:rFonts w:hint="eastAsia"/>
                <w:color w:val="auto"/>
                <w:lang w:val="en-US" w:eastAsia="zh-CN"/>
              </w:rPr>
              <w:t>本项目混凝土养护废水收集池利用在施工段下游设置的容积为5m</w:t>
            </w:r>
            <w:r>
              <w:rPr>
                <w:rFonts w:hint="eastAsia"/>
                <w:color w:val="auto"/>
                <w:vertAlign w:val="superscript"/>
                <w:lang w:val="en-US" w:eastAsia="zh-CN"/>
              </w:rPr>
              <w:t>3</w:t>
            </w:r>
            <w:r>
              <w:rPr>
                <w:rFonts w:hint="eastAsia"/>
                <w:color w:val="auto"/>
                <w:lang w:val="en-US" w:eastAsia="zh-CN"/>
              </w:rPr>
              <w:t>的临时沉砂池，对混凝</w:t>
            </w:r>
            <w:r>
              <w:rPr>
                <w:rFonts w:hint="eastAsia"/>
                <w:lang w:val="en-US" w:eastAsia="zh-CN"/>
              </w:rPr>
              <w:t>土养护产生的废水进行收集沉淀后回用于项目区洒水。</w:t>
            </w:r>
          </w:p>
          <w:p w14:paraId="79ADBE6D">
            <w:pPr>
              <w:numPr>
                <w:ilvl w:val="0"/>
                <w:numId w:val="32"/>
              </w:numPr>
              <w:bidi w:val="0"/>
              <w:ind w:left="0" w:leftChars="0" w:firstLine="482" w:firstLineChars="200"/>
              <w:rPr>
                <w:rFonts w:hint="eastAsia"/>
                <w:b/>
                <w:bCs/>
                <w:lang w:val="en-US" w:eastAsia="zh-CN"/>
              </w:rPr>
            </w:pPr>
            <w:r>
              <w:rPr>
                <w:rFonts w:hint="eastAsia"/>
                <w:b/>
                <w:bCs/>
                <w:lang w:val="en-US" w:eastAsia="zh-CN"/>
              </w:rPr>
              <w:t>施工人员生活污水影响分析</w:t>
            </w:r>
          </w:p>
          <w:p w14:paraId="54BFB875">
            <w:pPr>
              <w:numPr>
                <w:ilvl w:val="0"/>
                <w:numId w:val="0"/>
              </w:numPr>
              <w:bidi w:val="0"/>
              <w:ind w:firstLine="480" w:firstLineChars="200"/>
              <w:rPr>
                <w:rFonts w:hint="eastAsia"/>
                <w:lang w:val="en-US" w:eastAsia="zh-CN"/>
              </w:rPr>
            </w:pPr>
            <w:r>
              <w:rPr>
                <w:rFonts w:hint="eastAsia"/>
                <w:lang w:val="en-US" w:eastAsia="zh-CN"/>
              </w:rPr>
              <w:t>施工期间，施工人员依托项目周边厕所，故不产生施工生活污水，不会对河流水质产生不利影响。</w:t>
            </w:r>
          </w:p>
          <w:p w14:paraId="4404C2F6">
            <w:pPr>
              <w:numPr>
                <w:ilvl w:val="0"/>
                <w:numId w:val="32"/>
              </w:numPr>
              <w:bidi w:val="0"/>
              <w:ind w:left="0" w:leftChars="0" w:firstLine="482" w:firstLineChars="200"/>
              <w:rPr>
                <w:rFonts w:hint="eastAsia"/>
                <w:b/>
                <w:bCs/>
                <w:lang w:val="en-US" w:eastAsia="zh-CN"/>
              </w:rPr>
            </w:pPr>
            <w:r>
              <w:rPr>
                <w:rFonts w:hint="eastAsia"/>
                <w:b/>
                <w:bCs/>
                <w:lang w:val="en-US" w:eastAsia="zh-CN"/>
              </w:rPr>
              <w:t>地表雨水影响分析</w:t>
            </w:r>
          </w:p>
          <w:p w14:paraId="6E5781C1">
            <w:pPr>
              <w:numPr>
                <w:ilvl w:val="0"/>
                <w:numId w:val="0"/>
              </w:numPr>
              <w:bidi w:val="0"/>
              <w:ind w:firstLine="480" w:firstLineChars="200"/>
              <w:rPr>
                <w:rFonts w:hint="eastAsia"/>
                <w:lang w:val="en-US" w:eastAsia="zh-CN"/>
              </w:rPr>
            </w:pPr>
            <w:r>
              <w:rPr>
                <w:rFonts w:hint="default"/>
                <w:lang w:val="en-US" w:eastAsia="zh-CN"/>
              </w:rPr>
              <w:t>项目在施工期间如果遇到雨天，会产生雨水地表径流。雨水地表径流会冲刷浮土、建筑砂石、垃圾、废弃土石方等产生高浊度污水，夹带大量泥沙，雨水的主要污染物为SS，为了降低地表径流的污染程度，尽量避免雨季土石方施工，暴雨期间停止施工。地表径流中的泥沙沉降时间按照30min 计，项目在施工场地内设置临时沉砂池来处理冲刷雨水</w:t>
            </w:r>
            <w:r>
              <w:rPr>
                <w:rFonts w:hint="eastAsia"/>
                <w:lang w:val="en-US" w:eastAsia="zh-CN"/>
              </w:rPr>
              <w:t>，经沉砂池收集处理后回用于项目洒水降尘，不外排。</w:t>
            </w:r>
          </w:p>
          <w:p w14:paraId="2A93BB39">
            <w:pPr>
              <w:numPr>
                <w:ilvl w:val="0"/>
                <w:numId w:val="32"/>
              </w:numPr>
              <w:bidi w:val="0"/>
              <w:ind w:left="0" w:leftChars="0" w:firstLine="482" w:firstLineChars="200"/>
              <w:rPr>
                <w:rFonts w:hint="eastAsia"/>
                <w:b/>
                <w:bCs/>
                <w:color w:val="FF0000"/>
                <w:lang w:val="en-US" w:eastAsia="zh-CN"/>
              </w:rPr>
            </w:pPr>
            <w:r>
              <w:rPr>
                <w:rFonts w:hint="eastAsia"/>
                <w:b/>
                <w:bCs/>
                <w:color w:val="FF0000"/>
                <w:lang w:val="en-US" w:eastAsia="zh-CN"/>
              </w:rPr>
              <w:t>芒市大河影响分析</w:t>
            </w:r>
          </w:p>
          <w:p w14:paraId="4D8AC5B3">
            <w:pPr>
              <w:numPr>
                <w:ilvl w:val="0"/>
                <w:numId w:val="0"/>
              </w:numPr>
              <w:bidi w:val="0"/>
              <w:ind w:firstLine="480" w:firstLineChars="200"/>
              <w:rPr>
                <w:rFonts w:hint="default"/>
                <w:color w:val="FF0000"/>
                <w:lang w:val="en-US" w:eastAsia="zh-CN"/>
              </w:rPr>
            </w:pPr>
            <w:r>
              <w:rPr>
                <w:rFonts w:hint="eastAsia"/>
                <w:color w:val="FF0000"/>
                <w:lang w:val="en-US" w:eastAsia="zh-CN"/>
              </w:rPr>
              <w:t>芒市大河与本项目最近距离为100m，施工产生的废水、泥浆经临时沉砂池收集沉淀后回用于项目洒水降尘，不外排，不会流入芒市大河；施工产生的垃圾及时处理，从河道里打捞上来的淤泥用编织袋捆装，待水分浸出用于回填，不会对芒市大河水质产生影响，且施工过程中加强管理，项目施工期对芒市大河的影响不大。</w:t>
            </w:r>
          </w:p>
          <w:p w14:paraId="302003C1">
            <w:pPr>
              <w:snapToGrid w:val="0"/>
              <w:spacing w:line="360" w:lineRule="auto"/>
              <w:ind w:firstLine="470" w:firstLineChars="196"/>
              <w:rPr>
                <w:rFonts w:hint="default"/>
                <w:lang w:val="en-US" w:eastAsia="zh-CN"/>
              </w:rPr>
            </w:pPr>
            <w:r>
              <w:rPr>
                <w:rFonts w:hint="eastAsia"/>
                <w:lang w:val="en-US" w:eastAsia="zh-CN"/>
              </w:rPr>
              <w:t>综上所述，项目</w:t>
            </w:r>
            <w:r>
              <w:rPr>
                <w:rFonts w:hint="eastAsia" w:cs="Times New Roman"/>
                <w:color w:val="auto"/>
                <w:sz w:val="24"/>
                <w:highlight w:val="none"/>
                <w:lang w:val="en-US" w:eastAsia="zh-CN"/>
              </w:rPr>
              <w:t>产生的施工废水经沉砂池收集沉淀后回用于场地洒水降尘，不外排，不产生施工生活污水，对环境产生的影响不大，</w:t>
            </w:r>
            <w:r>
              <w:rPr>
                <w:rFonts w:hint="default" w:ascii="Times New Roman" w:hAnsi="Times New Roman" w:cs="Times New Roman"/>
                <w:color w:val="auto"/>
                <w:sz w:val="24"/>
                <w:highlight w:val="none"/>
              </w:rPr>
              <w:t>其影响随施工活动的结束而消失。</w:t>
            </w:r>
          </w:p>
          <w:p w14:paraId="74507E17">
            <w:pPr>
              <w:numPr>
                <w:ilvl w:val="0"/>
                <w:numId w:val="30"/>
              </w:numPr>
              <w:bidi w:val="0"/>
              <w:ind w:left="0" w:leftChars="0" w:firstLine="0" w:firstLineChars="0"/>
              <w:rPr>
                <w:rFonts w:hint="eastAsia"/>
                <w:b/>
                <w:bCs/>
                <w:lang w:val="en-US" w:eastAsia="zh-CN"/>
              </w:rPr>
            </w:pPr>
            <w:r>
              <w:rPr>
                <w:rFonts w:hint="eastAsia"/>
                <w:b/>
                <w:bCs/>
                <w:lang w:val="en-US" w:eastAsia="zh-CN"/>
              </w:rPr>
              <w:t>声环境的影响分析</w:t>
            </w:r>
          </w:p>
          <w:p w14:paraId="01F6551C">
            <w:pPr>
              <w:numPr>
                <w:ilvl w:val="0"/>
                <w:numId w:val="33"/>
              </w:numPr>
              <w:bidi w:val="0"/>
              <w:ind w:leftChars="0" w:firstLine="482" w:firstLineChars="200"/>
              <w:rPr>
                <w:rFonts w:hint="eastAsia"/>
                <w:b/>
                <w:bCs/>
                <w:lang w:val="en-US" w:eastAsia="zh-CN"/>
              </w:rPr>
            </w:pPr>
            <w:r>
              <w:rPr>
                <w:rFonts w:hint="eastAsia"/>
                <w:b/>
                <w:bCs/>
                <w:lang w:val="en-US" w:eastAsia="zh-CN"/>
              </w:rPr>
              <w:t>噪声源及源强</w:t>
            </w:r>
          </w:p>
          <w:p w14:paraId="75FB0862">
            <w:pPr>
              <w:numPr>
                <w:ilvl w:val="0"/>
                <w:numId w:val="0"/>
              </w:numPr>
              <w:bidi w:val="0"/>
              <w:ind w:firstLine="480" w:firstLineChars="200"/>
              <w:rPr>
                <w:rFonts w:hint="default"/>
                <w:lang w:val="en-US" w:eastAsia="zh-CN"/>
              </w:rPr>
            </w:pPr>
            <w:r>
              <w:rPr>
                <w:rFonts w:hint="default"/>
                <w:lang w:val="en-US" w:eastAsia="zh-CN"/>
              </w:rPr>
              <w:t>施工期主要噪声来源是各类施工机械噪声和运输车辆，其中施工机械包括挖掘机等，运输车辆多为运输车和混凝土搅拌车，主要噪声源强为75-110 dB（A），均超过《建筑施工场界环境噪声排放标准》（GB12523-2011）的要求。在多台机械设备同时作业时，各台设备产生的噪声会产生叠加，根据类比调查，叠加后的噪声增值约为3-8dB。</w:t>
            </w:r>
          </w:p>
          <w:p w14:paraId="299B4E71">
            <w:pPr>
              <w:numPr>
                <w:ilvl w:val="0"/>
                <w:numId w:val="33"/>
              </w:numPr>
              <w:bidi w:val="0"/>
              <w:ind w:left="0" w:leftChars="0" w:firstLine="482" w:firstLineChars="200"/>
              <w:rPr>
                <w:rFonts w:hint="eastAsia"/>
                <w:b/>
                <w:bCs/>
                <w:lang w:val="en-US" w:eastAsia="zh-CN"/>
              </w:rPr>
            </w:pPr>
            <w:r>
              <w:rPr>
                <w:rFonts w:hint="eastAsia"/>
                <w:b/>
                <w:bCs/>
                <w:lang w:val="en-US" w:eastAsia="zh-CN"/>
              </w:rPr>
              <w:t>施工噪声预测分析</w:t>
            </w:r>
          </w:p>
          <w:p w14:paraId="7D8D4E87">
            <w:pPr>
              <w:numPr>
                <w:ilvl w:val="0"/>
                <w:numId w:val="0"/>
              </w:numPr>
              <w:bidi w:val="0"/>
              <w:ind w:firstLine="480" w:firstLineChars="200"/>
              <w:rPr>
                <w:rFonts w:hint="default"/>
                <w:lang w:val="en-US" w:eastAsia="zh-CN"/>
              </w:rPr>
            </w:pPr>
            <w:r>
              <w:rPr>
                <w:rFonts w:hint="eastAsia"/>
                <w:lang w:val="en-US" w:eastAsia="zh-CN"/>
              </w:rPr>
              <w:t>（1）</w:t>
            </w:r>
            <w:r>
              <w:rPr>
                <w:rFonts w:hint="default"/>
                <w:lang w:val="en-US" w:eastAsia="zh-CN"/>
              </w:rPr>
              <w:t>噪声源及源强</w:t>
            </w:r>
          </w:p>
          <w:p w14:paraId="030E9BF0">
            <w:pPr>
              <w:numPr>
                <w:ilvl w:val="0"/>
                <w:numId w:val="0"/>
              </w:numPr>
              <w:bidi w:val="0"/>
              <w:ind w:firstLine="480" w:firstLineChars="200"/>
              <w:rPr>
                <w:rFonts w:hint="default"/>
                <w:lang w:val="en-US" w:eastAsia="zh-CN"/>
              </w:rPr>
            </w:pPr>
            <w:r>
              <w:rPr>
                <w:rFonts w:hint="default"/>
                <w:lang w:val="en-US" w:eastAsia="zh-CN"/>
              </w:rPr>
              <w:t>建筑施工全过程根据作业性质一般可分为以下几个阶段：</w:t>
            </w:r>
          </w:p>
          <w:p w14:paraId="4FDEBD49">
            <w:pPr>
              <w:numPr>
                <w:ilvl w:val="0"/>
                <w:numId w:val="0"/>
              </w:numPr>
              <w:bidi w:val="0"/>
              <w:ind w:firstLine="480" w:firstLineChars="200"/>
              <w:rPr>
                <w:rFonts w:hint="default"/>
                <w:lang w:val="en-US" w:eastAsia="zh-CN"/>
              </w:rPr>
            </w:pPr>
            <w:r>
              <w:rPr>
                <w:rFonts w:hint="default"/>
                <w:lang w:val="en-US" w:eastAsia="zh-CN"/>
              </w:rPr>
              <w:t>清理场地阶段：包括清理树木、清除垃圾等；</w:t>
            </w:r>
          </w:p>
          <w:p w14:paraId="2EFC6A33">
            <w:pPr>
              <w:numPr>
                <w:ilvl w:val="0"/>
                <w:numId w:val="0"/>
              </w:numPr>
              <w:bidi w:val="0"/>
              <w:ind w:firstLine="480" w:firstLineChars="200"/>
              <w:rPr>
                <w:rFonts w:hint="default"/>
                <w:lang w:val="en-US" w:eastAsia="zh-CN"/>
              </w:rPr>
            </w:pPr>
            <w:r>
              <w:rPr>
                <w:rFonts w:hint="default"/>
                <w:lang w:val="en-US" w:eastAsia="zh-CN"/>
              </w:rPr>
              <w:t>土石方阶段：包括挖掘土方石方等；</w:t>
            </w:r>
          </w:p>
          <w:p w14:paraId="1EEC4597">
            <w:pPr>
              <w:numPr>
                <w:ilvl w:val="0"/>
                <w:numId w:val="0"/>
              </w:numPr>
              <w:bidi w:val="0"/>
              <w:ind w:firstLine="480" w:firstLineChars="200"/>
              <w:rPr>
                <w:rFonts w:hint="default"/>
                <w:lang w:val="en-US" w:eastAsia="zh-CN"/>
              </w:rPr>
            </w:pPr>
            <w:r>
              <w:rPr>
                <w:rFonts w:hint="default"/>
                <w:lang w:val="en-US" w:eastAsia="zh-CN"/>
              </w:rPr>
              <w:t>基础工程阶段：包括砌筑基础等；</w:t>
            </w:r>
          </w:p>
          <w:p w14:paraId="6A6E2DD9">
            <w:pPr>
              <w:numPr>
                <w:ilvl w:val="0"/>
                <w:numId w:val="0"/>
              </w:numPr>
              <w:bidi w:val="0"/>
              <w:ind w:firstLine="480" w:firstLineChars="200"/>
              <w:rPr>
                <w:rFonts w:hint="default"/>
                <w:lang w:val="en-US" w:eastAsia="zh-CN"/>
              </w:rPr>
            </w:pPr>
            <w:r>
              <w:rPr>
                <w:rFonts w:hint="default"/>
                <w:lang w:val="en-US" w:eastAsia="zh-CN"/>
              </w:rPr>
              <w:t>主体工程阶段：包括钢筋、混凝土工程，砌体工程等；</w:t>
            </w:r>
          </w:p>
          <w:p w14:paraId="2678587F">
            <w:pPr>
              <w:numPr>
                <w:ilvl w:val="0"/>
                <w:numId w:val="0"/>
              </w:numPr>
              <w:bidi w:val="0"/>
              <w:ind w:firstLine="480" w:firstLineChars="200"/>
              <w:rPr>
                <w:rFonts w:hint="default"/>
                <w:lang w:val="en-US" w:eastAsia="zh-CN"/>
              </w:rPr>
            </w:pPr>
            <w:r>
              <w:rPr>
                <w:rFonts w:hint="default"/>
                <w:lang w:val="en-US" w:eastAsia="zh-CN"/>
              </w:rPr>
              <w:t>扫尾工程：包括回填土方、绿化恢复、清理现场等。</w:t>
            </w:r>
          </w:p>
          <w:p w14:paraId="0547DB1F">
            <w:pPr>
              <w:numPr>
                <w:ilvl w:val="0"/>
                <w:numId w:val="0"/>
              </w:numPr>
              <w:bidi w:val="0"/>
              <w:ind w:firstLine="480" w:firstLineChars="200"/>
              <w:rPr>
                <w:rFonts w:hint="eastAsia"/>
                <w:lang w:val="en-US" w:eastAsia="zh-CN"/>
              </w:rPr>
            </w:pPr>
            <w:r>
              <w:rPr>
                <w:rFonts w:hint="default"/>
                <w:lang w:val="en-US" w:eastAsia="zh-CN"/>
              </w:rPr>
              <w:t>据调查，施工常用机械设备有：混凝土输送泵、振捣机、电焊机、电锯、电钻、装载车辆等</w:t>
            </w:r>
            <w:r>
              <w:rPr>
                <w:rFonts w:hint="eastAsia"/>
                <w:lang w:val="en-US" w:eastAsia="zh-CN"/>
              </w:rPr>
              <w:t>。</w:t>
            </w:r>
          </w:p>
          <w:p w14:paraId="41C2D992">
            <w:pPr>
              <w:autoSpaceDE w:val="0"/>
              <w:autoSpaceDN w:val="0"/>
              <w:spacing w:line="360" w:lineRule="auto"/>
              <w:ind w:firstLine="482" w:firstLineChars="200"/>
              <w:jc w:val="center"/>
              <w:rPr>
                <w:rFonts w:hint="eastAsia" w:eastAsia="宋体"/>
                <w:b/>
                <w:bCs/>
                <w:lang w:val="en-US" w:eastAsia="zh-CN"/>
              </w:rPr>
            </w:pPr>
            <w:r>
              <w:rPr>
                <w:rFonts w:hint="eastAsia"/>
                <w:b/>
                <w:bCs/>
                <w:lang w:val="en-US" w:eastAsia="zh-CN"/>
              </w:rPr>
              <w:t xml:space="preserve">表7-1 </w:t>
            </w:r>
            <w:r>
              <w:rPr>
                <w:rFonts w:hint="default"/>
                <w:b/>
                <w:bCs/>
              </w:rPr>
              <w:t>施工期噪声排污源强一览表</w:t>
            </w:r>
            <w:r>
              <w:rPr>
                <w:rFonts w:hint="eastAsia"/>
                <w:b/>
                <w:bCs/>
                <w:lang w:eastAsia="zh-CN"/>
              </w:rPr>
              <w:t>（</w:t>
            </w:r>
            <w:r>
              <w:rPr>
                <w:rFonts w:hint="eastAsia"/>
                <w:b/>
                <w:bCs/>
                <w:lang w:val="en-US" w:eastAsia="zh-CN"/>
              </w:rPr>
              <w:t>距离1m处</w:t>
            </w:r>
            <w:r>
              <w:rPr>
                <w:rFonts w:hint="eastAsia"/>
                <w:b/>
                <w:bCs/>
                <w:lang w:eastAsia="zh-CN"/>
              </w:rPr>
              <w:t>）</w:t>
            </w:r>
          </w:p>
          <w:tbl>
            <w:tblPr>
              <w:tblStyle w:val="10"/>
              <w:tblW w:w="8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4"/>
              <w:gridCol w:w="2784"/>
              <w:gridCol w:w="2786"/>
            </w:tblGrid>
            <w:tr w14:paraId="5D672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784" w:type="dxa"/>
                  <w:vAlign w:val="center"/>
                </w:tcPr>
                <w:p w14:paraId="7ACD69E6">
                  <w:pPr>
                    <w:keepNext w:val="0"/>
                    <w:keepLines w:val="0"/>
                    <w:widowControl/>
                    <w:numPr>
                      <w:ilvl w:val="0"/>
                      <w:numId w:val="0"/>
                    </w:numPr>
                    <w:suppressLineNumbers w:val="0"/>
                    <w:spacing w:line="240" w:lineRule="auto"/>
                    <w:jc w:val="center"/>
                    <w:rPr>
                      <w:rFonts w:hint="default"/>
                      <w:lang w:val="en-US" w:eastAsia="zh-CN"/>
                    </w:rPr>
                  </w:pPr>
                  <w:r>
                    <w:rPr>
                      <w:rFonts w:hint="default"/>
                      <w:lang w:val="en-US" w:eastAsia="zh-CN"/>
                    </w:rPr>
                    <w:t>施工阶段</w:t>
                  </w:r>
                </w:p>
              </w:tc>
              <w:tc>
                <w:tcPr>
                  <w:tcW w:w="2784" w:type="dxa"/>
                  <w:vAlign w:val="center"/>
                </w:tcPr>
                <w:p w14:paraId="5FDBF4EC">
                  <w:pPr>
                    <w:keepNext w:val="0"/>
                    <w:keepLines w:val="0"/>
                    <w:widowControl/>
                    <w:numPr>
                      <w:ilvl w:val="0"/>
                      <w:numId w:val="0"/>
                    </w:numPr>
                    <w:suppressLineNumbers w:val="0"/>
                    <w:spacing w:line="240" w:lineRule="auto"/>
                    <w:jc w:val="center"/>
                    <w:rPr>
                      <w:rFonts w:hint="default"/>
                      <w:lang w:val="en-US" w:eastAsia="zh-CN"/>
                    </w:rPr>
                  </w:pPr>
                  <w:r>
                    <w:rPr>
                      <w:rFonts w:hint="default"/>
                      <w:lang w:val="en-US" w:eastAsia="zh-CN"/>
                    </w:rPr>
                    <w:t>机械名称</w:t>
                  </w:r>
                </w:p>
              </w:tc>
              <w:tc>
                <w:tcPr>
                  <w:tcW w:w="2786" w:type="dxa"/>
                  <w:vAlign w:val="center"/>
                </w:tcPr>
                <w:p w14:paraId="3E42C756">
                  <w:pPr>
                    <w:keepNext w:val="0"/>
                    <w:keepLines w:val="0"/>
                    <w:widowControl/>
                    <w:numPr>
                      <w:ilvl w:val="0"/>
                      <w:numId w:val="0"/>
                    </w:numPr>
                    <w:suppressLineNumbers w:val="0"/>
                    <w:spacing w:line="240" w:lineRule="auto"/>
                    <w:jc w:val="center"/>
                    <w:rPr>
                      <w:rFonts w:hint="default"/>
                      <w:lang w:val="en-US" w:eastAsia="zh-CN"/>
                    </w:rPr>
                  </w:pPr>
                  <w:r>
                    <w:rPr>
                      <w:rFonts w:hint="default"/>
                      <w:lang w:val="en-US" w:eastAsia="zh-CN"/>
                    </w:rPr>
                    <w:t>噪声强度dB（A）</w:t>
                  </w:r>
                </w:p>
              </w:tc>
            </w:tr>
            <w:tr w14:paraId="53D3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4" w:type="dxa"/>
                  <w:vMerge w:val="restart"/>
                  <w:vAlign w:val="center"/>
                </w:tcPr>
                <w:p w14:paraId="1388C20C">
                  <w:pPr>
                    <w:keepNext w:val="0"/>
                    <w:keepLines w:val="0"/>
                    <w:widowControl/>
                    <w:numPr>
                      <w:ilvl w:val="0"/>
                      <w:numId w:val="0"/>
                    </w:numPr>
                    <w:suppressLineNumbers w:val="0"/>
                    <w:spacing w:line="240" w:lineRule="auto"/>
                    <w:jc w:val="center"/>
                    <w:rPr>
                      <w:rFonts w:hint="default"/>
                      <w:lang w:val="en-US" w:eastAsia="zh-CN"/>
                    </w:rPr>
                  </w:pPr>
                  <w:r>
                    <w:rPr>
                      <w:rFonts w:hint="default"/>
                      <w:lang w:val="en-US" w:eastAsia="zh-CN"/>
                    </w:rPr>
                    <w:t>基础阶段</w:t>
                  </w:r>
                </w:p>
              </w:tc>
              <w:tc>
                <w:tcPr>
                  <w:tcW w:w="2784" w:type="dxa"/>
                  <w:vAlign w:val="center"/>
                </w:tcPr>
                <w:p w14:paraId="4D890E25">
                  <w:pPr>
                    <w:keepNext w:val="0"/>
                    <w:keepLines w:val="0"/>
                    <w:widowControl/>
                    <w:numPr>
                      <w:ilvl w:val="0"/>
                      <w:numId w:val="0"/>
                    </w:numPr>
                    <w:suppressLineNumbers w:val="0"/>
                    <w:spacing w:line="240" w:lineRule="auto"/>
                    <w:jc w:val="center"/>
                    <w:rPr>
                      <w:rFonts w:hint="default"/>
                      <w:lang w:val="en-US" w:eastAsia="zh-CN"/>
                    </w:rPr>
                  </w:pPr>
                  <w:r>
                    <w:rPr>
                      <w:rFonts w:hint="default"/>
                      <w:lang w:val="en-US" w:eastAsia="zh-CN"/>
                    </w:rPr>
                    <w:t>挖土机</w:t>
                  </w:r>
                </w:p>
              </w:tc>
              <w:tc>
                <w:tcPr>
                  <w:tcW w:w="2786" w:type="dxa"/>
                  <w:vAlign w:val="center"/>
                </w:tcPr>
                <w:p w14:paraId="3CF53BA8">
                  <w:pPr>
                    <w:keepNext w:val="0"/>
                    <w:keepLines w:val="0"/>
                    <w:widowControl/>
                    <w:numPr>
                      <w:ilvl w:val="0"/>
                      <w:numId w:val="0"/>
                    </w:numPr>
                    <w:suppressLineNumbers w:val="0"/>
                    <w:spacing w:line="240" w:lineRule="auto"/>
                    <w:jc w:val="center"/>
                    <w:rPr>
                      <w:rFonts w:hint="default"/>
                      <w:lang w:val="en-US" w:eastAsia="zh-CN"/>
                    </w:rPr>
                  </w:pPr>
                  <w:r>
                    <w:rPr>
                      <w:rFonts w:hint="default"/>
                      <w:lang w:val="en-US" w:eastAsia="zh-CN"/>
                    </w:rPr>
                    <w:t>80</w:t>
                  </w:r>
                </w:p>
              </w:tc>
            </w:tr>
            <w:tr w14:paraId="72091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4" w:type="dxa"/>
                  <w:vMerge w:val="continue"/>
                  <w:vAlign w:val="center"/>
                </w:tcPr>
                <w:p w14:paraId="4870AEE6">
                  <w:pPr>
                    <w:keepNext w:val="0"/>
                    <w:keepLines w:val="0"/>
                    <w:widowControl/>
                    <w:numPr>
                      <w:ilvl w:val="0"/>
                      <w:numId w:val="0"/>
                    </w:numPr>
                    <w:suppressLineNumbers w:val="0"/>
                    <w:spacing w:line="240" w:lineRule="auto"/>
                    <w:jc w:val="center"/>
                    <w:rPr>
                      <w:rFonts w:hint="default"/>
                      <w:lang w:val="en-US" w:eastAsia="zh-CN"/>
                    </w:rPr>
                  </w:pPr>
                </w:p>
              </w:tc>
              <w:tc>
                <w:tcPr>
                  <w:tcW w:w="2784" w:type="dxa"/>
                  <w:vAlign w:val="center"/>
                </w:tcPr>
                <w:p w14:paraId="6EA72B7A">
                  <w:pPr>
                    <w:keepNext w:val="0"/>
                    <w:keepLines w:val="0"/>
                    <w:widowControl/>
                    <w:numPr>
                      <w:ilvl w:val="0"/>
                      <w:numId w:val="0"/>
                    </w:numPr>
                    <w:suppressLineNumbers w:val="0"/>
                    <w:spacing w:line="240" w:lineRule="auto"/>
                    <w:jc w:val="center"/>
                    <w:rPr>
                      <w:rFonts w:hint="default"/>
                      <w:lang w:val="en-US" w:eastAsia="zh-CN"/>
                    </w:rPr>
                  </w:pPr>
                  <w:r>
                    <w:rPr>
                      <w:rFonts w:hint="default"/>
                      <w:lang w:val="en-US" w:eastAsia="zh-CN"/>
                    </w:rPr>
                    <w:t>打桩机</w:t>
                  </w:r>
                </w:p>
              </w:tc>
              <w:tc>
                <w:tcPr>
                  <w:tcW w:w="2786" w:type="dxa"/>
                  <w:vAlign w:val="center"/>
                </w:tcPr>
                <w:p w14:paraId="0CC89371">
                  <w:pPr>
                    <w:keepNext w:val="0"/>
                    <w:keepLines w:val="0"/>
                    <w:widowControl/>
                    <w:numPr>
                      <w:ilvl w:val="0"/>
                      <w:numId w:val="0"/>
                    </w:numPr>
                    <w:suppressLineNumbers w:val="0"/>
                    <w:spacing w:line="240" w:lineRule="auto"/>
                    <w:jc w:val="center"/>
                    <w:rPr>
                      <w:rFonts w:hint="default"/>
                      <w:lang w:val="en-US" w:eastAsia="zh-CN"/>
                    </w:rPr>
                  </w:pPr>
                  <w:r>
                    <w:rPr>
                      <w:rFonts w:hint="default"/>
                      <w:lang w:val="en-US" w:eastAsia="zh-CN"/>
                    </w:rPr>
                    <w:t>79</w:t>
                  </w:r>
                </w:p>
              </w:tc>
            </w:tr>
            <w:tr w14:paraId="161A4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4" w:type="dxa"/>
                  <w:vMerge w:val="continue"/>
                  <w:vAlign w:val="center"/>
                </w:tcPr>
                <w:p w14:paraId="7673084A">
                  <w:pPr>
                    <w:keepNext w:val="0"/>
                    <w:keepLines w:val="0"/>
                    <w:widowControl/>
                    <w:numPr>
                      <w:ilvl w:val="0"/>
                      <w:numId w:val="0"/>
                    </w:numPr>
                    <w:suppressLineNumbers w:val="0"/>
                    <w:spacing w:line="240" w:lineRule="auto"/>
                    <w:jc w:val="center"/>
                    <w:rPr>
                      <w:rFonts w:hint="default"/>
                      <w:lang w:val="en-US" w:eastAsia="zh-CN"/>
                    </w:rPr>
                  </w:pPr>
                </w:p>
              </w:tc>
              <w:tc>
                <w:tcPr>
                  <w:tcW w:w="2784" w:type="dxa"/>
                  <w:vAlign w:val="center"/>
                </w:tcPr>
                <w:p w14:paraId="0FC81FF1">
                  <w:pPr>
                    <w:keepNext w:val="0"/>
                    <w:keepLines w:val="0"/>
                    <w:widowControl/>
                    <w:numPr>
                      <w:ilvl w:val="0"/>
                      <w:numId w:val="0"/>
                    </w:numPr>
                    <w:suppressLineNumbers w:val="0"/>
                    <w:spacing w:line="240" w:lineRule="auto"/>
                    <w:jc w:val="center"/>
                    <w:rPr>
                      <w:rFonts w:hint="default"/>
                      <w:lang w:val="en-US" w:eastAsia="zh-CN"/>
                    </w:rPr>
                  </w:pPr>
                  <w:r>
                    <w:rPr>
                      <w:rFonts w:hint="default"/>
                      <w:lang w:val="en-US" w:eastAsia="zh-CN"/>
                    </w:rPr>
                    <w:t>载重车</w:t>
                  </w:r>
                </w:p>
              </w:tc>
              <w:tc>
                <w:tcPr>
                  <w:tcW w:w="2786" w:type="dxa"/>
                  <w:vAlign w:val="center"/>
                </w:tcPr>
                <w:p w14:paraId="11BC1B59">
                  <w:pPr>
                    <w:keepNext w:val="0"/>
                    <w:keepLines w:val="0"/>
                    <w:widowControl/>
                    <w:numPr>
                      <w:ilvl w:val="0"/>
                      <w:numId w:val="0"/>
                    </w:numPr>
                    <w:suppressLineNumbers w:val="0"/>
                    <w:spacing w:line="240" w:lineRule="auto"/>
                    <w:jc w:val="center"/>
                    <w:rPr>
                      <w:rFonts w:hint="default"/>
                      <w:lang w:val="en-US" w:eastAsia="zh-CN"/>
                    </w:rPr>
                  </w:pPr>
                  <w:r>
                    <w:rPr>
                      <w:rFonts w:hint="default"/>
                      <w:lang w:val="en-US" w:eastAsia="zh-CN"/>
                    </w:rPr>
                    <w:t>79</w:t>
                  </w:r>
                </w:p>
              </w:tc>
            </w:tr>
            <w:tr w14:paraId="1D4B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4" w:type="dxa"/>
                  <w:vMerge w:val="restart"/>
                  <w:vAlign w:val="center"/>
                </w:tcPr>
                <w:p w14:paraId="1BA0165B">
                  <w:pPr>
                    <w:keepNext w:val="0"/>
                    <w:keepLines w:val="0"/>
                    <w:widowControl/>
                    <w:numPr>
                      <w:ilvl w:val="0"/>
                      <w:numId w:val="0"/>
                    </w:numPr>
                    <w:suppressLineNumbers w:val="0"/>
                    <w:spacing w:line="240" w:lineRule="auto"/>
                    <w:jc w:val="center"/>
                    <w:rPr>
                      <w:rFonts w:hint="default"/>
                      <w:lang w:val="en-US" w:eastAsia="zh-CN"/>
                    </w:rPr>
                  </w:pPr>
                  <w:r>
                    <w:rPr>
                      <w:rFonts w:hint="default"/>
                      <w:lang w:val="en-US" w:eastAsia="zh-CN"/>
                    </w:rPr>
                    <w:t>基础结构阶段</w:t>
                  </w:r>
                </w:p>
              </w:tc>
              <w:tc>
                <w:tcPr>
                  <w:tcW w:w="2784" w:type="dxa"/>
                  <w:vAlign w:val="center"/>
                </w:tcPr>
                <w:p w14:paraId="7ED1E22A">
                  <w:pPr>
                    <w:keepNext w:val="0"/>
                    <w:keepLines w:val="0"/>
                    <w:widowControl/>
                    <w:numPr>
                      <w:ilvl w:val="0"/>
                      <w:numId w:val="0"/>
                    </w:numPr>
                    <w:suppressLineNumbers w:val="0"/>
                    <w:spacing w:line="240" w:lineRule="auto"/>
                    <w:jc w:val="center"/>
                    <w:rPr>
                      <w:rFonts w:hint="default"/>
                      <w:lang w:val="en-US" w:eastAsia="zh-CN"/>
                    </w:rPr>
                  </w:pPr>
                  <w:r>
                    <w:rPr>
                      <w:rFonts w:hint="default"/>
                      <w:lang w:val="en-US" w:eastAsia="zh-CN"/>
                    </w:rPr>
                    <w:t>输送泵</w:t>
                  </w:r>
                </w:p>
              </w:tc>
              <w:tc>
                <w:tcPr>
                  <w:tcW w:w="2786" w:type="dxa"/>
                  <w:vAlign w:val="center"/>
                </w:tcPr>
                <w:p w14:paraId="710F268B">
                  <w:pPr>
                    <w:keepNext w:val="0"/>
                    <w:keepLines w:val="0"/>
                    <w:widowControl/>
                    <w:numPr>
                      <w:ilvl w:val="0"/>
                      <w:numId w:val="0"/>
                    </w:numPr>
                    <w:suppressLineNumbers w:val="0"/>
                    <w:spacing w:line="240" w:lineRule="auto"/>
                    <w:jc w:val="center"/>
                    <w:rPr>
                      <w:rFonts w:hint="default"/>
                      <w:lang w:val="en-US" w:eastAsia="zh-CN"/>
                    </w:rPr>
                  </w:pPr>
                  <w:r>
                    <w:rPr>
                      <w:rFonts w:hint="eastAsia"/>
                      <w:lang w:val="en-US" w:eastAsia="zh-CN"/>
                    </w:rPr>
                    <w:t>88</w:t>
                  </w:r>
                </w:p>
              </w:tc>
            </w:tr>
            <w:tr w14:paraId="4D8C1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4" w:type="dxa"/>
                  <w:vMerge w:val="continue"/>
                  <w:vAlign w:val="center"/>
                </w:tcPr>
                <w:p w14:paraId="010AAB53">
                  <w:pPr>
                    <w:keepNext w:val="0"/>
                    <w:keepLines w:val="0"/>
                    <w:widowControl/>
                    <w:numPr>
                      <w:ilvl w:val="0"/>
                      <w:numId w:val="0"/>
                    </w:numPr>
                    <w:suppressLineNumbers w:val="0"/>
                    <w:spacing w:line="240" w:lineRule="auto"/>
                    <w:jc w:val="center"/>
                    <w:rPr>
                      <w:rFonts w:hint="default"/>
                      <w:lang w:val="en-US" w:eastAsia="zh-CN"/>
                    </w:rPr>
                  </w:pPr>
                </w:p>
              </w:tc>
              <w:tc>
                <w:tcPr>
                  <w:tcW w:w="2784" w:type="dxa"/>
                  <w:vAlign w:val="center"/>
                </w:tcPr>
                <w:p w14:paraId="33D733B5">
                  <w:pPr>
                    <w:keepNext w:val="0"/>
                    <w:keepLines w:val="0"/>
                    <w:widowControl/>
                    <w:numPr>
                      <w:ilvl w:val="0"/>
                      <w:numId w:val="0"/>
                    </w:numPr>
                    <w:suppressLineNumbers w:val="0"/>
                    <w:spacing w:line="240" w:lineRule="auto"/>
                    <w:jc w:val="center"/>
                    <w:rPr>
                      <w:rFonts w:hint="default"/>
                      <w:lang w:val="en-US" w:eastAsia="zh-CN"/>
                    </w:rPr>
                  </w:pPr>
                  <w:r>
                    <w:rPr>
                      <w:rFonts w:hint="default"/>
                      <w:lang w:val="en-US" w:eastAsia="zh-CN"/>
                    </w:rPr>
                    <w:t>振捣器</w:t>
                  </w:r>
                </w:p>
              </w:tc>
              <w:tc>
                <w:tcPr>
                  <w:tcW w:w="2786" w:type="dxa"/>
                  <w:vAlign w:val="center"/>
                </w:tcPr>
                <w:p w14:paraId="75DFFBF8">
                  <w:pPr>
                    <w:keepNext w:val="0"/>
                    <w:keepLines w:val="0"/>
                    <w:widowControl/>
                    <w:numPr>
                      <w:ilvl w:val="0"/>
                      <w:numId w:val="0"/>
                    </w:numPr>
                    <w:suppressLineNumbers w:val="0"/>
                    <w:spacing w:line="240" w:lineRule="auto"/>
                    <w:jc w:val="center"/>
                    <w:rPr>
                      <w:rFonts w:hint="default"/>
                      <w:lang w:val="en-US" w:eastAsia="zh-CN"/>
                    </w:rPr>
                  </w:pPr>
                  <w:r>
                    <w:rPr>
                      <w:rFonts w:hint="eastAsia"/>
                      <w:lang w:val="en-US" w:eastAsia="zh-CN"/>
                    </w:rPr>
                    <w:t>88</w:t>
                  </w:r>
                </w:p>
              </w:tc>
            </w:tr>
            <w:tr w14:paraId="16C84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4" w:type="dxa"/>
                  <w:vMerge w:val="continue"/>
                  <w:vAlign w:val="center"/>
                </w:tcPr>
                <w:p w14:paraId="32031BF6">
                  <w:pPr>
                    <w:keepNext w:val="0"/>
                    <w:keepLines w:val="0"/>
                    <w:widowControl/>
                    <w:numPr>
                      <w:ilvl w:val="0"/>
                      <w:numId w:val="0"/>
                    </w:numPr>
                    <w:suppressLineNumbers w:val="0"/>
                    <w:spacing w:line="240" w:lineRule="auto"/>
                    <w:jc w:val="center"/>
                    <w:rPr>
                      <w:rFonts w:hint="default"/>
                      <w:lang w:val="en-US" w:eastAsia="zh-CN"/>
                    </w:rPr>
                  </w:pPr>
                </w:p>
              </w:tc>
              <w:tc>
                <w:tcPr>
                  <w:tcW w:w="2784" w:type="dxa"/>
                  <w:vAlign w:val="center"/>
                </w:tcPr>
                <w:p w14:paraId="0937E711">
                  <w:pPr>
                    <w:keepNext w:val="0"/>
                    <w:keepLines w:val="0"/>
                    <w:widowControl/>
                    <w:numPr>
                      <w:ilvl w:val="0"/>
                      <w:numId w:val="0"/>
                    </w:numPr>
                    <w:suppressLineNumbers w:val="0"/>
                    <w:spacing w:line="240" w:lineRule="auto"/>
                    <w:jc w:val="center"/>
                    <w:rPr>
                      <w:rFonts w:hint="default"/>
                      <w:lang w:val="en-US" w:eastAsia="zh-CN"/>
                    </w:rPr>
                  </w:pPr>
                  <w:r>
                    <w:rPr>
                      <w:rFonts w:hint="default"/>
                      <w:lang w:val="en-US" w:eastAsia="zh-CN"/>
                    </w:rPr>
                    <w:t>电锯</w:t>
                  </w:r>
                </w:p>
              </w:tc>
              <w:tc>
                <w:tcPr>
                  <w:tcW w:w="2786" w:type="dxa"/>
                  <w:vAlign w:val="center"/>
                </w:tcPr>
                <w:p w14:paraId="7FB44E0A">
                  <w:pPr>
                    <w:keepNext w:val="0"/>
                    <w:keepLines w:val="0"/>
                    <w:widowControl/>
                    <w:numPr>
                      <w:ilvl w:val="0"/>
                      <w:numId w:val="0"/>
                    </w:numPr>
                    <w:suppressLineNumbers w:val="0"/>
                    <w:spacing w:line="240" w:lineRule="auto"/>
                    <w:jc w:val="center"/>
                    <w:rPr>
                      <w:rFonts w:hint="default"/>
                      <w:lang w:val="en-US" w:eastAsia="zh-CN"/>
                    </w:rPr>
                  </w:pPr>
                  <w:r>
                    <w:rPr>
                      <w:rFonts w:hint="default"/>
                      <w:lang w:val="en-US" w:eastAsia="zh-CN"/>
                    </w:rPr>
                    <w:t>85</w:t>
                  </w:r>
                </w:p>
              </w:tc>
            </w:tr>
            <w:tr w14:paraId="6FB45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4" w:type="dxa"/>
                  <w:vMerge w:val="continue"/>
                  <w:vAlign w:val="center"/>
                </w:tcPr>
                <w:p w14:paraId="0B36E77C">
                  <w:pPr>
                    <w:keepNext w:val="0"/>
                    <w:keepLines w:val="0"/>
                    <w:widowControl/>
                    <w:numPr>
                      <w:ilvl w:val="0"/>
                      <w:numId w:val="0"/>
                    </w:numPr>
                    <w:suppressLineNumbers w:val="0"/>
                    <w:spacing w:line="240" w:lineRule="auto"/>
                    <w:jc w:val="center"/>
                    <w:rPr>
                      <w:rFonts w:hint="default"/>
                      <w:lang w:val="en-US" w:eastAsia="zh-CN"/>
                    </w:rPr>
                  </w:pPr>
                </w:p>
              </w:tc>
              <w:tc>
                <w:tcPr>
                  <w:tcW w:w="2784" w:type="dxa"/>
                  <w:vAlign w:val="center"/>
                </w:tcPr>
                <w:p w14:paraId="49ADC87C">
                  <w:pPr>
                    <w:keepNext w:val="0"/>
                    <w:keepLines w:val="0"/>
                    <w:widowControl/>
                    <w:numPr>
                      <w:ilvl w:val="0"/>
                      <w:numId w:val="0"/>
                    </w:numPr>
                    <w:suppressLineNumbers w:val="0"/>
                    <w:spacing w:line="240" w:lineRule="auto"/>
                    <w:jc w:val="center"/>
                    <w:rPr>
                      <w:rFonts w:hint="default"/>
                      <w:lang w:val="en-US" w:eastAsia="zh-CN"/>
                    </w:rPr>
                  </w:pPr>
                  <w:r>
                    <w:rPr>
                      <w:rFonts w:hint="default"/>
                      <w:lang w:val="en-US" w:eastAsia="zh-CN"/>
                    </w:rPr>
                    <w:t>电焊机</w:t>
                  </w:r>
                </w:p>
              </w:tc>
              <w:tc>
                <w:tcPr>
                  <w:tcW w:w="2786" w:type="dxa"/>
                  <w:vAlign w:val="center"/>
                </w:tcPr>
                <w:p w14:paraId="4F033074">
                  <w:pPr>
                    <w:keepNext w:val="0"/>
                    <w:keepLines w:val="0"/>
                    <w:widowControl/>
                    <w:numPr>
                      <w:ilvl w:val="0"/>
                      <w:numId w:val="0"/>
                    </w:numPr>
                    <w:suppressLineNumbers w:val="0"/>
                    <w:spacing w:line="240" w:lineRule="auto"/>
                    <w:jc w:val="center"/>
                    <w:rPr>
                      <w:rFonts w:hint="default"/>
                      <w:lang w:val="en-US" w:eastAsia="zh-CN"/>
                    </w:rPr>
                  </w:pPr>
                  <w:r>
                    <w:rPr>
                      <w:rFonts w:hint="default"/>
                      <w:lang w:val="en-US" w:eastAsia="zh-CN"/>
                    </w:rPr>
                    <w:t>70</w:t>
                  </w:r>
                </w:p>
              </w:tc>
            </w:tr>
            <w:tr w14:paraId="2FED9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4" w:type="dxa"/>
                  <w:vMerge w:val="continue"/>
                  <w:vAlign w:val="center"/>
                </w:tcPr>
                <w:p w14:paraId="7A1EF6F6">
                  <w:pPr>
                    <w:keepNext w:val="0"/>
                    <w:keepLines w:val="0"/>
                    <w:widowControl/>
                    <w:numPr>
                      <w:ilvl w:val="0"/>
                      <w:numId w:val="0"/>
                    </w:numPr>
                    <w:suppressLineNumbers w:val="0"/>
                    <w:spacing w:line="240" w:lineRule="auto"/>
                    <w:jc w:val="center"/>
                    <w:rPr>
                      <w:rFonts w:hint="default"/>
                      <w:lang w:val="en-US" w:eastAsia="zh-CN"/>
                    </w:rPr>
                  </w:pPr>
                </w:p>
              </w:tc>
              <w:tc>
                <w:tcPr>
                  <w:tcW w:w="2784" w:type="dxa"/>
                  <w:vAlign w:val="center"/>
                </w:tcPr>
                <w:p w14:paraId="74052E74">
                  <w:pPr>
                    <w:keepNext w:val="0"/>
                    <w:keepLines w:val="0"/>
                    <w:widowControl/>
                    <w:numPr>
                      <w:ilvl w:val="0"/>
                      <w:numId w:val="0"/>
                    </w:numPr>
                    <w:suppressLineNumbers w:val="0"/>
                    <w:spacing w:line="240" w:lineRule="auto"/>
                    <w:jc w:val="center"/>
                    <w:rPr>
                      <w:rFonts w:hint="default"/>
                      <w:lang w:val="en-US" w:eastAsia="zh-CN"/>
                    </w:rPr>
                  </w:pPr>
                  <w:r>
                    <w:rPr>
                      <w:rFonts w:hint="default"/>
                      <w:lang w:val="en-US" w:eastAsia="zh-CN"/>
                    </w:rPr>
                    <w:t>中型载重车</w:t>
                  </w:r>
                </w:p>
              </w:tc>
              <w:tc>
                <w:tcPr>
                  <w:tcW w:w="2786" w:type="dxa"/>
                  <w:vAlign w:val="center"/>
                </w:tcPr>
                <w:p w14:paraId="3E36017C">
                  <w:pPr>
                    <w:keepNext w:val="0"/>
                    <w:keepLines w:val="0"/>
                    <w:widowControl/>
                    <w:numPr>
                      <w:ilvl w:val="0"/>
                      <w:numId w:val="0"/>
                    </w:numPr>
                    <w:suppressLineNumbers w:val="0"/>
                    <w:spacing w:line="240" w:lineRule="auto"/>
                    <w:jc w:val="center"/>
                    <w:rPr>
                      <w:rFonts w:hint="default"/>
                      <w:lang w:val="en-US" w:eastAsia="zh-CN"/>
                    </w:rPr>
                  </w:pPr>
                  <w:r>
                    <w:rPr>
                      <w:rFonts w:hint="default"/>
                      <w:lang w:val="en-US" w:eastAsia="zh-CN"/>
                    </w:rPr>
                    <w:t>74</w:t>
                  </w:r>
                </w:p>
              </w:tc>
            </w:tr>
            <w:tr w14:paraId="121AB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4" w:type="dxa"/>
                  <w:vMerge w:val="restart"/>
                  <w:vAlign w:val="center"/>
                </w:tcPr>
                <w:p w14:paraId="4E1405B4">
                  <w:pPr>
                    <w:keepNext w:val="0"/>
                    <w:keepLines w:val="0"/>
                    <w:widowControl/>
                    <w:numPr>
                      <w:ilvl w:val="0"/>
                      <w:numId w:val="0"/>
                    </w:numPr>
                    <w:suppressLineNumbers w:val="0"/>
                    <w:spacing w:line="240" w:lineRule="auto"/>
                    <w:jc w:val="center"/>
                    <w:rPr>
                      <w:rFonts w:hint="default"/>
                      <w:lang w:val="en-US" w:eastAsia="zh-CN"/>
                    </w:rPr>
                  </w:pPr>
                  <w:r>
                    <w:rPr>
                      <w:rFonts w:hint="default"/>
                      <w:lang w:val="en-US" w:eastAsia="zh-CN"/>
                    </w:rPr>
                    <w:t>安装阶段</w:t>
                  </w:r>
                </w:p>
              </w:tc>
              <w:tc>
                <w:tcPr>
                  <w:tcW w:w="2784" w:type="dxa"/>
                  <w:vAlign w:val="center"/>
                </w:tcPr>
                <w:p w14:paraId="436B3998">
                  <w:pPr>
                    <w:keepNext w:val="0"/>
                    <w:keepLines w:val="0"/>
                    <w:widowControl/>
                    <w:numPr>
                      <w:ilvl w:val="0"/>
                      <w:numId w:val="0"/>
                    </w:numPr>
                    <w:suppressLineNumbers w:val="0"/>
                    <w:spacing w:line="240" w:lineRule="auto"/>
                    <w:jc w:val="center"/>
                    <w:rPr>
                      <w:rFonts w:hint="default"/>
                      <w:lang w:val="en-US" w:eastAsia="zh-CN"/>
                    </w:rPr>
                  </w:pPr>
                  <w:r>
                    <w:rPr>
                      <w:rFonts w:hint="default"/>
                      <w:lang w:val="en-US" w:eastAsia="zh-CN"/>
                    </w:rPr>
                    <w:t>电钻</w:t>
                  </w:r>
                </w:p>
              </w:tc>
              <w:tc>
                <w:tcPr>
                  <w:tcW w:w="2786" w:type="dxa"/>
                  <w:vAlign w:val="center"/>
                </w:tcPr>
                <w:p w14:paraId="2C1DACF9">
                  <w:pPr>
                    <w:keepNext w:val="0"/>
                    <w:keepLines w:val="0"/>
                    <w:widowControl/>
                    <w:numPr>
                      <w:ilvl w:val="0"/>
                      <w:numId w:val="0"/>
                    </w:numPr>
                    <w:suppressLineNumbers w:val="0"/>
                    <w:spacing w:line="240" w:lineRule="auto"/>
                    <w:jc w:val="center"/>
                    <w:rPr>
                      <w:rFonts w:hint="default"/>
                      <w:lang w:val="en-US" w:eastAsia="zh-CN"/>
                    </w:rPr>
                  </w:pPr>
                  <w:r>
                    <w:rPr>
                      <w:rFonts w:hint="default"/>
                      <w:lang w:val="en-US" w:eastAsia="zh-CN"/>
                    </w:rPr>
                    <w:t>85</w:t>
                  </w:r>
                </w:p>
              </w:tc>
            </w:tr>
            <w:tr w14:paraId="3844E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4" w:type="dxa"/>
                  <w:vMerge w:val="continue"/>
                  <w:vAlign w:val="center"/>
                </w:tcPr>
                <w:p w14:paraId="308C501E">
                  <w:pPr>
                    <w:keepNext w:val="0"/>
                    <w:keepLines w:val="0"/>
                    <w:widowControl/>
                    <w:numPr>
                      <w:ilvl w:val="0"/>
                      <w:numId w:val="0"/>
                    </w:numPr>
                    <w:suppressLineNumbers w:val="0"/>
                    <w:spacing w:line="240" w:lineRule="auto"/>
                    <w:jc w:val="center"/>
                    <w:rPr>
                      <w:rFonts w:hint="default"/>
                      <w:lang w:val="en-US" w:eastAsia="zh-CN"/>
                    </w:rPr>
                  </w:pPr>
                </w:p>
              </w:tc>
              <w:tc>
                <w:tcPr>
                  <w:tcW w:w="2784" w:type="dxa"/>
                  <w:vAlign w:val="center"/>
                </w:tcPr>
                <w:p w14:paraId="4ABF5B61">
                  <w:pPr>
                    <w:keepNext w:val="0"/>
                    <w:keepLines w:val="0"/>
                    <w:widowControl/>
                    <w:numPr>
                      <w:ilvl w:val="0"/>
                      <w:numId w:val="0"/>
                    </w:numPr>
                    <w:suppressLineNumbers w:val="0"/>
                    <w:spacing w:line="240" w:lineRule="auto"/>
                    <w:jc w:val="center"/>
                    <w:rPr>
                      <w:rFonts w:hint="default"/>
                      <w:lang w:val="en-US" w:eastAsia="zh-CN"/>
                    </w:rPr>
                  </w:pPr>
                  <w:r>
                    <w:rPr>
                      <w:rFonts w:hint="default"/>
                      <w:lang w:val="en-US" w:eastAsia="zh-CN"/>
                    </w:rPr>
                    <w:t>手工钻</w:t>
                  </w:r>
                </w:p>
              </w:tc>
              <w:tc>
                <w:tcPr>
                  <w:tcW w:w="2786" w:type="dxa"/>
                  <w:vAlign w:val="center"/>
                </w:tcPr>
                <w:p w14:paraId="55B6C59F">
                  <w:pPr>
                    <w:keepNext w:val="0"/>
                    <w:keepLines w:val="0"/>
                    <w:widowControl/>
                    <w:numPr>
                      <w:ilvl w:val="0"/>
                      <w:numId w:val="0"/>
                    </w:numPr>
                    <w:suppressLineNumbers w:val="0"/>
                    <w:spacing w:line="240" w:lineRule="auto"/>
                    <w:jc w:val="center"/>
                    <w:rPr>
                      <w:rFonts w:hint="default"/>
                      <w:lang w:val="en-US" w:eastAsia="zh-CN"/>
                    </w:rPr>
                  </w:pPr>
                  <w:r>
                    <w:rPr>
                      <w:rFonts w:hint="default"/>
                      <w:lang w:val="en-US" w:eastAsia="zh-CN"/>
                    </w:rPr>
                    <w:t>80</w:t>
                  </w:r>
                </w:p>
              </w:tc>
            </w:tr>
            <w:tr w14:paraId="3EFBA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4" w:type="dxa"/>
                  <w:vMerge w:val="continue"/>
                  <w:vAlign w:val="center"/>
                </w:tcPr>
                <w:p w14:paraId="191CB728">
                  <w:pPr>
                    <w:keepNext w:val="0"/>
                    <w:keepLines w:val="0"/>
                    <w:widowControl/>
                    <w:numPr>
                      <w:ilvl w:val="0"/>
                      <w:numId w:val="0"/>
                    </w:numPr>
                    <w:suppressLineNumbers w:val="0"/>
                    <w:spacing w:line="240" w:lineRule="auto"/>
                    <w:jc w:val="center"/>
                    <w:rPr>
                      <w:rFonts w:hint="default"/>
                      <w:lang w:val="en-US" w:eastAsia="zh-CN"/>
                    </w:rPr>
                  </w:pPr>
                </w:p>
              </w:tc>
              <w:tc>
                <w:tcPr>
                  <w:tcW w:w="2784" w:type="dxa"/>
                  <w:vAlign w:val="center"/>
                </w:tcPr>
                <w:p w14:paraId="5C8DE2DF">
                  <w:pPr>
                    <w:keepNext w:val="0"/>
                    <w:keepLines w:val="0"/>
                    <w:widowControl/>
                    <w:numPr>
                      <w:ilvl w:val="0"/>
                      <w:numId w:val="0"/>
                    </w:numPr>
                    <w:suppressLineNumbers w:val="0"/>
                    <w:spacing w:line="240" w:lineRule="auto"/>
                    <w:jc w:val="center"/>
                    <w:rPr>
                      <w:rFonts w:hint="default"/>
                      <w:lang w:val="en-US" w:eastAsia="zh-CN"/>
                    </w:rPr>
                  </w:pPr>
                  <w:r>
                    <w:rPr>
                      <w:rFonts w:hint="default"/>
                      <w:lang w:val="en-US" w:eastAsia="zh-CN"/>
                    </w:rPr>
                    <w:t>无齿锯</w:t>
                  </w:r>
                </w:p>
              </w:tc>
              <w:tc>
                <w:tcPr>
                  <w:tcW w:w="2786" w:type="dxa"/>
                  <w:vAlign w:val="center"/>
                </w:tcPr>
                <w:p w14:paraId="78B3BFD0">
                  <w:pPr>
                    <w:keepNext w:val="0"/>
                    <w:keepLines w:val="0"/>
                    <w:widowControl/>
                    <w:numPr>
                      <w:ilvl w:val="0"/>
                      <w:numId w:val="0"/>
                    </w:numPr>
                    <w:suppressLineNumbers w:val="0"/>
                    <w:spacing w:line="240" w:lineRule="auto"/>
                    <w:jc w:val="center"/>
                    <w:rPr>
                      <w:rFonts w:hint="default"/>
                      <w:lang w:val="en-US" w:eastAsia="zh-CN"/>
                    </w:rPr>
                  </w:pPr>
                  <w:r>
                    <w:rPr>
                      <w:rFonts w:hint="default"/>
                      <w:lang w:val="en-US" w:eastAsia="zh-CN"/>
                    </w:rPr>
                    <w:t>85</w:t>
                  </w:r>
                </w:p>
              </w:tc>
            </w:tr>
            <w:tr w14:paraId="4D312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4" w:type="dxa"/>
                  <w:vMerge w:val="continue"/>
                  <w:vAlign w:val="center"/>
                </w:tcPr>
                <w:p w14:paraId="7038A3CD">
                  <w:pPr>
                    <w:keepNext w:val="0"/>
                    <w:keepLines w:val="0"/>
                    <w:widowControl/>
                    <w:numPr>
                      <w:ilvl w:val="0"/>
                      <w:numId w:val="0"/>
                    </w:numPr>
                    <w:suppressLineNumbers w:val="0"/>
                    <w:spacing w:line="240" w:lineRule="auto"/>
                    <w:jc w:val="center"/>
                    <w:rPr>
                      <w:rFonts w:hint="default"/>
                      <w:lang w:val="en-US" w:eastAsia="zh-CN"/>
                    </w:rPr>
                  </w:pPr>
                </w:p>
              </w:tc>
              <w:tc>
                <w:tcPr>
                  <w:tcW w:w="2784" w:type="dxa"/>
                  <w:vAlign w:val="center"/>
                </w:tcPr>
                <w:p w14:paraId="5E8B1FC3">
                  <w:pPr>
                    <w:keepNext w:val="0"/>
                    <w:keepLines w:val="0"/>
                    <w:widowControl/>
                    <w:numPr>
                      <w:ilvl w:val="0"/>
                      <w:numId w:val="0"/>
                    </w:numPr>
                    <w:suppressLineNumbers w:val="0"/>
                    <w:spacing w:line="240" w:lineRule="auto"/>
                    <w:jc w:val="center"/>
                    <w:rPr>
                      <w:rFonts w:hint="default"/>
                      <w:lang w:val="en-US" w:eastAsia="zh-CN"/>
                    </w:rPr>
                  </w:pPr>
                  <w:r>
                    <w:rPr>
                      <w:rFonts w:hint="default"/>
                      <w:lang w:val="en-US" w:eastAsia="zh-CN"/>
                    </w:rPr>
                    <w:t>电锯</w:t>
                  </w:r>
                </w:p>
              </w:tc>
              <w:tc>
                <w:tcPr>
                  <w:tcW w:w="2786" w:type="dxa"/>
                  <w:vAlign w:val="center"/>
                </w:tcPr>
                <w:p w14:paraId="6CD78FDF">
                  <w:pPr>
                    <w:keepNext w:val="0"/>
                    <w:keepLines w:val="0"/>
                    <w:widowControl/>
                    <w:numPr>
                      <w:ilvl w:val="0"/>
                      <w:numId w:val="0"/>
                    </w:numPr>
                    <w:suppressLineNumbers w:val="0"/>
                    <w:spacing w:line="240" w:lineRule="auto"/>
                    <w:jc w:val="center"/>
                    <w:rPr>
                      <w:rFonts w:hint="default"/>
                      <w:lang w:val="en-US" w:eastAsia="zh-CN"/>
                    </w:rPr>
                  </w:pPr>
                  <w:r>
                    <w:rPr>
                      <w:rFonts w:hint="default"/>
                      <w:lang w:val="en-US" w:eastAsia="zh-CN"/>
                    </w:rPr>
                    <w:t>80</w:t>
                  </w:r>
                </w:p>
              </w:tc>
            </w:tr>
            <w:tr w14:paraId="6AE78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4" w:type="dxa"/>
                  <w:vMerge w:val="continue"/>
                  <w:vAlign w:val="center"/>
                </w:tcPr>
                <w:p w14:paraId="4D4EE822">
                  <w:pPr>
                    <w:keepNext w:val="0"/>
                    <w:keepLines w:val="0"/>
                    <w:widowControl/>
                    <w:numPr>
                      <w:ilvl w:val="0"/>
                      <w:numId w:val="0"/>
                    </w:numPr>
                    <w:suppressLineNumbers w:val="0"/>
                    <w:spacing w:line="240" w:lineRule="auto"/>
                    <w:jc w:val="center"/>
                    <w:rPr>
                      <w:rFonts w:hint="default"/>
                      <w:lang w:val="en-US" w:eastAsia="zh-CN"/>
                    </w:rPr>
                  </w:pPr>
                </w:p>
              </w:tc>
              <w:tc>
                <w:tcPr>
                  <w:tcW w:w="2784" w:type="dxa"/>
                  <w:vAlign w:val="center"/>
                </w:tcPr>
                <w:p w14:paraId="51055448">
                  <w:pPr>
                    <w:keepNext w:val="0"/>
                    <w:keepLines w:val="0"/>
                    <w:widowControl/>
                    <w:numPr>
                      <w:ilvl w:val="0"/>
                      <w:numId w:val="0"/>
                    </w:numPr>
                    <w:suppressLineNumbers w:val="0"/>
                    <w:spacing w:line="240" w:lineRule="auto"/>
                    <w:jc w:val="center"/>
                    <w:rPr>
                      <w:rFonts w:hint="default"/>
                      <w:lang w:val="en-US" w:eastAsia="zh-CN"/>
                    </w:rPr>
                  </w:pPr>
                  <w:r>
                    <w:rPr>
                      <w:rFonts w:hint="default"/>
                      <w:lang w:val="en-US" w:eastAsia="zh-CN"/>
                    </w:rPr>
                    <w:t>轻型载重车</w:t>
                  </w:r>
                </w:p>
              </w:tc>
              <w:tc>
                <w:tcPr>
                  <w:tcW w:w="2786" w:type="dxa"/>
                  <w:vAlign w:val="center"/>
                </w:tcPr>
                <w:p w14:paraId="1CF31BAC">
                  <w:pPr>
                    <w:keepNext w:val="0"/>
                    <w:keepLines w:val="0"/>
                    <w:widowControl/>
                    <w:numPr>
                      <w:ilvl w:val="0"/>
                      <w:numId w:val="0"/>
                    </w:numPr>
                    <w:suppressLineNumbers w:val="0"/>
                    <w:spacing w:line="240" w:lineRule="auto"/>
                    <w:jc w:val="center"/>
                    <w:rPr>
                      <w:rFonts w:hint="default"/>
                      <w:lang w:val="en-US" w:eastAsia="zh-CN"/>
                    </w:rPr>
                  </w:pPr>
                  <w:r>
                    <w:rPr>
                      <w:rFonts w:hint="default"/>
                      <w:lang w:val="en-US" w:eastAsia="zh-CN"/>
                    </w:rPr>
                    <w:t>69</w:t>
                  </w:r>
                </w:p>
              </w:tc>
            </w:tr>
          </w:tbl>
          <w:p w14:paraId="691C737F">
            <w:pPr>
              <w:numPr>
                <w:ilvl w:val="0"/>
                <w:numId w:val="0"/>
              </w:numPr>
              <w:bidi w:val="0"/>
              <w:ind w:leftChars="200"/>
              <w:rPr>
                <w:rFonts w:hint="eastAsia"/>
                <w:lang w:val="en-US" w:eastAsia="zh-CN"/>
              </w:rPr>
            </w:pPr>
            <w:r>
              <w:rPr>
                <w:rFonts w:hint="eastAsia"/>
                <w:lang w:val="en-US" w:eastAsia="zh-CN"/>
              </w:rPr>
              <w:t>（2）施工机械噪声衰减预测</w:t>
            </w:r>
          </w:p>
          <w:p w14:paraId="05E940E2">
            <w:pPr>
              <w:spacing w:line="360" w:lineRule="auto"/>
              <w:ind w:firstLine="480" w:firstLineChars="200"/>
              <w:rPr>
                <w:rFonts w:hint="default"/>
              </w:rPr>
            </w:pPr>
            <w:r>
              <w:rPr>
                <w:rFonts w:hint="default"/>
              </w:rPr>
              <w:t>采用点源衰减模式，预测计算声源至受声点的几何发散衰减。预测公式如下：</w:t>
            </w:r>
          </w:p>
          <w:p w14:paraId="316DCEF6">
            <w:pPr>
              <w:spacing w:line="360" w:lineRule="auto"/>
              <w:ind w:firstLine="480" w:firstLineChars="200"/>
              <w:jc w:val="center"/>
              <w:rPr>
                <w:rFonts w:hint="default"/>
              </w:rPr>
            </w:pPr>
            <w:r>
              <w:rPr>
                <w:rFonts w:hint="default"/>
              </w:rPr>
              <w:t>Lp(r)＝Lp (r0)－20lg（r/r0）－∆L</w:t>
            </w:r>
          </w:p>
          <w:p w14:paraId="60B65908">
            <w:pPr>
              <w:spacing w:line="360" w:lineRule="auto"/>
              <w:ind w:firstLine="480" w:firstLineChars="200"/>
              <w:rPr>
                <w:rFonts w:hint="default"/>
              </w:rPr>
            </w:pPr>
            <w:r>
              <w:rPr>
                <w:rFonts w:hint="default"/>
              </w:rPr>
              <w:t>式中：Lr——距离声源r处的A声压级，dB（A）；</w:t>
            </w:r>
          </w:p>
          <w:p w14:paraId="7FFDE986">
            <w:pPr>
              <w:spacing w:line="360" w:lineRule="auto"/>
              <w:ind w:firstLine="1200" w:firstLineChars="500"/>
              <w:rPr>
                <w:rFonts w:hint="default"/>
              </w:rPr>
            </w:pPr>
            <w:r>
              <w:rPr>
                <w:rFonts w:hint="default"/>
              </w:rPr>
              <w:t>Lro——距声源r0处的A声压级，dB（A）；</w:t>
            </w:r>
          </w:p>
          <w:p w14:paraId="798C6724">
            <w:pPr>
              <w:spacing w:line="360" w:lineRule="auto"/>
              <w:ind w:firstLine="1200" w:firstLineChars="500"/>
              <w:rPr>
                <w:rFonts w:hint="default"/>
              </w:rPr>
            </w:pPr>
            <w:r>
              <w:rPr>
                <w:rFonts w:hint="default"/>
              </w:rPr>
              <w:t>r—预测点与声源的距离，m；</w:t>
            </w:r>
          </w:p>
          <w:p w14:paraId="675B49DE">
            <w:pPr>
              <w:spacing w:line="360" w:lineRule="auto"/>
              <w:ind w:firstLine="1200" w:firstLineChars="500"/>
              <w:rPr>
                <w:rFonts w:hint="default"/>
              </w:rPr>
            </w:pPr>
            <w:r>
              <w:rPr>
                <w:rFonts w:hint="default"/>
              </w:rPr>
              <w:t>r0—监测设备噪声时的距离，m；</w:t>
            </w:r>
          </w:p>
          <w:p w14:paraId="0834A53A">
            <w:pPr>
              <w:spacing w:line="360" w:lineRule="auto"/>
              <w:ind w:firstLine="1200" w:firstLineChars="500"/>
              <w:rPr>
                <w:rFonts w:hint="default"/>
              </w:rPr>
            </w:pPr>
            <w:r>
              <w:rPr>
                <w:rFonts w:hint="default"/>
              </w:rPr>
              <w:t>∆L—其他衰减因素。</w:t>
            </w:r>
          </w:p>
          <w:p w14:paraId="50E6D778">
            <w:pPr>
              <w:spacing w:line="360" w:lineRule="auto"/>
              <w:ind w:firstLine="480" w:firstLineChars="200"/>
              <w:rPr>
                <w:rFonts w:hint="default"/>
              </w:rPr>
            </w:pPr>
            <w:r>
              <w:rPr>
                <w:rFonts w:hint="default"/>
              </w:rPr>
              <w:t>影响△L取值的因素很多，主要考虑屏障隔声、反射及空气稀释等影响，本次计算时取△L=1</w:t>
            </w:r>
            <w:r>
              <w:rPr>
                <w:rFonts w:hint="default"/>
                <w:lang w:val="en-US" w:eastAsia="zh-CN"/>
              </w:rPr>
              <w:t>5</w:t>
            </w:r>
            <w:r>
              <w:rPr>
                <w:rFonts w:hint="default"/>
              </w:rPr>
              <w:t>dB（A）。</w:t>
            </w:r>
          </w:p>
          <w:p w14:paraId="18F38742">
            <w:pPr>
              <w:numPr>
                <w:ilvl w:val="0"/>
                <w:numId w:val="28"/>
              </w:numPr>
              <w:spacing w:line="360" w:lineRule="auto"/>
              <w:ind w:left="0" w:leftChars="0" w:firstLine="480" w:firstLineChars="200"/>
              <w:rPr>
                <w:rFonts w:hint="eastAsia"/>
                <w:lang w:val="en-US" w:eastAsia="zh-CN"/>
              </w:rPr>
            </w:pPr>
            <w:r>
              <w:rPr>
                <w:rFonts w:hint="eastAsia"/>
                <w:lang w:val="en-US" w:eastAsia="zh-CN"/>
              </w:rPr>
              <w:t>预测结果</w:t>
            </w:r>
          </w:p>
          <w:p w14:paraId="38952461">
            <w:pPr>
              <w:numPr>
                <w:ilvl w:val="0"/>
                <w:numId w:val="0"/>
              </w:numPr>
              <w:spacing w:line="360" w:lineRule="auto"/>
              <w:jc w:val="center"/>
              <w:rPr>
                <w:rFonts w:hint="default"/>
                <w:b/>
                <w:bCs/>
                <w:lang w:val="en-US" w:eastAsia="zh-CN"/>
              </w:rPr>
            </w:pPr>
            <w:r>
              <w:rPr>
                <w:rFonts w:hint="eastAsia"/>
                <w:b/>
                <w:bCs/>
                <w:lang w:val="en-US" w:eastAsia="zh-CN"/>
              </w:rPr>
              <w:t xml:space="preserve">表7-2 </w:t>
            </w:r>
            <w:r>
              <w:rPr>
                <w:rFonts w:hint="default" w:ascii="Times New Roman" w:hAnsi="Times New Roman" w:cs="Times New Roman"/>
                <w:b/>
                <w:bCs/>
                <w:color w:val="auto"/>
                <w:highlight w:val="none"/>
              </w:rPr>
              <w:t>施工机械随距离的衰减情况</w:t>
            </w:r>
          </w:p>
          <w:tbl>
            <w:tblPr>
              <w:tblStyle w:val="10"/>
              <w:tblW w:w="8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600"/>
              <w:gridCol w:w="615"/>
              <w:gridCol w:w="645"/>
              <w:gridCol w:w="690"/>
              <w:gridCol w:w="645"/>
              <w:gridCol w:w="720"/>
              <w:gridCol w:w="660"/>
              <w:gridCol w:w="735"/>
              <w:gridCol w:w="720"/>
              <w:gridCol w:w="735"/>
              <w:gridCol w:w="724"/>
            </w:tblGrid>
            <w:tr w14:paraId="5E76B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909" w:type="dxa"/>
                  <w:vMerge w:val="restart"/>
                  <w:vAlign w:val="center"/>
                </w:tcPr>
                <w:p w14:paraId="20493833">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机械名称</w:t>
                  </w:r>
                </w:p>
              </w:tc>
              <w:tc>
                <w:tcPr>
                  <w:tcW w:w="7489" w:type="dxa"/>
                  <w:gridSpan w:val="11"/>
                  <w:vAlign w:val="center"/>
                </w:tcPr>
                <w:p w14:paraId="01A5F5D7">
                  <w:pPr>
                    <w:numPr>
                      <w:ilvl w:val="0"/>
                      <w:numId w:val="0"/>
                    </w:num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噪声预测值</w:t>
                  </w:r>
                  <w:r>
                    <w:rPr>
                      <w:rFonts w:hint="default" w:ascii="Times New Roman" w:hAnsi="Times New Roman" w:eastAsia="宋体" w:cs="Times New Roman"/>
                      <w:sz w:val="21"/>
                      <w:szCs w:val="21"/>
                      <w:lang w:val="en-US" w:eastAsia="zh-CN"/>
                    </w:rPr>
                    <w:t>dB（A）</w:t>
                  </w:r>
                </w:p>
              </w:tc>
            </w:tr>
            <w:tr w14:paraId="28908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909" w:type="dxa"/>
                  <w:vMerge w:val="continue"/>
                  <w:vAlign w:val="center"/>
                </w:tcPr>
                <w:p w14:paraId="310F2D0B">
                  <w:pPr>
                    <w:spacing w:line="240" w:lineRule="auto"/>
                    <w:jc w:val="center"/>
                    <w:rPr>
                      <w:rFonts w:hint="default" w:ascii="Times New Roman" w:hAnsi="Times New Roman" w:eastAsia="宋体" w:cs="Times New Roman"/>
                      <w:sz w:val="21"/>
                      <w:szCs w:val="21"/>
                    </w:rPr>
                  </w:pPr>
                </w:p>
              </w:tc>
              <w:tc>
                <w:tcPr>
                  <w:tcW w:w="600" w:type="dxa"/>
                  <w:vAlign w:val="center"/>
                </w:tcPr>
                <w:p w14:paraId="42A70F07">
                  <w:pPr>
                    <w:numPr>
                      <w:ilvl w:val="0"/>
                      <w:numId w:val="0"/>
                    </w:numPr>
                    <w:spacing w:line="240" w:lineRule="auto"/>
                    <w:jc w:val="center"/>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5m</w:t>
                  </w:r>
                </w:p>
              </w:tc>
              <w:tc>
                <w:tcPr>
                  <w:tcW w:w="615" w:type="dxa"/>
                  <w:vAlign w:val="center"/>
                </w:tcPr>
                <w:p w14:paraId="2AC24120">
                  <w:pPr>
                    <w:numPr>
                      <w:ilvl w:val="0"/>
                      <w:numId w:val="0"/>
                    </w:num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10m</w:t>
                  </w:r>
                </w:p>
              </w:tc>
              <w:tc>
                <w:tcPr>
                  <w:tcW w:w="645" w:type="dxa"/>
                  <w:vAlign w:val="center"/>
                </w:tcPr>
                <w:p w14:paraId="3654D18B">
                  <w:pPr>
                    <w:numPr>
                      <w:ilvl w:val="0"/>
                      <w:numId w:val="0"/>
                    </w:num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20m</w:t>
                  </w:r>
                </w:p>
              </w:tc>
              <w:tc>
                <w:tcPr>
                  <w:tcW w:w="690" w:type="dxa"/>
                  <w:vAlign w:val="center"/>
                </w:tcPr>
                <w:p w14:paraId="7FC60AA0">
                  <w:pPr>
                    <w:numPr>
                      <w:ilvl w:val="0"/>
                      <w:numId w:val="0"/>
                    </w:num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30m</w:t>
                  </w:r>
                </w:p>
              </w:tc>
              <w:tc>
                <w:tcPr>
                  <w:tcW w:w="645" w:type="dxa"/>
                  <w:vAlign w:val="center"/>
                </w:tcPr>
                <w:p w14:paraId="048EF5F2">
                  <w:pPr>
                    <w:numPr>
                      <w:ilvl w:val="0"/>
                      <w:numId w:val="0"/>
                    </w:num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40m</w:t>
                  </w:r>
                </w:p>
              </w:tc>
              <w:tc>
                <w:tcPr>
                  <w:tcW w:w="720" w:type="dxa"/>
                  <w:vAlign w:val="center"/>
                </w:tcPr>
                <w:p w14:paraId="14BB89CB">
                  <w:pPr>
                    <w:numPr>
                      <w:ilvl w:val="0"/>
                      <w:numId w:val="0"/>
                    </w:num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60m</w:t>
                  </w:r>
                </w:p>
              </w:tc>
              <w:tc>
                <w:tcPr>
                  <w:tcW w:w="660" w:type="dxa"/>
                  <w:vAlign w:val="center"/>
                </w:tcPr>
                <w:p w14:paraId="18C49DE8">
                  <w:pPr>
                    <w:numPr>
                      <w:ilvl w:val="0"/>
                      <w:numId w:val="0"/>
                    </w:num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80m</w:t>
                  </w:r>
                </w:p>
              </w:tc>
              <w:tc>
                <w:tcPr>
                  <w:tcW w:w="735" w:type="dxa"/>
                  <w:vAlign w:val="center"/>
                </w:tcPr>
                <w:p w14:paraId="5A92D713">
                  <w:pPr>
                    <w:numPr>
                      <w:ilvl w:val="0"/>
                      <w:numId w:val="0"/>
                    </w:num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100m</w:t>
                  </w:r>
                </w:p>
              </w:tc>
              <w:tc>
                <w:tcPr>
                  <w:tcW w:w="720" w:type="dxa"/>
                  <w:vAlign w:val="center"/>
                </w:tcPr>
                <w:p w14:paraId="3CD98F7D">
                  <w:pPr>
                    <w:numPr>
                      <w:ilvl w:val="0"/>
                      <w:numId w:val="0"/>
                    </w:num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150m</w:t>
                  </w:r>
                </w:p>
              </w:tc>
              <w:tc>
                <w:tcPr>
                  <w:tcW w:w="735" w:type="dxa"/>
                  <w:vAlign w:val="center"/>
                </w:tcPr>
                <w:p w14:paraId="7BCF0403">
                  <w:pPr>
                    <w:numPr>
                      <w:ilvl w:val="0"/>
                      <w:numId w:val="0"/>
                    </w:num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200m</w:t>
                  </w:r>
                </w:p>
              </w:tc>
              <w:tc>
                <w:tcPr>
                  <w:tcW w:w="724" w:type="dxa"/>
                  <w:vAlign w:val="center"/>
                </w:tcPr>
                <w:p w14:paraId="200A862D">
                  <w:pPr>
                    <w:numPr>
                      <w:ilvl w:val="0"/>
                      <w:numId w:val="0"/>
                    </w:numPr>
                    <w:spacing w:line="24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300m</w:t>
                  </w:r>
                </w:p>
              </w:tc>
            </w:tr>
            <w:tr w14:paraId="69A7B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909" w:type="dxa"/>
                  <w:vAlign w:val="center"/>
                </w:tcPr>
                <w:p w14:paraId="392EF941">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挖土机</w:t>
                  </w:r>
                </w:p>
              </w:tc>
              <w:tc>
                <w:tcPr>
                  <w:tcW w:w="600" w:type="dxa"/>
                  <w:vAlign w:val="center"/>
                </w:tcPr>
                <w:p w14:paraId="4F3288EA">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51.0</w:t>
                  </w:r>
                </w:p>
              </w:tc>
              <w:tc>
                <w:tcPr>
                  <w:tcW w:w="615" w:type="dxa"/>
                  <w:vAlign w:val="center"/>
                </w:tcPr>
                <w:p w14:paraId="58E920A0">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45</w:t>
                  </w:r>
                </w:p>
              </w:tc>
              <w:tc>
                <w:tcPr>
                  <w:tcW w:w="645" w:type="dxa"/>
                  <w:vAlign w:val="center"/>
                </w:tcPr>
                <w:p w14:paraId="4D716FED">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38.9</w:t>
                  </w:r>
                </w:p>
              </w:tc>
              <w:tc>
                <w:tcPr>
                  <w:tcW w:w="690" w:type="dxa"/>
                  <w:vAlign w:val="center"/>
                </w:tcPr>
                <w:p w14:paraId="0D66E72E">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35.4</w:t>
                  </w:r>
                </w:p>
              </w:tc>
              <w:tc>
                <w:tcPr>
                  <w:tcW w:w="645" w:type="dxa"/>
                  <w:vAlign w:val="center"/>
                </w:tcPr>
                <w:p w14:paraId="0817779E">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32.9</w:t>
                  </w:r>
                </w:p>
              </w:tc>
              <w:tc>
                <w:tcPr>
                  <w:tcW w:w="720" w:type="dxa"/>
                  <w:vAlign w:val="center"/>
                </w:tcPr>
                <w:p w14:paraId="3D34FE94">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29.4</w:t>
                  </w:r>
                </w:p>
              </w:tc>
              <w:tc>
                <w:tcPr>
                  <w:tcW w:w="660" w:type="dxa"/>
                  <w:vAlign w:val="center"/>
                </w:tcPr>
                <w:p w14:paraId="265F77B9">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26.9</w:t>
                  </w:r>
                </w:p>
              </w:tc>
              <w:tc>
                <w:tcPr>
                  <w:tcW w:w="735" w:type="dxa"/>
                  <w:vAlign w:val="center"/>
                </w:tcPr>
                <w:p w14:paraId="7DDCE1E2">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25.0</w:t>
                  </w:r>
                </w:p>
              </w:tc>
              <w:tc>
                <w:tcPr>
                  <w:tcW w:w="720" w:type="dxa"/>
                  <w:vAlign w:val="center"/>
                </w:tcPr>
                <w:p w14:paraId="49714910">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21.4</w:t>
                  </w:r>
                </w:p>
              </w:tc>
              <w:tc>
                <w:tcPr>
                  <w:tcW w:w="735" w:type="dxa"/>
                  <w:vAlign w:val="center"/>
                </w:tcPr>
                <w:p w14:paraId="296A9603">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18.9</w:t>
                  </w:r>
                </w:p>
              </w:tc>
              <w:tc>
                <w:tcPr>
                  <w:tcW w:w="724" w:type="dxa"/>
                  <w:vAlign w:val="center"/>
                </w:tcPr>
                <w:p w14:paraId="3D1E6697">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15.4</w:t>
                  </w:r>
                </w:p>
              </w:tc>
            </w:tr>
            <w:tr w14:paraId="02AC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909" w:type="dxa"/>
                  <w:vAlign w:val="center"/>
                </w:tcPr>
                <w:p w14:paraId="490DF1B6">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打桩机</w:t>
                  </w:r>
                </w:p>
              </w:tc>
              <w:tc>
                <w:tcPr>
                  <w:tcW w:w="600" w:type="dxa"/>
                  <w:vAlign w:val="center"/>
                </w:tcPr>
                <w:p w14:paraId="7EF48E37">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50.0</w:t>
                  </w:r>
                </w:p>
              </w:tc>
              <w:tc>
                <w:tcPr>
                  <w:tcW w:w="615" w:type="dxa"/>
                  <w:vAlign w:val="center"/>
                </w:tcPr>
                <w:p w14:paraId="1FD90DD5">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44</w:t>
                  </w:r>
                </w:p>
              </w:tc>
              <w:tc>
                <w:tcPr>
                  <w:tcW w:w="645" w:type="dxa"/>
                  <w:vAlign w:val="center"/>
                </w:tcPr>
                <w:p w14:paraId="08AD8A95">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37.9</w:t>
                  </w:r>
                </w:p>
              </w:tc>
              <w:tc>
                <w:tcPr>
                  <w:tcW w:w="690" w:type="dxa"/>
                  <w:vAlign w:val="center"/>
                </w:tcPr>
                <w:p w14:paraId="5F67655C">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34.4</w:t>
                  </w:r>
                </w:p>
              </w:tc>
              <w:tc>
                <w:tcPr>
                  <w:tcW w:w="645" w:type="dxa"/>
                  <w:vAlign w:val="center"/>
                </w:tcPr>
                <w:p w14:paraId="08612365">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31.9</w:t>
                  </w:r>
                </w:p>
              </w:tc>
              <w:tc>
                <w:tcPr>
                  <w:tcW w:w="720" w:type="dxa"/>
                  <w:vAlign w:val="center"/>
                </w:tcPr>
                <w:p w14:paraId="2B90E4F8">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28.4</w:t>
                  </w:r>
                </w:p>
              </w:tc>
              <w:tc>
                <w:tcPr>
                  <w:tcW w:w="660" w:type="dxa"/>
                  <w:vAlign w:val="center"/>
                </w:tcPr>
                <w:p w14:paraId="0AD70C47">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25.9</w:t>
                  </w:r>
                </w:p>
              </w:tc>
              <w:tc>
                <w:tcPr>
                  <w:tcW w:w="735" w:type="dxa"/>
                  <w:vAlign w:val="center"/>
                </w:tcPr>
                <w:p w14:paraId="6F727D82">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24.0</w:t>
                  </w:r>
                </w:p>
              </w:tc>
              <w:tc>
                <w:tcPr>
                  <w:tcW w:w="720" w:type="dxa"/>
                  <w:vAlign w:val="center"/>
                </w:tcPr>
                <w:p w14:paraId="232B5D16">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20.4</w:t>
                  </w:r>
                </w:p>
              </w:tc>
              <w:tc>
                <w:tcPr>
                  <w:tcW w:w="735" w:type="dxa"/>
                  <w:vAlign w:val="center"/>
                </w:tcPr>
                <w:p w14:paraId="2820937A">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17.9</w:t>
                  </w:r>
                </w:p>
              </w:tc>
              <w:tc>
                <w:tcPr>
                  <w:tcW w:w="724" w:type="dxa"/>
                  <w:vAlign w:val="center"/>
                </w:tcPr>
                <w:p w14:paraId="776837B5">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14.4</w:t>
                  </w:r>
                </w:p>
              </w:tc>
            </w:tr>
            <w:tr w14:paraId="7DB0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909" w:type="dxa"/>
                  <w:vAlign w:val="center"/>
                </w:tcPr>
                <w:p w14:paraId="2542551D">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载重车</w:t>
                  </w:r>
                </w:p>
              </w:tc>
              <w:tc>
                <w:tcPr>
                  <w:tcW w:w="600" w:type="dxa"/>
                  <w:vAlign w:val="center"/>
                </w:tcPr>
                <w:p w14:paraId="7E8DAF58">
                  <w:pPr>
                    <w:numPr>
                      <w:ilvl w:val="0"/>
                      <w:numId w:val="0"/>
                    </w:numPr>
                    <w:spacing w:line="240" w:lineRule="auto"/>
                    <w:ind w:left="0" w:leftChars="0" w:firstLine="0" w:firstLineChars="0"/>
                    <w:jc w:val="center"/>
                    <w:rPr>
                      <w:rFonts w:hint="default" w:ascii="Times New Roman" w:hAnsi="Times New Roman" w:eastAsia="宋体" w:cs="Times New Roman"/>
                      <w:color w:val="00B0F0"/>
                      <w:sz w:val="21"/>
                      <w:szCs w:val="21"/>
                      <w:vertAlign w:val="baseline"/>
                      <w:lang w:val="en-US" w:eastAsia="zh-CN"/>
                    </w:rPr>
                  </w:pPr>
                  <w:r>
                    <w:rPr>
                      <w:rFonts w:hint="eastAsia" w:cs="Times New Roman"/>
                      <w:color w:val="auto"/>
                      <w:sz w:val="21"/>
                      <w:szCs w:val="21"/>
                      <w:vertAlign w:val="baseline"/>
                      <w:lang w:val="en-US" w:eastAsia="zh-CN"/>
                    </w:rPr>
                    <w:t>50.0</w:t>
                  </w:r>
                </w:p>
              </w:tc>
              <w:tc>
                <w:tcPr>
                  <w:tcW w:w="615" w:type="dxa"/>
                  <w:vAlign w:val="center"/>
                </w:tcPr>
                <w:p w14:paraId="38F659A4">
                  <w:pPr>
                    <w:numPr>
                      <w:ilvl w:val="0"/>
                      <w:numId w:val="0"/>
                    </w:numPr>
                    <w:spacing w:line="240" w:lineRule="auto"/>
                    <w:ind w:left="0" w:leftChars="0" w:firstLine="0" w:firstLineChars="0"/>
                    <w:jc w:val="center"/>
                    <w:rPr>
                      <w:rFonts w:hint="default" w:ascii="Times New Roman" w:hAnsi="Times New Roman" w:eastAsia="宋体" w:cs="Times New Roman"/>
                      <w:color w:val="00B0F0"/>
                      <w:sz w:val="21"/>
                      <w:szCs w:val="21"/>
                      <w:vertAlign w:val="baseline"/>
                      <w:lang w:val="en-US" w:eastAsia="zh-CN"/>
                    </w:rPr>
                  </w:pPr>
                  <w:r>
                    <w:rPr>
                      <w:rFonts w:hint="eastAsia" w:cs="Times New Roman"/>
                      <w:color w:val="auto"/>
                      <w:sz w:val="21"/>
                      <w:szCs w:val="21"/>
                      <w:vertAlign w:val="baseline"/>
                      <w:lang w:val="en-US" w:eastAsia="zh-CN"/>
                    </w:rPr>
                    <w:t>44</w:t>
                  </w:r>
                </w:p>
              </w:tc>
              <w:tc>
                <w:tcPr>
                  <w:tcW w:w="645" w:type="dxa"/>
                  <w:vAlign w:val="center"/>
                </w:tcPr>
                <w:p w14:paraId="7FD02147">
                  <w:pPr>
                    <w:numPr>
                      <w:ilvl w:val="0"/>
                      <w:numId w:val="0"/>
                    </w:numPr>
                    <w:spacing w:line="240" w:lineRule="auto"/>
                    <w:ind w:left="0" w:leftChars="0" w:firstLine="0" w:firstLineChars="0"/>
                    <w:jc w:val="center"/>
                    <w:rPr>
                      <w:rFonts w:hint="default" w:ascii="Times New Roman" w:hAnsi="Times New Roman" w:eastAsia="宋体" w:cs="Times New Roman"/>
                      <w:color w:val="00B0F0"/>
                      <w:sz w:val="21"/>
                      <w:szCs w:val="21"/>
                      <w:vertAlign w:val="baseline"/>
                      <w:lang w:val="en-US" w:eastAsia="zh-CN"/>
                    </w:rPr>
                  </w:pPr>
                  <w:r>
                    <w:rPr>
                      <w:rFonts w:hint="eastAsia" w:cs="Times New Roman"/>
                      <w:color w:val="auto"/>
                      <w:sz w:val="21"/>
                      <w:szCs w:val="21"/>
                      <w:vertAlign w:val="baseline"/>
                      <w:lang w:val="en-US" w:eastAsia="zh-CN"/>
                    </w:rPr>
                    <w:t>37.9</w:t>
                  </w:r>
                </w:p>
              </w:tc>
              <w:tc>
                <w:tcPr>
                  <w:tcW w:w="690" w:type="dxa"/>
                  <w:vAlign w:val="center"/>
                </w:tcPr>
                <w:p w14:paraId="163B9B70">
                  <w:pPr>
                    <w:numPr>
                      <w:ilvl w:val="0"/>
                      <w:numId w:val="0"/>
                    </w:numPr>
                    <w:spacing w:line="240" w:lineRule="auto"/>
                    <w:ind w:left="0" w:leftChars="0" w:firstLine="0" w:firstLineChars="0"/>
                    <w:jc w:val="center"/>
                    <w:rPr>
                      <w:rFonts w:hint="default" w:ascii="Times New Roman" w:hAnsi="Times New Roman" w:eastAsia="宋体" w:cs="Times New Roman"/>
                      <w:color w:val="00B0F0"/>
                      <w:sz w:val="21"/>
                      <w:szCs w:val="21"/>
                      <w:vertAlign w:val="baseline"/>
                      <w:lang w:val="en-US" w:eastAsia="zh-CN"/>
                    </w:rPr>
                  </w:pPr>
                  <w:r>
                    <w:rPr>
                      <w:rFonts w:hint="eastAsia" w:cs="Times New Roman"/>
                      <w:color w:val="auto"/>
                      <w:sz w:val="21"/>
                      <w:szCs w:val="21"/>
                      <w:vertAlign w:val="baseline"/>
                      <w:lang w:val="en-US" w:eastAsia="zh-CN"/>
                    </w:rPr>
                    <w:t>34.4</w:t>
                  </w:r>
                </w:p>
              </w:tc>
              <w:tc>
                <w:tcPr>
                  <w:tcW w:w="645" w:type="dxa"/>
                  <w:vAlign w:val="center"/>
                </w:tcPr>
                <w:p w14:paraId="025592EE">
                  <w:pPr>
                    <w:numPr>
                      <w:ilvl w:val="0"/>
                      <w:numId w:val="0"/>
                    </w:numPr>
                    <w:spacing w:line="240" w:lineRule="auto"/>
                    <w:ind w:left="0" w:leftChars="0" w:firstLine="0" w:firstLineChars="0"/>
                    <w:jc w:val="center"/>
                    <w:rPr>
                      <w:rFonts w:hint="default" w:ascii="Times New Roman" w:hAnsi="Times New Roman" w:eastAsia="宋体" w:cs="Times New Roman"/>
                      <w:color w:val="00B0F0"/>
                      <w:sz w:val="21"/>
                      <w:szCs w:val="21"/>
                      <w:vertAlign w:val="baseline"/>
                      <w:lang w:val="en-US" w:eastAsia="zh-CN"/>
                    </w:rPr>
                  </w:pPr>
                  <w:r>
                    <w:rPr>
                      <w:rFonts w:hint="eastAsia" w:cs="Times New Roman"/>
                      <w:color w:val="auto"/>
                      <w:sz w:val="21"/>
                      <w:szCs w:val="21"/>
                      <w:vertAlign w:val="baseline"/>
                      <w:lang w:val="en-US" w:eastAsia="zh-CN"/>
                    </w:rPr>
                    <w:t>31.9</w:t>
                  </w:r>
                </w:p>
              </w:tc>
              <w:tc>
                <w:tcPr>
                  <w:tcW w:w="720" w:type="dxa"/>
                  <w:vAlign w:val="center"/>
                </w:tcPr>
                <w:p w14:paraId="131AD9F4">
                  <w:pPr>
                    <w:numPr>
                      <w:ilvl w:val="0"/>
                      <w:numId w:val="0"/>
                    </w:numPr>
                    <w:spacing w:line="240" w:lineRule="auto"/>
                    <w:ind w:left="0" w:leftChars="0" w:firstLine="0" w:firstLineChars="0"/>
                    <w:jc w:val="center"/>
                    <w:rPr>
                      <w:rFonts w:hint="default" w:ascii="Times New Roman" w:hAnsi="Times New Roman" w:eastAsia="宋体" w:cs="Times New Roman"/>
                      <w:color w:val="00B0F0"/>
                      <w:sz w:val="21"/>
                      <w:szCs w:val="21"/>
                      <w:vertAlign w:val="baseline"/>
                      <w:lang w:val="en-US" w:eastAsia="zh-CN"/>
                    </w:rPr>
                  </w:pPr>
                  <w:r>
                    <w:rPr>
                      <w:rFonts w:hint="eastAsia" w:cs="Times New Roman"/>
                      <w:color w:val="auto"/>
                      <w:sz w:val="21"/>
                      <w:szCs w:val="21"/>
                      <w:vertAlign w:val="baseline"/>
                      <w:lang w:val="en-US" w:eastAsia="zh-CN"/>
                    </w:rPr>
                    <w:t>28.4</w:t>
                  </w:r>
                </w:p>
              </w:tc>
              <w:tc>
                <w:tcPr>
                  <w:tcW w:w="660" w:type="dxa"/>
                  <w:vAlign w:val="center"/>
                </w:tcPr>
                <w:p w14:paraId="4E9011DA">
                  <w:pPr>
                    <w:numPr>
                      <w:ilvl w:val="0"/>
                      <w:numId w:val="0"/>
                    </w:numPr>
                    <w:spacing w:line="240" w:lineRule="auto"/>
                    <w:ind w:left="0" w:leftChars="0" w:firstLine="0" w:firstLineChars="0"/>
                    <w:jc w:val="center"/>
                    <w:rPr>
                      <w:rFonts w:hint="default" w:ascii="Times New Roman" w:hAnsi="Times New Roman" w:eastAsia="宋体" w:cs="Times New Roman"/>
                      <w:color w:val="00B0F0"/>
                      <w:sz w:val="21"/>
                      <w:szCs w:val="21"/>
                      <w:vertAlign w:val="baseline"/>
                      <w:lang w:val="en-US" w:eastAsia="zh-CN"/>
                    </w:rPr>
                  </w:pPr>
                  <w:r>
                    <w:rPr>
                      <w:rFonts w:hint="eastAsia" w:cs="Times New Roman"/>
                      <w:color w:val="auto"/>
                      <w:sz w:val="21"/>
                      <w:szCs w:val="21"/>
                      <w:vertAlign w:val="baseline"/>
                      <w:lang w:val="en-US" w:eastAsia="zh-CN"/>
                    </w:rPr>
                    <w:t>25.9</w:t>
                  </w:r>
                </w:p>
              </w:tc>
              <w:tc>
                <w:tcPr>
                  <w:tcW w:w="735" w:type="dxa"/>
                  <w:vAlign w:val="center"/>
                </w:tcPr>
                <w:p w14:paraId="4B069974">
                  <w:pPr>
                    <w:numPr>
                      <w:ilvl w:val="0"/>
                      <w:numId w:val="0"/>
                    </w:numPr>
                    <w:spacing w:line="240" w:lineRule="auto"/>
                    <w:ind w:left="0" w:leftChars="0" w:firstLine="0" w:firstLineChars="0"/>
                    <w:jc w:val="center"/>
                    <w:rPr>
                      <w:rFonts w:hint="default" w:ascii="Times New Roman" w:hAnsi="Times New Roman" w:eastAsia="宋体" w:cs="Times New Roman"/>
                      <w:color w:val="00B0F0"/>
                      <w:sz w:val="21"/>
                      <w:szCs w:val="21"/>
                      <w:vertAlign w:val="baseline"/>
                      <w:lang w:val="en-US" w:eastAsia="zh-CN"/>
                    </w:rPr>
                  </w:pPr>
                  <w:r>
                    <w:rPr>
                      <w:rFonts w:hint="eastAsia" w:cs="Times New Roman"/>
                      <w:color w:val="auto"/>
                      <w:sz w:val="21"/>
                      <w:szCs w:val="21"/>
                      <w:vertAlign w:val="baseline"/>
                      <w:lang w:val="en-US" w:eastAsia="zh-CN"/>
                    </w:rPr>
                    <w:t>24.0</w:t>
                  </w:r>
                </w:p>
              </w:tc>
              <w:tc>
                <w:tcPr>
                  <w:tcW w:w="720" w:type="dxa"/>
                  <w:vAlign w:val="center"/>
                </w:tcPr>
                <w:p w14:paraId="67BF8466">
                  <w:pPr>
                    <w:numPr>
                      <w:ilvl w:val="0"/>
                      <w:numId w:val="0"/>
                    </w:numPr>
                    <w:spacing w:line="240" w:lineRule="auto"/>
                    <w:ind w:left="0" w:leftChars="0" w:firstLine="0" w:firstLineChars="0"/>
                    <w:jc w:val="center"/>
                    <w:rPr>
                      <w:rFonts w:hint="default" w:ascii="Times New Roman" w:hAnsi="Times New Roman" w:eastAsia="宋体" w:cs="Times New Roman"/>
                      <w:color w:val="00B0F0"/>
                      <w:sz w:val="21"/>
                      <w:szCs w:val="21"/>
                      <w:vertAlign w:val="baseline"/>
                      <w:lang w:val="en-US" w:eastAsia="zh-CN"/>
                    </w:rPr>
                  </w:pPr>
                  <w:r>
                    <w:rPr>
                      <w:rFonts w:hint="eastAsia" w:cs="Times New Roman"/>
                      <w:color w:val="auto"/>
                      <w:sz w:val="21"/>
                      <w:szCs w:val="21"/>
                      <w:vertAlign w:val="baseline"/>
                      <w:lang w:val="en-US" w:eastAsia="zh-CN"/>
                    </w:rPr>
                    <w:t>20.4</w:t>
                  </w:r>
                </w:p>
              </w:tc>
              <w:tc>
                <w:tcPr>
                  <w:tcW w:w="735" w:type="dxa"/>
                  <w:vAlign w:val="center"/>
                </w:tcPr>
                <w:p w14:paraId="4B45E732">
                  <w:pPr>
                    <w:numPr>
                      <w:ilvl w:val="0"/>
                      <w:numId w:val="0"/>
                    </w:numPr>
                    <w:spacing w:line="240" w:lineRule="auto"/>
                    <w:ind w:left="0" w:leftChars="0" w:firstLine="0" w:firstLineChars="0"/>
                    <w:jc w:val="center"/>
                    <w:rPr>
                      <w:rFonts w:hint="default" w:ascii="Times New Roman" w:hAnsi="Times New Roman" w:eastAsia="宋体" w:cs="Times New Roman"/>
                      <w:color w:val="00B0F0"/>
                      <w:sz w:val="21"/>
                      <w:szCs w:val="21"/>
                      <w:vertAlign w:val="baseline"/>
                      <w:lang w:val="en-US" w:eastAsia="zh-CN"/>
                    </w:rPr>
                  </w:pPr>
                  <w:r>
                    <w:rPr>
                      <w:rFonts w:hint="eastAsia" w:cs="Times New Roman"/>
                      <w:color w:val="auto"/>
                      <w:sz w:val="21"/>
                      <w:szCs w:val="21"/>
                      <w:vertAlign w:val="baseline"/>
                      <w:lang w:val="en-US" w:eastAsia="zh-CN"/>
                    </w:rPr>
                    <w:t>17.9</w:t>
                  </w:r>
                </w:p>
              </w:tc>
              <w:tc>
                <w:tcPr>
                  <w:tcW w:w="724" w:type="dxa"/>
                  <w:vAlign w:val="center"/>
                </w:tcPr>
                <w:p w14:paraId="64AFEC1B">
                  <w:pPr>
                    <w:numPr>
                      <w:ilvl w:val="0"/>
                      <w:numId w:val="0"/>
                    </w:numPr>
                    <w:spacing w:line="240" w:lineRule="auto"/>
                    <w:ind w:left="0" w:leftChars="0" w:firstLine="0" w:firstLineChars="0"/>
                    <w:jc w:val="center"/>
                    <w:rPr>
                      <w:rFonts w:hint="default" w:ascii="Times New Roman" w:hAnsi="Times New Roman" w:eastAsia="宋体" w:cs="Times New Roman"/>
                      <w:color w:val="00B0F0"/>
                      <w:sz w:val="21"/>
                      <w:szCs w:val="21"/>
                      <w:vertAlign w:val="baseline"/>
                      <w:lang w:val="en-US" w:eastAsia="zh-CN"/>
                    </w:rPr>
                  </w:pPr>
                  <w:r>
                    <w:rPr>
                      <w:rFonts w:hint="eastAsia" w:cs="Times New Roman"/>
                      <w:color w:val="auto"/>
                      <w:sz w:val="21"/>
                      <w:szCs w:val="21"/>
                      <w:vertAlign w:val="baseline"/>
                      <w:lang w:val="en-US" w:eastAsia="zh-CN"/>
                    </w:rPr>
                    <w:t>14.4</w:t>
                  </w:r>
                </w:p>
              </w:tc>
            </w:tr>
            <w:tr w14:paraId="0BD1E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909" w:type="dxa"/>
                  <w:vAlign w:val="center"/>
                </w:tcPr>
                <w:p w14:paraId="5BADE92B">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输送泵</w:t>
                  </w:r>
                </w:p>
              </w:tc>
              <w:tc>
                <w:tcPr>
                  <w:tcW w:w="600" w:type="dxa"/>
                  <w:vAlign w:val="center"/>
                </w:tcPr>
                <w:p w14:paraId="12748657">
                  <w:pPr>
                    <w:numPr>
                      <w:ilvl w:val="0"/>
                      <w:numId w:val="0"/>
                    </w:numPr>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60.9</w:t>
                  </w:r>
                </w:p>
              </w:tc>
              <w:tc>
                <w:tcPr>
                  <w:tcW w:w="615" w:type="dxa"/>
                  <w:vAlign w:val="center"/>
                </w:tcPr>
                <w:p w14:paraId="3D179AFB">
                  <w:pPr>
                    <w:numPr>
                      <w:ilvl w:val="0"/>
                      <w:numId w:val="0"/>
                    </w:numPr>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53.0</w:t>
                  </w:r>
                </w:p>
              </w:tc>
              <w:tc>
                <w:tcPr>
                  <w:tcW w:w="645" w:type="dxa"/>
                  <w:vAlign w:val="center"/>
                </w:tcPr>
                <w:p w14:paraId="72022D36">
                  <w:pPr>
                    <w:numPr>
                      <w:ilvl w:val="0"/>
                      <w:numId w:val="0"/>
                    </w:numPr>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46.9</w:t>
                  </w:r>
                </w:p>
              </w:tc>
              <w:tc>
                <w:tcPr>
                  <w:tcW w:w="690" w:type="dxa"/>
                  <w:vAlign w:val="center"/>
                </w:tcPr>
                <w:p w14:paraId="4AA659D1">
                  <w:pPr>
                    <w:numPr>
                      <w:ilvl w:val="0"/>
                      <w:numId w:val="0"/>
                    </w:numPr>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43.4</w:t>
                  </w:r>
                </w:p>
              </w:tc>
              <w:tc>
                <w:tcPr>
                  <w:tcW w:w="645" w:type="dxa"/>
                  <w:vAlign w:val="center"/>
                </w:tcPr>
                <w:p w14:paraId="0F6E9876">
                  <w:pPr>
                    <w:numPr>
                      <w:ilvl w:val="0"/>
                      <w:numId w:val="0"/>
                    </w:numPr>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40.9</w:t>
                  </w:r>
                </w:p>
              </w:tc>
              <w:tc>
                <w:tcPr>
                  <w:tcW w:w="720" w:type="dxa"/>
                  <w:vAlign w:val="center"/>
                </w:tcPr>
                <w:p w14:paraId="6E49CD5B">
                  <w:pPr>
                    <w:numPr>
                      <w:ilvl w:val="0"/>
                      <w:numId w:val="0"/>
                    </w:numPr>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37.4</w:t>
                  </w:r>
                </w:p>
              </w:tc>
              <w:tc>
                <w:tcPr>
                  <w:tcW w:w="660" w:type="dxa"/>
                  <w:vAlign w:val="center"/>
                </w:tcPr>
                <w:p w14:paraId="4C2C9D5D">
                  <w:pPr>
                    <w:numPr>
                      <w:ilvl w:val="0"/>
                      <w:numId w:val="0"/>
                    </w:numPr>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34.9</w:t>
                  </w:r>
                </w:p>
              </w:tc>
              <w:tc>
                <w:tcPr>
                  <w:tcW w:w="735" w:type="dxa"/>
                  <w:vAlign w:val="center"/>
                </w:tcPr>
                <w:p w14:paraId="2BD6D157">
                  <w:pPr>
                    <w:numPr>
                      <w:ilvl w:val="0"/>
                      <w:numId w:val="0"/>
                    </w:numPr>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33.0</w:t>
                  </w:r>
                </w:p>
              </w:tc>
              <w:tc>
                <w:tcPr>
                  <w:tcW w:w="720" w:type="dxa"/>
                  <w:vAlign w:val="center"/>
                </w:tcPr>
                <w:p w14:paraId="595B4F51">
                  <w:pPr>
                    <w:numPr>
                      <w:ilvl w:val="0"/>
                      <w:numId w:val="0"/>
                    </w:numPr>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29.4</w:t>
                  </w:r>
                </w:p>
              </w:tc>
              <w:tc>
                <w:tcPr>
                  <w:tcW w:w="735" w:type="dxa"/>
                  <w:vAlign w:val="center"/>
                </w:tcPr>
                <w:p w14:paraId="7F812B54">
                  <w:pPr>
                    <w:numPr>
                      <w:ilvl w:val="0"/>
                      <w:numId w:val="0"/>
                    </w:numPr>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26.9</w:t>
                  </w:r>
                </w:p>
              </w:tc>
              <w:tc>
                <w:tcPr>
                  <w:tcW w:w="724" w:type="dxa"/>
                  <w:vAlign w:val="center"/>
                </w:tcPr>
                <w:p w14:paraId="61E43E0F">
                  <w:pPr>
                    <w:numPr>
                      <w:ilvl w:val="0"/>
                      <w:numId w:val="0"/>
                    </w:numPr>
                    <w:spacing w:line="240" w:lineRule="auto"/>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23.4</w:t>
                  </w:r>
                </w:p>
              </w:tc>
            </w:tr>
            <w:tr w14:paraId="3B23D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909" w:type="dxa"/>
                  <w:vAlign w:val="center"/>
                </w:tcPr>
                <w:p w14:paraId="54AD0361">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振捣器</w:t>
                  </w:r>
                </w:p>
              </w:tc>
              <w:tc>
                <w:tcPr>
                  <w:tcW w:w="600" w:type="dxa"/>
                  <w:vAlign w:val="center"/>
                </w:tcPr>
                <w:p w14:paraId="7F97977A">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60.9</w:t>
                  </w:r>
                </w:p>
              </w:tc>
              <w:tc>
                <w:tcPr>
                  <w:tcW w:w="615" w:type="dxa"/>
                  <w:vAlign w:val="center"/>
                </w:tcPr>
                <w:p w14:paraId="183DBD5B">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53.0</w:t>
                  </w:r>
                </w:p>
              </w:tc>
              <w:tc>
                <w:tcPr>
                  <w:tcW w:w="645" w:type="dxa"/>
                  <w:vAlign w:val="center"/>
                </w:tcPr>
                <w:p w14:paraId="41DC1BCA">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46.9</w:t>
                  </w:r>
                </w:p>
              </w:tc>
              <w:tc>
                <w:tcPr>
                  <w:tcW w:w="690" w:type="dxa"/>
                  <w:vAlign w:val="center"/>
                </w:tcPr>
                <w:p w14:paraId="4A49CD99">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43.4</w:t>
                  </w:r>
                </w:p>
              </w:tc>
              <w:tc>
                <w:tcPr>
                  <w:tcW w:w="645" w:type="dxa"/>
                  <w:vAlign w:val="center"/>
                </w:tcPr>
                <w:p w14:paraId="25792CA6">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40.9</w:t>
                  </w:r>
                </w:p>
              </w:tc>
              <w:tc>
                <w:tcPr>
                  <w:tcW w:w="720" w:type="dxa"/>
                  <w:vAlign w:val="center"/>
                </w:tcPr>
                <w:p w14:paraId="242C4FAA">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37.4</w:t>
                  </w:r>
                </w:p>
              </w:tc>
              <w:tc>
                <w:tcPr>
                  <w:tcW w:w="660" w:type="dxa"/>
                  <w:vAlign w:val="center"/>
                </w:tcPr>
                <w:p w14:paraId="33265B4E">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34.9</w:t>
                  </w:r>
                </w:p>
              </w:tc>
              <w:tc>
                <w:tcPr>
                  <w:tcW w:w="735" w:type="dxa"/>
                  <w:vAlign w:val="center"/>
                </w:tcPr>
                <w:p w14:paraId="025B68CA">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33.0</w:t>
                  </w:r>
                </w:p>
              </w:tc>
              <w:tc>
                <w:tcPr>
                  <w:tcW w:w="720" w:type="dxa"/>
                  <w:vAlign w:val="center"/>
                </w:tcPr>
                <w:p w14:paraId="528B68FC">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29.4</w:t>
                  </w:r>
                </w:p>
              </w:tc>
              <w:tc>
                <w:tcPr>
                  <w:tcW w:w="735" w:type="dxa"/>
                  <w:vAlign w:val="center"/>
                </w:tcPr>
                <w:p w14:paraId="203285B7">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26.9</w:t>
                  </w:r>
                </w:p>
              </w:tc>
              <w:tc>
                <w:tcPr>
                  <w:tcW w:w="724" w:type="dxa"/>
                  <w:vAlign w:val="center"/>
                </w:tcPr>
                <w:p w14:paraId="7B03A470">
                  <w:pPr>
                    <w:numPr>
                      <w:ilvl w:val="0"/>
                      <w:numId w:val="0"/>
                    </w:numPr>
                    <w:spacing w:line="240" w:lineRule="auto"/>
                    <w:ind w:left="0" w:leftChars="0" w:firstLine="0" w:firstLineChars="0"/>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23.4</w:t>
                  </w:r>
                </w:p>
              </w:tc>
            </w:tr>
            <w:tr w14:paraId="02576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909" w:type="dxa"/>
                  <w:vAlign w:val="center"/>
                </w:tcPr>
                <w:p w14:paraId="56F76CCD">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电锯</w:t>
                  </w:r>
                </w:p>
              </w:tc>
              <w:tc>
                <w:tcPr>
                  <w:tcW w:w="600" w:type="dxa"/>
                  <w:vAlign w:val="center"/>
                </w:tcPr>
                <w:p w14:paraId="158C21DF">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56.0</w:t>
                  </w:r>
                </w:p>
              </w:tc>
              <w:tc>
                <w:tcPr>
                  <w:tcW w:w="615" w:type="dxa"/>
                  <w:vAlign w:val="center"/>
                </w:tcPr>
                <w:p w14:paraId="64095DB6">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50.0</w:t>
                  </w:r>
                </w:p>
              </w:tc>
              <w:tc>
                <w:tcPr>
                  <w:tcW w:w="645" w:type="dxa"/>
                  <w:vAlign w:val="center"/>
                </w:tcPr>
                <w:p w14:paraId="61C9FA2F">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43.9</w:t>
                  </w:r>
                </w:p>
              </w:tc>
              <w:tc>
                <w:tcPr>
                  <w:tcW w:w="690" w:type="dxa"/>
                  <w:vAlign w:val="center"/>
                </w:tcPr>
                <w:p w14:paraId="2883DD74">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40.4</w:t>
                  </w:r>
                </w:p>
              </w:tc>
              <w:tc>
                <w:tcPr>
                  <w:tcW w:w="645" w:type="dxa"/>
                  <w:vAlign w:val="center"/>
                </w:tcPr>
                <w:p w14:paraId="6E8F6986">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37.9</w:t>
                  </w:r>
                </w:p>
              </w:tc>
              <w:tc>
                <w:tcPr>
                  <w:tcW w:w="720" w:type="dxa"/>
                  <w:vAlign w:val="center"/>
                </w:tcPr>
                <w:p w14:paraId="3E973A9E">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34.4</w:t>
                  </w:r>
                </w:p>
              </w:tc>
              <w:tc>
                <w:tcPr>
                  <w:tcW w:w="660" w:type="dxa"/>
                  <w:vAlign w:val="center"/>
                </w:tcPr>
                <w:p w14:paraId="472D0C6A">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31.9</w:t>
                  </w:r>
                </w:p>
              </w:tc>
              <w:tc>
                <w:tcPr>
                  <w:tcW w:w="735" w:type="dxa"/>
                  <w:vAlign w:val="center"/>
                </w:tcPr>
                <w:p w14:paraId="20F1D9FE">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30.0</w:t>
                  </w:r>
                </w:p>
              </w:tc>
              <w:tc>
                <w:tcPr>
                  <w:tcW w:w="720" w:type="dxa"/>
                  <w:vAlign w:val="center"/>
                </w:tcPr>
                <w:p w14:paraId="621B1C77">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26.4</w:t>
                  </w:r>
                </w:p>
              </w:tc>
              <w:tc>
                <w:tcPr>
                  <w:tcW w:w="735" w:type="dxa"/>
                  <w:vAlign w:val="center"/>
                </w:tcPr>
                <w:p w14:paraId="48AE0D00">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23.9</w:t>
                  </w:r>
                </w:p>
              </w:tc>
              <w:tc>
                <w:tcPr>
                  <w:tcW w:w="724" w:type="dxa"/>
                  <w:vAlign w:val="center"/>
                </w:tcPr>
                <w:p w14:paraId="7E34F9BC">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20.4</w:t>
                  </w:r>
                </w:p>
              </w:tc>
            </w:tr>
            <w:tr w14:paraId="1A143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909" w:type="dxa"/>
                  <w:vAlign w:val="center"/>
                </w:tcPr>
                <w:p w14:paraId="1C1552F9">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电焊机</w:t>
                  </w:r>
                </w:p>
              </w:tc>
              <w:tc>
                <w:tcPr>
                  <w:tcW w:w="600" w:type="dxa"/>
                  <w:vAlign w:val="center"/>
                </w:tcPr>
                <w:p w14:paraId="7E2DC476">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41.0</w:t>
                  </w:r>
                </w:p>
              </w:tc>
              <w:tc>
                <w:tcPr>
                  <w:tcW w:w="615" w:type="dxa"/>
                  <w:vAlign w:val="center"/>
                </w:tcPr>
                <w:p w14:paraId="19E4422E">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35.0</w:t>
                  </w:r>
                </w:p>
              </w:tc>
              <w:tc>
                <w:tcPr>
                  <w:tcW w:w="645" w:type="dxa"/>
                  <w:vAlign w:val="center"/>
                </w:tcPr>
                <w:p w14:paraId="377D493D">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28.9</w:t>
                  </w:r>
                </w:p>
              </w:tc>
              <w:tc>
                <w:tcPr>
                  <w:tcW w:w="690" w:type="dxa"/>
                  <w:vAlign w:val="center"/>
                </w:tcPr>
                <w:p w14:paraId="242C20DE">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25.4</w:t>
                  </w:r>
                </w:p>
              </w:tc>
              <w:tc>
                <w:tcPr>
                  <w:tcW w:w="645" w:type="dxa"/>
                  <w:vAlign w:val="center"/>
                </w:tcPr>
                <w:p w14:paraId="77F2B9BB">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22.9</w:t>
                  </w:r>
                </w:p>
              </w:tc>
              <w:tc>
                <w:tcPr>
                  <w:tcW w:w="720" w:type="dxa"/>
                  <w:vAlign w:val="center"/>
                </w:tcPr>
                <w:p w14:paraId="39AF3F72">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19.4</w:t>
                  </w:r>
                </w:p>
              </w:tc>
              <w:tc>
                <w:tcPr>
                  <w:tcW w:w="660" w:type="dxa"/>
                  <w:vAlign w:val="center"/>
                </w:tcPr>
                <w:p w14:paraId="27130A5D">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16.9</w:t>
                  </w:r>
                </w:p>
              </w:tc>
              <w:tc>
                <w:tcPr>
                  <w:tcW w:w="735" w:type="dxa"/>
                  <w:vAlign w:val="center"/>
                </w:tcPr>
                <w:p w14:paraId="3D9387B4">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15.0</w:t>
                  </w:r>
                </w:p>
              </w:tc>
              <w:tc>
                <w:tcPr>
                  <w:tcW w:w="720" w:type="dxa"/>
                  <w:vAlign w:val="center"/>
                </w:tcPr>
                <w:p w14:paraId="5ACCAEAA">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11.4</w:t>
                  </w:r>
                </w:p>
              </w:tc>
              <w:tc>
                <w:tcPr>
                  <w:tcW w:w="735" w:type="dxa"/>
                  <w:vAlign w:val="center"/>
                </w:tcPr>
                <w:p w14:paraId="0E01FB40">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8.9</w:t>
                  </w:r>
                </w:p>
              </w:tc>
              <w:tc>
                <w:tcPr>
                  <w:tcW w:w="724" w:type="dxa"/>
                  <w:vAlign w:val="center"/>
                </w:tcPr>
                <w:p w14:paraId="0CF8F688">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5.4</w:t>
                  </w:r>
                </w:p>
              </w:tc>
            </w:tr>
            <w:tr w14:paraId="2B70E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909" w:type="dxa"/>
                  <w:vAlign w:val="center"/>
                </w:tcPr>
                <w:p w14:paraId="18883962">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中型载重车</w:t>
                  </w:r>
                </w:p>
              </w:tc>
              <w:tc>
                <w:tcPr>
                  <w:tcW w:w="600" w:type="dxa"/>
                  <w:vAlign w:val="center"/>
                </w:tcPr>
                <w:p w14:paraId="14704499">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45.0</w:t>
                  </w:r>
                </w:p>
              </w:tc>
              <w:tc>
                <w:tcPr>
                  <w:tcW w:w="615" w:type="dxa"/>
                  <w:vAlign w:val="center"/>
                </w:tcPr>
                <w:p w14:paraId="78FABD91">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39.0</w:t>
                  </w:r>
                </w:p>
              </w:tc>
              <w:tc>
                <w:tcPr>
                  <w:tcW w:w="645" w:type="dxa"/>
                  <w:vAlign w:val="center"/>
                </w:tcPr>
                <w:p w14:paraId="408D3F14">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32.9</w:t>
                  </w:r>
                </w:p>
              </w:tc>
              <w:tc>
                <w:tcPr>
                  <w:tcW w:w="690" w:type="dxa"/>
                  <w:vAlign w:val="center"/>
                </w:tcPr>
                <w:p w14:paraId="6B50C16C">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29.4</w:t>
                  </w:r>
                </w:p>
              </w:tc>
              <w:tc>
                <w:tcPr>
                  <w:tcW w:w="645" w:type="dxa"/>
                  <w:vAlign w:val="center"/>
                </w:tcPr>
                <w:p w14:paraId="2DA02847">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26.9</w:t>
                  </w:r>
                </w:p>
              </w:tc>
              <w:tc>
                <w:tcPr>
                  <w:tcW w:w="720" w:type="dxa"/>
                  <w:vAlign w:val="center"/>
                </w:tcPr>
                <w:p w14:paraId="2A7E6D49">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23.4</w:t>
                  </w:r>
                </w:p>
              </w:tc>
              <w:tc>
                <w:tcPr>
                  <w:tcW w:w="660" w:type="dxa"/>
                  <w:vAlign w:val="center"/>
                </w:tcPr>
                <w:p w14:paraId="400B3E03">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20.9</w:t>
                  </w:r>
                </w:p>
              </w:tc>
              <w:tc>
                <w:tcPr>
                  <w:tcW w:w="735" w:type="dxa"/>
                  <w:vAlign w:val="center"/>
                </w:tcPr>
                <w:p w14:paraId="6060970F">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19.0</w:t>
                  </w:r>
                </w:p>
              </w:tc>
              <w:tc>
                <w:tcPr>
                  <w:tcW w:w="720" w:type="dxa"/>
                  <w:vAlign w:val="center"/>
                </w:tcPr>
                <w:p w14:paraId="0620C11C">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15.4</w:t>
                  </w:r>
                </w:p>
              </w:tc>
              <w:tc>
                <w:tcPr>
                  <w:tcW w:w="735" w:type="dxa"/>
                  <w:vAlign w:val="center"/>
                </w:tcPr>
                <w:p w14:paraId="1C39C359">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12.9</w:t>
                  </w:r>
                </w:p>
              </w:tc>
              <w:tc>
                <w:tcPr>
                  <w:tcW w:w="724" w:type="dxa"/>
                  <w:vAlign w:val="center"/>
                </w:tcPr>
                <w:p w14:paraId="50BE3A15">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9.4</w:t>
                  </w:r>
                </w:p>
              </w:tc>
            </w:tr>
            <w:tr w14:paraId="0C5C7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909" w:type="dxa"/>
                  <w:vAlign w:val="center"/>
                </w:tcPr>
                <w:p w14:paraId="44525CE9">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电钻</w:t>
                  </w:r>
                </w:p>
              </w:tc>
              <w:tc>
                <w:tcPr>
                  <w:tcW w:w="600" w:type="dxa"/>
                  <w:vAlign w:val="center"/>
                </w:tcPr>
                <w:p w14:paraId="7828CC1C">
                  <w:pPr>
                    <w:numPr>
                      <w:ilvl w:val="0"/>
                      <w:numId w:val="0"/>
                    </w:numPr>
                    <w:spacing w:line="240" w:lineRule="auto"/>
                    <w:ind w:left="0" w:leftChars="0" w:firstLine="0" w:firstLineChars="0"/>
                    <w:jc w:val="center"/>
                    <w:rPr>
                      <w:rFonts w:hint="default" w:ascii="Times New Roman" w:hAnsi="Times New Roman" w:eastAsia="宋体" w:cs="Times New Roman"/>
                      <w:color w:val="FF0000"/>
                      <w:sz w:val="21"/>
                      <w:szCs w:val="21"/>
                      <w:vertAlign w:val="baseline"/>
                      <w:lang w:val="en-US" w:eastAsia="zh-CN"/>
                    </w:rPr>
                  </w:pPr>
                  <w:r>
                    <w:rPr>
                      <w:rFonts w:hint="eastAsia" w:cs="Times New Roman"/>
                      <w:color w:val="auto"/>
                      <w:sz w:val="21"/>
                      <w:szCs w:val="21"/>
                      <w:vertAlign w:val="baseline"/>
                      <w:lang w:val="en-US" w:eastAsia="zh-CN"/>
                    </w:rPr>
                    <w:t>56.0</w:t>
                  </w:r>
                </w:p>
              </w:tc>
              <w:tc>
                <w:tcPr>
                  <w:tcW w:w="615" w:type="dxa"/>
                  <w:vAlign w:val="center"/>
                </w:tcPr>
                <w:p w14:paraId="1D986455">
                  <w:pPr>
                    <w:numPr>
                      <w:ilvl w:val="0"/>
                      <w:numId w:val="0"/>
                    </w:numPr>
                    <w:spacing w:line="240" w:lineRule="auto"/>
                    <w:ind w:left="0" w:leftChars="0" w:firstLine="0" w:firstLineChars="0"/>
                    <w:jc w:val="center"/>
                    <w:rPr>
                      <w:rFonts w:hint="default" w:ascii="Times New Roman" w:hAnsi="Times New Roman" w:eastAsia="宋体" w:cs="Times New Roman"/>
                      <w:color w:val="FF0000"/>
                      <w:sz w:val="21"/>
                      <w:szCs w:val="21"/>
                      <w:vertAlign w:val="baseline"/>
                      <w:lang w:val="en-US" w:eastAsia="zh-CN"/>
                    </w:rPr>
                  </w:pPr>
                  <w:r>
                    <w:rPr>
                      <w:rFonts w:hint="eastAsia" w:cs="Times New Roman"/>
                      <w:color w:val="auto"/>
                      <w:sz w:val="21"/>
                      <w:szCs w:val="21"/>
                      <w:vertAlign w:val="baseline"/>
                      <w:lang w:val="en-US" w:eastAsia="zh-CN"/>
                    </w:rPr>
                    <w:t>50.0</w:t>
                  </w:r>
                </w:p>
              </w:tc>
              <w:tc>
                <w:tcPr>
                  <w:tcW w:w="645" w:type="dxa"/>
                  <w:vAlign w:val="center"/>
                </w:tcPr>
                <w:p w14:paraId="2862357C">
                  <w:pPr>
                    <w:numPr>
                      <w:ilvl w:val="0"/>
                      <w:numId w:val="0"/>
                    </w:numPr>
                    <w:spacing w:line="240" w:lineRule="auto"/>
                    <w:ind w:left="0" w:leftChars="0" w:firstLine="0" w:firstLineChars="0"/>
                    <w:jc w:val="center"/>
                    <w:rPr>
                      <w:rFonts w:hint="default" w:ascii="Times New Roman" w:hAnsi="Times New Roman" w:eastAsia="宋体" w:cs="Times New Roman"/>
                      <w:color w:val="FF0000"/>
                      <w:sz w:val="21"/>
                      <w:szCs w:val="21"/>
                      <w:vertAlign w:val="baseline"/>
                      <w:lang w:val="en-US" w:eastAsia="zh-CN"/>
                    </w:rPr>
                  </w:pPr>
                  <w:r>
                    <w:rPr>
                      <w:rFonts w:hint="eastAsia" w:cs="Times New Roman"/>
                      <w:color w:val="auto"/>
                      <w:sz w:val="21"/>
                      <w:szCs w:val="21"/>
                      <w:vertAlign w:val="baseline"/>
                      <w:lang w:val="en-US" w:eastAsia="zh-CN"/>
                    </w:rPr>
                    <w:t>43.9</w:t>
                  </w:r>
                </w:p>
              </w:tc>
              <w:tc>
                <w:tcPr>
                  <w:tcW w:w="690" w:type="dxa"/>
                  <w:vAlign w:val="center"/>
                </w:tcPr>
                <w:p w14:paraId="3F616E6D">
                  <w:pPr>
                    <w:numPr>
                      <w:ilvl w:val="0"/>
                      <w:numId w:val="0"/>
                    </w:numPr>
                    <w:spacing w:line="240" w:lineRule="auto"/>
                    <w:ind w:left="0" w:leftChars="0" w:firstLine="0" w:firstLineChars="0"/>
                    <w:jc w:val="center"/>
                    <w:rPr>
                      <w:rFonts w:hint="default" w:ascii="Times New Roman" w:hAnsi="Times New Roman" w:eastAsia="宋体" w:cs="Times New Roman"/>
                      <w:color w:val="FF0000"/>
                      <w:sz w:val="21"/>
                      <w:szCs w:val="21"/>
                      <w:vertAlign w:val="baseline"/>
                      <w:lang w:val="en-US" w:eastAsia="zh-CN"/>
                    </w:rPr>
                  </w:pPr>
                  <w:r>
                    <w:rPr>
                      <w:rFonts w:hint="eastAsia" w:cs="Times New Roman"/>
                      <w:color w:val="auto"/>
                      <w:sz w:val="21"/>
                      <w:szCs w:val="21"/>
                      <w:vertAlign w:val="baseline"/>
                      <w:lang w:val="en-US" w:eastAsia="zh-CN"/>
                    </w:rPr>
                    <w:t>40.4</w:t>
                  </w:r>
                </w:p>
              </w:tc>
              <w:tc>
                <w:tcPr>
                  <w:tcW w:w="645" w:type="dxa"/>
                  <w:vAlign w:val="center"/>
                </w:tcPr>
                <w:p w14:paraId="783C6F7D">
                  <w:pPr>
                    <w:numPr>
                      <w:ilvl w:val="0"/>
                      <w:numId w:val="0"/>
                    </w:numPr>
                    <w:spacing w:line="240" w:lineRule="auto"/>
                    <w:ind w:left="0" w:leftChars="0" w:firstLine="0" w:firstLineChars="0"/>
                    <w:jc w:val="center"/>
                    <w:rPr>
                      <w:rFonts w:hint="default" w:ascii="Times New Roman" w:hAnsi="Times New Roman" w:eastAsia="宋体" w:cs="Times New Roman"/>
                      <w:color w:val="FF0000"/>
                      <w:sz w:val="21"/>
                      <w:szCs w:val="21"/>
                      <w:vertAlign w:val="baseline"/>
                      <w:lang w:val="en-US" w:eastAsia="zh-CN"/>
                    </w:rPr>
                  </w:pPr>
                  <w:r>
                    <w:rPr>
                      <w:rFonts w:hint="eastAsia" w:cs="Times New Roman"/>
                      <w:color w:val="auto"/>
                      <w:sz w:val="21"/>
                      <w:szCs w:val="21"/>
                      <w:vertAlign w:val="baseline"/>
                      <w:lang w:val="en-US" w:eastAsia="zh-CN"/>
                    </w:rPr>
                    <w:t>37.9</w:t>
                  </w:r>
                </w:p>
              </w:tc>
              <w:tc>
                <w:tcPr>
                  <w:tcW w:w="720" w:type="dxa"/>
                  <w:vAlign w:val="center"/>
                </w:tcPr>
                <w:p w14:paraId="59FCB524">
                  <w:pPr>
                    <w:numPr>
                      <w:ilvl w:val="0"/>
                      <w:numId w:val="0"/>
                    </w:numPr>
                    <w:spacing w:line="240" w:lineRule="auto"/>
                    <w:ind w:left="0" w:leftChars="0" w:firstLine="0" w:firstLineChars="0"/>
                    <w:jc w:val="center"/>
                    <w:rPr>
                      <w:rFonts w:hint="default" w:ascii="Times New Roman" w:hAnsi="Times New Roman" w:eastAsia="宋体" w:cs="Times New Roman"/>
                      <w:color w:val="FF0000"/>
                      <w:sz w:val="21"/>
                      <w:szCs w:val="21"/>
                      <w:vertAlign w:val="baseline"/>
                      <w:lang w:val="en-US" w:eastAsia="zh-CN"/>
                    </w:rPr>
                  </w:pPr>
                  <w:r>
                    <w:rPr>
                      <w:rFonts w:hint="eastAsia" w:cs="Times New Roman"/>
                      <w:color w:val="auto"/>
                      <w:sz w:val="21"/>
                      <w:szCs w:val="21"/>
                      <w:vertAlign w:val="baseline"/>
                      <w:lang w:val="en-US" w:eastAsia="zh-CN"/>
                    </w:rPr>
                    <w:t>34.4</w:t>
                  </w:r>
                </w:p>
              </w:tc>
              <w:tc>
                <w:tcPr>
                  <w:tcW w:w="660" w:type="dxa"/>
                  <w:vAlign w:val="center"/>
                </w:tcPr>
                <w:p w14:paraId="1BBF1A22">
                  <w:pPr>
                    <w:numPr>
                      <w:ilvl w:val="0"/>
                      <w:numId w:val="0"/>
                    </w:numPr>
                    <w:spacing w:line="240" w:lineRule="auto"/>
                    <w:ind w:left="0" w:leftChars="0" w:firstLine="0" w:firstLineChars="0"/>
                    <w:jc w:val="center"/>
                    <w:rPr>
                      <w:rFonts w:hint="default" w:ascii="Times New Roman" w:hAnsi="Times New Roman" w:eastAsia="宋体" w:cs="Times New Roman"/>
                      <w:color w:val="FF0000"/>
                      <w:sz w:val="21"/>
                      <w:szCs w:val="21"/>
                      <w:vertAlign w:val="baseline"/>
                      <w:lang w:val="en-US" w:eastAsia="zh-CN"/>
                    </w:rPr>
                  </w:pPr>
                  <w:r>
                    <w:rPr>
                      <w:rFonts w:hint="eastAsia" w:cs="Times New Roman"/>
                      <w:color w:val="auto"/>
                      <w:sz w:val="21"/>
                      <w:szCs w:val="21"/>
                      <w:vertAlign w:val="baseline"/>
                      <w:lang w:val="en-US" w:eastAsia="zh-CN"/>
                    </w:rPr>
                    <w:t>31.9</w:t>
                  </w:r>
                </w:p>
              </w:tc>
              <w:tc>
                <w:tcPr>
                  <w:tcW w:w="735" w:type="dxa"/>
                  <w:vAlign w:val="center"/>
                </w:tcPr>
                <w:p w14:paraId="56FD0DF0">
                  <w:pPr>
                    <w:numPr>
                      <w:ilvl w:val="0"/>
                      <w:numId w:val="0"/>
                    </w:numPr>
                    <w:spacing w:line="240" w:lineRule="auto"/>
                    <w:ind w:left="0" w:leftChars="0" w:firstLine="0" w:firstLineChars="0"/>
                    <w:jc w:val="center"/>
                    <w:rPr>
                      <w:rFonts w:hint="default" w:ascii="Times New Roman" w:hAnsi="Times New Roman" w:eastAsia="宋体" w:cs="Times New Roman"/>
                      <w:color w:val="FF0000"/>
                      <w:sz w:val="21"/>
                      <w:szCs w:val="21"/>
                      <w:vertAlign w:val="baseline"/>
                      <w:lang w:val="en-US" w:eastAsia="zh-CN"/>
                    </w:rPr>
                  </w:pPr>
                  <w:r>
                    <w:rPr>
                      <w:rFonts w:hint="eastAsia" w:cs="Times New Roman"/>
                      <w:color w:val="auto"/>
                      <w:sz w:val="21"/>
                      <w:szCs w:val="21"/>
                      <w:vertAlign w:val="baseline"/>
                      <w:lang w:val="en-US" w:eastAsia="zh-CN"/>
                    </w:rPr>
                    <w:t>30.0</w:t>
                  </w:r>
                </w:p>
              </w:tc>
              <w:tc>
                <w:tcPr>
                  <w:tcW w:w="720" w:type="dxa"/>
                  <w:vAlign w:val="center"/>
                </w:tcPr>
                <w:p w14:paraId="00791627">
                  <w:pPr>
                    <w:numPr>
                      <w:ilvl w:val="0"/>
                      <w:numId w:val="0"/>
                    </w:numPr>
                    <w:spacing w:line="240" w:lineRule="auto"/>
                    <w:ind w:left="0" w:leftChars="0" w:firstLine="0" w:firstLineChars="0"/>
                    <w:jc w:val="center"/>
                    <w:rPr>
                      <w:rFonts w:hint="default" w:ascii="Times New Roman" w:hAnsi="Times New Roman" w:eastAsia="宋体" w:cs="Times New Roman"/>
                      <w:color w:val="FF0000"/>
                      <w:sz w:val="21"/>
                      <w:szCs w:val="21"/>
                      <w:vertAlign w:val="baseline"/>
                      <w:lang w:val="en-US" w:eastAsia="zh-CN"/>
                    </w:rPr>
                  </w:pPr>
                  <w:r>
                    <w:rPr>
                      <w:rFonts w:hint="eastAsia" w:cs="Times New Roman"/>
                      <w:color w:val="auto"/>
                      <w:sz w:val="21"/>
                      <w:szCs w:val="21"/>
                      <w:vertAlign w:val="baseline"/>
                      <w:lang w:val="en-US" w:eastAsia="zh-CN"/>
                    </w:rPr>
                    <w:t>26.4</w:t>
                  </w:r>
                </w:p>
              </w:tc>
              <w:tc>
                <w:tcPr>
                  <w:tcW w:w="735" w:type="dxa"/>
                  <w:vAlign w:val="center"/>
                </w:tcPr>
                <w:p w14:paraId="3C4DCCDA">
                  <w:pPr>
                    <w:numPr>
                      <w:ilvl w:val="0"/>
                      <w:numId w:val="0"/>
                    </w:numPr>
                    <w:spacing w:line="240" w:lineRule="auto"/>
                    <w:ind w:left="0" w:leftChars="0" w:firstLine="0" w:firstLineChars="0"/>
                    <w:jc w:val="center"/>
                    <w:rPr>
                      <w:rFonts w:hint="default" w:ascii="Times New Roman" w:hAnsi="Times New Roman" w:eastAsia="宋体" w:cs="Times New Roman"/>
                      <w:color w:val="FF0000"/>
                      <w:sz w:val="21"/>
                      <w:szCs w:val="21"/>
                      <w:vertAlign w:val="baseline"/>
                      <w:lang w:val="en-US" w:eastAsia="zh-CN"/>
                    </w:rPr>
                  </w:pPr>
                  <w:r>
                    <w:rPr>
                      <w:rFonts w:hint="eastAsia" w:cs="Times New Roman"/>
                      <w:color w:val="auto"/>
                      <w:sz w:val="21"/>
                      <w:szCs w:val="21"/>
                      <w:vertAlign w:val="baseline"/>
                      <w:lang w:val="en-US" w:eastAsia="zh-CN"/>
                    </w:rPr>
                    <w:t>23.9</w:t>
                  </w:r>
                </w:p>
              </w:tc>
              <w:tc>
                <w:tcPr>
                  <w:tcW w:w="724" w:type="dxa"/>
                  <w:vAlign w:val="center"/>
                </w:tcPr>
                <w:p w14:paraId="5CDF1680">
                  <w:pPr>
                    <w:numPr>
                      <w:ilvl w:val="0"/>
                      <w:numId w:val="0"/>
                    </w:numPr>
                    <w:spacing w:line="240" w:lineRule="auto"/>
                    <w:ind w:left="0" w:leftChars="0" w:firstLine="0" w:firstLineChars="0"/>
                    <w:jc w:val="center"/>
                    <w:rPr>
                      <w:rFonts w:hint="default" w:ascii="Times New Roman" w:hAnsi="Times New Roman" w:eastAsia="宋体" w:cs="Times New Roman"/>
                      <w:color w:val="FF0000"/>
                      <w:sz w:val="21"/>
                      <w:szCs w:val="21"/>
                      <w:vertAlign w:val="baseline"/>
                      <w:lang w:val="en-US" w:eastAsia="zh-CN"/>
                    </w:rPr>
                  </w:pPr>
                  <w:r>
                    <w:rPr>
                      <w:rFonts w:hint="eastAsia" w:cs="Times New Roman"/>
                      <w:color w:val="auto"/>
                      <w:sz w:val="21"/>
                      <w:szCs w:val="21"/>
                      <w:vertAlign w:val="baseline"/>
                      <w:lang w:val="en-US" w:eastAsia="zh-CN"/>
                    </w:rPr>
                    <w:t>20.4</w:t>
                  </w:r>
                </w:p>
              </w:tc>
            </w:tr>
            <w:tr w14:paraId="769FD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909" w:type="dxa"/>
                  <w:vAlign w:val="center"/>
                </w:tcPr>
                <w:p w14:paraId="2FC91CAB">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手工钻</w:t>
                  </w:r>
                </w:p>
              </w:tc>
              <w:tc>
                <w:tcPr>
                  <w:tcW w:w="600" w:type="dxa"/>
                  <w:vAlign w:val="center"/>
                </w:tcPr>
                <w:p w14:paraId="44B914EF">
                  <w:pPr>
                    <w:numPr>
                      <w:ilvl w:val="0"/>
                      <w:numId w:val="0"/>
                    </w:numPr>
                    <w:spacing w:line="240" w:lineRule="auto"/>
                    <w:ind w:left="0" w:leftChars="0" w:firstLine="0" w:firstLineChars="0"/>
                    <w:jc w:val="center"/>
                    <w:rPr>
                      <w:rFonts w:hint="default" w:ascii="Times New Roman" w:hAnsi="Times New Roman" w:eastAsia="宋体" w:cs="Times New Roman"/>
                      <w:color w:val="FF0000"/>
                      <w:sz w:val="21"/>
                      <w:szCs w:val="21"/>
                      <w:vertAlign w:val="baseline"/>
                      <w:lang w:val="en-US" w:eastAsia="zh-CN"/>
                    </w:rPr>
                  </w:pPr>
                  <w:r>
                    <w:rPr>
                      <w:rFonts w:hint="eastAsia" w:cs="Times New Roman"/>
                      <w:color w:val="auto"/>
                      <w:sz w:val="21"/>
                      <w:szCs w:val="21"/>
                      <w:vertAlign w:val="baseline"/>
                      <w:lang w:val="en-US" w:eastAsia="zh-CN"/>
                    </w:rPr>
                    <w:t>51.0</w:t>
                  </w:r>
                </w:p>
              </w:tc>
              <w:tc>
                <w:tcPr>
                  <w:tcW w:w="615" w:type="dxa"/>
                  <w:vAlign w:val="center"/>
                </w:tcPr>
                <w:p w14:paraId="1584814D">
                  <w:pPr>
                    <w:numPr>
                      <w:ilvl w:val="0"/>
                      <w:numId w:val="0"/>
                    </w:numPr>
                    <w:spacing w:line="240" w:lineRule="auto"/>
                    <w:ind w:left="0" w:leftChars="0" w:firstLine="0" w:firstLineChars="0"/>
                    <w:jc w:val="center"/>
                    <w:rPr>
                      <w:rFonts w:hint="default" w:ascii="Times New Roman" w:hAnsi="Times New Roman" w:eastAsia="宋体" w:cs="Times New Roman"/>
                      <w:color w:val="FF0000"/>
                      <w:sz w:val="21"/>
                      <w:szCs w:val="21"/>
                      <w:vertAlign w:val="baseline"/>
                      <w:lang w:val="en-US" w:eastAsia="zh-CN"/>
                    </w:rPr>
                  </w:pPr>
                  <w:r>
                    <w:rPr>
                      <w:rFonts w:hint="eastAsia" w:cs="Times New Roman"/>
                      <w:color w:val="auto"/>
                      <w:sz w:val="21"/>
                      <w:szCs w:val="21"/>
                      <w:vertAlign w:val="baseline"/>
                      <w:lang w:val="en-US" w:eastAsia="zh-CN"/>
                    </w:rPr>
                    <w:t>45</w:t>
                  </w:r>
                </w:p>
              </w:tc>
              <w:tc>
                <w:tcPr>
                  <w:tcW w:w="645" w:type="dxa"/>
                  <w:vAlign w:val="center"/>
                </w:tcPr>
                <w:p w14:paraId="766D1CC2">
                  <w:pPr>
                    <w:numPr>
                      <w:ilvl w:val="0"/>
                      <w:numId w:val="0"/>
                    </w:numPr>
                    <w:spacing w:line="240" w:lineRule="auto"/>
                    <w:ind w:left="0" w:leftChars="0" w:firstLine="0" w:firstLineChars="0"/>
                    <w:jc w:val="center"/>
                    <w:rPr>
                      <w:rFonts w:hint="default" w:ascii="Times New Roman" w:hAnsi="Times New Roman" w:eastAsia="宋体" w:cs="Times New Roman"/>
                      <w:color w:val="FF0000"/>
                      <w:sz w:val="21"/>
                      <w:szCs w:val="21"/>
                      <w:vertAlign w:val="baseline"/>
                      <w:lang w:val="en-US" w:eastAsia="zh-CN"/>
                    </w:rPr>
                  </w:pPr>
                  <w:r>
                    <w:rPr>
                      <w:rFonts w:hint="eastAsia" w:cs="Times New Roman"/>
                      <w:color w:val="auto"/>
                      <w:sz w:val="21"/>
                      <w:szCs w:val="21"/>
                      <w:vertAlign w:val="baseline"/>
                      <w:lang w:val="en-US" w:eastAsia="zh-CN"/>
                    </w:rPr>
                    <w:t>38.9</w:t>
                  </w:r>
                </w:p>
              </w:tc>
              <w:tc>
                <w:tcPr>
                  <w:tcW w:w="690" w:type="dxa"/>
                  <w:vAlign w:val="center"/>
                </w:tcPr>
                <w:p w14:paraId="66C644AF">
                  <w:pPr>
                    <w:numPr>
                      <w:ilvl w:val="0"/>
                      <w:numId w:val="0"/>
                    </w:numPr>
                    <w:spacing w:line="240" w:lineRule="auto"/>
                    <w:ind w:left="0" w:leftChars="0" w:firstLine="0" w:firstLineChars="0"/>
                    <w:jc w:val="center"/>
                    <w:rPr>
                      <w:rFonts w:hint="default" w:ascii="Times New Roman" w:hAnsi="Times New Roman" w:eastAsia="宋体" w:cs="Times New Roman"/>
                      <w:color w:val="FF0000"/>
                      <w:sz w:val="21"/>
                      <w:szCs w:val="21"/>
                      <w:vertAlign w:val="baseline"/>
                      <w:lang w:val="en-US" w:eastAsia="zh-CN"/>
                    </w:rPr>
                  </w:pPr>
                  <w:r>
                    <w:rPr>
                      <w:rFonts w:hint="eastAsia" w:cs="Times New Roman"/>
                      <w:color w:val="auto"/>
                      <w:sz w:val="21"/>
                      <w:szCs w:val="21"/>
                      <w:vertAlign w:val="baseline"/>
                      <w:lang w:val="en-US" w:eastAsia="zh-CN"/>
                    </w:rPr>
                    <w:t>35.4</w:t>
                  </w:r>
                </w:p>
              </w:tc>
              <w:tc>
                <w:tcPr>
                  <w:tcW w:w="645" w:type="dxa"/>
                  <w:vAlign w:val="center"/>
                </w:tcPr>
                <w:p w14:paraId="4E8DBD6E">
                  <w:pPr>
                    <w:numPr>
                      <w:ilvl w:val="0"/>
                      <w:numId w:val="0"/>
                    </w:numPr>
                    <w:spacing w:line="240" w:lineRule="auto"/>
                    <w:ind w:left="0" w:leftChars="0" w:firstLine="0" w:firstLineChars="0"/>
                    <w:jc w:val="center"/>
                    <w:rPr>
                      <w:rFonts w:hint="default" w:ascii="Times New Roman" w:hAnsi="Times New Roman" w:eastAsia="宋体" w:cs="Times New Roman"/>
                      <w:color w:val="FF0000"/>
                      <w:sz w:val="21"/>
                      <w:szCs w:val="21"/>
                      <w:vertAlign w:val="baseline"/>
                      <w:lang w:val="en-US" w:eastAsia="zh-CN"/>
                    </w:rPr>
                  </w:pPr>
                  <w:r>
                    <w:rPr>
                      <w:rFonts w:hint="eastAsia" w:cs="Times New Roman"/>
                      <w:color w:val="auto"/>
                      <w:sz w:val="21"/>
                      <w:szCs w:val="21"/>
                      <w:vertAlign w:val="baseline"/>
                      <w:lang w:val="en-US" w:eastAsia="zh-CN"/>
                    </w:rPr>
                    <w:t>32.9</w:t>
                  </w:r>
                </w:p>
              </w:tc>
              <w:tc>
                <w:tcPr>
                  <w:tcW w:w="720" w:type="dxa"/>
                  <w:vAlign w:val="center"/>
                </w:tcPr>
                <w:p w14:paraId="6ADF361F">
                  <w:pPr>
                    <w:numPr>
                      <w:ilvl w:val="0"/>
                      <w:numId w:val="0"/>
                    </w:numPr>
                    <w:spacing w:line="240" w:lineRule="auto"/>
                    <w:ind w:left="0" w:leftChars="0" w:firstLine="0" w:firstLineChars="0"/>
                    <w:jc w:val="center"/>
                    <w:rPr>
                      <w:rFonts w:hint="default" w:ascii="Times New Roman" w:hAnsi="Times New Roman" w:eastAsia="宋体" w:cs="Times New Roman"/>
                      <w:color w:val="FF0000"/>
                      <w:sz w:val="21"/>
                      <w:szCs w:val="21"/>
                      <w:vertAlign w:val="baseline"/>
                      <w:lang w:val="en-US" w:eastAsia="zh-CN"/>
                    </w:rPr>
                  </w:pPr>
                  <w:r>
                    <w:rPr>
                      <w:rFonts w:hint="eastAsia" w:cs="Times New Roman"/>
                      <w:color w:val="auto"/>
                      <w:sz w:val="21"/>
                      <w:szCs w:val="21"/>
                      <w:vertAlign w:val="baseline"/>
                      <w:lang w:val="en-US" w:eastAsia="zh-CN"/>
                    </w:rPr>
                    <w:t>29.4</w:t>
                  </w:r>
                </w:p>
              </w:tc>
              <w:tc>
                <w:tcPr>
                  <w:tcW w:w="660" w:type="dxa"/>
                  <w:vAlign w:val="center"/>
                </w:tcPr>
                <w:p w14:paraId="170CA7E3">
                  <w:pPr>
                    <w:numPr>
                      <w:ilvl w:val="0"/>
                      <w:numId w:val="0"/>
                    </w:numPr>
                    <w:spacing w:line="240" w:lineRule="auto"/>
                    <w:ind w:left="0" w:leftChars="0" w:firstLine="0" w:firstLineChars="0"/>
                    <w:jc w:val="center"/>
                    <w:rPr>
                      <w:rFonts w:hint="default" w:ascii="Times New Roman" w:hAnsi="Times New Roman" w:eastAsia="宋体" w:cs="Times New Roman"/>
                      <w:color w:val="FF0000"/>
                      <w:sz w:val="21"/>
                      <w:szCs w:val="21"/>
                      <w:vertAlign w:val="baseline"/>
                      <w:lang w:val="en-US" w:eastAsia="zh-CN"/>
                    </w:rPr>
                  </w:pPr>
                  <w:r>
                    <w:rPr>
                      <w:rFonts w:hint="eastAsia" w:cs="Times New Roman"/>
                      <w:color w:val="auto"/>
                      <w:sz w:val="21"/>
                      <w:szCs w:val="21"/>
                      <w:vertAlign w:val="baseline"/>
                      <w:lang w:val="en-US" w:eastAsia="zh-CN"/>
                    </w:rPr>
                    <w:t>26.9</w:t>
                  </w:r>
                </w:p>
              </w:tc>
              <w:tc>
                <w:tcPr>
                  <w:tcW w:w="735" w:type="dxa"/>
                  <w:vAlign w:val="center"/>
                </w:tcPr>
                <w:p w14:paraId="0DA16250">
                  <w:pPr>
                    <w:numPr>
                      <w:ilvl w:val="0"/>
                      <w:numId w:val="0"/>
                    </w:numPr>
                    <w:spacing w:line="240" w:lineRule="auto"/>
                    <w:ind w:left="0" w:leftChars="0" w:firstLine="0" w:firstLineChars="0"/>
                    <w:jc w:val="center"/>
                    <w:rPr>
                      <w:rFonts w:hint="default" w:ascii="Times New Roman" w:hAnsi="Times New Roman" w:eastAsia="宋体" w:cs="Times New Roman"/>
                      <w:color w:val="FF0000"/>
                      <w:sz w:val="21"/>
                      <w:szCs w:val="21"/>
                      <w:vertAlign w:val="baseline"/>
                      <w:lang w:val="en-US" w:eastAsia="zh-CN"/>
                    </w:rPr>
                  </w:pPr>
                  <w:r>
                    <w:rPr>
                      <w:rFonts w:hint="eastAsia" w:cs="Times New Roman"/>
                      <w:color w:val="auto"/>
                      <w:sz w:val="21"/>
                      <w:szCs w:val="21"/>
                      <w:vertAlign w:val="baseline"/>
                      <w:lang w:val="en-US" w:eastAsia="zh-CN"/>
                    </w:rPr>
                    <w:t>25.0</w:t>
                  </w:r>
                </w:p>
              </w:tc>
              <w:tc>
                <w:tcPr>
                  <w:tcW w:w="720" w:type="dxa"/>
                  <w:vAlign w:val="center"/>
                </w:tcPr>
                <w:p w14:paraId="1AEC9F05">
                  <w:pPr>
                    <w:numPr>
                      <w:ilvl w:val="0"/>
                      <w:numId w:val="0"/>
                    </w:numPr>
                    <w:spacing w:line="240" w:lineRule="auto"/>
                    <w:ind w:left="0" w:leftChars="0" w:firstLine="0" w:firstLineChars="0"/>
                    <w:jc w:val="center"/>
                    <w:rPr>
                      <w:rFonts w:hint="default" w:ascii="Times New Roman" w:hAnsi="Times New Roman" w:eastAsia="宋体" w:cs="Times New Roman"/>
                      <w:color w:val="FF0000"/>
                      <w:sz w:val="21"/>
                      <w:szCs w:val="21"/>
                      <w:vertAlign w:val="baseline"/>
                      <w:lang w:val="en-US" w:eastAsia="zh-CN"/>
                    </w:rPr>
                  </w:pPr>
                  <w:r>
                    <w:rPr>
                      <w:rFonts w:hint="eastAsia" w:cs="Times New Roman"/>
                      <w:color w:val="auto"/>
                      <w:sz w:val="21"/>
                      <w:szCs w:val="21"/>
                      <w:vertAlign w:val="baseline"/>
                      <w:lang w:val="en-US" w:eastAsia="zh-CN"/>
                    </w:rPr>
                    <w:t>21.4</w:t>
                  </w:r>
                </w:p>
              </w:tc>
              <w:tc>
                <w:tcPr>
                  <w:tcW w:w="735" w:type="dxa"/>
                  <w:vAlign w:val="center"/>
                </w:tcPr>
                <w:p w14:paraId="5DD77B1A">
                  <w:pPr>
                    <w:numPr>
                      <w:ilvl w:val="0"/>
                      <w:numId w:val="0"/>
                    </w:numPr>
                    <w:spacing w:line="240" w:lineRule="auto"/>
                    <w:ind w:left="0" w:leftChars="0" w:firstLine="0" w:firstLineChars="0"/>
                    <w:jc w:val="center"/>
                    <w:rPr>
                      <w:rFonts w:hint="default" w:ascii="Times New Roman" w:hAnsi="Times New Roman" w:eastAsia="宋体" w:cs="Times New Roman"/>
                      <w:color w:val="FF0000"/>
                      <w:sz w:val="21"/>
                      <w:szCs w:val="21"/>
                      <w:vertAlign w:val="baseline"/>
                      <w:lang w:val="en-US" w:eastAsia="zh-CN"/>
                    </w:rPr>
                  </w:pPr>
                  <w:r>
                    <w:rPr>
                      <w:rFonts w:hint="eastAsia" w:cs="Times New Roman"/>
                      <w:color w:val="auto"/>
                      <w:sz w:val="21"/>
                      <w:szCs w:val="21"/>
                      <w:vertAlign w:val="baseline"/>
                      <w:lang w:val="en-US" w:eastAsia="zh-CN"/>
                    </w:rPr>
                    <w:t>18.9</w:t>
                  </w:r>
                </w:p>
              </w:tc>
              <w:tc>
                <w:tcPr>
                  <w:tcW w:w="724" w:type="dxa"/>
                  <w:vAlign w:val="center"/>
                </w:tcPr>
                <w:p w14:paraId="33BACF85">
                  <w:pPr>
                    <w:numPr>
                      <w:ilvl w:val="0"/>
                      <w:numId w:val="0"/>
                    </w:numPr>
                    <w:spacing w:line="240" w:lineRule="auto"/>
                    <w:ind w:left="0" w:leftChars="0" w:firstLine="0" w:firstLineChars="0"/>
                    <w:jc w:val="center"/>
                    <w:rPr>
                      <w:rFonts w:hint="default" w:ascii="Times New Roman" w:hAnsi="Times New Roman" w:eastAsia="宋体" w:cs="Times New Roman"/>
                      <w:color w:val="FF0000"/>
                      <w:sz w:val="21"/>
                      <w:szCs w:val="21"/>
                      <w:vertAlign w:val="baseline"/>
                      <w:lang w:val="en-US" w:eastAsia="zh-CN"/>
                    </w:rPr>
                  </w:pPr>
                  <w:r>
                    <w:rPr>
                      <w:rFonts w:hint="eastAsia" w:cs="Times New Roman"/>
                      <w:color w:val="auto"/>
                      <w:sz w:val="21"/>
                      <w:szCs w:val="21"/>
                      <w:vertAlign w:val="baseline"/>
                      <w:lang w:val="en-US" w:eastAsia="zh-CN"/>
                    </w:rPr>
                    <w:t>15.4</w:t>
                  </w:r>
                </w:p>
              </w:tc>
            </w:tr>
            <w:tr w14:paraId="5155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909" w:type="dxa"/>
                  <w:vAlign w:val="center"/>
                </w:tcPr>
                <w:p w14:paraId="4425E4EC">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lang w:val="en-US" w:eastAsia="zh-CN"/>
                    </w:rPr>
                    <w:t>轻型载重车</w:t>
                  </w:r>
                </w:p>
              </w:tc>
              <w:tc>
                <w:tcPr>
                  <w:tcW w:w="600" w:type="dxa"/>
                  <w:vAlign w:val="center"/>
                </w:tcPr>
                <w:p w14:paraId="7CCB84B6">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40.0</w:t>
                  </w:r>
                </w:p>
              </w:tc>
              <w:tc>
                <w:tcPr>
                  <w:tcW w:w="615" w:type="dxa"/>
                  <w:vAlign w:val="center"/>
                </w:tcPr>
                <w:p w14:paraId="71A3DC94">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34</w:t>
                  </w:r>
                </w:p>
              </w:tc>
              <w:tc>
                <w:tcPr>
                  <w:tcW w:w="645" w:type="dxa"/>
                  <w:vAlign w:val="center"/>
                </w:tcPr>
                <w:p w14:paraId="7838BEFC">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27.9</w:t>
                  </w:r>
                </w:p>
              </w:tc>
              <w:tc>
                <w:tcPr>
                  <w:tcW w:w="690" w:type="dxa"/>
                  <w:vAlign w:val="center"/>
                </w:tcPr>
                <w:p w14:paraId="0C617CAE">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24.4</w:t>
                  </w:r>
                </w:p>
              </w:tc>
              <w:tc>
                <w:tcPr>
                  <w:tcW w:w="645" w:type="dxa"/>
                  <w:vAlign w:val="center"/>
                </w:tcPr>
                <w:p w14:paraId="56EE71EC">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21.9</w:t>
                  </w:r>
                </w:p>
              </w:tc>
              <w:tc>
                <w:tcPr>
                  <w:tcW w:w="720" w:type="dxa"/>
                  <w:vAlign w:val="center"/>
                </w:tcPr>
                <w:p w14:paraId="634A0F7E">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18.4</w:t>
                  </w:r>
                </w:p>
              </w:tc>
              <w:tc>
                <w:tcPr>
                  <w:tcW w:w="660" w:type="dxa"/>
                  <w:vAlign w:val="center"/>
                </w:tcPr>
                <w:p w14:paraId="7FFD3436">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15.9</w:t>
                  </w:r>
                </w:p>
              </w:tc>
              <w:tc>
                <w:tcPr>
                  <w:tcW w:w="735" w:type="dxa"/>
                  <w:vAlign w:val="center"/>
                </w:tcPr>
                <w:p w14:paraId="7B18322D">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14.0</w:t>
                  </w:r>
                </w:p>
              </w:tc>
              <w:tc>
                <w:tcPr>
                  <w:tcW w:w="720" w:type="dxa"/>
                  <w:vAlign w:val="center"/>
                </w:tcPr>
                <w:p w14:paraId="74F7634A">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10.4</w:t>
                  </w:r>
                </w:p>
              </w:tc>
              <w:tc>
                <w:tcPr>
                  <w:tcW w:w="735" w:type="dxa"/>
                  <w:vAlign w:val="center"/>
                </w:tcPr>
                <w:p w14:paraId="6754F030">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7.9</w:t>
                  </w:r>
                </w:p>
              </w:tc>
              <w:tc>
                <w:tcPr>
                  <w:tcW w:w="724" w:type="dxa"/>
                  <w:vAlign w:val="center"/>
                </w:tcPr>
                <w:p w14:paraId="0E77000F">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4.4</w:t>
                  </w:r>
                </w:p>
              </w:tc>
            </w:tr>
            <w:tr w14:paraId="0B92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09" w:type="dxa"/>
                  <w:vAlign w:val="center"/>
                </w:tcPr>
                <w:p w14:paraId="16E04557">
                  <w:pPr>
                    <w:keepNext w:val="0"/>
                    <w:keepLines w:val="0"/>
                    <w:widowControl/>
                    <w:numPr>
                      <w:ilvl w:val="0"/>
                      <w:numId w:val="0"/>
                    </w:numPr>
                    <w:suppressLineNumbers w:val="0"/>
                    <w:spacing w:line="240" w:lineRule="auto"/>
                    <w:ind w:left="0" w:lef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叠加值</w:t>
                  </w:r>
                </w:p>
              </w:tc>
              <w:tc>
                <w:tcPr>
                  <w:tcW w:w="600" w:type="dxa"/>
                  <w:vAlign w:val="center"/>
                </w:tcPr>
                <w:p w14:paraId="76452B42">
                  <w:pPr>
                    <w:numPr>
                      <w:ilvl w:val="0"/>
                      <w:numId w:val="0"/>
                    </w:numPr>
                    <w:spacing w:line="240" w:lineRule="auto"/>
                    <w:jc w:val="center"/>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65.7</w:t>
                  </w:r>
                </w:p>
              </w:tc>
              <w:tc>
                <w:tcPr>
                  <w:tcW w:w="615" w:type="dxa"/>
                  <w:vAlign w:val="center"/>
                </w:tcPr>
                <w:p w14:paraId="7597A200">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58.6</w:t>
                  </w:r>
                </w:p>
              </w:tc>
              <w:tc>
                <w:tcPr>
                  <w:tcW w:w="645" w:type="dxa"/>
                  <w:vAlign w:val="center"/>
                </w:tcPr>
                <w:p w14:paraId="2DF9E90F">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52.5</w:t>
                  </w:r>
                </w:p>
              </w:tc>
              <w:tc>
                <w:tcPr>
                  <w:tcW w:w="690" w:type="dxa"/>
                  <w:vAlign w:val="center"/>
                </w:tcPr>
                <w:p w14:paraId="0DCADBE3">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49.0</w:t>
                  </w:r>
                </w:p>
              </w:tc>
              <w:tc>
                <w:tcPr>
                  <w:tcW w:w="645" w:type="dxa"/>
                  <w:vAlign w:val="center"/>
                </w:tcPr>
                <w:p w14:paraId="0A4C582D">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46.5</w:t>
                  </w:r>
                </w:p>
              </w:tc>
              <w:tc>
                <w:tcPr>
                  <w:tcW w:w="720" w:type="dxa"/>
                  <w:vAlign w:val="center"/>
                </w:tcPr>
                <w:p w14:paraId="03BD8542">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43.0</w:t>
                  </w:r>
                </w:p>
              </w:tc>
              <w:tc>
                <w:tcPr>
                  <w:tcW w:w="660" w:type="dxa"/>
                  <w:vAlign w:val="center"/>
                </w:tcPr>
                <w:p w14:paraId="3B49834E">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40.5</w:t>
                  </w:r>
                </w:p>
              </w:tc>
              <w:tc>
                <w:tcPr>
                  <w:tcW w:w="735" w:type="dxa"/>
                  <w:vAlign w:val="center"/>
                </w:tcPr>
                <w:p w14:paraId="2F91556F">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38.6</w:t>
                  </w:r>
                </w:p>
              </w:tc>
              <w:tc>
                <w:tcPr>
                  <w:tcW w:w="720" w:type="dxa"/>
                  <w:vAlign w:val="center"/>
                </w:tcPr>
                <w:p w14:paraId="5CCE8673">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35.0</w:t>
                  </w:r>
                </w:p>
              </w:tc>
              <w:tc>
                <w:tcPr>
                  <w:tcW w:w="735" w:type="dxa"/>
                  <w:vAlign w:val="center"/>
                </w:tcPr>
                <w:p w14:paraId="101111D4">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32.5</w:t>
                  </w:r>
                </w:p>
              </w:tc>
              <w:tc>
                <w:tcPr>
                  <w:tcW w:w="724" w:type="dxa"/>
                  <w:vAlign w:val="center"/>
                </w:tcPr>
                <w:p w14:paraId="2468CDBA">
                  <w:pPr>
                    <w:numPr>
                      <w:ilvl w:val="0"/>
                      <w:numId w:val="0"/>
                    </w:numPr>
                    <w:spacing w:line="240" w:lineRule="auto"/>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29.0</w:t>
                  </w:r>
                </w:p>
              </w:tc>
            </w:tr>
          </w:tbl>
          <w:p w14:paraId="3EC921D8">
            <w:pPr>
              <w:numPr>
                <w:ilvl w:val="0"/>
                <w:numId w:val="28"/>
              </w:numPr>
              <w:spacing w:line="360" w:lineRule="auto"/>
              <w:ind w:left="0" w:leftChars="0" w:firstLine="480" w:firstLineChars="200"/>
              <w:rPr>
                <w:rFonts w:hint="eastAsia"/>
                <w:sz w:val="24"/>
                <w:szCs w:val="24"/>
                <w:lang w:val="en-US" w:eastAsia="zh-CN"/>
              </w:rPr>
            </w:pPr>
            <w:r>
              <w:rPr>
                <w:rFonts w:hint="eastAsia"/>
                <w:sz w:val="24"/>
                <w:szCs w:val="24"/>
                <w:lang w:val="en-US" w:eastAsia="zh-CN"/>
              </w:rPr>
              <w:t>噪声预测结果分析</w:t>
            </w:r>
          </w:p>
          <w:p w14:paraId="238DD1E6">
            <w:pPr>
              <w:spacing w:line="360" w:lineRule="auto"/>
              <w:ind w:firstLine="482"/>
              <w:rPr>
                <w:rFonts w:hint="default" w:eastAsia="宋体" w:cs="Times New Roman"/>
                <w:color w:val="auto"/>
                <w:sz w:val="24"/>
                <w:szCs w:val="24"/>
                <w:highlight w:val="none"/>
                <w:lang w:val="en-US" w:eastAsia="zh-CN"/>
              </w:rPr>
            </w:pPr>
            <w:bookmarkStart w:id="0" w:name="OLE_LINK21"/>
            <w:r>
              <w:rPr>
                <w:rFonts w:hint="default" w:ascii="Times New Roman" w:hAnsi="Times New Roman" w:cs="Times New Roman"/>
                <w:color w:val="auto"/>
                <w:sz w:val="24"/>
                <w:szCs w:val="24"/>
                <w:highlight w:val="none"/>
              </w:rPr>
              <w:t>根据《建筑施工场界环境噪声排放标准》</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GB 12523-2011</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执行标准为：昼间70dB（A）、夜间55dB（A）。</w:t>
            </w:r>
            <w:bookmarkEnd w:id="0"/>
            <w:r>
              <w:rPr>
                <w:rFonts w:hint="default" w:ascii="Times New Roman" w:hAnsi="Times New Roman" w:cs="Times New Roman"/>
                <w:color w:val="auto"/>
                <w:sz w:val="24"/>
                <w:szCs w:val="24"/>
                <w:highlight w:val="none"/>
              </w:rPr>
              <w:t>根据表7-</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w:t>
            </w:r>
            <w:bookmarkStart w:id="1" w:name="OLE_LINK22"/>
            <w:r>
              <w:rPr>
                <w:rFonts w:hint="default" w:ascii="Times New Roman" w:hAnsi="Times New Roman" w:cs="Times New Roman"/>
                <w:color w:val="auto"/>
                <w:sz w:val="24"/>
                <w:szCs w:val="24"/>
                <w:highlight w:val="none"/>
              </w:rPr>
              <w:t>昼间施工机械距施工场界</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m外可达到《建筑施工场界环境噪声排放标准》</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GB 12523-2011</w:t>
            </w:r>
            <w:bookmarkEnd w:id="1"/>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夜间施工距厂界20m可达到</w:t>
            </w:r>
            <w:r>
              <w:rPr>
                <w:rFonts w:hint="default" w:ascii="Times New Roman" w:hAnsi="Times New Roman" w:cs="Times New Roman"/>
                <w:color w:val="auto"/>
                <w:sz w:val="24"/>
                <w:szCs w:val="24"/>
                <w:highlight w:val="none"/>
              </w:rPr>
              <w:t>《建筑施工场界环境噪声排放标准》</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GB 12523-2011</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标准限值的要求。</w:t>
            </w:r>
          </w:p>
          <w:p w14:paraId="1EEBBD61">
            <w:pPr>
              <w:numPr>
                <w:ilvl w:val="0"/>
                <w:numId w:val="28"/>
              </w:numPr>
              <w:spacing w:line="360" w:lineRule="auto"/>
              <w:ind w:left="0" w:leftChars="0" w:firstLine="480" w:firstLineChars="20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环境保护目标噪声预测</w:t>
            </w:r>
          </w:p>
          <w:p w14:paraId="57C58E31">
            <w:pPr>
              <w:numPr>
                <w:ilvl w:val="0"/>
                <w:numId w:val="0"/>
              </w:numPr>
              <w:spacing w:line="360" w:lineRule="auto"/>
              <w:ind w:firstLine="480" w:firstLineChars="200"/>
              <w:rPr>
                <w:rFonts w:hint="default" w:cs="Times New Roman"/>
                <w:color w:val="FF0000"/>
                <w:sz w:val="24"/>
                <w:szCs w:val="24"/>
                <w:highlight w:val="none"/>
                <w:lang w:val="en-US" w:eastAsia="zh-CN"/>
              </w:rPr>
            </w:pPr>
            <w:r>
              <w:rPr>
                <w:rFonts w:hint="eastAsia" w:cs="Times New Roman"/>
                <w:color w:val="FF0000"/>
                <w:sz w:val="24"/>
                <w:szCs w:val="24"/>
                <w:highlight w:val="none"/>
                <w:lang w:val="en-US" w:eastAsia="zh-CN"/>
              </w:rPr>
              <w:t>根据项目环境保护目标与项目所在位置，预测项目环境保护目标在施工阶段的环境噪声值，由于项目5m范围内昼间噪声已达标，项目环境保护目标距离最近为10m，因此，该项目昼间施工对周围环境保护目标的影响不大。项目20m范围外夜间噪声达标，环境保护目标最近为10m，夜间噪声对保护目标有一定影响，</w:t>
            </w:r>
          </w:p>
          <w:p w14:paraId="6406FEAC">
            <w:pPr>
              <w:keepNext w:val="0"/>
              <w:keepLines w:val="0"/>
              <w:widowControl/>
              <w:suppressLineNumbers w:val="0"/>
              <w:spacing w:line="360" w:lineRule="auto"/>
              <w:jc w:val="left"/>
              <w:rPr>
                <w:rFonts w:hint="eastAsia" w:ascii="宋体" w:hAnsi="宋体" w:eastAsia="宋体" w:cs="宋体"/>
                <w:color w:val="FF0000"/>
                <w:kern w:val="0"/>
                <w:sz w:val="24"/>
                <w:szCs w:val="24"/>
                <w:lang w:val="en-US" w:eastAsia="zh-CN" w:bidi="ar"/>
              </w:rPr>
            </w:pPr>
            <w:r>
              <w:rPr>
                <w:rFonts w:hint="eastAsia" w:ascii="宋体" w:hAnsi="宋体" w:eastAsia="宋体" w:cs="宋体"/>
                <w:color w:val="FF0000"/>
                <w:kern w:val="0"/>
                <w:sz w:val="24"/>
                <w:szCs w:val="24"/>
                <w:lang w:val="en-US" w:eastAsia="zh-CN" w:bidi="ar"/>
              </w:rPr>
              <w:t>施工期的噪声源分布较为广泛，实际上的施工机械噪声的影响程度及范围应比理论上的推算要低一些，这种影响在敏感点路段施工的时段内，属短期或瞬时影响。</w:t>
            </w:r>
          </w:p>
          <w:p w14:paraId="6120A542">
            <w:pPr>
              <w:keepNext w:val="0"/>
              <w:keepLines w:val="0"/>
              <w:widowControl/>
              <w:suppressLineNumbers w:val="0"/>
              <w:spacing w:line="360" w:lineRule="auto"/>
              <w:ind w:firstLine="480" w:firstLineChars="200"/>
              <w:jc w:val="left"/>
              <w:rPr>
                <w:rFonts w:hint="eastAsia" w:ascii="宋体" w:hAnsi="宋体" w:cs="宋体"/>
                <w:color w:val="FF0000"/>
                <w:kern w:val="0"/>
                <w:sz w:val="24"/>
                <w:szCs w:val="24"/>
                <w:lang w:val="en-US" w:eastAsia="zh-CN" w:bidi="ar"/>
              </w:rPr>
            </w:pPr>
            <w:r>
              <w:rPr>
                <w:rFonts w:hint="eastAsia" w:ascii="宋体" w:hAnsi="宋体" w:cs="宋体"/>
                <w:color w:val="FF0000"/>
                <w:kern w:val="0"/>
                <w:sz w:val="24"/>
                <w:szCs w:val="24"/>
                <w:lang w:val="en-US" w:eastAsia="zh-CN" w:bidi="ar"/>
              </w:rPr>
              <w:t>为进一步降低噪声对环境保护目标的影响，采取措施如下：</w:t>
            </w:r>
          </w:p>
          <w:p w14:paraId="6398B22C">
            <w:pPr>
              <w:spacing w:line="360" w:lineRule="auto"/>
              <w:ind w:firstLine="480" w:firstLineChars="200"/>
              <w:rPr>
                <w:rFonts w:hint="default" w:ascii="Times New Roman" w:hAnsi="Times New Roman" w:cs="Times New Roman"/>
                <w:color w:val="FF0000"/>
                <w:sz w:val="24"/>
                <w:highlight w:val="none"/>
              </w:rPr>
            </w:pPr>
            <w:r>
              <w:rPr>
                <w:rFonts w:hint="eastAsia" w:ascii="宋体" w:hAnsi="宋体" w:cs="宋体"/>
                <w:color w:val="FF0000"/>
                <w:kern w:val="0"/>
                <w:sz w:val="24"/>
                <w:szCs w:val="24"/>
                <w:lang w:val="en-US" w:eastAsia="zh-CN" w:bidi="ar"/>
              </w:rPr>
              <w:t>①</w:t>
            </w:r>
            <w:r>
              <w:rPr>
                <w:rFonts w:hint="default" w:ascii="Times New Roman" w:hAnsi="Times New Roman" w:cs="Times New Roman"/>
                <w:color w:val="FF0000"/>
                <w:sz w:val="24"/>
                <w:highlight w:val="none"/>
              </w:rPr>
              <w:t>对各声源设备进行合理布局，在</w:t>
            </w:r>
            <w:r>
              <w:rPr>
                <w:rFonts w:hint="default" w:ascii="Times New Roman" w:hAnsi="Times New Roman" w:cs="Times New Roman"/>
                <w:color w:val="FF0000"/>
                <w:spacing w:val="6"/>
                <w:sz w:val="24"/>
                <w:highlight w:val="none"/>
              </w:rPr>
              <w:t>施工现场周边设置遮挡高</w:t>
            </w:r>
            <w:r>
              <w:rPr>
                <w:rFonts w:hint="eastAsia" w:ascii="Times New Roman" w:hAnsi="Times New Roman" w:cs="Times New Roman"/>
                <w:color w:val="FF0000"/>
                <w:spacing w:val="6"/>
                <w:sz w:val="24"/>
                <w:highlight w:val="none"/>
                <w:lang w:val="en-US" w:eastAsia="zh-CN"/>
              </w:rPr>
              <w:t>度</w:t>
            </w:r>
            <w:r>
              <w:rPr>
                <w:rFonts w:hint="eastAsia" w:cs="Times New Roman"/>
                <w:color w:val="FF0000"/>
                <w:spacing w:val="6"/>
                <w:sz w:val="24"/>
                <w:highlight w:val="none"/>
                <w:lang w:val="en-US" w:eastAsia="zh-CN"/>
              </w:rPr>
              <w:t>2.5</w:t>
            </w:r>
            <w:r>
              <w:rPr>
                <w:rFonts w:hint="default" w:ascii="Times New Roman" w:hAnsi="Times New Roman" w:cs="Times New Roman"/>
                <w:color w:val="FF0000"/>
                <w:spacing w:val="6"/>
                <w:sz w:val="24"/>
                <w:highlight w:val="none"/>
              </w:rPr>
              <w:t>m的围挡。</w:t>
            </w:r>
          </w:p>
          <w:p w14:paraId="4D666F0B">
            <w:pPr>
              <w:adjustRightInd w:val="0"/>
              <w:snapToGrid w:val="0"/>
              <w:spacing w:line="360" w:lineRule="auto"/>
              <w:ind w:firstLine="480" w:firstLineChars="200"/>
              <w:rPr>
                <w:rFonts w:hint="default" w:ascii="Times New Roman" w:hAnsi="Times New Roman" w:cs="Times New Roman"/>
                <w:color w:val="FF0000"/>
                <w:sz w:val="24"/>
                <w:highlight w:val="none"/>
              </w:rPr>
            </w:pPr>
            <w:r>
              <w:rPr>
                <w:rFonts w:hint="eastAsia" w:cs="Times New Roman"/>
                <w:color w:val="FF0000"/>
                <w:kern w:val="0"/>
                <w:sz w:val="24"/>
                <w:szCs w:val="24"/>
                <w:lang w:val="en-US" w:eastAsia="zh-CN" w:bidi="ar"/>
              </w:rPr>
              <w:t>②</w:t>
            </w:r>
            <w:r>
              <w:rPr>
                <w:rFonts w:hint="default" w:ascii="Times New Roman" w:hAnsi="Times New Roman" w:cs="Times New Roman"/>
                <w:color w:val="FF0000"/>
                <w:sz w:val="24"/>
                <w:highlight w:val="none"/>
              </w:rPr>
              <w:t>工程运输车辆禁止使用音量高于95分贝的喇叭，合理选择运输路线，车辆行经居民集中区等敏感区域时采取减速、禁鸣措施。</w:t>
            </w:r>
          </w:p>
          <w:p w14:paraId="72E8F02F">
            <w:pPr>
              <w:adjustRightInd w:val="0"/>
              <w:snapToGrid w:val="0"/>
              <w:spacing w:line="360" w:lineRule="auto"/>
              <w:ind w:firstLine="468" w:firstLineChars="195"/>
              <w:rPr>
                <w:rFonts w:hint="default" w:ascii="Times New Roman" w:hAnsi="Times New Roman" w:cs="Times New Roman"/>
                <w:color w:val="FF0000"/>
                <w:sz w:val="24"/>
                <w:highlight w:val="none"/>
              </w:rPr>
            </w:pPr>
            <w:r>
              <w:rPr>
                <w:rFonts w:hint="eastAsia" w:cs="Times New Roman"/>
                <w:color w:val="FF0000"/>
                <w:sz w:val="24"/>
                <w:highlight w:val="none"/>
                <w:lang w:val="en-US" w:eastAsia="zh-CN"/>
              </w:rPr>
              <w:t>③</w:t>
            </w:r>
            <w:r>
              <w:rPr>
                <w:rFonts w:hint="default" w:ascii="Times New Roman" w:hAnsi="Times New Roman" w:cs="Times New Roman"/>
                <w:color w:val="FF0000"/>
                <w:sz w:val="24"/>
                <w:highlight w:val="none"/>
              </w:rPr>
              <w:t>在满足施工需要的前提下，尽可能选取噪声低、振动小、能耗小的先进设备。加强对施工机械的维护保养，避免由于设备性能差而使机械噪声增大的现象发生。</w:t>
            </w:r>
          </w:p>
          <w:p w14:paraId="219D7C7C">
            <w:pPr>
              <w:keepNext w:val="0"/>
              <w:keepLines w:val="0"/>
              <w:widowControl/>
              <w:suppressLineNumbers w:val="0"/>
              <w:ind w:firstLine="480" w:firstLineChars="200"/>
              <w:jc w:val="left"/>
              <w:rPr>
                <w:rFonts w:hint="default" w:ascii="Times New Roman" w:hAnsi="Times New Roman" w:cs="Times New Roman"/>
                <w:color w:val="FF0000"/>
                <w:sz w:val="24"/>
                <w:szCs w:val="24"/>
                <w:highlight w:val="none"/>
              </w:rPr>
            </w:pPr>
            <w:r>
              <w:rPr>
                <w:rFonts w:hint="eastAsia" w:ascii="宋体" w:hAnsi="宋体" w:cs="宋体"/>
                <w:color w:val="FF0000"/>
                <w:kern w:val="0"/>
                <w:sz w:val="24"/>
                <w:szCs w:val="24"/>
                <w:lang w:val="en-US" w:eastAsia="zh-CN" w:bidi="ar"/>
              </w:rPr>
              <w:t>④</w:t>
            </w:r>
            <w:r>
              <w:rPr>
                <w:rFonts w:hint="eastAsia" w:ascii="宋体" w:hAnsi="宋体" w:eastAsia="宋体" w:cs="宋体"/>
                <w:color w:val="FF0000"/>
                <w:kern w:val="0"/>
                <w:sz w:val="24"/>
                <w:szCs w:val="24"/>
                <w:lang w:val="en-US" w:eastAsia="zh-CN" w:bidi="ar"/>
              </w:rPr>
              <w:t>合理确定工程施工场界。施工场地的强噪声设备宜设置在远离居民区的一侧。</w:t>
            </w:r>
          </w:p>
          <w:p w14:paraId="1104A1EB">
            <w:pPr>
              <w:keepNext w:val="0"/>
              <w:keepLines w:val="0"/>
              <w:widowControl/>
              <w:numPr>
                <w:ilvl w:val="0"/>
                <w:numId w:val="0"/>
              </w:numPr>
              <w:suppressLineNumbers w:val="0"/>
              <w:ind w:firstLine="480" w:firstLineChars="200"/>
              <w:jc w:val="left"/>
              <w:rPr>
                <w:rFonts w:hint="default" w:ascii="宋体" w:hAnsi="宋体" w:cs="宋体"/>
                <w:color w:val="FF0000"/>
                <w:kern w:val="0"/>
                <w:sz w:val="24"/>
                <w:szCs w:val="24"/>
                <w:lang w:val="en-US" w:eastAsia="zh-CN" w:bidi="ar"/>
              </w:rPr>
            </w:pPr>
            <w:r>
              <w:rPr>
                <w:rFonts w:hint="eastAsia" w:ascii="宋体" w:hAnsi="宋体" w:cs="宋体"/>
                <w:color w:val="FF0000"/>
                <w:kern w:val="0"/>
                <w:sz w:val="24"/>
                <w:szCs w:val="24"/>
                <w:lang w:val="en-US" w:eastAsia="zh-CN" w:bidi="ar"/>
              </w:rPr>
              <w:t>⑤合理安排施工时间，工程需夜间施工时，必须取得相关部门批准夜间施工的许可证，未取得许可证禁止夜间施工。</w:t>
            </w:r>
          </w:p>
          <w:p w14:paraId="32C2CE80">
            <w:pPr>
              <w:keepNext w:val="0"/>
              <w:keepLines w:val="0"/>
              <w:widowControl/>
              <w:numPr>
                <w:ilvl w:val="0"/>
                <w:numId w:val="0"/>
              </w:numPr>
              <w:suppressLineNumbers w:val="0"/>
              <w:ind w:firstLine="480" w:firstLineChars="200"/>
              <w:jc w:val="left"/>
              <w:rPr>
                <w:rFonts w:hint="eastAsia" w:ascii="宋体" w:hAnsi="宋体" w:eastAsia="宋体" w:cs="宋体"/>
                <w:color w:val="FF0000"/>
                <w:kern w:val="0"/>
                <w:sz w:val="24"/>
                <w:szCs w:val="24"/>
                <w:lang w:val="en-US" w:eastAsia="zh-CN" w:bidi="ar"/>
              </w:rPr>
            </w:pPr>
            <w:r>
              <w:rPr>
                <w:rFonts w:hint="eastAsia" w:ascii="宋体" w:hAnsi="宋体" w:cs="宋体"/>
                <w:color w:val="FF0000"/>
                <w:kern w:val="0"/>
                <w:sz w:val="24"/>
                <w:szCs w:val="24"/>
                <w:lang w:val="en-US" w:eastAsia="zh-CN" w:bidi="ar"/>
              </w:rPr>
              <w:t>⑥</w:t>
            </w:r>
            <w:r>
              <w:rPr>
                <w:rFonts w:hint="eastAsia" w:ascii="宋体" w:hAnsi="宋体" w:eastAsia="宋体" w:cs="宋体"/>
                <w:color w:val="FF0000"/>
                <w:kern w:val="0"/>
                <w:sz w:val="24"/>
                <w:szCs w:val="24"/>
                <w:lang w:val="en-US" w:eastAsia="zh-CN" w:bidi="ar"/>
              </w:rPr>
              <w:t>建设单位在施工沿线标明投诉电话，对投诉问题建设单位应及时与</w:t>
            </w:r>
            <w:r>
              <w:rPr>
                <w:rFonts w:hint="eastAsia" w:ascii="宋体" w:hAnsi="宋体" w:cs="宋体"/>
                <w:color w:val="FF0000"/>
                <w:kern w:val="0"/>
                <w:sz w:val="24"/>
                <w:szCs w:val="24"/>
                <w:lang w:val="en-US" w:eastAsia="zh-CN" w:bidi="ar"/>
              </w:rPr>
              <w:t>当</w:t>
            </w:r>
            <w:r>
              <w:rPr>
                <w:rFonts w:hint="eastAsia" w:ascii="宋体" w:hAnsi="宋体" w:eastAsia="宋体" w:cs="宋体"/>
                <w:color w:val="FF0000"/>
                <w:kern w:val="0"/>
                <w:sz w:val="24"/>
                <w:szCs w:val="24"/>
                <w:lang w:val="en-US" w:eastAsia="zh-CN" w:bidi="ar"/>
              </w:rPr>
              <w:t>地环境保护部门联系，以便及时处理各种环境纠纷。</w:t>
            </w:r>
          </w:p>
          <w:p w14:paraId="7C4A636D">
            <w:pPr>
              <w:keepNext w:val="0"/>
              <w:keepLines w:val="0"/>
              <w:widowControl/>
              <w:suppressLineNumbers w:val="0"/>
              <w:spacing w:line="360" w:lineRule="auto"/>
              <w:ind w:firstLine="480" w:firstLineChars="200"/>
              <w:jc w:val="left"/>
              <w:rPr>
                <w:rFonts w:hint="default" w:ascii="Times New Roman" w:hAnsi="Times New Roman" w:cs="Times New Roman"/>
                <w:color w:val="auto"/>
                <w:sz w:val="24"/>
                <w:highlight w:val="none"/>
                <w:lang w:val="en-US" w:eastAsia="zh-CN"/>
              </w:rPr>
            </w:pPr>
            <w:r>
              <w:rPr>
                <w:rFonts w:hint="eastAsia" w:ascii="宋体" w:hAnsi="宋体" w:eastAsia="宋体" w:cs="宋体"/>
                <w:color w:val="000000"/>
                <w:kern w:val="0"/>
                <w:sz w:val="24"/>
                <w:szCs w:val="24"/>
                <w:lang w:val="en-US" w:eastAsia="zh-CN" w:bidi="ar"/>
              </w:rPr>
              <w:t>总之，该项目施工期间所产生的噪声随着工程竣工，施工噪声的影响将消失，施工噪声对环境的不利影响是暂时的、短期的行为。</w:t>
            </w:r>
          </w:p>
          <w:p w14:paraId="4B8A436A">
            <w:pPr>
              <w:numPr>
                <w:ilvl w:val="0"/>
                <w:numId w:val="30"/>
              </w:numPr>
              <w:bidi w:val="0"/>
              <w:ind w:left="0" w:leftChars="0" w:firstLine="0" w:firstLineChars="0"/>
              <w:rPr>
                <w:rFonts w:hint="eastAsia"/>
                <w:b/>
                <w:bCs/>
                <w:lang w:val="en-US" w:eastAsia="zh-CN"/>
              </w:rPr>
            </w:pPr>
            <w:r>
              <w:rPr>
                <w:rFonts w:hint="eastAsia"/>
                <w:b/>
                <w:bCs/>
                <w:lang w:val="en-US" w:eastAsia="zh-CN"/>
              </w:rPr>
              <w:t>固体废物的环境影响分析</w:t>
            </w:r>
          </w:p>
          <w:p w14:paraId="5EB4B1D4">
            <w:pPr>
              <w:numPr>
                <w:ilvl w:val="0"/>
                <w:numId w:val="0"/>
              </w:numPr>
              <w:bidi w:val="0"/>
              <w:ind w:leftChars="0" w:firstLine="480" w:firstLineChars="200"/>
              <w:rPr>
                <w:rFonts w:hint="default"/>
                <w:b w:val="0"/>
                <w:bCs w:val="0"/>
                <w:lang w:val="en-US" w:eastAsia="zh-CN"/>
              </w:rPr>
            </w:pPr>
            <w:r>
              <w:rPr>
                <w:rFonts w:hint="default"/>
                <w:b w:val="0"/>
                <w:bCs w:val="0"/>
                <w:lang w:val="en-US" w:eastAsia="zh-CN"/>
              </w:rPr>
              <w:t>施工期的固体废物主要有场地平整和地基开挖时产生的废弃土石方、淤泥、建筑垃圾</w:t>
            </w:r>
            <w:r>
              <w:rPr>
                <w:rFonts w:hint="eastAsia"/>
                <w:b w:val="0"/>
                <w:bCs w:val="0"/>
                <w:lang w:val="en-US" w:eastAsia="zh-CN"/>
              </w:rPr>
              <w:t>、废沥青</w:t>
            </w:r>
            <w:r>
              <w:rPr>
                <w:rFonts w:hint="default"/>
                <w:b w:val="0"/>
                <w:bCs w:val="0"/>
                <w:lang w:val="en-US" w:eastAsia="zh-CN"/>
              </w:rPr>
              <w:t>和生活垃圾。</w:t>
            </w:r>
          </w:p>
          <w:p w14:paraId="22A8FC5A">
            <w:pPr>
              <w:numPr>
                <w:ilvl w:val="0"/>
                <w:numId w:val="34"/>
              </w:numPr>
              <w:bidi w:val="0"/>
              <w:ind w:leftChars="0" w:firstLine="482" w:firstLineChars="200"/>
              <w:rPr>
                <w:rFonts w:hint="eastAsia"/>
                <w:b/>
                <w:bCs/>
                <w:lang w:val="en-US" w:eastAsia="zh-CN"/>
              </w:rPr>
            </w:pPr>
            <w:r>
              <w:rPr>
                <w:rFonts w:hint="eastAsia"/>
                <w:b/>
                <w:bCs/>
                <w:lang w:val="en-US" w:eastAsia="zh-CN"/>
              </w:rPr>
              <w:t>土石方</w:t>
            </w:r>
          </w:p>
          <w:p w14:paraId="6E0A370D">
            <w:pPr>
              <w:keepNext w:val="0"/>
              <w:keepLines w:val="0"/>
              <w:widowControl/>
              <w:numPr>
                <w:ilvl w:val="0"/>
                <w:numId w:val="0"/>
              </w:numPr>
              <w:suppressLineNumbers w:val="0"/>
              <w:ind w:firstLine="480" w:firstLineChars="200"/>
              <w:jc w:val="left"/>
              <w:rPr>
                <w:rFonts w:hint="default"/>
                <w:b w:val="0"/>
                <w:bCs w:val="0"/>
                <w:lang w:val="en-US" w:eastAsia="zh-CN"/>
              </w:rPr>
            </w:pPr>
            <w:r>
              <w:rPr>
                <w:rFonts w:hint="eastAsia" w:cs="Times New Roman"/>
                <w:b w:val="0"/>
                <w:bCs w:val="0"/>
                <w:color w:val="auto"/>
                <w:kern w:val="0"/>
                <w:sz w:val="24"/>
                <w:szCs w:val="24"/>
                <w:lang w:val="en-US" w:eastAsia="zh-CN" w:bidi="ar"/>
              </w:rPr>
              <w:t>根据可研，本工程总挖方体积达171508.1m</w:t>
            </w:r>
            <w:r>
              <w:rPr>
                <w:rFonts w:hint="eastAsia" w:cs="Times New Roman"/>
                <w:b w:val="0"/>
                <w:bCs w:val="0"/>
                <w:color w:val="auto"/>
                <w:kern w:val="0"/>
                <w:sz w:val="24"/>
                <w:szCs w:val="24"/>
                <w:vertAlign w:val="superscript"/>
                <w:lang w:val="en-US" w:eastAsia="zh-CN" w:bidi="ar"/>
              </w:rPr>
              <w:t>3</w:t>
            </w:r>
            <w:r>
              <w:rPr>
                <w:rFonts w:hint="eastAsia" w:cs="Times New Roman"/>
                <w:b w:val="0"/>
                <w:bCs w:val="0"/>
                <w:color w:val="auto"/>
                <w:kern w:val="0"/>
                <w:sz w:val="24"/>
                <w:szCs w:val="24"/>
                <w:vertAlign w:val="baseline"/>
                <w:lang w:val="en-US" w:eastAsia="zh-CN" w:bidi="ar"/>
              </w:rPr>
              <w:t>，填方体积为128315.77</w:t>
            </w:r>
            <w:r>
              <w:rPr>
                <w:rFonts w:hint="eastAsia" w:cs="Times New Roman"/>
                <w:b w:val="0"/>
                <w:bCs w:val="0"/>
                <w:color w:val="auto"/>
                <w:kern w:val="0"/>
                <w:sz w:val="24"/>
                <w:szCs w:val="24"/>
                <w:lang w:val="en-US" w:eastAsia="zh-CN" w:bidi="ar"/>
              </w:rPr>
              <w:t>m</w:t>
            </w:r>
            <w:r>
              <w:rPr>
                <w:rFonts w:hint="eastAsia" w:cs="Times New Roman"/>
                <w:b w:val="0"/>
                <w:bCs w:val="0"/>
                <w:color w:val="auto"/>
                <w:kern w:val="0"/>
                <w:sz w:val="24"/>
                <w:szCs w:val="24"/>
                <w:vertAlign w:val="superscript"/>
                <w:lang w:val="en-US" w:eastAsia="zh-CN" w:bidi="ar"/>
              </w:rPr>
              <w:t>3</w:t>
            </w:r>
            <w:r>
              <w:rPr>
                <w:rFonts w:hint="eastAsia" w:cs="Times New Roman"/>
                <w:b w:val="0"/>
                <w:bCs w:val="0"/>
                <w:color w:val="auto"/>
                <w:kern w:val="0"/>
                <w:sz w:val="24"/>
                <w:szCs w:val="24"/>
                <w:vertAlign w:val="baseline"/>
                <w:lang w:val="en-US" w:eastAsia="zh-CN" w:bidi="ar"/>
              </w:rPr>
              <w:t>（回填99816.15m</w:t>
            </w:r>
            <w:r>
              <w:rPr>
                <w:rFonts w:hint="eastAsia" w:cs="Times New Roman"/>
                <w:b w:val="0"/>
                <w:bCs w:val="0"/>
                <w:color w:val="auto"/>
                <w:kern w:val="0"/>
                <w:sz w:val="24"/>
                <w:szCs w:val="24"/>
                <w:vertAlign w:val="superscript"/>
                <w:lang w:val="en-US" w:eastAsia="zh-CN" w:bidi="ar"/>
              </w:rPr>
              <w:t>3</w:t>
            </w:r>
            <w:r>
              <w:rPr>
                <w:rFonts w:hint="eastAsia" w:cs="Times New Roman"/>
                <w:b w:val="0"/>
                <w:bCs w:val="0"/>
                <w:color w:val="auto"/>
                <w:kern w:val="0"/>
                <w:sz w:val="24"/>
                <w:szCs w:val="24"/>
                <w:vertAlign w:val="baseline"/>
                <w:lang w:val="en-US" w:eastAsia="zh-CN" w:bidi="ar"/>
              </w:rPr>
              <w:t>，外购中粗砂28499.62m</w:t>
            </w:r>
            <w:r>
              <w:rPr>
                <w:rFonts w:hint="eastAsia" w:cs="Times New Roman"/>
                <w:b w:val="0"/>
                <w:bCs w:val="0"/>
                <w:color w:val="auto"/>
                <w:kern w:val="0"/>
                <w:sz w:val="24"/>
                <w:szCs w:val="24"/>
                <w:vertAlign w:val="superscript"/>
                <w:lang w:val="en-US" w:eastAsia="zh-CN" w:bidi="ar"/>
              </w:rPr>
              <w:t>3</w:t>
            </w:r>
            <w:r>
              <w:rPr>
                <w:rFonts w:hint="eastAsia" w:cs="Times New Roman"/>
                <w:b w:val="0"/>
                <w:bCs w:val="0"/>
                <w:color w:val="auto"/>
                <w:kern w:val="0"/>
                <w:sz w:val="24"/>
                <w:szCs w:val="24"/>
                <w:vertAlign w:val="baseline"/>
                <w:lang w:val="en-US" w:eastAsia="zh-CN" w:bidi="ar"/>
              </w:rPr>
              <w:t>），需废弃土石方71691.95m</w:t>
            </w:r>
            <w:r>
              <w:rPr>
                <w:rFonts w:hint="eastAsia" w:cs="Times New Roman"/>
                <w:b w:val="0"/>
                <w:bCs w:val="0"/>
                <w:color w:val="auto"/>
                <w:kern w:val="0"/>
                <w:sz w:val="24"/>
                <w:szCs w:val="24"/>
                <w:vertAlign w:val="superscript"/>
                <w:lang w:val="en-US" w:eastAsia="zh-CN" w:bidi="ar"/>
              </w:rPr>
              <w:t>3</w:t>
            </w:r>
            <w:r>
              <w:rPr>
                <w:rFonts w:hint="eastAsia" w:cs="Times New Roman"/>
                <w:b w:val="0"/>
                <w:bCs w:val="0"/>
                <w:color w:val="auto"/>
                <w:kern w:val="0"/>
                <w:sz w:val="24"/>
                <w:szCs w:val="24"/>
                <w:vertAlign w:val="baseline"/>
                <w:lang w:val="en-US" w:eastAsia="zh-CN" w:bidi="ar"/>
              </w:rPr>
              <w:t>。废弃的土石方运往芒市帕底分场水库，施工现场不设集中堆放场，故不会对周围环境产生不利的影响。</w:t>
            </w:r>
          </w:p>
          <w:p w14:paraId="58F465C0">
            <w:pPr>
              <w:numPr>
                <w:ilvl w:val="0"/>
                <w:numId w:val="34"/>
              </w:numPr>
              <w:bidi w:val="0"/>
              <w:ind w:left="0" w:leftChars="0" w:firstLine="482" w:firstLineChars="200"/>
              <w:rPr>
                <w:rFonts w:hint="eastAsia"/>
                <w:b/>
                <w:bCs/>
                <w:lang w:val="en-US" w:eastAsia="zh-CN"/>
              </w:rPr>
            </w:pPr>
            <w:r>
              <w:rPr>
                <w:rFonts w:hint="eastAsia"/>
                <w:b/>
                <w:bCs/>
                <w:lang w:val="en-US" w:eastAsia="zh-CN"/>
              </w:rPr>
              <w:t>淤泥</w:t>
            </w:r>
          </w:p>
          <w:p w14:paraId="54C0BA57">
            <w:pPr>
              <w:numPr>
                <w:ilvl w:val="0"/>
                <w:numId w:val="0"/>
              </w:numPr>
              <w:bidi w:val="0"/>
              <w:ind w:firstLine="480" w:firstLineChars="200"/>
              <w:rPr>
                <w:rFonts w:hint="default"/>
                <w:b w:val="0"/>
                <w:bCs w:val="0"/>
                <w:lang w:val="en-US" w:eastAsia="zh-CN"/>
              </w:rPr>
            </w:pPr>
            <w:r>
              <w:rPr>
                <w:rFonts w:hint="default"/>
                <w:b w:val="0"/>
                <w:bCs w:val="0"/>
                <w:lang w:val="en-US" w:eastAsia="zh-CN"/>
              </w:rPr>
              <w:t>项目在对河道区域施工过程中会有淤泥清出，但由于涉及河道施工的区域较小，产生的淤泥量较少。经抽吸和打捞上来的淤泥用编织袋捆装，放置在河道斜坡上</w:t>
            </w:r>
            <w:r>
              <w:rPr>
                <w:rFonts w:hint="eastAsia"/>
                <w:b w:val="0"/>
                <w:bCs w:val="0"/>
                <w:lang w:val="en-US" w:eastAsia="zh-CN"/>
              </w:rPr>
              <w:t>，</w:t>
            </w:r>
            <w:r>
              <w:rPr>
                <w:rFonts w:hint="default"/>
                <w:b w:val="0"/>
                <w:bCs w:val="0"/>
                <w:lang w:val="en-US" w:eastAsia="zh-CN"/>
              </w:rPr>
              <w:t>待淤泥水分浸出流入河道后，淤泥用于回填处理，对环境影响较小。</w:t>
            </w:r>
          </w:p>
          <w:p w14:paraId="67159048">
            <w:pPr>
              <w:numPr>
                <w:ilvl w:val="0"/>
                <w:numId w:val="34"/>
              </w:numPr>
              <w:bidi w:val="0"/>
              <w:ind w:left="0" w:leftChars="0" w:firstLine="482" w:firstLineChars="200"/>
              <w:rPr>
                <w:rFonts w:hint="eastAsia"/>
                <w:b/>
                <w:bCs/>
                <w:lang w:val="en-US" w:eastAsia="zh-CN"/>
              </w:rPr>
            </w:pPr>
            <w:r>
              <w:rPr>
                <w:rFonts w:hint="eastAsia"/>
                <w:b/>
                <w:bCs/>
                <w:lang w:val="en-US" w:eastAsia="zh-CN"/>
              </w:rPr>
              <w:t>建筑垃圾</w:t>
            </w:r>
          </w:p>
          <w:p w14:paraId="64074DEE">
            <w:pPr>
              <w:numPr>
                <w:ilvl w:val="0"/>
                <w:numId w:val="0"/>
              </w:numPr>
              <w:bidi w:val="0"/>
              <w:ind w:firstLine="480" w:firstLineChars="200"/>
              <w:rPr>
                <w:rFonts w:hint="default"/>
                <w:b w:val="0"/>
                <w:bCs w:val="0"/>
                <w:lang w:val="en-US" w:eastAsia="zh-CN"/>
              </w:rPr>
            </w:pPr>
            <w:r>
              <w:rPr>
                <w:rFonts w:hint="default"/>
                <w:b w:val="0"/>
                <w:bCs w:val="0"/>
                <w:lang w:val="en-US" w:eastAsia="zh-CN"/>
              </w:rPr>
              <w:t>施工期的建筑垃圾是在建筑物的建设、维修过程产生的，主要有土、渣土、废钢筋和各种废钢配件，金属管线废料、各种装饰材料的包装箱、包装袋等、散落的砂浆和混凝土，碎砖和碎混凝土块。这些废弃物基本上不溶解、不腐烂变质，如处理不当，会影响景观和周围环境的质量。本</w:t>
            </w:r>
            <w:r>
              <w:rPr>
                <w:rFonts w:hint="default" w:cs="Times New Roman"/>
                <w:b w:val="0"/>
                <w:bCs w:val="0"/>
                <w:color w:val="000000"/>
                <w:kern w:val="0"/>
                <w:sz w:val="24"/>
                <w:szCs w:val="24"/>
                <w:lang w:val="en-US" w:eastAsia="zh-CN" w:bidi="ar"/>
              </w:rPr>
              <w:t>项目施工期间建筑垃圾发生量为</w:t>
            </w:r>
            <w:r>
              <w:rPr>
                <w:rFonts w:hint="eastAsia" w:cs="Times New Roman"/>
                <w:b w:val="0"/>
                <w:bCs w:val="0"/>
                <w:color w:val="000000"/>
                <w:kern w:val="0"/>
                <w:sz w:val="24"/>
                <w:szCs w:val="24"/>
                <w:lang w:val="en-US" w:eastAsia="zh-CN" w:bidi="ar"/>
              </w:rPr>
              <w:t>1296</w:t>
            </w:r>
            <w:r>
              <w:rPr>
                <w:rFonts w:hint="default" w:cs="Times New Roman"/>
                <w:b w:val="0"/>
                <w:bCs w:val="0"/>
                <w:color w:val="000000"/>
                <w:kern w:val="0"/>
                <w:sz w:val="24"/>
                <w:szCs w:val="24"/>
                <w:lang w:val="en-US" w:eastAsia="zh-CN" w:bidi="ar"/>
              </w:rPr>
              <w:t>t</w:t>
            </w:r>
            <w:r>
              <w:rPr>
                <w:rFonts w:hint="eastAsia" w:cs="Times New Roman"/>
                <w:b w:val="0"/>
                <w:bCs w:val="0"/>
                <w:color w:val="000000"/>
                <w:kern w:val="0"/>
                <w:sz w:val="24"/>
                <w:szCs w:val="24"/>
                <w:lang w:val="en-US" w:eastAsia="zh-CN" w:bidi="ar"/>
              </w:rPr>
              <w:t>，对</w:t>
            </w:r>
            <w:r>
              <w:rPr>
                <w:rFonts w:hint="default"/>
                <w:b w:val="0"/>
                <w:bCs w:val="0"/>
                <w:lang w:val="en-US" w:eastAsia="zh-CN"/>
              </w:rPr>
              <w:t>产生的建筑垃圾进行集中收集、分类回收利用。渣土、砂浆、碎混凝土块等用于场地填方；废钢筋和各种废钢配件等回收综合利用；剩余装饰材料等可回收的回收，不可回收利用的运往城市建设管理部门指定地点堆存，不得随意丢弃，对环境的影响较小。</w:t>
            </w:r>
          </w:p>
          <w:p w14:paraId="33C20896">
            <w:pPr>
              <w:numPr>
                <w:ilvl w:val="0"/>
                <w:numId w:val="34"/>
              </w:numPr>
              <w:bidi w:val="0"/>
              <w:ind w:left="0" w:leftChars="0" w:firstLine="482" w:firstLineChars="200"/>
              <w:rPr>
                <w:rFonts w:hint="eastAsia"/>
                <w:b/>
                <w:bCs/>
                <w:lang w:val="en-US" w:eastAsia="zh-CN"/>
              </w:rPr>
            </w:pPr>
            <w:r>
              <w:rPr>
                <w:rFonts w:hint="eastAsia"/>
                <w:b/>
                <w:bCs/>
                <w:lang w:val="en-US" w:eastAsia="zh-CN"/>
              </w:rPr>
              <w:t>生活垃圾</w:t>
            </w:r>
          </w:p>
          <w:p w14:paraId="2442D743">
            <w:pPr>
              <w:numPr>
                <w:ilvl w:val="0"/>
                <w:numId w:val="0"/>
              </w:numPr>
              <w:bidi w:val="0"/>
              <w:ind w:firstLine="480" w:firstLineChars="200"/>
              <w:rPr>
                <w:rFonts w:hint="default"/>
                <w:b w:val="0"/>
                <w:bCs w:val="0"/>
                <w:lang w:val="en-US" w:eastAsia="zh-CN"/>
              </w:rPr>
            </w:pPr>
            <w:r>
              <w:rPr>
                <w:rFonts w:hint="default"/>
                <w:b w:val="0"/>
                <w:bCs w:val="0"/>
                <w:lang w:val="en-US" w:eastAsia="zh-CN"/>
              </w:rPr>
              <w:t>项目施工期不设施工营地，施工人员不在项目内食宿，因此施工期只有少量施工人员的生活垃圾产生。施工期项目内生活垃圾使用垃圾桶集中收集后委托当地环卫部门及时清运处置，做到日产日清，不得随意堆放、倾倒。</w:t>
            </w:r>
          </w:p>
          <w:p w14:paraId="101D0F36">
            <w:pPr>
              <w:numPr>
                <w:ilvl w:val="0"/>
                <w:numId w:val="0"/>
              </w:numPr>
              <w:bidi w:val="0"/>
              <w:ind w:firstLine="480" w:firstLineChars="200"/>
              <w:rPr>
                <w:rFonts w:hint="default"/>
                <w:b w:val="0"/>
                <w:bCs w:val="0"/>
                <w:lang w:val="en-US" w:eastAsia="zh-CN"/>
              </w:rPr>
            </w:pPr>
            <w:r>
              <w:rPr>
                <w:rFonts w:hint="default"/>
                <w:b w:val="0"/>
                <w:bCs w:val="0"/>
                <w:lang w:val="en-US" w:eastAsia="zh-CN"/>
              </w:rPr>
              <w:t>综上所述，由于项目位于城市区域配套环卫设施齐全，项目施工结束后即可</w:t>
            </w:r>
          </w:p>
          <w:p w14:paraId="2AC3F040">
            <w:pPr>
              <w:numPr>
                <w:ilvl w:val="0"/>
                <w:numId w:val="0"/>
              </w:numPr>
              <w:bidi w:val="0"/>
              <w:rPr>
                <w:rFonts w:hint="default"/>
                <w:b w:val="0"/>
                <w:bCs w:val="0"/>
                <w:lang w:val="en-US" w:eastAsia="zh-CN"/>
              </w:rPr>
            </w:pPr>
            <w:r>
              <w:rPr>
                <w:rFonts w:hint="default"/>
                <w:b w:val="0"/>
                <w:bCs w:val="0"/>
                <w:lang w:val="en-US" w:eastAsia="zh-CN"/>
              </w:rPr>
              <w:t>终止，因此该项目施工期在采取了本评价提出的防治措施后，施工期固体废弃物</w:t>
            </w:r>
          </w:p>
          <w:p w14:paraId="59ADF4F7">
            <w:pPr>
              <w:numPr>
                <w:ilvl w:val="0"/>
                <w:numId w:val="0"/>
              </w:numPr>
              <w:bidi w:val="0"/>
              <w:rPr>
                <w:rFonts w:hint="default"/>
                <w:b w:val="0"/>
                <w:bCs w:val="0"/>
                <w:lang w:val="en-US" w:eastAsia="zh-CN"/>
              </w:rPr>
            </w:pPr>
            <w:r>
              <w:rPr>
                <w:rFonts w:hint="default"/>
                <w:b w:val="0"/>
                <w:bCs w:val="0"/>
                <w:lang w:val="en-US" w:eastAsia="zh-CN"/>
              </w:rPr>
              <w:t>不会对周围环境产生不利影响。</w:t>
            </w:r>
          </w:p>
          <w:p w14:paraId="18E13116">
            <w:pPr>
              <w:numPr>
                <w:ilvl w:val="0"/>
                <w:numId w:val="34"/>
              </w:numPr>
              <w:bidi w:val="0"/>
              <w:ind w:left="0" w:leftChars="0" w:firstLine="482" w:firstLineChars="200"/>
              <w:rPr>
                <w:rFonts w:hint="default"/>
                <w:b/>
                <w:bCs/>
                <w:lang w:val="en-US" w:eastAsia="zh-CN"/>
              </w:rPr>
            </w:pPr>
            <w:r>
              <w:rPr>
                <w:rFonts w:hint="eastAsia"/>
                <w:b/>
                <w:bCs/>
                <w:lang w:val="en-US" w:eastAsia="zh-CN"/>
              </w:rPr>
              <w:t>废沥青</w:t>
            </w:r>
          </w:p>
          <w:p w14:paraId="113C08B3">
            <w:pPr>
              <w:spacing w:line="360" w:lineRule="auto"/>
              <w:ind w:firstLine="480" w:firstLineChars="200"/>
              <w:rPr>
                <w:rFonts w:hint="default" w:cs="Times New Roman"/>
                <w:b w:val="0"/>
                <w:bCs w:val="0"/>
                <w:color w:val="000000"/>
                <w:kern w:val="0"/>
                <w:sz w:val="24"/>
                <w:szCs w:val="24"/>
                <w:lang w:val="en-US" w:eastAsia="zh-CN" w:bidi="ar"/>
              </w:rPr>
            </w:pPr>
            <w:r>
              <w:rPr>
                <w:rFonts w:hint="default" w:ascii="Times New Roman" w:hAnsi="Times New Roman" w:cs="Times New Roman"/>
                <w:sz w:val="24"/>
                <w:lang w:eastAsia="zh-CN"/>
              </w:rPr>
              <w:t>本项目</w:t>
            </w:r>
            <w:r>
              <w:rPr>
                <w:rFonts w:hint="eastAsia" w:cs="Times New Roman"/>
                <w:sz w:val="24"/>
                <w:lang w:val="en-US" w:eastAsia="zh-CN"/>
              </w:rPr>
              <w:t>整治</w:t>
            </w:r>
            <w:r>
              <w:rPr>
                <w:rFonts w:hint="default" w:ascii="Times New Roman" w:hAnsi="Times New Roman" w:cs="Times New Roman"/>
                <w:sz w:val="24"/>
                <w:lang w:eastAsia="zh-CN"/>
              </w:rPr>
              <w:t>道路</w:t>
            </w:r>
            <w:r>
              <w:rPr>
                <w:rFonts w:hint="eastAsia" w:cs="Times New Roman"/>
                <w:sz w:val="24"/>
                <w:lang w:val="en-US" w:eastAsia="zh-CN"/>
              </w:rPr>
              <w:t>使用沥青</w:t>
            </w:r>
            <w:r>
              <w:rPr>
                <w:rFonts w:hint="default" w:ascii="Times New Roman" w:hAnsi="Times New Roman" w:cs="Times New Roman"/>
                <w:sz w:val="24"/>
              </w:rPr>
              <w:t>，在施工过程中会产生会产生一定量的废沥青</w:t>
            </w:r>
            <w:r>
              <w:rPr>
                <w:rFonts w:hint="eastAsia" w:cs="Times New Roman"/>
                <w:sz w:val="24"/>
                <w:lang w:val="en-US" w:eastAsia="zh-CN"/>
              </w:rPr>
              <w:t>及多余沥青</w:t>
            </w:r>
            <w:r>
              <w:rPr>
                <w:rFonts w:hint="default" w:ascii="Times New Roman" w:hAnsi="Times New Roman" w:cs="Times New Roman"/>
                <w:sz w:val="24"/>
              </w:rPr>
              <w:t>。</w:t>
            </w:r>
            <w:r>
              <w:rPr>
                <w:rFonts w:hint="default" w:ascii="Times New Roman" w:hAnsi="Times New Roman" w:cs="Times New Roman"/>
                <w:sz w:val="24"/>
                <w:szCs w:val="24"/>
              </w:rPr>
              <w:t>根据《国家危险废物名录》（2016年</w:t>
            </w:r>
            <w:r>
              <w:rPr>
                <w:rFonts w:hint="eastAsia" w:cs="Times New Roman"/>
                <w:sz w:val="24"/>
                <w:szCs w:val="24"/>
                <w:lang w:eastAsia="zh-CN"/>
              </w:rPr>
              <w:t>）</w:t>
            </w:r>
            <w:r>
              <w:rPr>
                <w:rFonts w:hint="default" w:ascii="Times New Roman" w:hAnsi="Times New Roman" w:cs="Times New Roman"/>
                <w:sz w:val="24"/>
                <w:szCs w:val="24"/>
              </w:rPr>
              <w:t>，废沥青属于HW11精（蒸） 馏残渣，废物代码为900-013-11。废沥青</w:t>
            </w:r>
            <w:r>
              <w:rPr>
                <w:rFonts w:hint="eastAsia" w:cs="Times New Roman"/>
                <w:sz w:val="24"/>
                <w:szCs w:val="24"/>
                <w:lang w:val="en-US" w:eastAsia="zh-CN"/>
              </w:rPr>
              <w:t>和多余沥青</w:t>
            </w:r>
            <w:r>
              <w:rPr>
                <w:rFonts w:hint="default" w:ascii="Times New Roman" w:hAnsi="Times New Roman" w:cs="Times New Roman"/>
                <w:sz w:val="24"/>
                <w:szCs w:val="24"/>
              </w:rPr>
              <w:t>经施工人员统一收集后，交由</w:t>
            </w:r>
            <w:r>
              <w:rPr>
                <w:rFonts w:hint="eastAsia" w:cs="Times New Roman"/>
                <w:sz w:val="24"/>
                <w:szCs w:val="24"/>
                <w:lang w:val="en-US" w:eastAsia="zh-CN"/>
              </w:rPr>
              <w:t>沥青</w:t>
            </w:r>
            <w:r>
              <w:rPr>
                <w:rFonts w:hint="eastAsia" w:cs="Times New Roman"/>
                <w:sz w:val="24"/>
                <w:szCs w:val="24"/>
                <w:lang w:eastAsia="zh-CN"/>
              </w:rPr>
              <w:t>搅拌站回收</w:t>
            </w:r>
            <w:r>
              <w:rPr>
                <w:rFonts w:hint="eastAsia" w:cs="Times New Roman"/>
                <w:sz w:val="24"/>
                <w:szCs w:val="24"/>
                <w:lang w:val="en-US" w:eastAsia="zh-CN"/>
              </w:rPr>
              <w:t>利用</w:t>
            </w:r>
            <w:r>
              <w:rPr>
                <w:rFonts w:hint="default" w:ascii="Times New Roman" w:hAnsi="Times New Roman" w:cs="Times New Roman"/>
                <w:sz w:val="24"/>
                <w:szCs w:val="24"/>
              </w:rPr>
              <w:t>。</w:t>
            </w:r>
          </w:p>
          <w:p w14:paraId="3FE42B92">
            <w:pPr>
              <w:numPr>
                <w:ilvl w:val="0"/>
                <w:numId w:val="30"/>
              </w:numPr>
              <w:bidi w:val="0"/>
              <w:ind w:left="0" w:leftChars="0" w:firstLine="0" w:firstLineChars="0"/>
              <w:rPr>
                <w:rFonts w:hint="eastAsia"/>
                <w:b/>
                <w:bCs/>
                <w:lang w:val="en-US" w:eastAsia="zh-CN"/>
              </w:rPr>
            </w:pPr>
            <w:r>
              <w:rPr>
                <w:rFonts w:hint="eastAsia"/>
                <w:b/>
                <w:bCs/>
                <w:lang w:val="en-US" w:eastAsia="zh-CN"/>
              </w:rPr>
              <w:t>生态影响分析</w:t>
            </w:r>
          </w:p>
          <w:p w14:paraId="12A7A019">
            <w:pPr>
              <w:numPr>
                <w:ilvl w:val="0"/>
                <w:numId w:val="0"/>
              </w:numPr>
              <w:bidi w:val="0"/>
              <w:ind w:leftChars="0" w:firstLine="480" w:firstLineChars="200"/>
              <w:rPr>
                <w:rFonts w:hint="default"/>
                <w:b w:val="0"/>
                <w:bCs w:val="0"/>
                <w:lang w:val="en-US" w:eastAsia="zh-CN"/>
              </w:rPr>
            </w:pPr>
            <w:r>
              <w:rPr>
                <w:rFonts w:hint="default"/>
                <w:b w:val="0"/>
                <w:bCs w:val="0"/>
                <w:lang w:val="en-US" w:eastAsia="zh-CN"/>
              </w:rPr>
              <w:t>本工程为芒市中心城区管廊工程，项目为地下工程不涉及占地。</w:t>
            </w:r>
          </w:p>
          <w:p w14:paraId="2F169F90">
            <w:pPr>
              <w:numPr>
                <w:ilvl w:val="0"/>
                <w:numId w:val="0"/>
              </w:numPr>
              <w:bidi w:val="0"/>
              <w:ind w:leftChars="0" w:firstLine="480" w:firstLineChars="200"/>
              <w:rPr>
                <w:rFonts w:hint="default"/>
                <w:b w:val="0"/>
                <w:bCs w:val="0"/>
                <w:color w:val="FF0000"/>
                <w:lang w:val="en-US" w:eastAsia="zh-CN"/>
              </w:rPr>
            </w:pPr>
            <w:r>
              <w:rPr>
                <w:rFonts w:hint="default"/>
                <w:b w:val="0"/>
                <w:bCs w:val="0"/>
                <w:color w:val="FF0000"/>
                <w:lang w:val="en-US" w:eastAsia="zh-CN"/>
              </w:rPr>
              <w:t>本项目建设对生态环境的影响主要表现在施工期。在施工作业过程、工程临时占地、特殊路基工点对土地利用、植被、水土流失等产生的影响。尤其是在施工前期的路基的填筑或开挖将改变公路用地范围内原有的地形地貌、破坏现有植被，使地表出现局部裸露，这也同时破坏了原有的自然风貌及景观，给雨季带来水土流失的条件。</w:t>
            </w:r>
            <w:r>
              <w:rPr>
                <w:rFonts w:hint="eastAsia"/>
                <w:b w:val="0"/>
                <w:bCs w:val="0"/>
                <w:color w:val="FF0000"/>
                <w:lang w:val="en-US" w:eastAsia="zh-CN"/>
              </w:rPr>
              <w:t>根据勘察和调查，拟建区域内原本是道路，没有重点保护野生动植物，没有古树名木，项目建设对周边区域的生物多样性影响不大。针对水土流失，</w:t>
            </w:r>
            <w:r>
              <w:rPr>
                <w:rFonts w:hint="default"/>
                <w:b w:val="0"/>
                <w:bCs w:val="0"/>
                <w:color w:val="FF0000"/>
                <w:lang w:val="en-US" w:eastAsia="zh-CN"/>
              </w:rPr>
              <w:t>本工程应进行相应的生态补偿，主要措施有占地的青苗补偿等。工程结束后经过清理、整治，基本上可逐渐恢复原有功能。</w:t>
            </w:r>
          </w:p>
          <w:p w14:paraId="04AF2475">
            <w:pPr>
              <w:numPr>
                <w:ilvl w:val="0"/>
                <w:numId w:val="30"/>
              </w:numPr>
              <w:bidi w:val="0"/>
              <w:ind w:left="0" w:leftChars="0" w:firstLine="0" w:firstLineChars="0"/>
              <w:rPr>
                <w:rFonts w:hint="eastAsia"/>
                <w:b/>
                <w:bCs/>
                <w:color w:val="FF0000"/>
                <w:lang w:val="en-US" w:eastAsia="zh-CN"/>
              </w:rPr>
            </w:pPr>
            <w:r>
              <w:rPr>
                <w:rFonts w:hint="eastAsia"/>
                <w:b/>
                <w:bCs/>
                <w:color w:val="FF0000"/>
                <w:lang w:val="en-US" w:eastAsia="zh-CN"/>
              </w:rPr>
              <w:t>地下水影响分析</w:t>
            </w:r>
          </w:p>
          <w:p w14:paraId="06F2B157">
            <w:pPr>
              <w:numPr>
                <w:ilvl w:val="0"/>
                <w:numId w:val="0"/>
              </w:numPr>
              <w:bidi w:val="0"/>
              <w:ind w:leftChars="0" w:firstLine="480" w:firstLineChars="200"/>
              <w:rPr>
                <w:rFonts w:hint="default"/>
                <w:b w:val="0"/>
                <w:bCs w:val="0"/>
                <w:color w:val="FF0000"/>
                <w:lang w:val="en-US" w:eastAsia="zh-CN"/>
              </w:rPr>
            </w:pPr>
            <w:r>
              <w:rPr>
                <w:rFonts w:hint="default"/>
                <w:b w:val="0"/>
                <w:bCs w:val="0"/>
                <w:color w:val="FF0000"/>
                <w:lang w:val="en-US" w:eastAsia="zh-CN"/>
              </w:rPr>
              <w:t>根据芒市地区河流分布以及地下水坡度倾向可判定该地下水为河流渗透补给潜水，其主要补给方式为大气降水及河流渗透补给，以蒸发、渗流为主要排泄方式，因该场区有隔水层(粘性土层)，故地下水略有承压性。该地下水对钢筋结构具有弱腐蚀性，对混凝土不具有腐蚀性，但该场地地下水水位偏高，对天然浅基础施工具有一定的影响，施工时请注意防、排水及支护措施。</w:t>
            </w:r>
          </w:p>
          <w:p w14:paraId="20EBF414">
            <w:pPr>
              <w:numPr>
                <w:ilvl w:val="0"/>
                <w:numId w:val="0"/>
              </w:numPr>
              <w:bidi w:val="0"/>
              <w:ind w:leftChars="0" w:firstLine="480" w:firstLineChars="200"/>
              <w:rPr>
                <w:rFonts w:hint="default"/>
                <w:b w:val="0"/>
                <w:bCs w:val="0"/>
                <w:color w:val="FF0000"/>
                <w:lang w:val="en-US" w:eastAsia="zh-CN"/>
              </w:rPr>
            </w:pPr>
            <w:r>
              <w:rPr>
                <w:rFonts w:hint="default"/>
                <w:b w:val="0"/>
                <w:bCs w:val="0"/>
                <w:color w:val="FF0000"/>
                <w:lang w:val="en-US" w:eastAsia="zh-CN"/>
              </w:rPr>
              <w:t>项目最大开挖深度为</w:t>
            </w:r>
            <w:r>
              <w:rPr>
                <w:rFonts w:hint="eastAsia"/>
                <w:b w:val="0"/>
                <w:bCs w:val="0"/>
                <w:color w:val="FF0000"/>
                <w:lang w:val="en-US" w:eastAsia="zh-CN"/>
              </w:rPr>
              <w:t>管网</w:t>
            </w:r>
            <w:r>
              <w:rPr>
                <w:rFonts w:hint="default"/>
                <w:b w:val="0"/>
                <w:bCs w:val="0"/>
                <w:color w:val="FF0000"/>
                <w:lang w:val="en-US" w:eastAsia="zh-CN"/>
              </w:rPr>
              <w:t>地基开挖深度</w:t>
            </w:r>
            <w:r>
              <w:rPr>
                <w:rFonts w:hint="eastAsia"/>
                <w:b w:val="0"/>
                <w:bCs w:val="0"/>
                <w:color w:val="FF0000"/>
                <w:lang w:val="en-US" w:eastAsia="zh-CN"/>
              </w:rPr>
              <w:t>为</w:t>
            </w:r>
            <w:r>
              <w:rPr>
                <w:rFonts w:hint="default"/>
                <w:b w:val="0"/>
                <w:bCs w:val="0"/>
                <w:color w:val="FF0000"/>
                <w:lang w:val="en-US" w:eastAsia="zh-CN"/>
              </w:rPr>
              <w:t>5.4m，高于基岩裂隙水位，不会因为工程开挖导致地下水位断流，地下水位高于</w:t>
            </w:r>
            <w:r>
              <w:rPr>
                <w:rFonts w:hint="eastAsia"/>
                <w:b w:val="0"/>
                <w:bCs w:val="0"/>
                <w:color w:val="FF0000"/>
                <w:lang w:val="en-US" w:eastAsia="zh-CN"/>
              </w:rPr>
              <w:t>管网</w:t>
            </w:r>
            <w:r>
              <w:rPr>
                <w:rFonts w:hint="default"/>
                <w:b w:val="0"/>
                <w:bCs w:val="0"/>
                <w:color w:val="FF0000"/>
                <w:lang w:val="en-US" w:eastAsia="zh-CN"/>
              </w:rPr>
              <w:t>地基，对地下水环境的影响较</w:t>
            </w:r>
            <w:r>
              <w:rPr>
                <w:rFonts w:hint="eastAsia"/>
                <w:b w:val="0"/>
                <w:bCs w:val="0"/>
                <w:color w:val="FF0000"/>
                <w:lang w:val="en-US" w:eastAsia="zh-CN"/>
              </w:rPr>
              <w:t>小</w:t>
            </w:r>
            <w:r>
              <w:rPr>
                <w:rFonts w:hint="default"/>
                <w:b w:val="0"/>
                <w:bCs w:val="0"/>
                <w:color w:val="FF0000"/>
                <w:lang w:val="en-US" w:eastAsia="zh-CN"/>
              </w:rPr>
              <w:t>。</w:t>
            </w:r>
            <w:r>
              <w:rPr>
                <w:rFonts w:hint="eastAsia"/>
                <w:b w:val="0"/>
                <w:bCs w:val="0"/>
                <w:color w:val="FF0000"/>
                <w:lang w:val="en-US" w:eastAsia="zh-CN"/>
              </w:rPr>
              <w:t>项目施工不会对地下水产生较大影响。</w:t>
            </w:r>
          </w:p>
          <w:p w14:paraId="2FD71006">
            <w:pPr>
              <w:numPr>
                <w:ilvl w:val="0"/>
                <w:numId w:val="0"/>
              </w:numPr>
              <w:bidi w:val="0"/>
              <w:rPr>
                <w:rFonts w:hint="eastAsia"/>
                <w:b/>
                <w:bCs/>
                <w:lang w:val="en-US" w:eastAsia="zh-CN"/>
              </w:rPr>
            </w:pPr>
            <w:r>
              <w:rPr>
                <w:rFonts w:hint="eastAsia"/>
                <w:b/>
                <w:bCs/>
                <w:lang w:val="en-US" w:eastAsia="zh-CN"/>
              </w:rPr>
              <w:t>营运期环境影响分析</w:t>
            </w:r>
          </w:p>
          <w:p w14:paraId="459A06C0">
            <w:pPr>
              <w:numPr>
                <w:ilvl w:val="0"/>
                <w:numId w:val="0"/>
              </w:numPr>
              <w:bidi w:val="0"/>
              <w:ind w:firstLine="480" w:firstLineChars="200"/>
              <w:rPr>
                <w:rFonts w:hint="default"/>
                <w:b w:val="0"/>
                <w:bCs w:val="0"/>
                <w:lang w:val="en-US" w:eastAsia="zh-CN"/>
              </w:rPr>
            </w:pPr>
            <w:r>
              <w:rPr>
                <w:rFonts w:hint="default"/>
                <w:b w:val="0"/>
                <w:bCs w:val="0"/>
                <w:lang w:val="en-US" w:eastAsia="zh-CN"/>
              </w:rPr>
              <w:t>管廊工程随着施工结束，对周围环境的影响经过路面的整理、施工机械的退场以及道路绿化的实施也随之结束。由于地下综合管廊位于地面底下，而且在正常运行条件下，综合管廊不排放任何污染物，主要由管廊的附属设备带来影响。</w:t>
            </w:r>
          </w:p>
          <w:p w14:paraId="450BB860">
            <w:pPr>
              <w:numPr>
                <w:ilvl w:val="0"/>
                <w:numId w:val="0"/>
              </w:numPr>
              <w:bidi w:val="0"/>
              <w:ind w:firstLine="480" w:firstLineChars="200"/>
              <w:rPr>
                <w:rFonts w:hint="default"/>
                <w:b w:val="0"/>
                <w:bCs w:val="0"/>
                <w:lang w:val="en-US" w:eastAsia="zh-CN"/>
              </w:rPr>
            </w:pPr>
            <w:r>
              <w:rPr>
                <w:rFonts w:hint="default"/>
                <w:b w:val="0"/>
                <w:bCs w:val="0"/>
                <w:lang w:val="en-US" w:eastAsia="zh-CN"/>
              </w:rPr>
              <w:t>由于综合管廊设有自然及机械通风口，这些通风口一般设置在绿化带上或人行道内，势必会影响人们的行走和道路两侧的美观。由于综合管廊内无异味，机械通风为间隙运行，因此对行人影响较小。</w:t>
            </w:r>
          </w:p>
          <w:p w14:paraId="57DD361B">
            <w:pPr>
              <w:numPr>
                <w:ilvl w:val="0"/>
                <w:numId w:val="0"/>
              </w:numPr>
              <w:bidi w:val="0"/>
              <w:ind w:firstLine="480" w:firstLineChars="200"/>
              <w:rPr>
                <w:rFonts w:hint="default"/>
                <w:b w:val="0"/>
                <w:bCs w:val="0"/>
                <w:lang w:val="en-US" w:eastAsia="zh-CN"/>
              </w:rPr>
            </w:pPr>
            <w:r>
              <w:rPr>
                <w:rFonts w:hint="default"/>
                <w:b w:val="0"/>
                <w:bCs w:val="0"/>
                <w:lang w:val="en-US" w:eastAsia="zh-CN"/>
              </w:rPr>
              <w:t>综上所述，本工程建成运行后对周围环境影响不大。</w:t>
            </w:r>
          </w:p>
        </w:tc>
      </w:tr>
    </w:tbl>
    <w:p w14:paraId="68763DA5">
      <w:pPr>
        <w:rPr>
          <w:rFonts w:hint="default"/>
          <w:lang w:val="en-US" w:eastAsia="zh-CN"/>
        </w:rPr>
      </w:pPr>
      <w:r>
        <w:rPr>
          <w:rFonts w:hint="default"/>
          <w:lang w:val="en-US" w:eastAsia="zh-CN"/>
        </w:rPr>
        <w:br w:type="page"/>
      </w:r>
    </w:p>
    <w:p w14:paraId="79E538DC">
      <w:pPr>
        <w:pStyle w:val="2"/>
        <w:bidi w:val="0"/>
        <w:rPr>
          <w:rFonts w:hint="eastAsia"/>
          <w:lang w:val="en-US" w:eastAsia="zh-CN"/>
        </w:rPr>
      </w:pPr>
      <w:r>
        <w:rPr>
          <w:rFonts w:hint="eastAsia"/>
          <w:lang w:val="en-US" w:eastAsia="zh-CN"/>
        </w:rPr>
        <w:t>表八、</w:t>
      </w:r>
      <w:r>
        <w:rPr>
          <w:rFonts w:hint="default"/>
        </w:rPr>
        <w:t>建设项目采取的防治措施及治理效果</w:t>
      </w:r>
    </w:p>
    <w:tbl>
      <w:tblPr>
        <w:tblStyle w:val="9"/>
        <w:tblW w:w="8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1538"/>
        <w:gridCol w:w="1850"/>
        <w:gridCol w:w="2207"/>
        <w:gridCol w:w="2063"/>
      </w:tblGrid>
      <w:tr w14:paraId="5F97B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839" w:type="dxa"/>
            <w:tcBorders>
              <w:tl2br w:val="single" w:color="auto" w:sz="4" w:space="0"/>
            </w:tcBorders>
            <w:vAlign w:val="center"/>
          </w:tcPr>
          <w:p w14:paraId="51EC501C">
            <w:pPr>
              <w:spacing w:line="240" w:lineRule="auto"/>
              <w:jc w:val="center"/>
              <w:rPr>
                <w:rFonts w:hint="default" w:ascii="Times New Roman" w:hAnsi="Times New Roman" w:eastAsia="宋体" w:cs="Times New Roman"/>
                <w:b/>
                <w:color w:val="auto"/>
                <w:spacing w:val="-20"/>
                <w:sz w:val="21"/>
                <w:szCs w:val="21"/>
              </w:rPr>
            </w:pPr>
            <w:r>
              <w:rPr>
                <w:rFonts w:hint="default" w:ascii="Times New Roman" w:hAnsi="Times New Roman" w:eastAsia="宋体" w:cs="Times New Roman"/>
                <w:b/>
                <w:color w:val="auto"/>
                <w:spacing w:val="-20"/>
                <w:sz w:val="21"/>
                <w:szCs w:val="21"/>
              </w:rPr>
              <w:t>内容</w:t>
            </w:r>
          </w:p>
          <w:p w14:paraId="68A71342">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类型</w:t>
            </w:r>
          </w:p>
        </w:tc>
        <w:tc>
          <w:tcPr>
            <w:tcW w:w="1538" w:type="dxa"/>
            <w:vAlign w:val="center"/>
          </w:tcPr>
          <w:p w14:paraId="721E7045">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排放源</w:t>
            </w:r>
          </w:p>
          <w:p w14:paraId="34BD5743">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（编号）</w:t>
            </w:r>
          </w:p>
        </w:tc>
        <w:tc>
          <w:tcPr>
            <w:tcW w:w="1850" w:type="dxa"/>
            <w:vAlign w:val="center"/>
          </w:tcPr>
          <w:p w14:paraId="5675C159">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p w14:paraId="099DC5FE">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名称</w:t>
            </w:r>
          </w:p>
        </w:tc>
        <w:tc>
          <w:tcPr>
            <w:tcW w:w="2207" w:type="dxa"/>
            <w:vAlign w:val="center"/>
          </w:tcPr>
          <w:p w14:paraId="5277D369">
            <w:pPr>
              <w:spacing w:line="240" w:lineRule="auto"/>
              <w:jc w:val="center"/>
              <w:rPr>
                <w:rFonts w:hint="eastAsia" w:ascii="Times New Roman" w:hAnsi="Times New Roman" w:eastAsia="宋体" w:cs="Times New Roman"/>
                <w:b/>
                <w:color w:val="auto"/>
                <w:sz w:val="21"/>
                <w:szCs w:val="21"/>
                <w:lang w:eastAsia="zh-CN"/>
              </w:rPr>
            </w:pPr>
            <w:r>
              <w:rPr>
                <w:rFonts w:hint="eastAsia" w:ascii="Times New Roman" w:hAnsi="Times New Roman" w:eastAsia="宋体" w:cs="Times New Roman"/>
                <w:b/>
                <w:color w:val="auto"/>
                <w:sz w:val="21"/>
                <w:szCs w:val="21"/>
                <w:lang w:val="en-US" w:eastAsia="zh-CN"/>
              </w:rPr>
              <w:t>防治措施</w:t>
            </w:r>
          </w:p>
        </w:tc>
        <w:tc>
          <w:tcPr>
            <w:tcW w:w="2063" w:type="dxa"/>
            <w:vAlign w:val="center"/>
          </w:tcPr>
          <w:p w14:paraId="79B04D43">
            <w:pPr>
              <w:spacing w:line="240" w:lineRule="auto"/>
              <w:jc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预期治理效果</w:t>
            </w:r>
          </w:p>
        </w:tc>
      </w:tr>
      <w:tr w14:paraId="16662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9" w:type="dxa"/>
            <w:vMerge w:val="restart"/>
            <w:vAlign w:val="center"/>
          </w:tcPr>
          <w:p w14:paraId="02EC3F80">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大</w:t>
            </w:r>
          </w:p>
          <w:p w14:paraId="5F3A1DDC">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气</w:t>
            </w:r>
          </w:p>
          <w:p w14:paraId="43655808">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w:t>
            </w:r>
          </w:p>
          <w:p w14:paraId="61A51C5B">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染</w:t>
            </w:r>
          </w:p>
          <w:p w14:paraId="2FF3B3A7">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物</w:t>
            </w:r>
          </w:p>
        </w:tc>
        <w:tc>
          <w:tcPr>
            <w:tcW w:w="1538" w:type="dxa"/>
            <w:vAlign w:val="center"/>
          </w:tcPr>
          <w:p w14:paraId="31102411">
            <w:pPr>
              <w:spacing w:line="240" w:lineRule="auto"/>
              <w:jc w:val="center"/>
              <w:rPr>
                <w:rFonts w:hint="default" w:ascii="Times New Roman" w:hAnsi="Times New Roman" w:eastAsia="宋体" w:cs="Times New Roman"/>
                <w:color w:val="auto"/>
                <w:sz w:val="21"/>
                <w:szCs w:val="21"/>
                <w:lang w:val="en-US"/>
              </w:rPr>
            </w:pPr>
            <w:r>
              <w:rPr>
                <w:rFonts w:hint="eastAsia" w:ascii="Times New Roman" w:hAnsi="Times New Roman" w:cs="Times New Roman"/>
                <w:color w:val="auto"/>
                <w:sz w:val="21"/>
                <w:szCs w:val="21"/>
                <w:lang w:val="en-US" w:eastAsia="zh-CN"/>
              </w:rPr>
              <w:t>土方开挖、材料运输</w:t>
            </w:r>
          </w:p>
        </w:tc>
        <w:tc>
          <w:tcPr>
            <w:tcW w:w="1850" w:type="dxa"/>
            <w:vAlign w:val="center"/>
          </w:tcPr>
          <w:p w14:paraId="49F48484">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扬尘</w:t>
            </w:r>
          </w:p>
        </w:tc>
        <w:tc>
          <w:tcPr>
            <w:tcW w:w="2207" w:type="dxa"/>
            <w:vAlign w:val="center"/>
          </w:tcPr>
          <w:p w14:paraId="3F477A6C">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洒水抑尘措施</w:t>
            </w:r>
          </w:p>
        </w:tc>
        <w:tc>
          <w:tcPr>
            <w:tcW w:w="2063" w:type="dxa"/>
            <w:vAlign w:val="center"/>
          </w:tcPr>
          <w:p w14:paraId="3E0AD950">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达到《大气污染物综合排放标准》（GB16297-1996）中的无组织排放</w:t>
            </w:r>
          </w:p>
        </w:tc>
      </w:tr>
      <w:tr w14:paraId="44A48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9" w:type="dxa"/>
            <w:vMerge w:val="continue"/>
            <w:vAlign w:val="center"/>
          </w:tcPr>
          <w:p w14:paraId="1DBBBFF1">
            <w:pPr>
              <w:spacing w:line="240" w:lineRule="auto"/>
              <w:jc w:val="center"/>
              <w:rPr>
                <w:rFonts w:hint="default" w:ascii="Times New Roman" w:hAnsi="Times New Roman" w:eastAsia="宋体" w:cs="Times New Roman"/>
                <w:b/>
                <w:color w:val="auto"/>
                <w:sz w:val="21"/>
                <w:szCs w:val="21"/>
              </w:rPr>
            </w:pPr>
          </w:p>
        </w:tc>
        <w:tc>
          <w:tcPr>
            <w:tcW w:w="1538" w:type="dxa"/>
            <w:vAlign w:val="center"/>
          </w:tcPr>
          <w:p w14:paraId="3AECC480">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道路整治</w:t>
            </w:r>
          </w:p>
        </w:tc>
        <w:tc>
          <w:tcPr>
            <w:tcW w:w="1850" w:type="dxa"/>
            <w:vAlign w:val="center"/>
          </w:tcPr>
          <w:p w14:paraId="251CBC95">
            <w:pPr>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沥青烟</w:t>
            </w:r>
          </w:p>
        </w:tc>
        <w:tc>
          <w:tcPr>
            <w:tcW w:w="2207" w:type="dxa"/>
            <w:vAlign w:val="center"/>
          </w:tcPr>
          <w:p w14:paraId="3583921B">
            <w:pPr>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highlight w:val="none"/>
                <w:lang w:eastAsia="zh-CN"/>
              </w:rPr>
              <w:t>自然扩</w:t>
            </w:r>
            <w:r>
              <w:rPr>
                <w:rFonts w:hint="eastAsia" w:cs="Times New Roman"/>
                <w:color w:val="auto"/>
                <w:sz w:val="21"/>
                <w:szCs w:val="21"/>
                <w:highlight w:val="none"/>
                <w:lang w:val="en-US" w:eastAsia="zh-CN"/>
              </w:rPr>
              <w:t>散</w:t>
            </w:r>
            <w:r>
              <w:rPr>
                <w:rFonts w:hint="eastAsia" w:cs="Times New Roman"/>
                <w:color w:val="auto"/>
                <w:sz w:val="21"/>
                <w:szCs w:val="21"/>
                <w:highlight w:val="none"/>
                <w:lang w:eastAsia="zh-CN"/>
              </w:rPr>
              <w:t>及空气稀释</w:t>
            </w:r>
          </w:p>
        </w:tc>
        <w:tc>
          <w:tcPr>
            <w:tcW w:w="2063" w:type="dxa"/>
            <w:vAlign w:val="center"/>
          </w:tcPr>
          <w:p w14:paraId="355A4748">
            <w:pPr>
              <w:spacing w:line="240" w:lineRule="auto"/>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highlight w:val="none"/>
                <w:lang w:eastAsia="zh-CN"/>
              </w:rPr>
              <w:t>对周围环境</w:t>
            </w:r>
            <w:r>
              <w:rPr>
                <w:rFonts w:hint="eastAsia" w:cs="Times New Roman"/>
                <w:color w:val="auto"/>
                <w:sz w:val="21"/>
                <w:szCs w:val="21"/>
                <w:highlight w:val="none"/>
                <w:lang w:val="en-US" w:eastAsia="zh-CN"/>
              </w:rPr>
              <w:t>空气</w:t>
            </w:r>
            <w:r>
              <w:rPr>
                <w:rFonts w:hint="eastAsia" w:cs="Times New Roman"/>
                <w:color w:val="auto"/>
                <w:sz w:val="21"/>
                <w:szCs w:val="21"/>
                <w:highlight w:val="none"/>
                <w:lang w:eastAsia="zh-CN"/>
              </w:rPr>
              <w:t>影响不大</w:t>
            </w:r>
          </w:p>
        </w:tc>
      </w:tr>
      <w:tr w14:paraId="478C0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9" w:type="dxa"/>
            <w:vMerge w:val="continue"/>
            <w:vAlign w:val="center"/>
          </w:tcPr>
          <w:p w14:paraId="45B1DE73">
            <w:pPr>
              <w:spacing w:line="240" w:lineRule="auto"/>
              <w:jc w:val="center"/>
              <w:rPr>
                <w:rFonts w:hint="default" w:ascii="Times New Roman" w:hAnsi="Times New Roman" w:eastAsia="宋体" w:cs="Times New Roman"/>
                <w:b/>
                <w:color w:val="auto"/>
                <w:sz w:val="21"/>
                <w:szCs w:val="21"/>
              </w:rPr>
            </w:pPr>
          </w:p>
        </w:tc>
        <w:tc>
          <w:tcPr>
            <w:tcW w:w="1538" w:type="dxa"/>
            <w:vAlign w:val="center"/>
          </w:tcPr>
          <w:p w14:paraId="240566AF">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机械废气及车辆尾气</w:t>
            </w:r>
          </w:p>
        </w:tc>
        <w:tc>
          <w:tcPr>
            <w:tcW w:w="1850" w:type="dxa"/>
            <w:vAlign w:val="center"/>
          </w:tcPr>
          <w:p w14:paraId="7DFE18B1">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x</w:t>
            </w:r>
            <w:r>
              <w:rPr>
                <w:rFonts w:hint="eastAsia" w:ascii="Times New Roman" w:hAnsi="Times New Roman" w:cs="Times New Roman"/>
                <w:color w:val="auto"/>
                <w:sz w:val="21"/>
                <w:szCs w:val="21"/>
                <w:vertAlign w:val="subscript"/>
                <w:lang w:eastAsia="zh-CN"/>
              </w:rPr>
              <w:t>、</w:t>
            </w:r>
            <w:r>
              <w:rPr>
                <w:rFonts w:hint="default" w:ascii="Times New Roman" w:hAnsi="Times New Roman" w:eastAsia="宋体" w:cs="Times New Roman"/>
                <w:color w:val="auto"/>
                <w:sz w:val="21"/>
                <w:szCs w:val="21"/>
              </w:rPr>
              <w:t>THC</w:t>
            </w:r>
          </w:p>
        </w:tc>
        <w:tc>
          <w:tcPr>
            <w:tcW w:w="2207" w:type="dxa"/>
            <w:vAlign w:val="center"/>
          </w:tcPr>
          <w:p w14:paraId="6FD108D5">
            <w:pPr>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自然扩散、空气</w:t>
            </w:r>
            <w:r>
              <w:rPr>
                <w:rFonts w:hint="default" w:ascii="Times New Roman" w:hAnsi="Times New Roman" w:eastAsia="宋体" w:cs="Times New Roman"/>
                <w:color w:val="auto"/>
                <w:sz w:val="21"/>
                <w:szCs w:val="21"/>
              </w:rPr>
              <w:t>稀释</w:t>
            </w:r>
          </w:p>
        </w:tc>
        <w:tc>
          <w:tcPr>
            <w:tcW w:w="2063" w:type="dxa"/>
            <w:vAlign w:val="center"/>
          </w:tcPr>
          <w:p w14:paraId="518485BC">
            <w:pPr>
              <w:spacing w:line="240" w:lineRule="auto"/>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对周围环境空气影响较小</w:t>
            </w:r>
          </w:p>
        </w:tc>
      </w:tr>
      <w:tr w14:paraId="5760E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839" w:type="dxa"/>
            <w:vMerge w:val="restart"/>
            <w:vAlign w:val="center"/>
          </w:tcPr>
          <w:p w14:paraId="6ADA5E83">
            <w:pPr>
              <w:spacing w:line="240" w:lineRule="auto"/>
              <w:jc w:val="center"/>
              <w:rPr>
                <w:rFonts w:hint="eastAsia" w:ascii="Times New Roman" w:hAnsi="Times New Roman" w:eastAsia="宋体" w:cs="Times New Roman"/>
                <w:b/>
                <w:color w:val="auto"/>
                <w:sz w:val="21"/>
                <w:szCs w:val="21"/>
                <w:lang w:val="en-US" w:eastAsia="zh-CN"/>
              </w:rPr>
            </w:pPr>
            <w:r>
              <w:rPr>
                <w:rFonts w:hint="eastAsia" w:ascii="Times New Roman" w:hAnsi="Times New Roman" w:cs="Times New Roman"/>
                <w:b/>
                <w:color w:val="auto"/>
                <w:sz w:val="21"/>
                <w:szCs w:val="21"/>
                <w:lang w:val="en-US" w:eastAsia="zh-CN"/>
              </w:rPr>
              <w:t>水污染物</w:t>
            </w:r>
          </w:p>
        </w:tc>
        <w:tc>
          <w:tcPr>
            <w:tcW w:w="1538" w:type="dxa"/>
            <w:vAlign w:val="center"/>
          </w:tcPr>
          <w:p w14:paraId="0BF507BA">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建筑</w:t>
            </w:r>
          </w:p>
        </w:tc>
        <w:tc>
          <w:tcPr>
            <w:tcW w:w="1850" w:type="dxa"/>
            <w:vAlign w:val="center"/>
          </w:tcPr>
          <w:p w14:paraId="6050F120">
            <w:pPr>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施工废水</w:t>
            </w:r>
          </w:p>
        </w:tc>
        <w:tc>
          <w:tcPr>
            <w:tcW w:w="2207" w:type="dxa"/>
            <w:vAlign w:val="center"/>
          </w:tcPr>
          <w:p w14:paraId="60B1E895">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经</w:t>
            </w:r>
            <w:r>
              <w:rPr>
                <w:rFonts w:hint="eastAsia" w:cs="Times New Roman"/>
                <w:color w:val="auto"/>
                <w:sz w:val="21"/>
                <w:szCs w:val="21"/>
                <w:lang w:val="en-US" w:eastAsia="zh-CN"/>
              </w:rPr>
              <w:t>沉砂池</w:t>
            </w:r>
            <w:r>
              <w:rPr>
                <w:rFonts w:hint="eastAsia" w:ascii="Times New Roman" w:hAnsi="Times New Roman" w:cs="Times New Roman"/>
                <w:color w:val="auto"/>
                <w:sz w:val="21"/>
                <w:szCs w:val="21"/>
                <w:lang w:val="en-US" w:eastAsia="zh-CN"/>
              </w:rPr>
              <w:t>处理后回用于项目洒水降尘</w:t>
            </w:r>
          </w:p>
        </w:tc>
        <w:tc>
          <w:tcPr>
            <w:tcW w:w="2063" w:type="dxa"/>
            <w:vAlign w:val="center"/>
          </w:tcPr>
          <w:p w14:paraId="3081B1A3">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不外排</w:t>
            </w:r>
          </w:p>
        </w:tc>
      </w:tr>
      <w:tr w14:paraId="0B78F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839" w:type="dxa"/>
            <w:vMerge w:val="continue"/>
            <w:vAlign w:val="center"/>
          </w:tcPr>
          <w:p w14:paraId="64A4A475">
            <w:pPr>
              <w:spacing w:line="240" w:lineRule="auto"/>
              <w:jc w:val="center"/>
              <w:rPr>
                <w:rFonts w:hint="default" w:ascii="Times New Roman" w:hAnsi="Times New Roman" w:eastAsia="宋体" w:cs="Times New Roman"/>
                <w:b/>
                <w:color w:val="auto"/>
                <w:sz w:val="21"/>
                <w:szCs w:val="21"/>
              </w:rPr>
            </w:pPr>
          </w:p>
        </w:tc>
        <w:tc>
          <w:tcPr>
            <w:tcW w:w="1538" w:type="dxa"/>
            <w:vAlign w:val="center"/>
          </w:tcPr>
          <w:p w14:paraId="5F337F5D">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施工人员</w:t>
            </w:r>
          </w:p>
        </w:tc>
        <w:tc>
          <w:tcPr>
            <w:tcW w:w="1850" w:type="dxa"/>
            <w:vAlign w:val="center"/>
          </w:tcPr>
          <w:p w14:paraId="3D468EA1">
            <w:pPr>
              <w:spacing w:line="24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生活污水</w:t>
            </w:r>
          </w:p>
        </w:tc>
        <w:tc>
          <w:tcPr>
            <w:tcW w:w="4270" w:type="dxa"/>
            <w:gridSpan w:val="2"/>
            <w:vAlign w:val="center"/>
          </w:tcPr>
          <w:p w14:paraId="0B64F376">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依托项目周边厕所，不产生施工生活污水</w:t>
            </w:r>
          </w:p>
        </w:tc>
      </w:tr>
      <w:tr w14:paraId="3D46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839" w:type="dxa"/>
            <w:vMerge w:val="continue"/>
            <w:vAlign w:val="center"/>
          </w:tcPr>
          <w:p w14:paraId="3AD46603">
            <w:pPr>
              <w:spacing w:line="240" w:lineRule="auto"/>
              <w:jc w:val="center"/>
              <w:rPr>
                <w:rFonts w:hint="default" w:ascii="Times New Roman" w:hAnsi="Times New Roman" w:eastAsia="宋体" w:cs="Times New Roman"/>
                <w:b/>
                <w:color w:val="auto"/>
                <w:sz w:val="21"/>
                <w:szCs w:val="21"/>
              </w:rPr>
            </w:pPr>
          </w:p>
        </w:tc>
        <w:tc>
          <w:tcPr>
            <w:tcW w:w="1538" w:type="dxa"/>
            <w:vAlign w:val="center"/>
          </w:tcPr>
          <w:p w14:paraId="0F5C32AE">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地表雨水</w:t>
            </w:r>
          </w:p>
        </w:tc>
        <w:tc>
          <w:tcPr>
            <w:tcW w:w="1850" w:type="dxa"/>
            <w:vAlign w:val="center"/>
          </w:tcPr>
          <w:p w14:paraId="0D336930">
            <w:pPr>
              <w:spacing w:line="240"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雨水</w:t>
            </w:r>
          </w:p>
        </w:tc>
        <w:tc>
          <w:tcPr>
            <w:tcW w:w="2207" w:type="dxa"/>
            <w:vAlign w:val="center"/>
          </w:tcPr>
          <w:p w14:paraId="4E15175D">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eastAsia="zh-CN"/>
              </w:rPr>
              <w:t>临时沉砂池</w:t>
            </w:r>
            <w:r>
              <w:rPr>
                <w:rFonts w:hint="eastAsia" w:cs="Times New Roman"/>
                <w:color w:val="auto"/>
                <w:sz w:val="21"/>
                <w:szCs w:val="21"/>
                <w:lang w:val="en-US" w:eastAsia="zh-CN"/>
              </w:rPr>
              <w:t>收集处理雨水后回用于项目洒水降尘</w:t>
            </w:r>
          </w:p>
        </w:tc>
        <w:tc>
          <w:tcPr>
            <w:tcW w:w="2063" w:type="dxa"/>
            <w:vAlign w:val="center"/>
          </w:tcPr>
          <w:p w14:paraId="00839F93">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处置率100%</w:t>
            </w:r>
          </w:p>
        </w:tc>
      </w:tr>
      <w:tr w14:paraId="1FE57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839" w:type="dxa"/>
            <w:vMerge w:val="restart"/>
            <w:vAlign w:val="center"/>
          </w:tcPr>
          <w:p w14:paraId="74EA4794">
            <w:pPr>
              <w:spacing w:line="240" w:lineRule="auto"/>
              <w:jc w:val="center"/>
              <w:rPr>
                <w:rFonts w:hint="eastAsia" w:ascii="Times New Roman" w:hAnsi="Times New Roman" w:eastAsia="宋体" w:cs="Times New Roman"/>
                <w:b/>
                <w:color w:val="auto"/>
                <w:sz w:val="21"/>
                <w:szCs w:val="21"/>
                <w:lang w:val="en-US" w:eastAsia="zh-CN"/>
              </w:rPr>
            </w:pPr>
            <w:r>
              <w:rPr>
                <w:rFonts w:hint="eastAsia" w:ascii="Times New Roman" w:hAnsi="Times New Roman" w:cs="Times New Roman"/>
                <w:b/>
                <w:color w:val="auto"/>
                <w:sz w:val="21"/>
                <w:szCs w:val="21"/>
                <w:lang w:val="en-US" w:eastAsia="zh-CN"/>
              </w:rPr>
              <w:t>固体</w:t>
            </w:r>
            <w:r>
              <w:rPr>
                <w:rFonts w:hint="eastAsia" w:cs="Times New Roman"/>
                <w:b/>
                <w:color w:val="auto"/>
                <w:sz w:val="21"/>
                <w:szCs w:val="21"/>
                <w:lang w:val="en-US" w:eastAsia="zh-CN"/>
              </w:rPr>
              <w:t xml:space="preserve"> </w:t>
            </w:r>
            <w:r>
              <w:rPr>
                <w:rFonts w:hint="eastAsia" w:ascii="Times New Roman" w:hAnsi="Times New Roman" w:cs="Times New Roman"/>
                <w:b/>
                <w:color w:val="auto"/>
                <w:sz w:val="21"/>
                <w:szCs w:val="21"/>
                <w:lang w:val="en-US" w:eastAsia="zh-CN"/>
              </w:rPr>
              <w:t>废弃物</w:t>
            </w:r>
          </w:p>
        </w:tc>
        <w:tc>
          <w:tcPr>
            <w:tcW w:w="1538" w:type="dxa"/>
            <w:vAlign w:val="center"/>
          </w:tcPr>
          <w:p w14:paraId="609AFC39">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施工垃圾</w:t>
            </w:r>
          </w:p>
        </w:tc>
        <w:tc>
          <w:tcPr>
            <w:tcW w:w="1850" w:type="dxa"/>
            <w:vAlign w:val="center"/>
          </w:tcPr>
          <w:p w14:paraId="070E0A1E">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废弃土石方</w:t>
            </w:r>
          </w:p>
        </w:tc>
        <w:tc>
          <w:tcPr>
            <w:tcW w:w="2207" w:type="dxa"/>
            <w:vAlign w:val="center"/>
          </w:tcPr>
          <w:p w14:paraId="3FC8C7DC">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eastAsia="zh-CN"/>
              </w:rPr>
              <w:t>运往</w:t>
            </w:r>
            <w:r>
              <w:rPr>
                <w:rFonts w:hint="eastAsia" w:cs="Times New Roman"/>
                <w:color w:val="auto"/>
                <w:sz w:val="21"/>
                <w:szCs w:val="21"/>
                <w:lang w:val="en-US" w:eastAsia="zh-CN"/>
              </w:rPr>
              <w:t>芒市帕底分场水库</w:t>
            </w:r>
          </w:p>
        </w:tc>
        <w:tc>
          <w:tcPr>
            <w:tcW w:w="2063" w:type="dxa"/>
            <w:vMerge w:val="restart"/>
            <w:vAlign w:val="center"/>
          </w:tcPr>
          <w:p w14:paraId="2A3866A7">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处置率100%</w:t>
            </w:r>
          </w:p>
        </w:tc>
      </w:tr>
      <w:tr w14:paraId="76300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839" w:type="dxa"/>
            <w:vMerge w:val="continue"/>
            <w:vAlign w:val="center"/>
          </w:tcPr>
          <w:p w14:paraId="586A4753">
            <w:pPr>
              <w:spacing w:line="240" w:lineRule="auto"/>
              <w:jc w:val="center"/>
              <w:rPr>
                <w:rFonts w:hint="default" w:ascii="Times New Roman" w:hAnsi="Times New Roman" w:eastAsia="宋体" w:cs="Times New Roman"/>
                <w:b/>
                <w:color w:val="auto"/>
                <w:sz w:val="21"/>
                <w:szCs w:val="21"/>
              </w:rPr>
            </w:pPr>
          </w:p>
        </w:tc>
        <w:tc>
          <w:tcPr>
            <w:tcW w:w="1538" w:type="dxa"/>
            <w:vAlign w:val="center"/>
          </w:tcPr>
          <w:p w14:paraId="77068B4C">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河道</w:t>
            </w:r>
          </w:p>
        </w:tc>
        <w:tc>
          <w:tcPr>
            <w:tcW w:w="1850" w:type="dxa"/>
            <w:vAlign w:val="center"/>
          </w:tcPr>
          <w:p w14:paraId="48D6A676">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淤泥</w:t>
            </w:r>
          </w:p>
        </w:tc>
        <w:tc>
          <w:tcPr>
            <w:tcW w:w="2207" w:type="dxa"/>
            <w:vAlign w:val="center"/>
          </w:tcPr>
          <w:p w14:paraId="49CDBF8C">
            <w:pPr>
              <w:spacing w:line="240" w:lineRule="auto"/>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用编织袋捆装，放置在河道斜坡上，待淤泥水分浸出流入河道后，淤泥用于回填处理</w:t>
            </w:r>
          </w:p>
        </w:tc>
        <w:tc>
          <w:tcPr>
            <w:tcW w:w="2063" w:type="dxa"/>
            <w:vMerge w:val="continue"/>
            <w:vAlign w:val="center"/>
          </w:tcPr>
          <w:p w14:paraId="71FA4606">
            <w:pPr>
              <w:spacing w:line="240" w:lineRule="auto"/>
              <w:jc w:val="center"/>
              <w:rPr>
                <w:rFonts w:hint="eastAsia" w:ascii="Times New Roman" w:hAnsi="Times New Roman" w:cs="Times New Roman"/>
                <w:color w:val="auto"/>
                <w:sz w:val="21"/>
                <w:szCs w:val="21"/>
                <w:lang w:eastAsia="zh-CN"/>
              </w:rPr>
            </w:pPr>
          </w:p>
        </w:tc>
      </w:tr>
      <w:tr w14:paraId="7214C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39" w:type="dxa"/>
            <w:vMerge w:val="continue"/>
            <w:vAlign w:val="center"/>
          </w:tcPr>
          <w:p w14:paraId="4E51EC9C">
            <w:pPr>
              <w:spacing w:line="240" w:lineRule="auto"/>
              <w:jc w:val="center"/>
              <w:rPr>
                <w:rFonts w:hint="default" w:ascii="Times New Roman" w:hAnsi="Times New Roman" w:eastAsia="宋体" w:cs="Times New Roman"/>
                <w:b/>
                <w:color w:val="auto"/>
                <w:sz w:val="21"/>
                <w:szCs w:val="21"/>
              </w:rPr>
            </w:pPr>
          </w:p>
        </w:tc>
        <w:tc>
          <w:tcPr>
            <w:tcW w:w="1538" w:type="dxa"/>
            <w:vAlign w:val="center"/>
          </w:tcPr>
          <w:p w14:paraId="45D959B3">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施工人员</w:t>
            </w:r>
          </w:p>
        </w:tc>
        <w:tc>
          <w:tcPr>
            <w:tcW w:w="1850" w:type="dxa"/>
            <w:vAlign w:val="center"/>
          </w:tcPr>
          <w:p w14:paraId="367EF47C">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生活垃圾</w:t>
            </w:r>
          </w:p>
        </w:tc>
        <w:tc>
          <w:tcPr>
            <w:tcW w:w="2207" w:type="dxa"/>
            <w:vAlign w:val="center"/>
          </w:tcPr>
          <w:p w14:paraId="7AD1E79F">
            <w:pPr>
              <w:spacing w:line="240" w:lineRule="auto"/>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使用垃圾桶集中收</w:t>
            </w:r>
            <w:r>
              <w:rPr>
                <w:rFonts w:hint="eastAsia" w:ascii="Times New Roman" w:hAnsi="Times New Roman" w:cs="Times New Roman"/>
                <w:color w:val="auto"/>
                <w:sz w:val="21"/>
                <w:szCs w:val="21"/>
                <w:lang w:val="en-US" w:eastAsia="zh-CN"/>
              </w:rPr>
              <w:t>集</w:t>
            </w:r>
            <w:r>
              <w:rPr>
                <w:rFonts w:hint="eastAsia" w:ascii="Times New Roman" w:hAnsi="Times New Roman" w:cs="Times New Roman"/>
                <w:color w:val="auto"/>
                <w:sz w:val="21"/>
                <w:szCs w:val="21"/>
                <w:lang w:eastAsia="zh-CN"/>
              </w:rPr>
              <w:t>后委托</w:t>
            </w:r>
            <w:r>
              <w:rPr>
                <w:rFonts w:hint="eastAsia" w:cs="Times New Roman"/>
                <w:color w:val="auto"/>
                <w:sz w:val="21"/>
                <w:szCs w:val="21"/>
                <w:lang w:val="en-US" w:eastAsia="zh-CN"/>
              </w:rPr>
              <w:t>环卫部门</w:t>
            </w:r>
            <w:r>
              <w:rPr>
                <w:rFonts w:hint="eastAsia" w:ascii="Times New Roman" w:hAnsi="Times New Roman" w:cs="Times New Roman"/>
                <w:color w:val="auto"/>
                <w:sz w:val="21"/>
                <w:szCs w:val="21"/>
                <w:lang w:eastAsia="zh-CN"/>
              </w:rPr>
              <w:t>及时清运处置</w:t>
            </w:r>
          </w:p>
        </w:tc>
        <w:tc>
          <w:tcPr>
            <w:tcW w:w="2063" w:type="dxa"/>
            <w:vMerge w:val="continue"/>
            <w:vAlign w:val="center"/>
          </w:tcPr>
          <w:p w14:paraId="07277730">
            <w:pPr>
              <w:spacing w:line="240" w:lineRule="auto"/>
              <w:jc w:val="center"/>
              <w:rPr>
                <w:rFonts w:hint="eastAsia" w:ascii="Times New Roman" w:hAnsi="Times New Roman" w:cs="Times New Roman"/>
                <w:color w:val="auto"/>
                <w:sz w:val="21"/>
                <w:szCs w:val="21"/>
                <w:lang w:eastAsia="zh-CN"/>
              </w:rPr>
            </w:pPr>
          </w:p>
        </w:tc>
      </w:tr>
      <w:tr w14:paraId="3F4A7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839" w:type="dxa"/>
            <w:vMerge w:val="continue"/>
            <w:vAlign w:val="center"/>
          </w:tcPr>
          <w:p w14:paraId="1EC77D0A">
            <w:pPr>
              <w:spacing w:line="240" w:lineRule="auto"/>
              <w:jc w:val="center"/>
              <w:rPr>
                <w:rFonts w:hint="default" w:ascii="Times New Roman" w:hAnsi="Times New Roman" w:eastAsia="宋体" w:cs="Times New Roman"/>
                <w:b/>
                <w:color w:val="auto"/>
                <w:sz w:val="21"/>
                <w:szCs w:val="21"/>
              </w:rPr>
            </w:pPr>
          </w:p>
        </w:tc>
        <w:tc>
          <w:tcPr>
            <w:tcW w:w="1538" w:type="dxa"/>
            <w:vAlign w:val="center"/>
          </w:tcPr>
          <w:p w14:paraId="7E274AE9">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道路整治</w:t>
            </w:r>
          </w:p>
        </w:tc>
        <w:tc>
          <w:tcPr>
            <w:tcW w:w="1850" w:type="dxa"/>
            <w:vAlign w:val="center"/>
          </w:tcPr>
          <w:p w14:paraId="30FA5B58">
            <w:pPr>
              <w:spacing w:line="240" w:lineRule="auto"/>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废沥青</w:t>
            </w:r>
          </w:p>
        </w:tc>
        <w:tc>
          <w:tcPr>
            <w:tcW w:w="2207" w:type="dxa"/>
            <w:vAlign w:val="center"/>
          </w:tcPr>
          <w:p w14:paraId="7B0CC2CF">
            <w:pPr>
              <w:spacing w:line="240" w:lineRule="auto"/>
              <w:jc w:val="center"/>
              <w:rPr>
                <w:rFonts w:hint="default" w:ascii="Times New Roman" w:hAnsi="Times New Roman" w:cs="Times New Roman"/>
                <w:color w:val="auto"/>
                <w:sz w:val="21"/>
                <w:szCs w:val="21"/>
                <w:lang w:val="en-US" w:eastAsia="zh-CN"/>
              </w:rPr>
            </w:pPr>
            <w:r>
              <w:rPr>
                <w:rFonts w:ascii="Times New Roman" w:hAnsi="Times New Roman"/>
                <w:sz w:val="21"/>
                <w:szCs w:val="21"/>
              </w:rPr>
              <w:t>废</w:t>
            </w:r>
            <w:r>
              <w:rPr>
                <w:rFonts w:hint="eastAsia" w:ascii="Times New Roman" w:hAnsi="Times New Roman"/>
                <w:sz w:val="21"/>
                <w:szCs w:val="21"/>
              </w:rPr>
              <w:t>沥青经施工人员</w:t>
            </w:r>
            <w:r>
              <w:rPr>
                <w:rFonts w:ascii="Times New Roman" w:hAnsi="Times New Roman"/>
                <w:sz w:val="21"/>
                <w:szCs w:val="21"/>
              </w:rPr>
              <w:t>统一收集后，</w:t>
            </w:r>
            <w:r>
              <w:rPr>
                <w:rFonts w:hint="eastAsia" w:ascii="Times New Roman" w:hAnsi="Times New Roman"/>
                <w:sz w:val="21"/>
                <w:szCs w:val="21"/>
              </w:rPr>
              <w:t>交由</w:t>
            </w:r>
            <w:r>
              <w:rPr>
                <w:rFonts w:hint="eastAsia"/>
                <w:sz w:val="21"/>
                <w:szCs w:val="21"/>
                <w:lang w:eastAsia="zh-CN"/>
              </w:rPr>
              <w:t>搅拌站回收</w:t>
            </w:r>
            <w:r>
              <w:rPr>
                <w:rFonts w:hint="eastAsia"/>
                <w:sz w:val="21"/>
                <w:szCs w:val="21"/>
                <w:lang w:val="en-US" w:eastAsia="zh-CN"/>
              </w:rPr>
              <w:t>利用</w:t>
            </w:r>
          </w:p>
        </w:tc>
        <w:tc>
          <w:tcPr>
            <w:tcW w:w="2063" w:type="dxa"/>
            <w:vMerge w:val="continue"/>
            <w:vAlign w:val="center"/>
          </w:tcPr>
          <w:p w14:paraId="757F729E">
            <w:pPr>
              <w:spacing w:line="240" w:lineRule="auto"/>
              <w:jc w:val="center"/>
              <w:rPr>
                <w:rFonts w:hint="eastAsia" w:ascii="Times New Roman" w:hAnsi="Times New Roman" w:cs="Times New Roman"/>
                <w:color w:val="auto"/>
                <w:sz w:val="21"/>
                <w:szCs w:val="21"/>
                <w:lang w:eastAsia="zh-CN"/>
              </w:rPr>
            </w:pPr>
          </w:p>
        </w:tc>
      </w:tr>
      <w:tr w14:paraId="0636B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839" w:type="dxa"/>
            <w:vMerge w:val="continue"/>
            <w:vAlign w:val="center"/>
          </w:tcPr>
          <w:p w14:paraId="4CC363BD">
            <w:pPr>
              <w:spacing w:line="240" w:lineRule="auto"/>
              <w:jc w:val="center"/>
              <w:rPr>
                <w:rFonts w:hint="default" w:ascii="Times New Roman" w:hAnsi="Times New Roman" w:eastAsia="宋体" w:cs="Times New Roman"/>
                <w:b/>
                <w:color w:val="auto"/>
                <w:sz w:val="21"/>
                <w:szCs w:val="21"/>
              </w:rPr>
            </w:pPr>
          </w:p>
        </w:tc>
        <w:tc>
          <w:tcPr>
            <w:tcW w:w="1538" w:type="dxa"/>
            <w:vAlign w:val="center"/>
          </w:tcPr>
          <w:p w14:paraId="7E7E5F2A">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项目建设</w:t>
            </w:r>
          </w:p>
        </w:tc>
        <w:tc>
          <w:tcPr>
            <w:tcW w:w="1850" w:type="dxa"/>
            <w:vAlign w:val="center"/>
          </w:tcPr>
          <w:p w14:paraId="568FF20E">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建筑垃圾</w:t>
            </w:r>
          </w:p>
        </w:tc>
        <w:tc>
          <w:tcPr>
            <w:tcW w:w="2207" w:type="dxa"/>
            <w:vAlign w:val="center"/>
          </w:tcPr>
          <w:p w14:paraId="465D4B31">
            <w:pPr>
              <w:spacing w:line="240" w:lineRule="auto"/>
              <w:jc w:val="both"/>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可回收的回收，</w:t>
            </w:r>
            <w:r>
              <w:rPr>
                <w:rFonts w:hint="eastAsia" w:ascii="Times New Roman" w:hAnsi="Times New Roman" w:cs="Times New Roman"/>
                <w:color w:val="auto"/>
                <w:sz w:val="21"/>
                <w:szCs w:val="21"/>
                <w:lang w:val="en-US" w:eastAsia="zh-CN"/>
              </w:rPr>
              <w:t>不</w:t>
            </w:r>
            <w:r>
              <w:rPr>
                <w:rFonts w:hint="eastAsia" w:ascii="Times New Roman" w:hAnsi="Times New Roman" w:cs="Times New Roman"/>
                <w:color w:val="auto"/>
                <w:sz w:val="21"/>
                <w:szCs w:val="21"/>
                <w:lang w:eastAsia="zh-CN"/>
              </w:rPr>
              <w:t>能回收的少量垃圾运往城市建设管</w:t>
            </w:r>
            <w:r>
              <w:rPr>
                <w:rFonts w:hint="eastAsia" w:ascii="Times New Roman" w:hAnsi="Times New Roman" w:cs="Times New Roman"/>
                <w:color w:val="auto"/>
                <w:sz w:val="21"/>
                <w:szCs w:val="21"/>
                <w:lang w:val="en-US" w:eastAsia="zh-CN"/>
              </w:rPr>
              <w:t>理</w:t>
            </w:r>
            <w:r>
              <w:rPr>
                <w:rFonts w:hint="eastAsia" w:ascii="Times New Roman" w:hAnsi="Times New Roman" w:cs="Times New Roman"/>
                <w:color w:val="auto"/>
                <w:sz w:val="21"/>
                <w:szCs w:val="21"/>
                <w:lang w:eastAsia="zh-CN"/>
              </w:rPr>
              <w:t>部门指定地点堆存</w:t>
            </w:r>
          </w:p>
        </w:tc>
        <w:tc>
          <w:tcPr>
            <w:tcW w:w="2063" w:type="dxa"/>
            <w:vMerge w:val="continue"/>
            <w:vAlign w:val="center"/>
          </w:tcPr>
          <w:p w14:paraId="0FF58703">
            <w:pPr>
              <w:spacing w:line="240" w:lineRule="auto"/>
              <w:jc w:val="center"/>
              <w:rPr>
                <w:rFonts w:hint="eastAsia" w:ascii="Times New Roman" w:hAnsi="Times New Roman" w:cs="Times New Roman"/>
                <w:color w:val="auto"/>
                <w:sz w:val="21"/>
                <w:szCs w:val="21"/>
                <w:lang w:eastAsia="zh-CN"/>
              </w:rPr>
            </w:pPr>
          </w:p>
        </w:tc>
      </w:tr>
      <w:tr w14:paraId="36C8F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839" w:type="dxa"/>
            <w:vAlign w:val="center"/>
          </w:tcPr>
          <w:p w14:paraId="5D1E96A5">
            <w:pPr>
              <w:spacing w:line="240" w:lineRule="auto"/>
              <w:jc w:val="center"/>
              <w:rPr>
                <w:rFonts w:hint="eastAsia" w:ascii="Times New Roman" w:hAnsi="Times New Roman" w:eastAsia="宋体" w:cs="Times New Roman"/>
                <w:b/>
                <w:color w:val="auto"/>
                <w:sz w:val="21"/>
                <w:szCs w:val="21"/>
                <w:lang w:val="en-US" w:eastAsia="zh-CN"/>
              </w:rPr>
            </w:pPr>
            <w:r>
              <w:rPr>
                <w:rFonts w:hint="eastAsia" w:ascii="Times New Roman" w:hAnsi="Times New Roman" w:cs="Times New Roman"/>
                <w:b/>
                <w:color w:val="auto"/>
                <w:sz w:val="21"/>
                <w:szCs w:val="21"/>
                <w:lang w:val="en-US" w:eastAsia="zh-CN"/>
              </w:rPr>
              <w:t>噪声</w:t>
            </w:r>
          </w:p>
        </w:tc>
        <w:tc>
          <w:tcPr>
            <w:tcW w:w="1538" w:type="dxa"/>
            <w:vAlign w:val="center"/>
          </w:tcPr>
          <w:p w14:paraId="37C24B92">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施工机械及运输车辆</w:t>
            </w:r>
          </w:p>
        </w:tc>
        <w:tc>
          <w:tcPr>
            <w:tcW w:w="1850" w:type="dxa"/>
            <w:vAlign w:val="center"/>
          </w:tcPr>
          <w:p w14:paraId="65A90F2E">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噪声</w:t>
            </w:r>
          </w:p>
        </w:tc>
        <w:tc>
          <w:tcPr>
            <w:tcW w:w="2207" w:type="dxa"/>
            <w:vAlign w:val="center"/>
          </w:tcPr>
          <w:p w14:paraId="7542F1B0">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各声源设备采取合理布局，高噪声设备不能同时施工，设置防护墙</w:t>
            </w:r>
          </w:p>
        </w:tc>
        <w:tc>
          <w:tcPr>
            <w:tcW w:w="2063" w:type="dxa"/>
            <w:vAlign w:val="center"/>
          </w:tcPr>
          <w:p w14:paraId="117F6648">
            <w:pPr>
              <w:spacing w:line="240" w:lineRule="auto"/>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达到《声环境质量标准》（GB3096-2008）中4a类标准</w:t>
            </w:r>
          </w:p>
        </w:tc>
      </w:tr>
      <w:tr w14:paraId="3F86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8497" w:type="dxa"/>
            <w:gridSpan w:val="5"/>
            <w:vAlign w:val="center"/>
          </w:tcPr>
          <w:p w14:paraId="51811AC4">
            <w:pPr>
              <w:spacing w:line="360" w:lineRule="auto"/>
              <w:jc w:val="left"/>
              <w:rPr>
                <w:rFonts w:hint="eastAsia"/>
                <w:b/>
                <w:bCs/>
                <w:lang w:val="en-US" w:eastAsia="zh-CN"/>
              </w:rPr>
            </w:pPr>
            <w:r>
              <w:rPr>
                <w:rFonts w:hint="eastAsia"/>
                <w:b/>
                <w:bCs/>
                <w:lang w:val="en-US" w:eastAsia="zh-CN"/>
              </w:rPr>
              <w:t>主要生态影响：</w:t>
            </w:r>
          </w:p>
          <w:p w14:paraId="159D7CF6">
            <w:pPr>
              <w:pStyle w:val="13"/>
              <w:spacing w:line="360" w:lineRule="auto"/>
              <w:ind w:left="0" w:leftChars="0" w:firstLine="480" w:firstLineChars="200"/>
              <w:jc w:val="left"/>
              <w:rPr>
                <w:rFonts w:hint="default"/>
                <w:lang w:val="en-US" w:eastAsia="zh-CN"/>
              </w:rPr>
            </w:pPr>
            <w:r>
              <w:rPr>
                <w:rFonts w:hint="eastAsia"/>
                <w:lang w:val="en-US" w:eastAsia="zh-CN"/>
              </w:rPr>
              <w:t>1.</w:t>
            </w:r>
            <w:r>
              <w:rPr>
                <w:rFonts w:hint="default"/>
                <w:lang w:val="en-US" w:eastAsia="zh-CN"/>
              </w:rPr>
              <w:t>水土流失</w:t>
            </w:r>
            <w:r>
              <w:rPr>
                <w:rFonts w:hint="eastAsia"/>
                <w:lang w:val="en-US" w:eastAsia="zh-CN"/>
              </w:rPr>
              <w:t>：</w:t>
            </w:r>
            <w:r>
              <w:rPr>
                <w:rFonts w:hint="default"/>
                <w:lang w:val="en-US" w:eastAsia="zh-CN"/>
              </w:rPr>
              <w:t>体现在地基的开挖填补、施工材料和石方的临时堆放。水土流失程度和植被破坏程度取决于施工时的管理水平和水土保持措施合理而严格实施程度。</w:t>
            </w:r>
          </w:p>
          <w:p w14:paraId="2075928C">
            <w:pPr>
              <w:pStyle w:val="13"/>
              <w:spacing w:line="360" w:lineRule="auto"/>
              <w:ind w:left="0" w:leftChars="0" w:firstLine="480" w:firstLineChars="200"/>
              <w:jc w:val="both"/>
              <w:rPr>
                <w:rFonts w:hint="default"/>
                <w:lang w:val="en-US" w:eastAsia="zh-CN"/>
              </w:rPr>
            </w:pPr>
            <w:r>
              <w:rPr>
                <w:rFonts w:hint="eastAsia"/>
                <w:lang w:val="en-US" w:eastAsia="zh-CN"/>
              </w:rPr>
              <w:t>2.</w:t>
            </w:r>
            <w:r>
              <w:rPr>
                <w:rFonts w:hint="default"/>
                <w:lang w:val="en-US" w:eastAsia="zh-CN"/>
              </w:rPr>
              <w:t>营运期无三废排放，施工降低了原有绿化程度，在施工期结束后可通</w:t>
            </w:r>
            <w:r>
              <w:rPr>
                <w:rFonts w:hint="eastAsia"/>
                <w:lang w:val="en-US" w:eastAsia="zh-CN"/>
              </w:rPr>
              <w:t>绿</w:t>
            </w:r>
            <w:r>
              <w:rPr>
                <w:rFonts w:hint="default"/>
                <w:lang w:val="en-US" w:eastAsia="zh-CN"/>
              </w:rPr>
              <w:t>化带对生态系统带来积极影响。</w:t>
            </w:r>
          </w:p>
        </w:tc>
      </w:tr>
    </w:tbl>
    <w:p w14:paraId="098A934C">
      <w:pPr>
        <w:rPr>
          <w:rFonts w:hint="default"/>
          <w:lang w:val="en-US" w:eastAsia="zh-CN"/>
        </w:rPr>
      </w:pPr>
      <w:r>
        <w:rPr>
          <w:rFonts w:hint="default"/>
          <w:lang w:val="en-US" w:eastAsia="zh-CN"/>
        </w:rPr>
        <w:br w:type="page"/>
      </w:r>
    </w:p>
    <w:p w14:paraId="4EAAAF70">
      <w:pPr>
        <w:pStyle w:val="2"/>
        <w:bidi w:val="0"/>
        <w:rPr>
          <w:rFonts w:hint="eastAsia"/>
          <w:lang w:val="en-US" w:eastAsia="zh-CN"/>
        </w:rPr>
      </w:pPr>
      <w:r>
        <w:rPr>
          <w:rFonts w:hint="eastAsia"/>
          <w:lang w:val="en-US" w:eastAsia="zh-CN"/>
        </w:rPr>
        <w:t>表九、结论与建议</w:t>
      </w:r>
    </w:p>
    <w:tbl>
      <w:tblPr>
        <w:tblStyle w:val="10"/>
        <w:tblW w:w="8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5"/>
      </w:tblGrid>
      <w:tr w14:paraId="1724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6" w:hRule="atLeast"/>
        </w:trPr>
        <w:tc>
          <w:tcPr>
            <w:tcW w:w="8645" w:type="dxa"/>
          </w:tcPr>
          <w:p w14:paraId="05EDD1F2">
            <w:pPr>
              <w:numPr>
                <w:ilvl w:val="0"/>
                <w:numId w:val="35"/>
              </w:numPr>
              <w:rPr>
                <w:rFonts w:hint="default"/>
                <w:b/>
                <w:bCs/>
                <w:lang w:val="en-US" w:eastAsia="zh-CN"/>
              </w:rPr>
            </w:pPr>
            <w:r>
              <w:rPr>
                <w:rFonts w:hint="eastAsia"/>
                <w:b/>
                <w:bCs/>
                <w:lang w:val="en-US" w:eastAsia="zh-CN"/>
              </w:rPr>
              <w:t>项目概况</w:t>
            </w:r>
          </w:p>
          <w:p w14:paraId="470AE595">
            <w:pPr>
              <w:ind w:firstLine="480" w:firstLineChars="200"/>
              <w:rPr>
                <w:rFonts w:hint="eastAsia"/>
                <w:lang w:val="en-US" w:eastAsia="zh-CN"/>
              </w:rPr>
            </w:pPr>
            <w:r>
              <w:rPr>
                <w:rFonts w:hint="eastAsia"/>
                <w:lang w:val="en-US" w:eastAsia="zh-CN"/>
              </w:rPr>
              <w:t>本项目位于芒市中心城区，项目总投资110786.26万元，其中环保投资728.5万元，建设综合管廊总长16.2km，</w:t>
            </w:r>
            <w:r>
              <w:rPr>
                <w:rFonts w:hint="eastAsia" w:ascii="Times New Roman" w:hAnsi="Times New Roman" w:eastAsia="宋体" w:cs="Times New Roman"/>
                <w:color w:val="auto"/>
                <w:sz w:val="24"/>
                <w:szCs w:val="24"/>
                <w:highlight w:val="none"/>
                <w:lang w:eastAsia="zh-CN"/>
              </w:rPr>
              <w:t>项目建设内容涉及西二环（芒象路至人保路）、人保路（滨河路至芒市大街）、阔时路（金孔雀大街至芒市大街）、芒市大街、勐焕路（西二环至芒市大街）、胞波路（西二环至芒市大街）、阔时路已建段（滨河路至西二环）、阔时路已建段（西二环至金孔雀大街）等</w:t>
            </w:r>
            <w:r>
              <w:rPr>
                <w:rFonts w:hint="eastAsia" w:ascii="Times New Roman" w:hAnsi="Times New Roman" w:eastAsia="宋体" w:cs="Times New Roman"/>
                <w:color w:val="auto"/>
                <w:sz w:val="24"/>
                <w:szCs w:val="24"/>
                <w:highlight w:val="none"/>
                <w:lang w:val="en-US" w:eastAsia="zh-CN"/>
              </w:rPr>
              <w:t>8条道路及监控中心一座、道路提升改造工程、排污工程等</w:t>
            </w:r>
            <w:r>
              <w:rPr>
                <w:rFonts w:hint="eastAsia" w:cs="Times New Roman"/>
                <w:color w:val="auto"/>
                <w:sz w:val="24"/>
                <w:szCs w:val="24"/>
                <w:highlight w:val="none"/>
                <w:lang w:val="en-US" w:eastAsia="zh-CN"/>
              </w:rPr>
              <w:t>。其中</w:t>
            </w:r>
            <w:r>
              <w:rPr>
                <w:rFonts w:hint="eastAsia" w:ascii="Times New Roman" w:hAnsi="Times New Roman" w:eastAsia="宋体" w:cs="Times New Roman"/>
                <w:color w:val="auto"/>
                <w:sz w:val="24"/>
                <w:szCs w:val="24"/>
                <w:highlight w:val="none"/>
                <w:lang w:val="en-US" w:eastAsia="zh-CN"/>
              </w:rPr>
              <w:t>A-d1型综合管廊长4.5公里；A-d3型综合管廊长3.39公里；A-d4型综合管廊长3.86公里；B-d1型综合管廊3.63公里；A-d9型综合管廊长0.43公里；A-d10型综合管廊长0.39公里。</w:t>
            </w:r>
          </w:p>
          <w:p w14:paraId="16289E96">
            <w:pPr>
              <w:numPr>
                <w:ilvl w:val="0"/>
                <w:numId w:val="35"/>
              </w:numPr>
              <w:ind w:left="0" w:leftChars="0" w:firstLine="0" w:firstLineChars="0"/>
              <w:rPr>
                <w:rFonts w:hint="default"/>
                <w:b/>
                <w:bCs/>
                <w:lang w:val="en-US" w:eastAsia="zh-CN"/>
              </w:rPr>
            </w:pPr>
            <w:r>
              <w:rPr>
                <w:rFonts w:hint="eastAsia"/>
                <w:b/>
                <w:bCs/>
                <w:lang w:val="en-US" w:eastAsia="zh-CN"/>
              </w:rPr>
              <w:t>结论</w:t>
            </w:r>
          </w:p>
          <w:p w14:paraId="3D997A6C">
            <w:pPr>
              <w:numPr>
                <w:ilvl w:val="0"/>
                <w:numId w:val="36"/>
              </w:numPr>
              <w:ind w:firstLine="482" w:firstLineChars="200"/>
              <w:rPr>
                <w:rFonts w:hint="eastAsia"/>
                <w:b/>
                <w:bCs/>
                <w:lang w:val="en-US" w:eastAsia="zh-CN"/>
              </w:rPr>
            </w:pPr>
            <w:r>
              <w:rPr>
                <w:rFonts w:hint="eastAsia"/>
                <w:b/>
                <w:bCs/>
                <w:lang w:val="en-US" w:eastAsia="zh-CN"/>
              </w:rPr>
              <w:t>产业政策符合性分析</w:t>
            </w:r>
          </w:p>
          <w:p w14:paraId="2D1A57E5">
            <w:pPr>
              <w:numPr>
                <w:ilvl w:val="0"/>
                <w:numId w:val="0"/>
              </w:numPr>
              <w:ind w:firstLine="480" w:firstLineChars="200"/>
              <w:rPr>
                <w:rFonts w:hint="eastAsia"/>
                <w:lang w:val="en-US" w:eastAsia="zh-CN"/>
              </w:rPr>
            </w:pPr>
            <w:r>
              <w:rPr>
                <w:rFonts w:hint="eastAsia"/>
                <w:lang w:val="en-US" w:eastAsia="zh-CN"/>
              </w:rPr>
              <w:t>根据国家发展和改革委员会发布的《产业结构调整指导目录（2011 年本）2013 修订版》，本项目属于鼓励类第二十二大项城市基础设施及房地产，该项目属于国家鼓励发展类项目，符合国家政策的要求。</w:t>
            </w:r>
          </w:p>
          <w:p w14:paraId="104577A7">
            <w:pPr>
              <w:numPr>
                <w:ilvl w:val="0"/>
                <w:numId w:val="36"/>
              </w:numPr>
              <w:ind w:left="0" w:leftChars="0" w:firstLine="482" w:firstLineChars="200"/>
              <w:rPr>
                <w:rFonts w:hint="eastAsia"/>
                <w:b/>
                <w:bCs/>
                <w:lang w:val="en-US" w:eastAsia="zh-CN"/>
              </w:rPr>
            </w:pPr>
            <w:r>
              <w:rPr>
                <w:rFonts w:hint="eastAsia"/>
                <w:b/>
                <w:bCs/>
                <w:lang w:val="en-US" w:eastAsia="zh-CN"/>
              </w:rPr>
              <w:t>与规划条件符合性分析</w:t>
            </w:r>
          </w:p>
          <w:p w14:paraId="2B0694F7">
            <w:pPr>
              <w:numPr>
                <w:ilvl w:val="0"/>
                <w:numId w:val="0"/>
              </w:numPr>
              <w:ind w:firstLine="480" w:firstLineChars="200"/>
              <w:rPr>
                <w:rFonts w:hint="default"/>
                <w:lang w:val="en-US" w:eastAsia="zh-CN"/>
              </w:rPr>
            </w:pPr>
            <w:r>
              <w:rPr>
                <w:rFonts w:hint="default"/>
                <w:lang w:val="en-US" w:eastAsia="zh-CN"/>
              </w:rPr>
              <w:t>项目选址位于芒市规划建设用地片区，目前已经取得规划许可证见附件，符合城市规划要求</w:t>
            </w:r>
            <w:r>
              <w:rPr>
                <w:rFonts w:hint="eastAsia"/>
                <w:lang w:val="en-US" w:eastAsia="zh-CN"/>
              </w:rPr>
              <w:t>。</w:t>
            </w:r>
          </w:p>
          <w:p w14:paraId="41413C9C">
            <w:pPr>
              <w:numPr>
                <w:ilvl w:val="0"/>
                <w:numId w:val="36"/>
              </w:numPr>
              <w:ind w:left="0" w:leftChars="0" w:firstLine="482" w:firstLineChars="200"/>
              <w:rPr>
                <w:rFonts w:hint="eastAsia"/>
                <w:b/>
                <w:bCs/>
                <w:lang w:val="en-US" w:eastAsia="zh-CN"/>
              </w:rPr>
            </w:pPr>
            <w:r>
              <w:rPr>
                <w:rFonts w:hint="eastAsia"/>
                <w:b/>
                <w:bCs/>
                <w:lang w:val="en-US" w:eastAsia="zh-CN"/>
              </w:rPr>
              <w:t>项目选址可行性分析</w:t>
            </w:r>
          </w:p>
          <w:p w14:paraId="31D613A3">
            <w:pPr>
              <w:numPr>
                <w:ilvl w:val="0"/>
                <w:numId w:val="0"/>
              </w:numPr>
              <w:ind w:firstLine="480" w:firstLineChars="200"/>
              <w:rPr>
                <w:rFonts w:hint="default"/>
                <w:lang w:val="en-US" w:eastAsia="zh-CN"/>
              </w:rPr>
            </w:pPr>
            <w:r>
              <w:rPr>
                <w:rFonts w:hint="default"/>
                <w:lang w:val="en-US" w:eastAsia="zh-CN"/>
              </w:rPr>
              <w:t>项目选址交通便利，供排水设施完善，水电供应有保障。项目用地地质构造简单，无滑坡、断层等不良地质现象，符合建设用地要求。所在区域无饮用水水源保护区、自然保护区、风景名胜区、历史文物保护地等，选址符合总体设计要求。项目在此建设对项目周围环境的影响可以接受，符合政府相关政策和规定，项目的选址合理。</w:t>
            </w:r>
          </w:p>
          <w:p w14:paraId="3B4EDE39">
            <w:pPr>
              <w:numPr>
                <w:ilvl w:val="0"/>
                <w:numId w:val="36"/>
              </w:numPr>
              <w:ind w:left="0" w:leftChars="0" w:firstLine="482" w:firstLineChars="200"/>
              <w:rPr>
                <w:rFonts w:hint="eastAsia"/>
                <w:b/>
                <w:bCs/>
                <w:lang w:val="en-US" w:eastAsia="zh-CN"/>
              </w:rPr>
            </w:pPr>
            <w:r>
              <w:rPr>
                <w:rFonts w:hint="eastAsia"/>
                <w:b/>
                <w:bCs/>
                <w:lang w:val="en-US" w:eastAsia="zh-CN"/>
              </w:rPr>
              <w:t>环境影响现状评价</w:t>
            </w:r>
          </w:p>
          <w:p w14:paraId="2605CAB5">
            <w:pPr>
              <w:numPr>
                <w:ilvl w:val="0"/>
                <w:numId w:val="0"/>
              </w:numPr>
              <w:ind w:firstLine="480" w:firstLineChars="200"/>
              <w:rPr>
                <w:rFonts w:hint="default"/>
                <w:lang w:val="en-US" w:eastAsia="zh-CN"/>
              </w:rPr>
            </w:pPr>
            <w:r>
              <w:rPr>
                <w:rFonts w:hint="default"/>
                <w:lang w:val="en-US" w:eastAsia="zh-CN"/>
              </w:rPr>
              <w:t>项目建设地位于芒市城区，项目地大气环境质量现状可达《环境空气质量标准》（GB3095-2012）二级标准；地表水环境质量可达《地表水环境质量标准</w:t>
            </w:r>
            <w:r>
              <w:rPr>
                <w:rFonts w:hint="eastAsia"/>
                <w:lang w:val="en-US" w:eastAsia="zh-CN"/>
              </w:rPr>
              <w:t>》</w:t>
            </w:r>
            <w:r>
              <w:rPr>
                <w:rFonts w:hint="default"/>
                <w:lang w:val="en-US" w:eastAsia="zh-CN"/>
              </w:rPr>
              <w:t>（GB3838-2002</w:t>
            </w:r>
            <w:r>
              <w:rPr>
                <w:rFonts w:hint="eastAsia"/>
                <w:lang w:val="en-US" w:eastAsia="zh-CN"/>
              </w:rPr>
              <w:t>）</w:t>
            </w:r>
            <w:r>
              <w:rPr>
                <w:rFonts w:hint="default"/>
                <w:lang w:val="en-US" w:eastAsia="zh-CN"/>
              </w:rPr>
              <w:t>III类水体标准要求；声环境质量满足《声环境质量标准》（GB3096-2008）中4a类标准。</w:t>
            </w:r>
          </w:p>
          <w:p w14:paraId="30A25A10">
            <w:pPr>
              <w:numPr>
                <w:ilvl w:val="0"/>
                <w:numId w:val="36"/>
              </w:numPr>
              <w:ind w:left="0" w:leftChars="0" w:firstLine="482" w:firstLineChars="200"/>
              <w:rPr>
                <w:rFonts w:hint="eastAsia"/>
                <w:b/>
                <w:bCs/>
                <w:lang w:val="en-US" w:eastAsia="zh-CN"/>
              </w:rPr>
            </w:pPr>
            <w:r>
              <w:rPr>
                <w:rFonts w:hint="eastAsia"/>
                <w:b/>
                <w:bCs/>
                <w:lang w:val="en-US" w:eastAsia="zh-CN"/>
              </w:rPr>
              <w:t>施工期环境影响分析结论</w:t>
            </w:r>
          </w:p>
          <w:p w14:paraId="0393B3B5">
            <w:pPr>
              <w:numPr>
                <w:ilvl w:val="0"/>
                <w:numId w:val="0"/>
              </w:numPr>
              <w:ind w:firstLine="480" w:firstLineChars="200"/>
              <w:rPr>
                <w:rFonts w:hint="eastAsia"/>
                <w:b w:val="0"/>
                <w:bCs w:val="0"/>
                <w:lang w:val="en-US" w:eastAsia="zh-CN"/>
              </w:rPr>
            </w:pPr>
            <w:r>
              <w:rPr>
                <w:rFonts w:hint="eastAsia"/>
                <w:b w:val="0"/>
                <w:bCs w:val="0"/>
                <w:lang w:val="en-US" w:eastAsia="zh-CN"/>
              </w:rPr>
              <w:t>项目施工期间将产生一定量的施工废水、施工噪声、施工废气及固体废物，但总体来说产生量不大，且项目均采取了针对性的处置措施，项目施工期间所采取的污染防治措施较为可行。因此，项目施工期间所产生的各类污染物可以得到有效控制，并将随施工期的结束而结束，对周围环境及保护目标的影响较小。</w:t>
            </w:r>
          </w:p>
          <w:p w14:paraId="278DB9C4">
            <w:pPr>
              <w:numPr>
                <w:ilvl w:val="0"/>
                <w:numId w:val="36"/>
              </w:numPr>
              <w:ind w:left="0" w:leftChars="0" w:firstLine="482" w:firstLineChars="200"/>
              <w:rPr>
                <w:rFonts w:hint="default"/>
                <w:b w:val="0"/>
                <w:bCs w:val="0"/>
                <w:lang w:val="en-US" w:eastAsia="zh-CN"/>
              </w:rPr>
            </w:pPr>
            <w:r>
              <w:rPr>
                <w:rFonts w:hint="eastAsia"/>
                <w:b/>
                <w:bCs/>
                <w:lang w:val="en-US" w:eastAsia="zh-CN"/>
              </w:rPr>
              <w:t>总结论</w:t>
            </w:r>
          </w:p>
          <w:p w14:paraId="6E49E8EC">
            <w:pPr>
              <w:numPr>
                <w:ilvl w:val="0"/>
                <w:numId w:val="0"/>
              </w:numPr>
              <w:ind w:firstLine="480" w:firstLineChars="200"/>
              <w:rPr>
                <w:rFonts w:hint="eastAsia"/>
                <w:b w:val="0"/>
                <w:bCs w:val="0"/>
                <w:lang w:val="en-US" w:eastAsia="zh-CN"/>
              </w:rPr>
            </w:pPr>
            <w:r>
              <w:rPr>
                <w:rFonts w:hint="default"/>
                <w:b w:val="0"/>
                <w:bCs w:val="0"/>
                <w:lang w:val="en-US" w:eastAsia="zh-CN"/>
              </w:rPr>
              <w:t>本建设项目符合国家相关产业政策</w:t>
            </w:r>
            <w:r>
              <w:rPr>
                <w:rFonts w:hint="eastAsia"/>
                <w:b w:val="0"/>
                <w:bCs w:val="0"/>
                <w:lang w:val="en-US" w:eastAsia="zh-CN"/>
              </w:rPr>
              <w:t>，项目布局合理，选址与芒市城乡规划不冲突。项目在建设和运营过程中污染物的排放量不大，只要业主认真落实初设和本环评中提出的各项环保治理措施，做到废气、废水达标排放，固体废物合理处置，噪声不扰民，则项目的运营不会降低和改变该区域的环境质量和环境功能，对项目外环境的影响是可以接受的。因此，项目的建设从环境影响的角度分析是可行的。</w:t>
            </w:r>
          </w:p>
          <w:p w14:paraId="1416F651">
            <w:pPr>
              <w:numPr>
                <w:ilvl w:val="0"/>
                <w:numId w:val="35"/>
              </w:numPr>
              <w:ind w:left="0" w:leftChars="0" w:firstLine="0" w:firstLineChars="0"/>
              <w:rPr>
                <w:rFonts w:hint="eastAsia"/>
                <w:b/>
                <w:bCs/>
                <w:lang w:val="en-US" w:eastAsia="zh-CN"/>
              </w:rPr>
            </w:pPr>
            <w:r>
              <w:rPr>
                <w:rFonts w:hint="eastAsia"/>
                <w:b/>
                <w:bCs/>
                <w:lang w:val="en-US" w:eastAsia="zh-CN"/>
              </w:rPr>
              <w:t>污染防治对策措施</w:t>
            </w:r>
          </w:p>
          <w:p w14:paraId="0F0F1AF8">
            <w:pPr>
              <w:numPr>
                <w:ilvl w:val="0"/>
                <w:numId w:val="0"/>
              </w:numPr>
              <w:ind w:lef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根据我国环保法律法规的规定，凡对环境有影响的建设项目，其配套的污染防治设施必须实行“三同时”原则，即与主体工程同时设计、同时施工、同时投产使用。要求建设单位严格执行“三同时”的有关规定。</w:t>
            </w:r>
          </w:p>
          <w:p w14:paraId="69DE3CC1">
            <w:pPr>
              <w:numPr>
                <w:ilvl w:val="0"/>
                <w:numId w:val="37"/>
              </w:numPr>
              <w:ind w:firstLine="482" w:firstLineChars="200"/>
              <w:rPr>
                <w:rFonts w:hint="eastAsia"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施工期环境保护措施</w:t>
            </w:r>
          </w:p>
          <w:p w14:paraId="0010EA13">
            <w:pPr>
              <w:numPr>
                <w:ilvl w:val="0"/>
                <w:numId w:val="38"/>
              </w:numPr>
              <w:ind w:firstLine="482" w:firstLineChars="200"/>
              <w:rPr>
                <w:rFonts w:hint="eastAsia"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大气污染防治措施</w:t>
            </w:r>
          </w:p>
          <w:p w14:paraId="08622665">
            <w:pPr>
              <w:numPr>
                <w:ilvl w:val="0"/>
                <w:numId w:val="0"/>
              </w:numPr>
              <w:ind w:firstLine="480" w:firstLineChars="200"/>
              <w:rPr>
                <w:rFonts w:hint="eastAsia"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（1）对施工场地和汽车行驶的路面洒水抑尘，约每</w:t>
            </w:r>
            <w:r>
              <w:rPr>
                <w:rFonts w:hint="eastAsia" w:cs="Times New Roman"/>
                <w:b w:val="0"/>
                <w:bCs w:val="0"/>
                <w:color w:val="auto"/>
                <w:sz w:val="24"/>
                <w:highlight w:val="none"/>
                <w:lang w:val="en-US" w:eastAsia="zh-CN"/>
              </w:rPr>
              <w:t>日</w:t>
            </w:r>
            <w:r>
              <w:rPr>
                <w:rFonts w:hint="eastAsia" w:ascii="Times New Roman" w:hAnsi="Times New Roman" w:cs="Times New Roman"/>
                <w:b w:val="0"/>
                <w:bCs w:val="0"/>
                <w:color w:val="auto"/>
                <w:sz w:val="24"/>
                <w:highlight w:val="none"/>
                <w:lang w:val="en-US" w:eastAsia="zh-CN"/>
              </w:rPr>
              <w:t>4-5次；</w:t>
            </w:r>
          </w:p>
          <w:p w14:paraId="2BAFBDF6">
            <w:pPr>
              <w:numPr>
                <w:ilvl w:val="0"/>
                <w:numId w:val="0"/>
              </w:numPr>
              <w:ind w:firstLine="480" w:firstLineChars="200"/>
              <w:rPr>
                <w:rFonts w:hint="eastAsia"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（2）施工场界应设置高度</w:t>
            </w:r>
            <w:r>
              <w:rPr>
                <w:rFonts w:hint="eastAsia" w:cs="Times New Roman"/>
                <w:b w:val="0"/>
                <w:bCs w:val="0"/>
                <w:color w:val="auto"/>
                <w:sz w:val="24"/>
                <w:highlight w:val="none"/>
                <w:lang w:val="en-US" w:eastAsia="zh-CN"/>
              </w:rPr>
              <w:t>2.5</w:t>
            </w:r>
            <w:r>
              <w:rPr>
                <w:rFonts w:hint="eastAsia" w:ascii="Times New Roman" w:hAnsi="Times New Roman" w:cs="Times New Roman"/>
                <w:b w:val="0"/>
                <w:bCs w:val="0"/>
                <w:color w:val="auto"/>
                <w:sz w:val="24"/>
                <w:highlight w:val="none"/>
                <w:lang w:val="en-US" w:eastAsia="zh-CN"/>
              </w:rPr>
              <w:t>m的临时挡板；</w:t>
            </w:r>
          </w:p>
          <w:p w14:paraId="3EC0DFA6">
            <w:pPr>
              <w:numPr>
                <w:ilvl w:val="0"/>
                <w:numId w:val="0"/>
              </w:numPr>
              <w:ind w:firstLine="480" w:firstLineChars="200"/>
              <w:rPr>
                <w:rFonts w:hint="eastAsia"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（3）施工过程中使用易产生扬尘的建筑材料，应采取密封存储和运输、用防尘布苫盖等措施；</w:t>
            </w:r>
          </w:p>
          <w:p w14:paraId="32F9550D">
            <w:pPr>
              <w:numPr>
                <w:ilvl w:val="0"/>
                <w:numId w:val="0"/>
              </w:numPr>
              <w:ind w:firstLine="480" w:firstLineChars="200"/>
              <w:rPr>
                <w:rFonts w:hint="eastAsia"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（4）在施工过程中，作业场地采取围挡、围护以减少扬尘扩散。采取隔离网和加高围墙隔挡等措施控制施工扬尘对周围的影响；</w:t>
            </w:r>
          </w:p>
          <w:p w14:paraId="29D450E1">
            <w:pPr>
              <w:numPr>
                <w:ilvl w:val="0"/>
                <w:numId w:val="0"/>
              </w:numPr>
              <w:ind w:firstLine="480" w:firstLineChars="200"/>
              <w:rPr>
                <w:rFonts w:hint="eastAsia"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（5）对运输建筑材料及建筑垃圾的车辆加盖</w:t>
            </w:r>
            <w:r>
              <w:rPr>
                <w:rFonts w:hint="eastAsia" w:cs="Times New Roman"/>
                <w:b w:val="0"/>
                <w:bCs w:val="0"/>
                <w:color w:val="auto"/>
                <w:sz w:val="24"/>
                <w:highlight w:val="none"/>
                <w:lang w:val="en-US" w:eastAsia="zh-CN"/>
              </w:rPr>
              <w:t>篷布</w:t>
            </w:r>
            <w:r>
              <w:rPr>
                <w:rFonts w:hint="eastAsia" w:ascii="Times New Roman" w:hAnsi="Times New Roman" w:cs="Times New Roman"/>
                <w:b w:val="0"/>
                <w:bCs w:val="0"/>
                <w:color w:val="auto"/>
                <w:sz w:val="24"/>
                <w:highlight w:val="none"/>
                <w:lang w:val="en-US" w:eastAsia="zh-CN"/>
              </w:rPr>
              <w:t>减少洒落，同时，车辆进出、装卸场地时应用水将轮胎冲洗干净，车辆行驶路线应首选城外道路，尽量避开居民区和城市中心区；</w:t>
            </w:r>
          </w:p>
          <w:p w14:paraId="7F0F30AC">
            <w:pPr>
              <w:numPr>
                <w:ilvl w:val="0"/>
                <w:numId w:val="0"/>
              </w:numPr>
              <w:ind w:firstLine="480" w:firstLineChars="200"/>
              <w:rPr>
                <w:rFonts w:hint="eastAsia"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（6）施工场地配置专人负责废弃土石方、建筑垃圾、建筑材料的处置、清运和堆放，堆放场地加盖</w:t>
            </w:r>
            <w:r>
              <w:rPr>
                <w:rFonts w:hint="eastAsia" w:cs="Times New Roman"/>
                <w:b w:val="0"/>
                <w:bCs w:val="0"/>
                <w:color w:val="auto"/>
                <w:sz w:val="24"/>
                <w:highlight w:val="none"/>
                <w:lang w:val="en-US" w:eastAsia="zh-CN"/>
              </w:rPr>
              <w:t>篷布</w:t>
            </w:r>
            <w:r>
              <w:rPr>
                <w:rFonts w:hint="eastAsia" w:ascii="Times New Roman" w:hAnsi="Times New Roman" w:cs="Times New Roman"/>
                <w:b w:val="0"/>
                <w:bCs w:val="0"/>
                <w:color w:val="auto"/>
                <w:sz w:val="24"/>
                <w:highlight w:val="none"/>
                <w:lang w:val="en-US" w:eastAsia="zh-CN"/>
              </w:rPr>
              <w:t>或洒水，防止二次扬尘；</w:t>
            </w:r>
          </w:p>
          <w:p w14:paraId="2CEE4BD2">
            <w:pPr>
              <w:numPr>
                <w:ilvl w:val="0"/>
                <w:numId w:val="0"/>
              </w:numPr>
              <w:ind w:firstLine="480" w:firstLineChars="200"/>
              <w:rPr>
                <w:rFonts w:hint="eastAsia"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7）对建筑垃圾及废弃土石方应及时处理、清运、以减少占地，防止扬尘污染，改善施工场地的环境；清理施工垃圾时，必须搭设封闭式临时专用垃圾道或采用容器吊运，严禁随意凌空抛撒。施工垃圾应及时清运，适量洒水，减少扬尘；</w:t>
            </w:r>
          </w:p>
          <w:p w14:paraId="0E3A8E52">
            <w:pPr>
              <w:numPr>
                <w:ilvl w:val="0"/>
                <w:numId w:val="0"/>
              </w:numPr>
              <w:ind w:firstLine="480" w:firstLineChars="200"/>
              <w:rPr>
                <w:rFonts w:hint="eastAsia"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（8）防止带泥土的运输车辆驶出现场和遗撤渣土在路途中；</w:t>
            </w:r>
          </w:p>
          <w:p w14:paraId="6D25C4F9">
            <w:pPr>
              <w:numPr>
                <w:ilvl w:val="0"/>
                <w:numId w:val="0"/>
              </w:numPr>
              <w:ind w:firstLine="480" w:firstLineChars="200"/>
              <w:rPr>
                <w:rFonts w:hint="eastAsia"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（9）合理安排施工，尽量缩短施工时间，避免在干燥大风天气下施工；</w:t>
            </w:r>
          </w:p>
          <w:p w14:paraId="0F0149EA">
            <w:pPr>
              <w:numPr>
                <w:ilvl w:val="0"/>
                <w:numId w:val="0"/>
              </w:numPr>
              <w:ind w:firstLine="480" w:firstLineChars="200"/>
              <w:rPr>
                <w:rFonts w:hint="eastAsia"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（10）散料临时堆场应进行围隔和覆盖；水泥等粉细散装材料，应尽量采取库内存放，如露天存放应采用严密遮盖，卸运时要采取有效措施。</w:t>
            </w:r>
          </w:p>
          <w:p w14:paraId="46262A70">
            <w:pPr>
              <w:numPr>
                <w:ilvl w:val="0"/>
                <w:numId w:val="0"/>
              </w:numPr>
              <w:ind w:firstLine="482" w:firstLineChars="200"/>
              <w:rPr>
                <w:rFonts w:hint="eastAsia"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2.</w:t>
            </w:r>
            <w:r>
              <w:rPr>
                <w:rFonts w:hint="eastAsia" w:ascii="Times New Roman" w:hAnsi="Times New Roman" w:cs="Times New Roman"/>
                <w:b w:val="0"/>
                <w:bCs w:val="0"/>
                <w:color w:val="auto"/>
                <w:sz w:val="24"/>
                <w:highlight w:val="none"/>
                <w:lang w:val="en-US" w:eastAsia="zh-CN"/>
              </w:rPr>
              <w:t xml:space="preserve"> </w:t>
            </w:r>
            <w:r>
              <w:rPr>
                <w:rFonts w:hint="eastAsia" w:ascii="Times New Roman" w:hAnsi="Times New Roman" w:cs="Times New Roman"/>
                <w:b/>
                <w:bCs/>
                <w:color w:val="auto"/>
                <w:sz w:val="24"/>
                <w:highlight w:val="none"/>
                <w:lang w:val="en-US" w:eastAsia="zh-CN"/>
              </w:rPr>
              <w:t>水污染防治措施</w:t>
            </w:r>
          </w:p>
          <w:p w14:paraId="4FE3D6FF">
            <w:pPr>
              <w:numPr>
                <w:ilvl w:val="0"/>
                <w:numId w:val="0"/>
              </w:numPr>
              <w:ind w:firstLine="480" w:firstLineChars="200"/>
              <w:jc w:val="left"/>
              <w:rPr>
                <w:rFonts w:hint="eastAsia"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（1）设置临时沉砂池，废水统一收集沉淀处理后回用于项目区洒水，不外排，</w:t>
            </w:r>
            <w:r>
              <w:rPr>
                <w:rFonts w:hint="default" w:ascii="Times New Roman" w:hAnsi="Times New Roman" w:cs="Times New Roman"/>
                <w:color w:val="auto"/>
                <w:sz w:val="24"/>
                <w:highlight w:val="none"/>
              </w:rPr>
              <w:t>禁止将未进行沉淀处理的废水随意乱排</w:t>
            </w:r>
            <w:r>
              <w:rPr>
                <w:rFonts w:hint="eastAsia" w:ascii="Times New Roman" w:hAnsi="Times New Roman" w:cs="Times New Roman"/>
                <w:b w:val="0"/>
                <w:bCs w:val="0"/>
                <w:color w:val="auto"/>
                <w:sz w:val="24"/>
                <w:highlight w:val="none"/>
                <w:lang w:val="en-US" w:eastAsia="zh-CN"/>
              </w:rPr>
              <w:t>；</w:t>
            </w:r>
          </w:p>
          <w:p w14:paraId="42B2BBD5">
            <w:pPr>
              <w:numPr>
                <w:ilvl w:val="0"/>
                <w:numId w:val="0"/>
              </w:numPr>
              <w:ind w:firstLine="480" w:firstLineChars="200"/>
              <w:jc w:val="left"/>
              <w:rPr>
                <w:rFonts w:hint="default"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（2）设置临时沉砂池处理冲刷雨水</w:t>
            </w:r>
            <w:r>
              <w:rPr>
                <w:rFonts w:hint="eastAsia" w:cs="Times New Roman"/>
                <w:b w:val="0"/>
                <w:bCs w:val="0"/>
                <w:color w:val="auto"/>
                <w:sz w:val="24"/>
                <w:highlight w:val="none"/>
                <w:lang w:val="en-US" w:eastAsia="zh-CN"/>
              </w:rPr>
              <w:t>，收集处理后回用于项目洒水降尘，不外排。</w:t>
            </w:r>
          </w:p>
          <w:p w14:paraId="1F73BCE4">
            <w:pPr>
              <w:numPr>
                <w:ilvl w:val="0"/>
                <w:numId w:val="0"/>
              </w:numPr>
              <w:ind w:firstLine="480" w:firstLineChars="200"/>
              <w:jc w:val="left"/>
              <w:rPr>
                <w:rFonts w:hint="eastAsia"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（3）注意施工期节约用水，减少废水的产生，且尽量避免雨季土石方施工，暴雨期间停止施工。</w:t>
            </w:r>
          </w:p>
          <w:p w14:paraId="6776DF6E">
            <w:pPr>
              <w:numPr>
                <w:ilvl w:val="0"/>
                <w:numId w:val="0"/>
              </w:numPr>
              <w:ind w:firstLine="482" w:firstLineChars="200"/>
              <w:jc w:val="left"/>
              <w:rPr>
                <w:rFonts w:hint="eastAsia" w:ascii="Times New Roman" w:hAnsi="Times New Roman" w:cs="Times New Roman"/>
                <w:b/>
                <w:bCs/>
                <w:color w:val="auto"/>
                <w:sz w:val="24"/>
                <w:highlight w:val="none"/>
                <w:lang w:val="en-US" w:eastAsia="zh-CN"/>
              </w:rPr>
            </w:pPr>
            <w:r>
              <w:rPr>
                <w:rFonts w:hint="eastAsia" w:ascii="Times New Roman" w:hAnsi="Times New Roman" w:cs="Times New Roman"/>
                <w:b/>
                <w:bCs/>
                <w:color w:val="auto"/>
                <w:sz w:val="24"/>
                <w:highlight w:val="none"/>
                <w:lang w:val="en-US" w:eastAsia="zh-CN"/>
              </w:rPr>
              <w:t>3. 噪声防治措施</w:t>
            </w:r>
          </w:p>
          <w:p w14:paraId="358AB97C">
            <w:pPr>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对各声源设备进行合理布局，在</w:t>
            </w:r>
            <w:r>
              <w:rPr>
                <w:rFonts w:hint="default" w:ascii="Times New Roman" w:hAnsi="Times New Roman" w:cs="Times New Roman"/>
                <w:color w:val="000000" w:themeColor="text1"/>
                <w:spacing w:val="6"/>
                <w:sz w:val="24"/>
                <w:highlight w:val="none"/>
                <w14:textFill>
                  <w14:solidFill>
                    <w14:schemeClr w14:val="tx1"/>
                  </w14:solidFill>
                </w14:textFill>
              </w:rPr>
              <w:t>施工现场周边设置遮挡高</w:t>
            </w:r>
            <w:r>
              <w:rPr>
                <w:rFonts w:hint="default" w:ascii="Times New Roman" w:hAnsi="Times New Roman" w:cs="Times New Roman"/>
                <w:color w:val="000000" w:themeColor="text1"/>
                <w:spacing w:val="6"/>
                <w:sz w:val="24"/>
                <w:highlight w:val="none"/>
                <w:lang w:val="en-US" w:eastAsia="zh-CN"/>
                <w14:textFill>
                  <w14:solidFill>
                    <w14:schemeClr w14:val="tx1"/>
                  </w14:solidFill>
                </w14:textFill>
              </w:rPr>
              <w:t>度2.5</w:t>
            </w:r>
            <w:r>
              <w:rPr>
                <w:rFonts w:hint="default" w:ascii="Times New Roman" w:hAnsi="Times New Roman" w:cs="Times New Roman"/>
                <w:color w:val="000000" w:themeColor="text1"/>
                <w:spacing w:val="6"/>
                <w:sz w:val="24"/>
                <w:highlight w:val="none"/>
                <w14:textFill>
                  <w14:solidFill>
                    <w14:schemeClr w14:val="tx1"/>
                  </w14:solidFill>
                </w14:textFill>
              </w:rPr>
              <w:t>m的围挡。</w:t>
            </w:r>
          </w:p>
          <w:p w14:paraId="6F9855C8">
            <w:pPr>
              <w:adjustRightInd w:val="0"/>
              <w:snapToGrid w:val="0"/>
              <w:spacing w:line="360" w:lineRule="auto"/>
              <w:ind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工程运输车辆禁止使用音量高于95分贝的喇叭，合理选择运输路线，车辆行经居民集中区等敏感区域时采取减速、禁鸣措施。</w:t>
            </w:r>
          </w:p>
          <w:p w14:paraId="29C4C08B">
            <w:pPr>
              <w:adjustRightInd w:val="0"/>
              <w:snapToGrid w:val="0"/>
              <w:spacing w:line="360" w:lineRule="auto"/>
              <w:ind w:firstLine="468" w:firstLineChars="195"/>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highlight w:val="none"/>
                <w:lang w:eastAsia="zh-CN"/>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在满足施工需要的前提下，尽可能选取噪声低、振动小、能耗小的先进设备。加强对施工机械的维护保养，避免由于设备性能差而使机械噪声增大的现象发生。</w:t>
            </w:r>
          </w:p>
          <w:p w14:paraId="152957F8">
            <w:pPr>
              <w:keepNext w:val="0"/>
              <w:keepLines w:val="0"/>
              <w:widowControl/>
              <w:suppressLineNumbers w:val="0"/>
              <w:ind w:firstLine="480" w:firstLineChars="200"/>
              <w:jc w:val="left"/>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合理确定工程施工场界。施工场地的强噪声设备宜设置在远离居民区的一侧。</w:t>
            </w:r>
          </w:p>
          <w:p w14:paraId="217CDB20">
            <w:pPr>
              <w:keepNext w:val="0"/>
              <w:keepLines w:val="0"/>
              <w:widowControl/>
              <w:numPr>
                <w:ilvl w:val="0"/>
                <w:numId w:val="0"/>
              </w:numPr>
              <w:suppressLineNumbers w:val="0"/>
              <w:ind w:firstLine="480" w:firstLineChars="200"/>
              <w:jc w:val="left"/>
              <w:rPr>
                <w:rFonts w:hint="default" w:ascii="Times New Roman" w:hAnsi="Times New Roman"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（5）合理安排施工时间，工程需夜间施工时，必须取得相关部门批准夜间施工的许可证，未取得许可证禁止夜间施工。</w:t>
            </w:r>
          </w:p>
          <w:p w14:paraId="16F1FB51">
            <w:pPr>
              <w:keepNext w:val="0"/>
              <w:keepLines w:val="0"/>
              <w:widowControl/>
              <w:numPr>
                <w:ilvl w:val="0"/>
                <w:numId w:val="0"/>
              </w:numPr>
              <w:suppressLineNumbers w:val="0"/>
              <w:ind w:firstLine="480" w:firstLineChars="200"/>
              <w:jc w:val="left"/>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（6）</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建设单位在施工沿线标明投诉电话，对投诉问题建设单位应及时与</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当</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地环境保护部门联系，以便及时处理各种环境纠纷。</w:t>
            </w:r>
          </w:p>
          <w:p w14:paraId="51FB3C47">
            <w:pPr>
              <w:keepNext w:val="0"/>
              <w:keepLines w:val="0"/>
              <w:widowControl/>
              <w:suppressLineNumbers w:val="0"/>
              <w:ind w:firstLine="482" w:firstLineChars="200"/>
              <w:jc w:val="both"/>
              <w:rPr>
                <w:rFonts w:hint="default" w:ascii="Times New Roman" w:hAnsi="Times New Roman" w:cs="Times New Roman"/>
                <w:b/>
                <w:bCs/>
                <w:color w:val="000000"/>
                <w:kern w:val="0"/>
                <w:sz w:val="24"/>
                <w:szCs w:val="24"/>
                <w:lang w:val="en-US" w:eastAsia="zh-CN" w:bidi="ar"/>
              </w:rPr>
            </w:pPr>
            <w:r>
              <w:rPr>
                <w:rFonts w:hint="default" w:ascii="Times New Roman" w:hAnsi="Times New Roman" w:cs="Times New Roman"/>
                <w:b/>
                <w:bCs/>
                <w:color w:val="000000"/>
                <w:kern w:val="0"/>
                <w:sz w:val="24"/>
                <w:szCs w:val="24"/>
                <w:lang w:val="en-US" w:eastAsia="zh-CN" w:bidi="ar"/>
              </w:rPr>
              <w:t>4. 固体废物防治措施</w:t>
            </w:r>
          </w:p>
          <w:p w14:paraId="689D335C">
            <w:pPr>
              <w:keepNext w:val="0"/>
              <w:keepLines w:val="0"/>
              <w:widowControl/>
              <w:suppressLineNumbers w:val="0"/>
              <w:ind w:firstLine="480" w:firstLineChars="200"/>
              <w:jc w:val="both"/>
              <w:rPr>
                <w:rFonts w:hint="default" w:ascii="宋体" w:hAnsi="宋体" w:cs="宋体"/>
                <w:b w:val="0"/>
                <w:bCs w:val="0"/>
                <w:color w:val="000000"/>
                <w:kern w:val="0"/>
                <w:sz w:val="24"/>
                <w:szCs w:val="24"/>
                <w:lang w:val="en-US" w:eastAsia="zh-CN" w:bidi="ar"/>
              </w:rPr>
            </w:pPr>
            <w:r>
              <w:rPr>
                <w:rFonts w:hint="default" w:ascii="宋体" w:hAnsi="宋体" w:cs="宋体"/>
                <w:b w:val="0"/>
                <w:bCs w:val="0"/>
                <w:color w:val="000000"/>
                <w:kern w:val="0"/>
                <w:sz w:val="24"/>
                <w:szCs w:val="24"/>
                <w:lang w:val="en-US" w:eastAsia="zh-CN" w:bidi="ar"/>
              </w:rPr>
              <w:t>（1）建筑垃圾分类清理，其中能回收利用的回收利用，不可回收利用的运往城市建设管理部门指定地点堆存，不得随意丢弃；</w:t>
            </w:r>
          </w:p>
          <w:p w14:paraId="19B872D2">
            <w:pPr>
              <w:keepNext w:val="0"/>
              <w:keepLines w:val="0"/>
              <w:widowControl/>
              <w:suppressLineNumbers w:val="0"/>
              <w:ind w:firstLine="480" w:firstLineChars="200"/>
              <w:jc w:val="both"/>
              <w:rPr>
                <w:rFonts w:hint="default" w:ascii="宋体" w:hAnsi="宋体" w:cs="宋体"/>
                <w:b w:val="0"/>
                <w:bCs w:val="0"/>
                <w:color w:val="000000"/>
                <w:kern w:val="0"/>
                <w:sz w:val="24"/>
                <w:szCs w:val="24"/>
                <w:lang w:val="en-US" w:eastAsia="zh-CN" w:bidi="ar"/>
              </w:rPr>
            </w:pPr>
            <w:r>
              <w:rPr>
                <w:rFonts w:hint="default" w:ascii="宋体" w:hAnsi="宋体" w:cs="宋体"/>
                <w:b w:val="0"/>
                <w:bCs w:val="0"/>
                <w:color w:val="000000"/>
                <w:kern w:val="0"/>
                <w:sz w:val="24"/>
                <w:szCs w:val="24"/>
                <w:lang w:val="en-US" w:eastAsia="zh-CN" w:bidi="ar"/>
              </w:rPr>
              <w:t>（2）经抽吸和打捞上来的淤泥用编织袋捆装，放置在河道斜坡上，待淤泥水分浸出流入河道后，淤泥用于回填处理；</w:t>
            </w:r>
          </w:p>
          <w:p w14:paraId="6A314ADE">
            <w:pPr>
              <w:keepNext w:val="0"/>
              <w:keepLines w:val="0"/>
              <w:widowControl/>
              <w:suppressLineNumbers w:val="0"/>
              <w:ind w:firstLine="480" w:firstLineChars="200"/>
              <w:jc w:val="both"/>
              <w:rPr>
                <w:rFonts w:hint="default" w:ascii="宋体" w:hAnsi="宋体" w:cs="宋体"/>
                <w:b w:val="0"/>
                <w:bCs w:val="0"/>
                <w:color w:val="000000"/>
                <w:kern w:val="0"/>
                <w:sz w:val="24"/>
                <w:szCs w:val="24"/>
                <w:lang w:val="en-US" w:eastAsia="zh-CN" w:bidi="ar"/>
              </w:rPr>
            </w:pPr>
            <w:r>
              <w:rPr>
                <w:rFonts w:hint="default" w:ascii="宋体" w:hAnsi="宋体" w:cs="宋体"/>
                <w:b w:val="0"/>
                <w:bCs w:val="0"/>
                <w:color w:val="000000"/>
                <w:kern w:val="0"/>
                <w:sz w:val="24"/>
                <w:szCs w:val="24"/>
                <w:lang w:val="en-US" w:eastAsia="zh-CN" w:bidi="ar"/>
              </w:rPr>
              <w:t>（3）施工人员生活垃圾经垃圾桶收集后委托环卫部门及时清运处置，做到日产日清，不得随意堆放、倾倒。</w:t>
            </w:r>
          </w:p>
          <w:p w14:paraId="162A381C">
            <w:pPr>
              <w:keepNext w:val="0"/>
              <w:keepLines w:val="0"/>
              <w:widowControl/>
              <w:suppressLineNumbers w:val="0"/>
              <w:ind w:firstLine="482" w:firstLineChars="200"/>
              <w:jc w:val="both"/>
              <w:rPr>
                <w:rFonts w:hint="default" w:ascii="Times New Roman" w:hAnsi="Times New Roman" w:cs="Times New Roman"/>
                <w:b/>
                <w:bCs/>
                <w:color w:val="000000"/>
                <w:kern w:val="0"/>
                <w:sz w:val="24"/>
                <w:szCs w:val="24"/>
                <w:lang w:val="en-US" w:eastAsia="zh-CN" w:bidi="ar"/>
              </w:rPr>
            </w:pPr>
            <w:r>
              <w:rPr>
                <w:rFonts w:hint="default" w:ascii="Times New Roman" w:hAnsi="Times New Roman" w:cs="Times New Roman"/>
                <w:b/>
                <w:bCs/>
                <w:color w:val="000000"/>
                <w:kern w:val="0"/>
                <w:sz w:val="24"/>
                <w:szCs w:val="24"/>
                <w:lang w:val="en-US" w:eastAsia="zh-CN" w:bidi="ar"/>
              </w:rPr>
              <w:t>5.</w:t>
            </w:r>
            <w:r>
              <w:rPr>
                <w:rFonts w:hint="eastAsia" w:cs="Times New Roman"/>
                <w:b/>
                <w:bCs/>
                <w:color w:val="000000"/>
                <w:kern w:val="0"/>
                <w:sz w:val="24"/>
                <w:szCs w:val="24"/>
                <w:lang w:val="en-US" w:eastAsia="zh-CN" w:bidi="ar"/>
              </w:rPr>
              <w:t xml:space="preserve"> </w:t>
            </w:r>
            <w:r>
              <w:rPr>
                <w:rFonts w:hint="default" w:ascii="Times New Roman" w:hAnsi="Times New Roman" w:cs="Times New Roman"/>
                <w:b/>
                <w:bCs/>
                <w:color w:val="000000"/>
                <w:kern w:val="0"/>
                <w:sz w:val="24"/>
                <w:szCs w:val="24"/>
                <w:lang w:val="en-US" w:eastAsia="zh-CN" w:bidi="ar"/>
              </w:rPr>
              <w:t>生态环境防治措施</w:t>
            </w:r>
          </w:p>
          <w:p w14:paraId="100B1F37">
            <w:pPr>
              <w:keepNext w:val="0"/>
              <w:keepLines w:val="0"/>
              <w:widowControl/>
              <w:suppressLineNumbers w:val="0"/>
              <w:ind w:firstLine="480" w:firstLineChars="200"/>
              <w:jc w:val="both"/>
              <w:rPr>
                <w:rFonts w:hint="default" w:ascii="Times New Roman" w:hAnsi="Times New Roman" w:cs="Times New Roman"/>
                <w:b w:val="0"/>
                <w:bCs w:val="0"/>
                <w:color w:val="000000"/>
                <w:kern w:val="0"/>
                <w:sz w:val="24"/>
                <w:szCs w:val="24"/>
                <w:lang w:val="en-US" w:eastAsia="zh-CN" w:bidi="ar"/>
              </w:rPr>
            </w:pPr>
            <w:r>
              <w:rPr>
                <w:rFonts w:hint="default" w:ascii="Times New Roman" w:hAnsi="Times New Roman" w:cs="Times New Roman"/>
                <w:b w:val="0"/>
                <w:bCs w:val="0"/>
                <w:color w:val="000000"/>
                <w:kern w:val="0"/>
                <w:sz w:val="24"/>
                <w:szCs w:val="24"/>
                <w:lang w:val="en-US" w:eastAsia="zh-CN" w:bidi="ar"/>
              </w:rPr>
              <w:t>（1）施工过程中尽量较少不必要的裸露地表面积；</w:t>
            </w:r>
          </w:p>
          <w:p w14:paraId="43FD7FC7">
            <w:pPr>
              <w:keepNext w:val="0"/>
              <w:keepLines w:val="0"/>
              <w:widowControl/>
              <w:suppressLineNumbers w:val="0"/>
              <w:ind w:firstLine="480" w:firstLineChars="200"/>
              <w:jc w:val="both"/>
              <w:rPr>
                <w:rFonts w:hint="default" w:ascii="Times New Roman" w:hAnsi="Times New Roman" w:cs="Times New Roman"/>
                <w:b w:val="0"/>
                <w:bCs w:val="0"/>
                <w:color w:val="000000"/>
                <w:kern w:val="0"/>
                <w:sz w:val="24"/>
                <w:szCs w:val="24"/>
                <w:lang w:val="en-US" w:eastAsia="zh-CN" w:bidi="ar"/>
              </w:rPr>
            </w:pPr>
            <w:r>
              <w:rPr>
                <w:rFonts w:hint="default" w:ascii="Times New Roman" w:hAnsi="Times New Roman" w:cs="Times New Roman"/>
                <w:b w:val="0"/>
                <w:bCs w:val="0"/>
                <w:color w:val="000000"/>
                <w:kern w:val="0"/>
                <w:sz w:val="24"/>
                <w:szCs w:val="24"/>
                <w:lang w:val="en-US" w:eastAsia="zh-CN" w:bidi="ar"/>
              </w:rPr>
              <w:t>（2）加强对施工人员和管理人员的教育，提高其环保意识，防止因人为活动造成的区域植被破坏、生活垃圾乱堆以及污水肆意排放等问题所引起的景观污染；</w:t>
            </w:r>
          </w:p>
          <w:p w14:paraId="210C145E">
            <w:pPr>
              <w:keepNext w:val="0"/>
              <w:keepLines w:val="0"/>
              <w:widowControl/>
              <w:suppressLineNumbers w:val="0"/>
              <w:ind w:firstLine="480" w:firstLineChars="200"/>
              <w:jc w:val="both"/>
              <w:rPr>
                <w:rFonts w:hint="default" w:ascii="Times New Roman" w:hAnsi="Times New Roman" w:cs="Times New Roman"/>
                <w:b w:val="0"/>
                <w:bCs w:val="0"/>
                <w:color w:val="000000"/>
                <w:kern w:val="0"/>
                <w:sz w:val="24"/>
                <w:szCs w:val="24"/>
                <w:lang w:val="en-US" w:eastAsia="zh-CN" w:bidi="ar"/>
              </w:rPr>
            </w:pPr>
            <w:r>
              <w:rPr>
                <w:rFonts w:hint="default" w:ascii="Times New Roman" w:hAnsi="Times New Roman" w:cs="Times New Roman"/>
                <w:b w:val="0"/>
                <w:bCs w:val="0"/>
                <w:color w:val="000000"/>
                <w:kern w:val="0"/>
                <w:sz w:val="24"/>
                <w:szCs w:val="24"/>
                <w:lang w:val="en-US" w:eastAsia="zh-CN" w:bidi="ar"/>
              </w:rPr>
              <w:t>（3）在项目施工期以及工程完工后都必须采取较为完备合理的水土保持措施，以大力降低项目施工造成的水土流失量和环境影响；</w:t>
            </w:r>
          </w:p>
          <w:p w14:paraId="05B2506F">
            <w:pPr>
              <w:keepNext w:val="0"/>
              <w:keepLines w:val="0"/>
              <w:widowControl/>
              <w:suppressLineNumbers w:val="0"/>
              <w:ind w:firstLine="480" w:firstLineChars="200"/>
              <w:jc w:val="both"/>
              <w:rPr>
                <w:rFonts w:hint="default" w:ascii="Times New Roman" w:hAnsi="Times New Roman" w:cs="Times New Roman"/>
                <w:b w:val="0"/>
                <w:bCs w:val="0"/>
                <w:color w:val="000000"/>
                <w:kern w:val="0"/>
                <w:sz w:val="24"/>
                <w:szCs w:val="24"/>
                <w:lang w:val="en-US" w:eastAsia="zh-CN" w:bidi="ar"/>
              </w:rPr>
            </w:pPr>
            <w:r>
              <w:rPr>
                <w:rFonts w:hint="default" w:ascii="Times New Roman" w:hAnsi="Times New Roman" w:cs="Times New Roman"/>
                <w:b w:val="0"/>
                <w:bCs w:val="0"/>
                <w:color w:val="000000"/>
                <w:kern w:val="0"/>
                <w:sz w:val="24"/>
                <w:szCs w:val="24"/>
                <w:lang w:val="en-US" w:eastAsia="zh-CN" w:bidi="ar"/>
              </w:rPr>
              <w:t>（4）项目规划应重视景观生态设计，使项目环境与周围自然景观协调统一。</w:t>
            </w:r>
          </w:p>
          <w:p w14:paraId="76C8ABC5">
            <w:pPr>
              <w:keepNext w:val="0"/>
              <w:keepLines w:val="0"/>
              <w:widowControl/>
              <w:suppressLineNumbers w:val="0"/>
              <w:ind w:firstLine="482" w:firstLineChars="200"/>
              <w:jc w:val="both"/>
              <w:rPr>
                <w:rFonts w:hint="eastAsia" w:cs="Times New Roman"/>
                <w:b/>
                <w:bCs/>
                <w:color w:val="000000"/>
                <w:kern w:val="0"/>
                <w:sz w:val="24"/>
                <w:szCs w:val="24"/>
                <w:lang w:val="en-US" w:eastAsia="zh-CN" w:bidi="ar"/>
              </w:rPr>
            </w:pPr>
            <w:r>
              <w:rPr>
                <w:rFonts w:hint="eastAsia" w:cs="Times New Roman"/>
                <w:b/>
                <w:bCs/>
                <w:color w:val="000000"/>
                <w:kern w:val="0"/>
                <w:sz w:val="24"/>
                <w:szCs w:val="24"/>
                <w:lang w:val="en-US" w:eastAsia="zh-CN" w:bidi="ar"/>
              </w:rPr>
              <w:t>（二）营运期环境保护措施</w:t>
            </w:r>
          </w:p>
          <w:p w14:paraId="43A91ED6">
            <w:pPr>
              <w:keepNext w:val="0"/>
              <w:keepLines w:val="0"/>
              <w:widowControl/>
              <w:suppressLineNumbers w:val="0"/>
              <w:ind w:firstLine="480" w:firstLineChars="200"/>
              <w:jc w:val="both"/>
              <w:rPr>
                <w:rFonts w:hint="default" w:cs="Times New Roman"/>
                <w:b w:val="0"/>
                <w:bCs w:val="0"/>
                <w:color w:val="000000"/>
                <w:kern w:val="0"/>
                <w:sz w:val="24"/>
                <w:szCs w:val="24"/>
                <w:lang w:val="en-US" w:eastAsia="zh-CN" w:bidi="ar"/>
              </w:rPr>
            </w:pPr>
            <w:r>
              <w:rPr>
                <w:rFonts w:hint="default" w:cs="Times New Roman"/>
                <w:b w:val="0"/>
                <w:bCs w:val="0"/>
                <w:color w:val="000000"/>
                <w:kern w:val="0"/>
                <w:sz w:val="24"/>
                <w:szCs w:val="24"/>
                <w:lang w:val="en-US" w:eastAsia="zh-CN" w:bidi="ar"/>
              </w:rPr>
              <w:t>1</w:t>
            </w:r>
            <w:r>
              <w:rPr>
                <w:rFonts w:hint="eastAsia" w:cs="Times New Roman"/>
                <w:b w:val="0"/>
                <w:bCs w:val="0"/>
                <w:color w:val="000000"/>
                <w:kern w:val="0"/>
                <w:sz w:val="24"/>
                <w:szCs w:val="24"/>
                <w:lang w:val="en-US" w:eastAsia="zh-CN" w:bidi="ar"/>
              </w:rPr>
              <w:t xml:space="preserve">. </w:t>
            </w:r>
            <w:r>
              <w:rPr>
                <w:rFonts w:hint="default" w:cs="Times New Roman"/>
                <w:b w:val="0"/>
                <w:bCs w:val="0"/>
                <w:color w:val="000000"/>
                <w:kern w:val="0"/>
                <w:sz w:val="24"/>
                <w:szCs w:val="24"/>
                <w:lang w:val="en-US" w:eastAsia="zh-CN" w:bidi="ar"/>
              </w:rPr>
              <w:t>建设单位应注意地下综合管廊的规划设计，确定地下综合管廊的埋深和位置，注意规划设计地下综合管廊排布和埋深；</w:t>
            </w:r>
          </w:p>
          <w:p w14:paraId="1E6A5060">
            <w:pPr>
              <w:keepNext w:val="0"/>
              <w:keepLines w:val="0"/>
              <w:widowControl/>
              <w:suppressLineNumbers w:val="0"/>
              <w:ind w:firstLine="480" w:firstLineChars="200"/>
              <w:jc w:val="both"/>
              <w:rPr>
                <w:rFonts w:hint="default" w:cs="Times New Roman"/>
                <w:b w:val="0"/>
                <w:bCs w:val="0"/>
                <w:color w:val="000000"/>
                <w:kern w:val="0"/>
                <w:sz w:val="24"/>
                <w:szCs w:val="24"/>
                <w:lang w:val="en-US" w:eastAsia="zh-CN" w:bidi="ar"/>
              </w:rPr>
            </w:pPr>
            <w:r>
              <w:rPr>
                <w:rFonts w:hint="default" w:cs="Times New Roman"/>
                <w:b w:val="0"/>
                <w:bCs w:val="0"/>
                <w:color w:val="000000"/>
                <w:kern w:val="0"/>
                <w:sz w:val="24"/>
                <w:szCs w:val="24"/>
                <w:lang w:val="en-US" w:eastAsia="zh-CN" w:bidi="ar"/>
              </w:rPr>
              <w:t>2、将通风口和绿化、广告牌等结合布置，以减少对道路景观的影响；</w:t>
            </w:r>
          </w:p>
          <w:p w14:paraId="073E97EC">
            <w:pPr>
              <w:keepNext w:val="0"/>
              <w:keepLines w:val="0"/>
              <w:widowControl/>
              <w:suppressLineNumbers w:val="0"/>
              <w:ind w:firstLine="480" w:firstLineChars="200"/>
              <w:jc w:val="both"/>
              <w:rPr>
                <w:rFonts w:hint="default" w:cs="Times New Roman"/>
                <w:b w:val="0"/>
                <w:bCs w:val="0"/>
                <w:color w:val="000000"/>
                <w:kern w:val="0"/>
                <w:sz w:val="24"/>
                <w:szCs w:val="24"/>
                <w:lang w:val="en-US" w:eastAsia="zh-CN" w:bidi="ar"/>
              </w:rPr>
            </w:pPr>
            <w:r>
              <w:rPr>
                <w:rFonts w:hint="default" w:cs="Times New Roman"/>
                <w:b w:val="0"/>
                <w:bCs w:val="0"/>
                <w:color w:val="000000"/>
                <w:kern w:val="0"/>
                <w:sz w:val="24"/>
                <w:szCs w:val="24"/>
                <w:lang w:val="en-US" w:eastAsia="zh-CN" w:bidi="ar"/>
              </w:rPr>
              <w:t>3、加强地下综合管廊安全巡查。</w:t>
            </w:r>
          </w:p>
          <w:p w14:paraId="2F4B2E49">
            <w:pPr>
              <w:keepNext w:val="0"/>
              <w:keepLines w:val="0"/>
              <w:widowControl/>
              <w:suppressLineNumbers w:val="0"/>
              <w:ind w:firstLine="480" w:firstLineChars="200"/>
              <w:jc w:val="both"/>
              <w:rPr>
                <w:rFonts w:hint="default" w:cs="Times New Roman"/>
                <w:b w:val="0"/>
                <w:bCs w:val="0"/>
                <w:color w:val="000000"/>
                <w:kern w:val="0"/>
                <w:sz w:val="24"/>
                <w:szCs w:val="24"/>
                <w:lang w:val="en-US" w:eastAsia="zh-CN" w:bidi="ar"/>
              </w:rPr>
            </w:pPr>
            <w:r>
              <w:rPr>
                <w:rFonts w:hint="default" w:cs="Times New Roman"/>
                <w:b w:val="0"/>
                <w:bCs w:val="0"/>
                <w:color w:val="000000"/>
                <w:kern w:val="0"/>
                <w:sz w:val="24"/>
                <w:szCs w:val="24"/>
                <w:lang w:val="en-US" w:eastAsia="zh-CN" w:bidi="ar"/>
              </w:rPr>
              <w:t>4、初设设计时风机和通风口应设置于人口稀少地带，避免噪声对敏感点产生不利影响。</w:t>
            </w:r>
          </w:p>
          <w:p w14:paraId="21215977">
            <w:pPr>
              <w:keepNext w:val="0"/>
              <w:keepLines w:val="0"/>
              <w:widowControl/>
              <w:suppressLineNumbers w:val="0"/>
              <w:jc w:val="both"/>
              <w:rPr>
                <w:rFonts w:hint="default" w:ascii="Times New Roman" w:hAnsi="Times New Roman" w:cs="Times New Roman"/>
                <w:b/>
                <w:color w:val="auto"/>
                <w:szCs w:val="24"/>
                <w:highlight w:val="none"/>
              </w:rPr>
            </w:pPr>
            <w:r>
              <w:rPr>
                <w:rFonts w:hint="eastAsia" w:cs="Times New Roman"/>
                <w:b/>
                <w:bCs/>
                <w:color w:val="000000"/>
                <w:kern w:val="0"/>
                <w:sz w:val="24"/>
                <w:szCs w:val="24"/>
                <w:lang w:val="en-US" w:eastAsia="zh-CN" w:bidi="ar"/>
              </w:rPr>
              <w:t>四、环境管理、</w:t>
            </w:r>
            <w:r>
              <w:rPr>
                <w:rFonts w:hint="default" w:ascii="Times New Roman" w:hAnsi="Times New Roman" w:cs="Times New Roman"/>
                <w:b/>
                <w:color w:val="auto"/>
                <w:szCs w:val="24"/>
                <w:highlight w:val="none"/>
              </w:rPr>
              <w:t>环境监</w:t>
            </w:r>
            <w:r>
              <w:rPr>
                <w:rFonts w:hint="eastAsia" w:cs="Times New Roman"/>
                <w:b/>
                <w:color w:val="auto"/>
                <w:szCs w:val="24"/>
                <w:highlight w:val="none"/>
                <w:lang w:val="en-US" w:eastAsia="zh-CN"/>
              </w:rPr>
              <w:t>察</w:t>
            </w:r>
            <w:r>
              <w:rPr>
                <w:rFonts w:hint="default" w:ascii="Times New Roman" w:hAnsi="Times New Roman" w:cs="Times New Roman"/>
                <w:b/>
                <w:color w:val="auto"/>
                <w:szCs w:val="24"/>
                <w:highlight w:val="none"/>
              </w:rPr>
              <w:t>及环境监测</w:t>
            </w:r>
          </w:p>
          <w:p w14:paraId="2A4BC589">
            <w:pPr>
              <w:snapToGrid w:val="0"/>
              <w:spacing w:line="360" w:lineRule="auto"/>
              <w:ind w:firstLine="482" w:firstLineChars="200"/>
              <w:rPr>
                <w:rFonts w:hint="default" w:ascii="Times New Roman" w:hAnsi="Times New Roman" w:cs="Times New Roman"/>
                <w:b/>
                <w:bCs/>
                <w:color w:val="auto"/>
                <w:sz w:val="24"/>
                <w:highlight w:val="none"/>
              </w:rPr>
            </w:pPr>
            <w:r>
              <w:rPr>
                <w:rFonts w:hint="eastAsia" w:cs="Times New Roman"/>
                <w:b/>
                <w:bCs/>
                <w:color w:val="auto"/>
                <w:sz w:val="24"/>
                <w:highlight w:val="none"/>
                <w:lang w:val="en-US" w:eastAsia="zh-CN"/>
              </w:rPr>
              <w:t xml:space="preserve">1. </w:t>
            </w:r>
            <w:r>
              <w:rPr>
                <w:rFonts w:hint="default" w:ascii="Times New Roman" w:hAnsi="Times New Roman" w:cs="Times New Roman"/>
                <w:b/>
                <w:bCs/>
                <w:color w:val="auto"/>
                <w:sz w:val="24"/>
                <w:highlight w:val="none"/>
              </w:rPr>
              <w:t>环境管理</w:t>
            </w:r>
          </w:p>
          <w:p w14:paraId="20ABE3B9">
            <w:pPr>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为了切实减轻环境影响，落实本报告中提出的环境管理计划，在项目运作的各个阶段，应执行相应的环境监督计划：</w:t>
            </w:r>
          </w:p>
          <w:p w14:paraId="41C2D038">
            <w:pPr>
              <w:spacing w:line="360" w:lineRule="auto"/>
              <w:ind w:firstLine="482" w:firstLineChars="200"/>
              <w:jc w:val="center"/>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表9-1  环境管理计划</w:t>
            </w:r>
          </w:p>
          <w:tbl>
            <w:tblPr>
              <w:tblStyle w:val="9"/>
              <w:tblW w:w="83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55"/>
              <w:gridCol w:w="1185"/>
              <w:gridCol w:w="5719"/>
              <w:gridCol w:w="1039"/>
            </w:tblGrid>
            <w:tr w14:paraId="3EECF4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3" w:hRule="atLeast"/>
                <w:jc w:val="center"/>
              </w:trPr>
              <w:tc>
                <w:tcPr>
                  <w:tcW w:w="1640" w:type="dxa"/>
                  <w:gridSpan w:val="2"/>
                  <w:vAlign w:val="center"/>
                </w:tcPr>
                <w:p w14:paraId="1C7A336B">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环境问题</w:t>
                  </w:r>
                </w:p>
              </w:tc>
              <w:tc>
                <w:tcPr>
                  <w:tcW w:w="5719" w:type="dxa"/>
                  <w:vAlign w:val="center"/>
                </w:tcPr>
                <w:p w14:paraId="783BAE35">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管理内容</w:t>
                  </w:r>
                </w:p>
              </w:tc>
              <w:tc>
                <w:tcPr>
                  <w:tcW w:w="1039" w:type="dxa"/>
                  <w:vAlign w:val="center"/>
                </w:tcPr>
                <w:p w14:paraId="3D65EA16">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实施机构</w:t>
                  </w:r>
                </w:p>
              </w:tc>
            </w:tr>
            <w:tr w14:paraId="3084C4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455" w:type="dxa"/>
                  <w:vAlign w:val="center"/>
                </w:tcPr>
                <w:p w14:paraId="5223905A">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w:t>
                  </w:r>
                </w:p>
              </w:tc>
              <w:tc>
                <w:tcPr>
                  <w:tcW w:w="1185" w:type="dxa"/>
                  <w:vAlign w:val="center"/>
                </w:tcPr>
                <w:p w14:paraId="6ECFAB55">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设计阶段</w:t>
                  </w:r>
                </w:p>
              </w:tc>
              <w:tc>
                <w:tcPr>
                  <w:tcW w:w="5719" w:type="dxa"/>
                  <w:vAlign w:val="center"/>
                </w:tcPr>
                <w:p w14:paraId="0AED534B">
                  <w:pPr>
                    <w:spacing w:line="240" w:lineRule="auto"/>
                    <w:rPr>
                      <w:rFonts w:hint="default" w:ascii="Times New Roman" w:hAnsi="Times New Roman" w:cs="Times New Roman"/>
                      <w:color w:val="auto"/>
                      <w:sz w:val="21"/>
                      <w:szCs w:val="21"/>
                      <w:highlight w:val="none"/>
                    </w:rPr>
                  </w:pPr>
                </w:p>
              </w:tc>
              <w:tc>
                <w:tcPr>
                  <w:tcW w:w="1039" w:type="dxa"/>
                  <w:vAlign w:val="center"/>
                </w:tcPr>
                <w:p w14:paraId="6BC6CE58">
                  <w:pPr>
                    <w:spacing w:line="240" w:lineRule="auto"/>
                    <w:jc w:val="center"/>
                    <w:rPr>
                      <w:rFonts w:hint="default" w:ascii="Times New Roman" w:hAnsi="Times New Roman" w:cs="Times New Roman"/>
                      <w:color w:val="auto"/>
                      <w:sz w:val="21"/>
                      <w:szCs w:val="21"/>
                      <w:highlight w:val="none"/>
                    </w:rPr>
                  </w:pPr>
                </w:p>
              </w:tc>
            </w:tr>
            <w:tr w14:paraId="60538E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9" w:hRule="atLeast"/>
                <w:jc w:val="center"/>
              </w:trPr>
              <w:tc>
                <w:tcPr>
                  <w:tcW w:w="455" w:type="dxa"/>
                  <w:vAlign w:val="center"/>
                </w:tcPr>
                <w:p w14:paraId="0CAAC038">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185" w:type="dxa"/>
                  <w:vAlign w:val="center"/>
                </w:tcPr>
                <w:p w14:paraId="37F427D8">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道路设计</w:t>
                  </w:r>
                </w:p>
              </w:tc>
              <w:tc>
                <w:tcPr>
                  <w:tcW w:w="5719" w:type="dxa"/>
                  <w:vAlign w:val="center"/>
                </w:tcPr>
                <w:p w14:paraId="61D97C6D">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●科学合理设计施工方案，尽量减少占地，减轻居民区大气和噪声污染影响。尽可能避让居民点等环境敏感目标。</w:t>
                  </w:r>
                </w:p>
              </w:tc>
              <w:tc>
                <w:tcPr>
                  <w:tcW w:w="1039" w:type="dxa"/>
                  <w:vAlign w:val="center"/>
                </w:tcPr>
                <w:p w14:paraId="4459DBF3">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设计单位</w:t>
                  </w:r>
                </w:p>
              </w:tc>
            </w:tr>
            <w:tr w14:paraId="6C1E86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455" w:type="dxa"/>
                  <w:vAlign w:val="center"/>
                </w:tcPr>
                <w:p w14:paraId="4014AA48">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185" w:type="dxa"/>
                  <w:vAlign w:val="center"/>
                </w:tcPr>
                <w:p w14:paraId="47001599">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空气污染</w:t>
                  </w:r>
                </w:p>
              </w:tc>
              <w:tc>
                <w:tcPr>
                  <w:tcW w:w="5719" w:type="dxa"/>
                  <w:vAlign w:val="center"/>
                </w:tcPr>
                <w:p w14:paraId="5F422668">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●在确定废弃物堆置位置时，考虑运输扬尘和其它问题对环境敏感地区(如居民区)的影响。</w:t>
                  </w:r>
                </w:p>
              </w:tc>
              <w:tc>
                <w:tcPr>
                  <w:tcW w:w="1039" w:type="dxa"/>
                  <w:vAlign w:val="center"/>
                </w:tcPr>
                <w:p w14:paraId="3367D60D">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设计单位</w:t>
                  </w:r>
                </w:p>
              </w:tc>
            </w:tr>
            <w:tr w14:paraId="11E739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9" w:hRule="atLeast"/>
                <w:jc w:val="center"/>
              </w:trPr>
              <w:tc>
                <w:tcPr>
                  <w:tcW w:w="455" w:type="dxa"/>
                  <w:vAlign w:val="center"/>
                </w:tcPr>
                <w:p w14:paraId="32AEDF86">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1185" w:type="dxa"/>
                  <w:vAlign w:val="center"/>
                </w:tcPr>
                <w:p w14:paraId="3DAB7153">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5719" w:type="dxa"/>
                  <w:vAlign w:val="center"/>
                </w:tcPr>
                <w:p w14:paraId="5D6A6844">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●对噪声超标的敏感点，视噪声超标情况进行减噪措施设计，如采取隔声屏障措施，减少噪声影响。</w:t>
                  </w:r>
                </w:p>
              </w:tc>
              <w:tc>
                <w:tcPr>
                  <w:tcW w:w="1039" w:type="dxa"/>
                  <w:vAlign w:val="center"/>
                </w:tcPr>
                <w:p w14:paraId="1D156AD8">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设计单位</w:t>
                  </w:r>
                </w:p>
              </w:tc>
            </w:tr>
            <w:tr w14:paraId="4E1811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9" w:hRule="atLeast"/>
                <w:jc w:val="center"/>
              </w:trPr>
              <w:tc>
                <w:tcPr>
                  <w:tcW w:w="455" w:type="dxa"/>
                  <w:vAlign w:val="center"/>
                </w:tcPr>
                <w:p w14:paraId="4EEE7E62">
                  <w:pPr>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w:t>
                  </w:r>
                </w:p>
              </w:tc>
              <w:tc>
                <w:tcPr>
                  <w:tcW w:w="1185" w:type="dxa"/>
                  <w:vAlign w:val="center"/>
                </w:tcPr>
                <w:p w14:paraId="38A7422A">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生态环境</w:t>
                  </w:r>
                </w:p>
              </w:tc>
              <w:tc>
                <w:tcPr>
                  <w:tcW w:w="5719" w:type="dxa"/>
                  <w:vAlign w:val="center"/>
                </w:tcPr>
                <w:p w14:paraId="1443CBBF">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●选线应精心研究，适当的绿化设计，减少对沿线自然景观的影响。</w:t>
                  </w:r>
                </w:p>
              </w:tc>
              <w:tc>
                <w:tcPr>
                  <w:tcW w:w="1039" w:type="dxa"/>
                  <w:vAlign w:val="center"/>
                </w:tcPr>
                <w:p w14:paraId="6F971A05">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设计单位</w:t>
                  </w:r>
                </w:p>
              </w:tc>
            </w:tr>
            <w:tr w14:paraId="70EB7F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455" w:type="dxa"/>
                  <w:vAlign w:val="center"/>
                </w:tcPr>
                <w:p w14:paraId="1EC77441">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w:t>
                  </w:r>
                </w:p>
              </w:tc>
              <w:tc>
                <w:tcPr>
                  <w:tcW w:w="1185" w:type="dxa"/>
                  <w:vAlign w:val="center"/>
                </w:tcPr>
                <w:p w14:paraId="78BDBDBC">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施工期</w:t>
                  </w:r>
                </w:p>
              </w:tc>
              <w:tc>
                <w:tcPr>
                  <w:tcW w:w="5719" w:type="dxa"/>
                  <w:vAlign w:val="center"/>
                </w:tcPr>
                <w:p w14:paraId="48689445">
                  <w:pPr>
                    <w:spacing w:line="240" w:lineRule="auto"/>
                    <w:rPr>
                      <w:rFonts w:hint="default" w:ascii="Times New Roman" w:hAnsi="Times New Roman" w:cs="Times New Roman"/>
                      <w:color w:val="auto"/>
                      <w:sz w:val="21"/>
                      <w:szCs w:val="21"/>
                      <w:highlight w:val="none"/>
                    </w:rPr>
                  </w:pPr>
                </w:p>
              </w:tc>
              <w:tc>
                <w:tcPr>
                  <w:tcW w:w="1039" w:type="dxa"/>
                  <w:vAlign w:val="center"/>
                </w:tcPr>
                <w:p w14:paraId="18547CF0">
                  <w:pPr>
                    <w:spacing w:line="240" w:lineRule="auto"/>
                    <w:jc w:val="center"/>
                    <w:rPr>
                      <w:rFonts w:hint="default" w:ascii="Times New Roman" w:hAnsi="Times New Roman" w:cs="Times New Roman"/>
                      <w:color w:val="auto"/>
                      <w:sz w:val="21"/>
                      <w:szCs w:val="21"/>
                      <w:highlight w:val="none"/>
                    </w:rPr>
                  </w:pPr>
                </w:p>
              </w:tc>
            </w:tr>
            <w:tr w14:paraId="289D5E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91" w:hRule="atLeast"/>
                <w:jc w:val="center"/>
              </w:trPr>
              <w:tc>
                <w:tcPr>
                  <w:tcW w:w="455" w:type="dxa"/>
                  <w:vAlign w:val="center"/>
                </w:tcPr>
                <w:p w14:paraId="65EF0419">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185" w:type="dxa"/>
                  <w:vAlign w:val="center"/>
                </w:tcPr>
                <w:p w14:paraId="0DD4ADFA">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空气污染</w:t>
                  </w:r>
                </w:p>
              </w:tc>
              <w:tc>
                <w:tcPr>
                  <w:tcW w:w="5719" w:type="dxa"/>
                  <w:vAlign w:val="center"/>
                </w:tcPr>
                <w:p w14:paraId="20F423EE">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●靠近居民点的地方采取合理的措施，如洒水降尘等，以减少大气污染。洒水量及频次视当地土质、天气情况等相应增加。</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●运送建筑材料的卡车采用帆布等遮盖，严禁超载，减少跑漏。</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●施工现场及运料道路在无雨的天气定期洒水，防止尘土飞扬。</w:t>
                  </w:r>
                </w:p>
              </w:tc>
              <w:tc>
                <w:tcPr>
                  <w:tcW w:w="1039" w:type="dxa"/>
                  <w:vAlign w:val="center"/>
                </w:tcPr>
                <w:p w14:paraId="65DEB2D7">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施工单位</w:t>
                  </w:r>
                </w:p>
              </w:tc>
            </w:tr>
            <w:tr w14:paraId="2C78CF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27" w:hRule="atLeast"/>
                <w:jc w:val="center"/>
              </w:trPr>
              <w:tc>
                <w:tcPr>
                  <w:tcW w:w="455" w:type="dxa"/>
                  <w:vAlign w:val="center"/>
                </w:tcPr>
                <w:p w14:paraId="5914E3DC">
                  <w:pPr>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1185" w:type="dxa"/>
                  <w:vAlign w:val="center"/>
                </w:tcPr>
                <w:p w14:paraId="4B021F43">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水污染</w:t>
                  </w:r>
                </w:p>
              </w:tc>
              <w:tc>
                <w:tcPr>
                  <w:tcW w:w="5719" w:type="dxa"/>
                  <w:vAlign w:val="center"/>
                </w:tcPr>
                <w:p w14:paraId="1DDF2753">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●采取合理措施，如</w:t>
                  </w:r>
                  <w:r>
                    <w:rPr>
                      <w:rFonts w:hint="eastAsia" w:cs="Times New Roman"/>
                      <w:color w:val="auto"/>
                      <w:sz w:val="21"/>
                      <w:szCs w:val="21"/>
                      <w:highlight w:val="none"/>
                      <w:lang w:eastAsia="zh-CN"/>
                    </w:rPr>
                    <w:t>沉砂池</w:t>
                  </w:r>
                  <w:r>
                    <w:rPr>
                      <w:rFonts w:hint="default" w:ascii="Times New Roman" w:hAnsi="Times New Roman" w:cs="Times New Roman"/>
                      <w:color w:val="auto"/>
                      <w:sz w:val="21"/>
                      <w:szCs w:val="21"/>
                      <w:highlight w:val="none"/>
                    </w:rPr>
                    <w:t>以防向</w:t>
                  </w:r>
                  <w:r>
                    <w:rPr>
                      <w:rFonts w:hint="eastAsia" w:cs="Times New Roman"/>
                      <w:color w:val="auto"/>
                      <w:sz w:val="21"/>
                      <w:szCs w:val="21"/>
                      <w:highlight w:val="none"/>
                      <w:lang w:val="en-US" w:eastAsia="zh-CN"/>
                    </w:rPr>
                    <w:t>周围环境</w:t>
                  </w:r>
                  <w:r>
                    <w:rPr>
                      <w:rFonts w:hint="default" w:ascii="Times New Roman" w:hAnsi="Times New Roman" w:cs="Times New Roman"/>
                      <w:color w:val="auto"/>
                      <w:sz w:val="21"/>
                      <w:szCs w:val="21"/>
                      <w:highlight w:val="none"/>
                    </w:rPr>
                    <w:t>直接排放施工污水。</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●生活垃圾统一收集，集中处理，不得乱堆乱放或直接排入水体。</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●施工材料如水泥、油料、化学品应备有临时遮挡的帆布，</w:t>
                  </w:r>
                </w:p>
              </w:tc>
              <w:tc>
                <w:tcPr>
                  <w:tcW w:w="1039" w:type="dxa"/>
                  <w:vAlign w:val="center"/>
                </w:tcPr>
                <w:p w14:paraId="2B872D1D">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施工单位</w:t>
                  </w:r>
                </w:p>
              </w:tc>
            </w:tr>
            <w:tr w14:paraId="0AF1DC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4" w:hRule="atLeast"/>
                <w:jc w:val="center"/>
              </w:trPr>
              <w:tc>
                <w:tcPr>
                  <w:tcW w:w="455" w:type="dxa"/>
                  <w:vAlign w:val="center"/>
                </w:tcPr>
                <w:p w14:paraId="2A50BCB1">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1185" w:type="dxa"/>
                  <w:vAlign w:val="center"/>
                </w:tcPr>
                <w:p w14:paraId="0D34C1B0">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5719" w:type="dxa"/>
                  <w:vAlign w:val="center"/>
                </w:tcPr>
                <w:p w14:paraId="15EBF7A0">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●严格执行噪声标准以防止公路施工人员受噪声侵害，靠近强声源的工人将戴上耳塞，并限制工作时间。</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●尽量选用低噪设备，并加强机械和车辆的维修和保养，保持其较低噪声水平。</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●因生产工艺要求及其他特殊情况须在午间、夜间进行施工作业的，应当事前取得建设行政主管部门的午间、夜间施工意见书，由环境保护行政主管部门出具可在午间、夜间进行施工作业的</w:t>
                  </w:r>
                  <w:r>
                    <w:rPr>
                      <w:rFonts w:hint="eastAsia" w:cs="Times New Roman"/>
                      <w:color w:val="auto"/>
                      <w:sz w:val="21"/>
                      <w:szCs w:val="21"/>
                      <w:highlight w:val="none"/>
                      <w:lang w:val="en-US" w:eastAsia="zh-CN"/>
                    </w:rPr>
                    <w:t>许可证</w:t>
                  </w:r>
                  <w:r>
                    <w:rPr>
                      <w:rFonts w:hint="default" w:ascii="Times New Roman" w:hAnsi="Times New Roman" w:cs="Times New Roman"/>
                      <w:color w:val="auto"/>
                      <w:sz w:val="21"/>
                      <w:szCs w:val="21"/>
                      <w:highlight w:val="none"/>
                    </w:rPr>
                    <w:t>，并公告附近的居民。</w:t>
                  </w:r>
                </w:p>
              </w:tc>
              <w:tc>
                <w:tcPr>
                  <w:tcW w:w="1039" w:type="dxa"/>
                  <w:vAlign w:val="center"/>
                </w:tcPr>
                <w:p w14:paraId="167B0346">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施工单位</w:t>
                  </w:r>
                </w:p>
              </w:tc>
            </w:tr>
            <w:tr w14:paraId="201146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9" w:hRule="atLeast"/>
                <w:jc w:val="center"/>
              </w:trPr>
              <w:tc>
                <w:tcPr>
                  <w:tcW w:w="455" w:type="dxa"/>
                  <w:vAlign w:val="center"/>
                </w:tcPr>
                <w:p w14:paraId="4ADD7F06">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185" w:type="dxa"/>
                  <w:vAlign w:val="center"/>
                </w:tcPr>
                <w:p w14:paraId="4573F425">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生态环境</w:t>
                  </w:r>
                </w:p>
              </w:tc>
              <w:tc>
                <w:tcPr>
                  <w:tcW w:w="5719" w:type="dxa"/>
                  <w:vAlign w:val="center"/>
                </w:tcPr>
                <w:p w14:paraId="2C26EE8D">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 沿线道路绿化严格按照设计要求进行。</w:t>
                  </w:r>
                </w:p>
              </w:tc>
              <w:tc>
                <w:tcPr>
                  <w:tcW w:w="1039" w:type="dxa"/>
                  <w:vAlign w:val="center"/>
                </w:tcPr>
                <w:p w14:paraId="303A30EB">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施工单位</w:t>
                  </w:r>
                </w:p>
              </w:tc>
            </w:tr>
            <w:tr w14:paraId="07B272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44" w:hRule="atLeast"/>
                <w:jc w:val="center"/>
              </w:trPr>
              <w:tc>
                <w:tcPr>
                  <w:tcW w:w="455" w:type="dxa"/>
                  <w:vAlign w:val="center"/>
                </w:tcPr>
                <w:p w14:paraId="55741E91">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1185" w:type="dxa"/>
                  <w:vAlign w:val="center"/>
                </w:tcPr>
                <w:p w14:paraId="245D4C4B">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施工营地</w:t>
                  </w:r>
                </w:p>
              </w:tc>
              <w:tc>
                <w:tcPr>
                  <w:tcW w:w="5719" w:type="dxa"/>
                  <w:vAlign w:val="center"/>
                </w:tcPr>
                <w:p w14:paraId="5CDC3851">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●加强对施工管理和施工人员的环境教育。</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●在施工营地应设置垃圾箱和卫生处理设施。</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●工人定期检查身体，以防工人和当地人群间可能的传染病传播，需要时及时处理。</w:t>
                  </w:r>
                </w:p>
              </w:tc>
              <w:tc>
                <w:tcPr>
                  <w:tcW w:w="1039" w:type="dxa"/>
                  <w:vAlign w:val="center"/>
                </w:tcPr>
                <w:p w14:paraId="0BE4B64D">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施工单位</w:t>
                  </w:r>
                </w:p>
              </w:tc>
            </w:tr>
            <w:tr w14:paraId="491D7B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2" w:hRule="atLeast"/>
                <w:jc w:val="center"/>
              </w:trPr>
              <w:tc>
                <w:tcPr>
                  <w:tcW w:w="455" w:type="dxa"/>
                  <w:vAlign w:val="center"/>
                </w:tcPr>
                <w:p w14:paraId="7A0F4339">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1185" w:type="dxa"/>
                  <w:vAlign w:val="center"/>
                </w:tcPr>
                <w:p w14:paraId="3CC12D44">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施工安全</w:t>
                  </w:r>
                </w:p>
              </w:tc>
              <w:tc>
                <w:tcPr>
                  <w:tcW w:w="5719" w:type="dxa"/>
                  <w:vAlign w:val="center"/>
                </w:tcPr>
                <w:p w14:paraId="242B97C6">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●为保证施工安全，施工期间在临时道路上应设置安全标志。</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●施工路段设执勤岗，疏导交通，保证行人安全。</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●施工期，采取有效的安全和警告措施以降低事故发生率。</w:t>
                  </w:r>
                </w:p>
              </w:tc>
              <w:tc>
                <w:tcPr>
                  <w:tcW w:w="1039" w:type="dxa"/>
                  <w:vAlign w:val="center"/>
                </w:tcPr>
                <w:p w14:paraId="31AD5911">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施工单位</w:t>
                  </w:r>
                </w:p>
              </w:tc>
            </w:tr>
            <w:tr w14:paraId="333EDE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44" w:hRule="atLeast"/>
                <w:jc w:val="center"/>
              </w:trPr>
              <w:tc>
                <w:tcPr>
                  <w:tcW w:w="455" w:type="dxa"/>
                  <w:vAlign w:val="center"/>
                </w:tcPr>
                <w:p w14:paraId="704FCC96">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1185" w:type="dxa"/>
                  <w:vAlign w:val="center"/>
                </w:tcPr>
                <w:p w14:paraId="505C6B97">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运输管理</w:t>
                  </w:r>
                </w:p>
              </w:tc>
              <w:tc>
                <w:tcPr>
                  <w:tcW w:w="5719" w:type="dxa"/>
                  <w:vAlign w:val="center"/>
                </w:tcPr>
                <w:p w14:paraId="2AC19FEC">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●建筑材料的运送应尽量减少尘埃和噪声污染。</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●咨询交通部门，指导交通运行，施工期间尽可能减少交通阻塞和降低其运输效率。</w:t>
                  </w:r>
                  <w:r>
                    <w:rPr>
                      <w:rFonts w:hint="default" w:ascii="Times New Roman" w:hAnsi="Times New Roman" w:cs="Times New Roman"/>
                      <w:color w:val="auto"/>
                      <w:sz w:val="21"/>
                      <w:szCs w:val="21"/>
                      <w:highlight w:val="none"/>
                    </w:rPr>
                    <w:br w:type="textWrapping"/>
                  </w:r>
                  <w:r>
                    <w:rPr>
                      <w:rFonts w:hint="default" w:ascii="Times New Roman" w:hAnsi="Times New Roman" w:cs="Times New Roman"/>
                      <w:color w:val="auto"/>
                      <w:sz w:val="21"/>
                      <w:szCs w:val="21"/>
                      <w:highlight w:val="none"/>
                    </w:rPr>
                    <w:t>●制订合适的建筑材料运输计划，避开现有道路交通高峰。</w:t>
                  </w:r>
                </w:p>
              </w:tc>
              <w:tc>
                <w:tcPr>
                  <w:tcW w:w="1039" w:type="dxa"/>
                  <w:vAlign w:val="center"/>
                </w:tcPr>
                <w:p w14:paraId="63A9F33C">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施工单位</w:t>
                  </w:r>
                </w:p>
              </w:tc>
            </w:tr>
            <w:tr w14:paraId="537C8E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jc w:val="center"/>
              </w:trPr>
              <w:tc>
                <w:tcPr>
                  <w:tcW w:w="455" w:type="dxa"/>
                  <w:vAlign w:val="center"/>
                </w:tcPr>
                <w:p w14:paraId="6ED85C3A">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1185" w:type="dxa"/>
                  <w:vAlign w:val="center"/>
                </w:tcPr>
                <w:p w14:paraId="7E41156B">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施工管理</w:t>
                  </w:r>
                </w:p>
              </w:tc>
              <w:tc>
                <w:tcPr>
                  <w:tcW w:w="5719" w:type="dxa"/>
                  <w:vAlign w:val="center"/>
                </w:tcPr>
                <w:p w14:paraId="403FF18C">
                  <w:pPr>
                    <w:spacing w:line="240" w:lineRule="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●根据审查批复的环评报告</w:t>
                  </w:r>
                  <w:r>
                    <w:rPr>
                      <w:rFonts w:hint="eastAsia" w:cs="Times New Roman"/>
                      <w:color w:val="auto"/>
                      <w:sz w:val="21"/>
                      <w:szCs w:val="21"/>
                      <w:highlight w:val="none"/>
                      <w:lang w:val="en-US" w:eastAsia="zh-CN"/>
                    </w:rPr>
                    <w:t>表</w:t>
                  </w:r>
                  <w:r>
                    <w:rPr>
                      <w:rFonts w:hint="default" w:ascii="Times New Roman" w:hAnsi="Times New Roman" w:cs="Times New Roman"/>
                      <w:color w:val="auto"/>
                      <w:sz w:val="21"/>
                      <w:szCs w:val="21"/>
                      <w:highlight w:val="none"/>
                    </w:rPr>
                    <w:t>和工程施工图设计进行施工期环境监理。</w:t>
                  </w:r>
                </w:p>
              </w:tc>
              <w:tc>
                <w:tcPr>
                  <w:tcW w:w="1039" w:type="dxa"/>
                  <w:vAlign w:val="center"/>
                </w:tcPr>
                <w:p w14:paraId="48C5F0DA">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施工单位</w:t>
                  </w:r>
                </w:p>
              </w:tc>
            </w:tr>
          </w:tbl>
          <w:p w14:paraId="49196766">
            <w:pPr>
              <w:keepNext w:val="0"/>
              <w:keepLines w:val="0"/>
              <w:widowControl/>
              <w:numPr>
                <w:ilvl w:val="0"/>
                <w:numId w:val="38"/>
              </w:numPr>
              <w:suppressLineNumbers w:val="0"/>
              <w:ind w:left="0" w:leftChars="0" w:firstLine="482" w:firstLineChars="200"/>
              <w:jc w:val="both"/>
              <w:rPr>
                <w:rFonts w:hint="default" w:ascii="Times New Roman" w:hAnsi="Times New Roman" w:cs="Times New Roman"/>
                <w:color w:val="auto"/>
                <w:sz w:val="24"/>
                <w:highlight w:val="none"/>
              </w:rPr>
            </w:pPr>
            <w:r>
              <w:rPr>
                <w:rFonts w:hint="eastAsia" w:cs="Times New Roman"/>
                <w:b/>
                <w:color w:val="auto"/>
                <w:szCs w:val="24"/>
                <w:highlight w:val="none"/>
                <w:lang w:val="en-US" w:eastAsia="zh-CN"/>
              </w:rPr>
              <w:t>环境监察</w:t>
            </w:r>
          </w:p>
          <w:p w14:paraId="28969CD9">
            <w:pPr>
              <w:snapToGrid w:val="0"/>
              <w:spacing w:line="360" w:lineRule="auto"/>
              <w:ind w:firstLine="480" w:firstLineChars="200"/>
              <w:rPr>
                <w:rFonts w:hint="default" w:ascii="Times New Roman" w:hAnsi="Times New Roman" w:cs="Times New Roman"/>
                <w:color w:val="auto"/>
                <w:sz w:val="24"/>
                <w:highlight w:val="none"/>
              </w:rPr>
            </w:pPr>
            <w:r>
              <w:rPr>
                <w:rFonts w:hint="eastAsia" w:cs="Times New Roman"/>
                <w:color w:val="auto"/>
                <w:sz w:val="24"/>
                <w:highlight w:val="none"/>
                <w:lang w:val="en-US" w:eastAsia="zh-CN"/>
              </w:rPr>
              <w:t>本项目</w:t>
            </w:r>
            <w:r>
              <w:rPr>
                <w:rFonts w:hint="default" w:ascii="Times New Roman" w:hAnsi="Times New Roman" w:cs="Times New Roman"/>
                <w:color w:val="auto"/>
                <w:sz w:val="24"/>
                <w:highlight w:val="none"/>
              </w:rPr>
              <w:t>环境</w:t>
            </w:r>
            <w:r>
              <w:rPr>
                <w:rFonts w:hint="eastAsia" w:cs="Times New Roman"/>
                <w:color w:val="auto"/>
                <w:sz w:val="24"/>
                <w:highlight w:val="none"/>
                <w:lang w:val="en-US" w:eastAsia="zh-CN"/>
              </w:rPr>
              <w:t>监察</w:t>
            </w:r>
            <w:r>
              <w:rPr>
                <w:rFonts w:hint="default" w:ascii="Times New Roman" w:hAnsi="Times New Roman" w:cs="Times New Roman"/>
                <w:color w:val="auto"/>
                <w:sz w:val="24"/>
                <w:highlight w:val="none"/>
              </w:rPr>
              <w:t>计划见表9-2。</w:t>
            </w:r>
          </w:p>
          <w:p w14:paraId="5E1ECBEE">
            <w:pPr>
              <w:keepNext w:val="0"/>
              <w:keepLines w:val="0"/>
              <w:widowControl/>
              <w:numPr>
                <w:ilvl w:val="0"/>
                <w:numId w:val="0"/>
              </w:numPr>
              <w:suppressLineNumbers w:val="0"/>
              <w:jc w:val="center"/>
              <w:rPr>
                <w:rFonts w:hint="eastAsia" w:cs="Times New Roman"/>
                <w:b/>
                <w:bCs/>
                <w:color w:val="auto"/>
                <w:sz w:val="24"/>
                <w:highlight w:val="none"/>
                <w:lang w:val="en-US" w:eastAsia="zh-CN"/>
              </w:rPr>
            </w:pPr>
            <w:r>
              <w:rPr>
                <w:rFonts w:hint="eastAsia" w:cs="Times New Roman"/>
                <w:b/>
                <w:bCs/>
                <w:color w:val="auto"/>
                <w:sz w:val="24"/>
                <w:highlight w:val="none"/>
                <w:lang w:val="en-US" w:eastAsia="zh-CN"/>
              </w:rPr>
              <w:t>表9-2 环境监察计划表</w:t>
            </w:r>
          </w:p>
          <w:tbl>
            <w:tblPr>
              <w:tblStyle w:val="9"/>
              <w:tblW w:w="84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1"/>
              <w:gridCol w:w="2498"/>
              <w:gridCol w:w="4060"/>
            </w:tblGrid>
            <w:tr w14:paraId="60F30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61" w:type="dxa"/>
                  <w:vAlign w:val="center"/>
                </w:tcPr>
                <w:p w14:paraId="7AACF84E">
                  <w:pPr>
                    <w:snapToGri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环境要素</w:t>
                  </w:r>
                </w:p>
              </w:tc>
              <w:tc>
                <w:tcPr>
                  <w:tcW w:w="2498" w:type="dxa"/>
                  <w:vAlign w:val="center"/>
                </w:tcPr>
                <w:p w14:paraId="63B3EBF6">
                  <w:pPr>
                    <w:snapToGrid w:val="0"/>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监察地点</w:t>
                  </w:r>
                </w:p>
              </w:tc>
              <w:tc>
                <w:tcPr>
                  <w:tcW w:w="4060" w:type="dxa"/>
                  <w:vAlign w:val="center"/>
                </w:tcPr>
                <w:p w14:paraId="209D7C25">
                  <w:pPr>
                    <w:snapToGrid w:val="0"/>
                    <w:spacing w:line="240" w:lineRule="auto"/>
                    <w:jc w:val="center"/>
                    <w:rPr>
                      <w:rFonts w:hint="default" w:ascii="Times New Roman" w:hAnsi="Times New Roman" w:cs="Times New Roman"/>
                      <w:b/>
                      <w:bCs/>
                      <w:color w:val="auto"/>
                      <w:sz w:val="21"/>
                      <w:szCs w:val="21"/>
                      <w:highlight w:val="none"/>
                    </w:rPr>
                  </w:pPr>
                  <w:r>
                    <w:rPr>
                      <w:rFonts w:hint="eastAsia" w:cs="Times New Roman"/>
                      <w:b/>
                      <w:bCs/>
                      <w:color w:val="auto"/>
                      <w:sz w:val="21"/>
                      <w:szCs w:val="21"/>
                      <w:highlight w:val="none"/>
                      <w:lang w:val="en-US" w:eastAsia="zh-CN"/>
                    </w:rPr>
                    <w:t>监察</w:t>
                  </w:r>
                  <w:r>
                    <w:rPr>
                      <w:rFonts w:hint="default" w:ascii="Times New Roman" w:hAnsi="Times New Roman" w:cs="Times New Roman"/>
                      <w:b/>
                      <w:bCs/>
                      <w:color w:val="auto"/>
                      <w:sz w:val="21"/>
                      <w:szCs w:val="21"/>
                      <w:highlight w:val="none"/>
                    </w:rPr>
                    <w:t>内容</w:t>
                  </w:r>
                </w:p>
              </w:tc>
            </w:tr>
            <w:tr w14:paraId="6B11F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861" w:type="dxa"/>
                  <w:vAlign w:val="center"/>
                </w:tcPr>
                <w:p w14:paraId="0D910DEB">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水环境</w:t>
                  </w:r>
                </w:p>
              </w:tc>
              <w:tc>
                <w:tcPr>
                  <w:tcW w:w="2498" w:type="dxa"/>
                  <w:vAlign w:val="center"/>
                </w:tcPr>
                <w:p w14:paraId="387C8C8E">
                  <w:pPr>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施工现场</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沉砂池</w:t>
                  </w:r>
                </w:p>
              </w:tc>
              <w:tc>
                <w:tcPr>
                  <w:tcW w:w="4060" w:type="dxa"/>
                  <w:vAlign w:val="center"/>
                </w:tcPr>
                <w:p w14:paraId="426A7A38">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不得向沿线水体中直接排放施工废水</w:t>
                  </w:r>
                </w:p>
              </w:tc>
            </w:tr>
            <w:tr w14:paraId="239AE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861" w:type="dxa"/>
                  <w:vAlign w:val="center"/>
                </w:tcPr>
                <w:p w14:paraId="1958EFC6">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w:t>
                  </w:r>
                </w:p>
              </w:tc>
              <w:tc>
                <w:tcPr>
                  <w:tcW w:w="2498" w:type="dxa"/>
                  <w:vAlign w:val="center"/>
                </w:tcPr>
                <w:p w14:paraId="18A5F09C">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施工运输道路、</w:t>
                  </w:r>
                  <w:r>
                    <w:rPr>
                      <w:rFonts w:hint="eastAsia" w:cs="Times New Roman"/>
                      <w:color w:val="auto"/>
                      <w:sz w:val="21"/>
                      <w:szCs w:val="21"/>
                      <w:highlight w:val="none"/>
                      <w:lang w:val="en-US" w:eastAsia="zh-CN"/>
                    </w:rPr>
                    <w:t>施工</w:t>
                  </w:r>
                  <w:r>
                    <w:rPr>
                      <w:rFonts w:hint="default" w:ascii="Times New Roman" w:hAnsi="Times New Roman" w:cs="Times New Roman"/>
                      <w:color w:val="auto"/>
                      <w:sz w:val="21"/>
                      <w:szCs w:val="21"/>
                      <w:highlight w:val="none"/>
                    </w:rPr>
                    <w:t>材料堆放场地</w:t>
                  </w:r>
                </w:p>
              </w:tc>
              <w:tc>
                <w:tcPr>
                  <w:tcW w:w="4060" w:type="dxa"/>
                  <w:vAlign w:val="center"/>
                </w:tcPr>
                <w:p w14:paraId="72B13676">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敏感点附近的施工道路洒水逸尘、筑路材料堆放、运输粉状物料加盖篷布</w:t>
                  </w:r>
                </w:p>
              </w:tc>
            </w:tr>
            <w:tr w14:paraId="721E2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861" w:type="dxa"/>
                  <w:vAlign w:val="center"/>
                </w:tcPr>
                <w:p w14:paraId="789B98A6">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w:t>
                  </w:r>
                </w:p>
              </w:tc>
              <w:tc>
                <w:tcPr>
                  <w:tcW w:w="2498" w:type="dxa"/>
                  <w:vAlign w:val="center"/>
                </w:tcPr>
                <w:p w14:paraId="110F883F">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施工运输道路</w:t>
                  </w:r>
                </w:p>
                <w:p w14:paraId="27C1AE5D">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施工场地</w:t>
                  </w:r>
                </w:p>
              </w:tc>
              <w:tc>
                <w:tcPr>
                  <w:tcW w:w="4060" w:type="dxa"/>
                  <w:vAlign w:val="center"/>
                </w:tcPr>
                <w:p w14:paraId="525A3336">
                  <w:pPr>
                    <w:snapToGrid w:val="0"/>
                    <w:spacing w:line="240" w:lineRule="auto"/>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合理安排施工时间、</w:t>
                  </w:r>
                  <w:r>
                    <w:rPr>
                      <w:rFonts w:hint="eastAsia" w:cs="Times New Roman"/>
                      <w:color w:val="auto"/>
                      <w:sz w:val="21"/>
                      <w:szCs w:val="21"/>
                      <w:highlight w:val="none"/>
                      <w:lang w:val="en-US" w:eastAsia="zh-CN"/>
                    </w:rPr>
                    <w:t>夜间</w:t>
                  </w:r>
                  <w:r>
                    <w:rPr>
                      <w:rFonts w:hint="default" w:ascii="Times New Roman" w:hAnsi="Times New Roman" w:cs="Times New Roman"/>
                      <w:color w:val="auto"/>
                      <w:sz w:val="21"/>
                      <w:szCs w:val="21"/>
                      <w:highlight w:val="none"/>
                    </w:rPr>
                    <w:t>施工</w:t>
                  </w:r>
                  <w:r>
                    <w:rPr>
                      <w:rFonts w:hint="eastAsia" w:cs="Times New Roman"/>
                      <w:color w:val="auto"/>
                      <w:sz w:val="21"/>
                      <w:szCs w:val="21"/>
                      <w:highlight w:val="none"/>
                      <w:lang w:val="en-US" w:eastAsia="zh-CN"/>
                    </w:rPr>
                    <w:t>是须取得环保部门许可证</w:t>
                  </w:r>
                  <w:r>
                    <w:rPr>
                      <w:rFonts w:hint="default" w:ascii="Times New Roman" w:hAnsi="Times New Roman" w:cs="Times New Roman"/>
                      <w:color w:val="auto"/>
                      <w:sz w:val="21"/>
                      <w:szCs w:val="21"/>
                      <w:highlight w:val="none"/>
                    </w:rPr>
                    <w:t>，选用低噪声设备</w:t>
                  </w:r>
                  <w:r>
                    <w:rPr>
                      <w:rFonts w:hint="eastAsia" w:cs="Times New Roman"/>
                      <w:color w:val="auto"/>
                      <w:sz w:val="21"/>
                      <w:szCs w:val="21"/>
                      <w:highlight w:val="none"/>
                      <w:lang w:eastAsia="zh-CN"/>
                    </w:rPr>
                    <w:t>、进出施工车辆限速禁鸣</w:t>
                  </w:r>
                </w:p>
              </w:tc>
            </w:tr>
            <w:tr w14:paraId="7D2A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1861" w:type="dxa"/>
                  <w:vAlign w:val="center"/>
                </w:tcPr>
                <w:p w14:paraId="50B55DEC">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环保设施施工</w:t>
                  </w:r>
                </w:p>
              </w:tc>
              <w:tc>
                <w:tcPr>
                  <w:tcW w:w="2498" w:type="dxa"/>
                  <w:vAlign w:val="center"/>
                </w:tcPr>
                <w:p w14:paraId="1C0832EE">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项目各项环保设施的建设</w:t>
                  </w:r>
                </w:p>
              </w:tc>
              <w:tc>
                <w:tcPr>
                  <w:tcW w:w="4060" w:type="dxa"/>
                  <w:vAlign w:val="center"/>
                </w:tcPr>
                <w:p w14:paraId="02A7295F">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（1）敏感点噪声防治措施落实（绿化带、围墙）。</w:t>
                  </w:r>
                </w:p>
                <w:p w14:paraId="5D186778">
                  <w:pPr>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（2）沿线环保警示牌等环境风险事故防范措施</w:t>
                  </w:r>
                </w:p>
              </w:tc>
            </w:tr>
          </w:tbl>
          <w:p w14:paraId="69A23940">
            <w:pPr>
              <w:keepNext w:val="0"/>
              <w:keepLines w:val="0"/>
              <w:widowControl/>
              <w:numPr>
                <w:ilvl w:val="0"/>
                <w:numId w:val="38"/>
              </w:numPr>
              <w:suppressLineNumbers w:val="0"/>
              <w:ind w:left="0" w:leftChars="0" w:firstLine="482" w:firstLineChars="200"/>
              <w:jc w:val="both"/>
              <w:rPr>
                <w:rFonts w:hint="eastAsia" w:cs="Times New Roman"/>
                <w:b/>
                <w:bCs/>
                <w:color w:val="auto"/>
                <w:sz w:val="24"/>
                <w:highlight w:val="none"/>
                <w:lang w:val="en-US" w:eastAsia="zh-CN"/>
              </w:rPr>
            </w:pPr>
            <w:r>
              <w:rPr>
                <w:rFonts w:hint="eastAsia" w:cs="Times New Roman"/>
                <w:b/>
                <w:bCs/>
                <w:color w:val="auto"/>
                <w:sz w:val="24"/>
                <w:highlight w:val="none"/>
                <w:lang w:val="en-US" w:eastAsia="zh-CN"/>
              </w:rPr>
              <w:t>环境监测</w:t>
            </w:r>
          </w:p>
          <w:p w14:paraId="182A322D">
            <w:pPr>
              <w:keepNext w:val="0"/>
              <w:keepLines w:val="0"/>
              <w:widowControl/>
              <w:numPr>
                <w:ilvl w:val="0"/>
                <w:numId w:val="0"/>
              </w:numPr>
              <w:suppressLineNumbers w:val="0"/>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根据项目特点，项目施工期环境监测计划见表9-3</w:t>
            </w:r>
          </w:p>
          <w:p w14:paraId="7D13D21F">
            <w:pPr>
              <w:snapToGrid w:val="0"/>
              <w:spacing w:line="360" w:lineRule="auto"/>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表9-3  施工期环境监测计划</w:t>
            </w:r>
          </w:p>
          <w:tbl>
            <w:tblPr>
              <w:tblStyle w:val="9"/>
              <w:tblW w:w="835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22"/>
              <w:gridCol w:w="1784"/>
              <w:gridCol w:w="1198"/>
              <w:gridCol w:w="2264"/>
              <w:gridCol w:w="1213"/>
              <w:gridCol w:w="1077"/>
            </w:tblGrid>
            <w:tr w14:paraId="43EEE4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822" w:type="dxa"/>
                  <w:vAlign w:val="center"/>
                </w:tcPr>
                <w:p w14:paraId="7E4E3615">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1784" w:type="dxa"/>
                  <w:vAlign w:val="center"/>
                </w:tcPr>
                <w:p w14:paraId="4D5A1F26">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监测点位</w:t>
                  </w:r>
                </w:p>
              </w:tc>
              <w:tc>
                <w:tcPr>
                  <w:tcW w:w="1198" w:type="dxa"/>
                  <w:vAlign w:val="center"/>
                </w:tcPr>
                <w:p w14:paraId="55D07E9B">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指标</w:t>
                  </w:r>
                </w:p>
              </w:tc>
              <w:tc>
                <w:tcPr>
                  <w:tcW w:w="2264" w:type="dxa"/>
                  <w:vAlign w:val="center"/>
                </w:tcPr>
                <w:p w14:paraId="08243202">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监测时间、频率</w:t>
                  </w:r>
                </w:p>
              </w:tc>
              <w:tc>
                <w:tcPr>
                  <w:tcW w:w="1213" w:type="dxa"/>
                  <w:vAlign w:val="center"/>
                </w:tcPr>
                <w:p w14:paraId="26E10641">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实施机构</w:t>
                  </w:r>
                </w:p>
              </w:tc>
              <w:tc>
                <w:tcPr>
                  <w:tcW w:w="1077" w:type="dxa"/>
                  <w:vAlign w:val="center"/>
                </w:tcPr>
                <w:p w14:paraId="1EC27FB9">
                  <w:pPr>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监督机构</w:t>
                  </w:r>
                </w:p>
              </w:tc>
            </w:tr>
            <w:tr w14:paraId="434BC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822" w:type="dxa"/>
                  <w:vAlign w:val="center"/>
                </w:tcPr>
                <w:p w14:paraId="728694F4">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1784" w:type="dxa"/>
                  <w:vAlign w:val="center"/>
                </w:tcPr>
                <w:p w14:paraId="37F0AE1B">
                  <w:pPr>
                    <w:spacing w:line="240" w:lineRule="auto"/>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场界东、南、</w:t>
                  </w:r>
                </w:p>
                <w:p w14:paraId="47AD2C8C">
                  <w:pPr>
                    <w:spacing w:line="240" w:lineRule="auto"/>
                    <w:jc w:val="center"/>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color w:val="auto"/>
                      <w:sz w:val="21"/>
                      <w:szCs w:val="21"/>
                      <w:highlight w:val="none"/>
                      <w:lang w:eastAsia="zh-CN"/>
                    </w:rPr>
                    <w:t>西、北各 1 点</w:t>
                  </w:r>
                </w:p>
              </w:tc>
              <w:tc>
                <w:tcPr>
                  <w:tcW w:w="1198" w:type="dxa"/>
                  <w:vAlign w:val="center"/>
                </w:tcPr>
                <w:p w14:paraId="3A1476AB">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Leq（A）</w:t>
                  </w:r>
                </w:p>
              </w:tc>
              <w:tc>
                <w:tcPr>
                  <w:tcW w:w="2264" w:type="dxa"/>
                  <w:vAlign w:val="center"/>
                </w:tcPr>
                <w:p w14:paraId="08686296">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施工期1次，每次2天，昼夜各一次</w:t>
                  </w:r>
                </w:p>
              </w:tc>
              <w:tc>
                <w:tcPr>
                  <w:tcW w:w="1213" w:type="dxa"/>
                  <w:vAlign w:val="center"/>
                </w:tcPr>
                <w:p w14:paraId="3453A0A2">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具有资质的环境监测部门</w:t>
                  </w:r>
                </w:p>
              </w:tc>
              <w:tc>
                <w:tcPr>
                  <w:tcW w:w="1077" w:type="dxa"/>
                  <w:vAlign w:val="center"/>
                </w:tcPr>
                <w:p w14:paraId="2E20AFD9">
                  <w:pPr>
                    <w:spacing w:line="240" w:lineRule="auto"/>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highlight w:val="none"/>
                      <w:lang w:val="en-US" w:eastAsia="zh-CN"/>
                    </w:rPr>
                    <w:t>德宏生态环境局芒市分局</w:t>
                  </w:r>
                </w:p>
              </w:tc>
            </w:tr>
            <w:tr w14:paraId="45ED89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29" w:hRule="atLeast"/>
                <w:jc w:val="center"/>
              </w:trPr>
              <w:tc>
                <w:tcPr>
                  <w:tcW w:w="822" w:type="dxa"/>
                  <w:vAlign w:val="center"/>
                </w:tcPr>
                <w:p w14:paraId="3DACD387">
                  <w:pPr>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废气</w:t>
                  </w:r>
                </w:p>
              </w:tc>
              <w:tc>
                <w:tcPr>
                  <w:tcW w:w="1784" w:type="dxa"/>
                  <w:vAlign w:val="center"/>
                </w:tcPr>
                <w:p w14:paraId="10072FC6">
                  <w:pPr>
                    <w:spacing w:line="240" w:lineRule="auto"/>
                    <w:jc w:val="center"/>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sz w:val="21"/>
                      <w:szCs w:val="21"/>
                      <w:highlight w:val="none"/>
                      <w:lang w:val="en-US" w:eastAsia="zh-CN"/>
                    </w:rPr>
                    <w:t>施工厂界四周各1个点</w:t>
                  </w:r>
                </w:p>
              </w:tc>
              <w:tc>
                <w:tcPr>
                  <w:tcW w:w="1198" w:type="dxa"/>
                  <w:vAlign w:val="center"/>
                </w:tcPr>
                <w:p w14:paraId="1BB8ABD8">
                  <w:pPr>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颗粒物</w:t>
                  </w:r>
                </w:p>
              </w:tc>
              <w:tc>
                <w:tcPr>
                  <w:tcW w:w="2264" w:type="dxa"/>
                  <w:vAlign w:val="center"/>
                </w:tcPr>
                <w:p w14:paraId="52BCD6A0">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施工高峰期1次，监测2天，每天3次</w:t>
                  </w:r>
                </w:p>
              </w:tc>
              <w:tc>
                <w:tcPr>
                  <w:tcW w:w="1213" w:type="dxa"/>
                  <w:vAlign w:val="center"/>
                </w:tcPr>
                <w:p w14:paraId="39059A2F">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具有资质的环境监测部门</w:t>
                  </w:r>
                </w:p>
              </w:tc>
              <w:tc>
                <w:tcPr>
                  <w:tcW w:w="1077" w:type="dxa"/>
                  <w:vAlign w:val="center"/>
                </w:tcPr>
                <w:p w14:paraId="2293C659">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德宏生态环境局芒市分局</w:t>
                  </w:r>
                </w:p>
              </w:tc>
            </w:tr>
          </w:tbl>
          <w:p w14:paraId="4B80ADAD">
            <w:pPr>
              <w:keepNext w:val="0"/>
              <w:keepLines w:val="0"/>
              <w:widowControl/>
              <w:numPr>
                <w:ilvl w:val="0"/>
                <w:numId w:val="38"/>
              </w:numPr>
              <w:suppressLineNumbers w:val="0"/>
              <w:ind w:left="0" w:leftChars="0" w:firstLine="482" w:firstLineChars="200"/>
              <w:jc w:val="both"/>
              <w:rPr>
                <w:rFonts w:hint="eastAsia" w:cs="Times New Roman"/>
                <w:b/>
                <w:bCs/>
                <w:color w:val="auto"/>
                <w:sz w:val="24"/>
                <w:highlight w:val="none"/>
                <w:lang w:val="en-US" w:eastAsia="zh-CN"/>
              </w:rPr>
            </w:pPr>
            <w:r>
              <w:rPr>
                <w:rFonts w:hint="eastAsia" w:cs="Times New Roman"/>
                <w:b/>
                <w:bCs/>
                <w:color w:val="auto"/>
                <w:sz w:val="24"/>
                <w:highlight w:val="none"/>
                <w:lang w:val="en-US" w:eastAsia="zh-CN"/>
              </w:rPr>
              <w:t>竣工验收</w:t>
            </w:r>
          </w:p>
          <w:p w14:paraId="130A5B99">
            <w:pPr>
              <w:keepNext w:val="0"/>
              <w:keepLines w:val="0"/>
              <w:widowControl/>
              <w:numPr>
                <w:ilvl w:val="0"/>
                <w:numId w:val="0"/>
              </w:numPr>
              <w:suppressLineNumbers w:val="0"/>
              <w:ind w:firstLine="480" w:firstLineChars="200"/>
              <w:jc w:val="both"/>
              <w:rPr>
                <w:rFonts w:hint="default" w:cs="Times New Roman"/>
                <w:color w:val="auto"/>
                <w:sz w:val="24"/>
                <w:highlight w:val="none"/>
                <w:lang w:val="en-US" w:eastAsia="zh-CN"/>
              </w:rPr>
            </w:pPr>
            <w:r>
              <w:rPr>
                <w:rFonts w:hint="default" w:cs="Times New Roman"/>
                <w:color w:val="auto"/>
                <w:sz w:val="24"/>
                <w:highlight w:val="none"/>
                <w:lang w:val="en-US" w:eastAsia="zh-CN"/>
              </w:rPr>
              <w:t>项目竣工验收详见下表：</w:t>
            </w:r>
          </w:p>
          <w:p w14:paraId="79242AFF">
            <w:pPr>
              <w:keepNext w:val="0"/>
              <w:keepLines w:val="0"/>
              <w:widowControl/>
              <w:numPr>
                <w:ilvl w:val="0"/>
                <w:numId w:val="0"/>
              </w:numPr>
              <w:suppressLineNumbers w:val="0"/>
              <w:jc w:val="center"/>
              <w:rPr>
                <w:rFonts w:hint="default" w:cs="Times New Roman"/>
                <w:b/>
                <w:bCs/>
                <w:color w:val="auto"/>
                <w:sz w:val="24"/>
                <w:highlight w:val="none"/>
                <w:lang w:val="en-US" w:eastAsia="zh-CN"/>
              </w:rPr>
            </w:pPr>
            <w:r>
              <w:rPr>
                <w:rFonts w:hint="eastAsia" w:cs="Times New Roman"/>
                <w:b/>
                <w:bCs/>
                <w:color w:val="auto"/>
                <w:sz w:val="24"/>
                <w:highlight w:val="none"/>
                <w:lang w:val="en-US" w:eastAsia="zh-CN"/>
              </w:rPr>
              <w:t>表9-4 环保竣工验收一览表</w:t>
            </w:r>
          </w:p>
          <w:tbl>
            <w:tblPr>
              <w:tblStyle w:val="10"/>
              <w:tblW w:w="83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4227"/>
              <w:gridCol w:w="3000"/>
            </w:tblGrid>
            <w:tr w14:paraId="612BA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6" w:type="dxa"/>
                  <w:vAlign w:val="center"/>
                </w:tcPr>
                <w:p w14:paraId="053207D1">
                  <w:pPr>
                    <w:keepNext w:val="0"/>
                    <w:keepLines w:val="0"/>
                    <w:widowControl/>
                    <w:numPr>
                      <w:ilvl w:val="0"/>
                      <w:numId w:val="0"/>
                    </w:numPr>
                    <w:suppressLineNumbers w:val="0"/>
                    <w:spacing w:line="240" w:lineRule="auto"/>
                    <w:jc w:val="center"/>
                    <w:rPr>
                      <w:rFonts w:hint="default" w:ascii="Times New Roman" w:hAnsi="Times New Roman" w:cs="Times New Roman"/>
                      <w:color w:val="FF0000"/>
                      <w:sz w:val="21"/>
                      <w:szCs w:val="21"/>
                      <w:highlight w:val="none"/>
                      <w:vertAlign w:val="baseline"/>
                      <w:lang w:val="en-US" w:eastAsia="zh-CN"/>
                    </w:rPr>
                  </w:pPr>
                  <w:r>
                    <w:rPr>
                      <w:rFonts w:hint="eastAsia" w:cs="Times New Roman"/>
                      <w:color w:val="FF0000"/>
                      <w:sz w:val="21"/>
                      <w:szCs w:val="21"/>
                      <w:highlight w:val="none"/>
                      <w:vertAlign w:val="baseline"/>
                      <w:lang w:val="en-US" w:eastAsia="zh-CN"/>
                    </w:rPr>
                    <w:t>项目</w:t>
                  </w:r>
                </w:p>
              </w:tc>
              <w:tc>
                <w:tcPr>
                  <w:tcW w:w="4227" w:type="dxa"/>
                  <w:vAlign w:val="center"/>
                </w:tcPr>
                <w:p w14:paraId="72991451">
                  <w:pPr>
                    <w:keepNext w:val="0"/>
                    <w:keepLines w:val="0"/>
                    <w:widowControl/>
                    <w:numPr>
                      <w:ilvl w:val="0"/>
                      <w:numId w:val="0"/>
                    </w:numPr>
                    <w:suppressLineNumbers w:val="0"/>
                    <w:spacing w:line="240" w:lineRule="auto"/>
                    <w:jc w:val="center"/>
                    <w:rPr>
                      <w:rFonts w:hint="default" w:ascii="Times New Roman" w:hAnsi="Times New Roman" w:cs="Times New Roman"/>
                      <w:color w:val="FF0000"/>
                      <w:sz w:val="21"/>
                      <w:szCs w:val="21"/>
                      <w:highlight w:val="none"/>
                      <w:vertAlign w:val="baseline"/>
                      <w:lang w:val="en-US" w:eastAsia="zh-CN"/>
                    </w:rPr>
                  </w:pPr>
                  <w:r>
                    <w:rPr>
                      <w:rFonts w:hint="eastAsia" w:cs="Times New Roman"/>
                      <w:color w:val="FF0000"/>
                      <w:sz w:val="21"/>
                      <w:szCs w:val="21"/>
                      <w:highlight w:val="none"/>
                      <w:vertAlign w:val="baseline"/>
                      <w:lang w:val="en-US" w:eastAsia="zh-CN"/>
                    </w:rPr>
                    <w:t>验收内容</w:t>
                  </w:r>
                </w:p>
              </w:tc>
              <w:tc>
                <w:tcPr>
                  <w:tcW w:w="3000" w:type="dxa"/>
                  <w:vAlign w:val="center"/>
                </w:tcPr>
                <w:p w14:paraId="60A86F54">
                  <w:pPr>
                    <w:keepNext w:val="0"/>
                    <w:keepLines w:val="0"/>
                    <w:widowControl/>
                    <w:numPr>
                      <w:ilvl w:val="0"/>
                      <w:numId w:val="0"/>
                    </w:numPr>
                    <w:suppressLineNumbers w:val="0"/>
                    <w:spacing w:line="240" w:lineRule="auto"/>
                    <w:jc w:val="center"/>
                    <w:rPr>
                      <w:rFonts w:hint="default" w:ascii="Times New Roman" w:hAnsi="Times New Roman" w:cs="Times New Roman"/>
                      <w:color w:val="FF0000"/>
                      <w:sz w:val="21"/>
                      <w:szCs w:val="21"/>
                      <w:highlight w:val="none"/>
                      <w:vertAlign w:val="baseline"/>
                      <w:lang w:val="en-US" w:eastAsia="zh-CN"/>
                    </w:rPr>
                  </w:pPr>
                  <w:r>
                    <w:rPr>
                      <w:rFonts w:hint="eastAsia" w:cs="Times New Roman"/>
                      <w:color w:val="FF0000"/>
                      <w:sz w:val="21"/>
                      <w:szCs w:val="21"/>
                      <w:highlight w:val="none"/>
                      <w:vertAlign w:val="baseline"/>
                      <w:lang w:val="en-US" w:eastAsia="zh-CN"/>
                    </w:rPr>
                    <w:t>验收要求</w:t>
                  </w:r>
                </w:p>
              </w:tc>
            </w:tr>
            <w:tr w14:paraId="64D18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6" w:type="dxa"/>
                  <w:vMerge w:val="restart"/>
                  <w:vAlign w:val="center"/>
                </w:tcPr>
                <w:p w14:paraId="39DF607C">
                  <w:pPr>
                    <w:keepNext w:val="0"/>
                    <w:keepLines w:val="0"/>
                    <w:widowControl/>
                    <w:numPr>
                      <w:ilvl w:val="0"/>
                      <w:numId w:val="0"/>
                    </w:numPr>
                    <w:suppressLineNumbers w:val="0"/>
                    <w:spacing w:line="240" w:lineRule="auto"/>
                    <w:jc w:val="center"/>
                    <w:rPr>
                      <w:rFonts w:hint="default" w:cs="Times New Roman"/>
                      <w:color w:val="FF0000"/>
                      <w:sz w:val="21"/>
                      <w:szCs w:val="21"/>
                      <w:highlight w:val="none"/>
                      <w:vertAlign w:val="baseline"/>
                      <w:lang w:val="en-US" w:eastAsia="zh-CN"/>
                    </w:rPr>
                  </w:pPr>
                  <w:r>
                    <w:rPr>
                      <w:rFonts w:hint="eastAsia" w:cs="Times New Roman"/>
                      <w:color w:val="FF0000"/>
                      <w:sz w:val="21"/>
                      <w:szCs w:val="21"/>
                      <w:highlight w:val="none"/>
                      <w:vertAlign w:val="baseline"/>
                      <w:lang w:val="en-US" w:eastAsia="zh-CN"/>
                    </w:rPr>
                    <w:t>生态环境</w:t>
                  </w:r>
                </w:p>
              </w:tc>
              <w:tc>
                <w:tcPr>
                  <w:tcW w:w="4227" w:type="dxa"/>
                  <w:vAlign w:val="center"/>
                </w:tcPr>
                <w:p w14:paraId="387435D2">
                  <w:pPr>
                    <w:keepNext w:val="0"/>
                    <w:keepLines w:val="0"/>
                    <w:widowControl/>
                    <w:numPr>
                      <w:ilvl w:val="0"/>
                      <w:numId w:val="0"/>
                    </w:numPr>
                    <w:suppressLineNumbers w:val="0"/>
                    <w:spacing w:line="240" w:lineRule="auto"/>
                    <w:jc w:val="center"/>
                    <w:rPr>
                      <w:rFonts w:hint="default" w:ascii="Times New Roman" w:hAnsi="Times New Roman" w:cs="Times New Roman"/>
                      <w:color w:val="FF0000"/>
                      <w:sz w:val="21"/>
                      <w:szCs w:val="21"/>
                      <w:highlight w:val="none"/>
                      <w:vertAlign w:val="baseline"/>
                      <w:lang w:val="en-US" w:eastAsia="zh-CN"/>
                    </w:rPr>
                  </w:pPr>
                  <w:r>
                    <w:rPr>
                      <w:rFonts w:hint="eastAsia" w:cs="Times New Roman"/>
                      <w:color w:val="FF0000"/>
                      <w:sz w:val="21"/>
                      <w:szCs w:val="21"/>
                      <w:highlight w:val="none"/>
                      <w:vertAlign w:val="baseline"/>
                      <w:lang w:val="en-US" w:eastAsia="zh-CN"/>
                    </w:rPr>
                    <w:t>道路绿化恢复</w:t>
                  </w:r>
                </w:p>
              </w:tc>
              <w:tc>
                <w:tcPr>
                  <w:tcW w:w="3000" w:type="dxa"/>
                  <w:vAlign w:val="center"/>
                </w:tcPr>
                <w:p w14:paraId="6513BF7E">
                  <w:pPr>
                    <w:keepNext w:val="0"/>
                    <w:keepLines w:val="0"/>
                    <w:widowControl/>
                    <w:numPr>
                      <w:ilvl w:val="0"/>
                      <w:numId w:val="0"/>
                    </w:numPr>
                    <w:suppressLineNumbers w:val="0"/>
                    <w:spacing w:line="240" w:lineRule="auto"/>
                    <w:jc w:val="center"/>
                    <w:rPr>
                      <w:rFonts w:hint="default" w:ascii="Times New Roman" w:hAnsi="Times New Roman" w:cs="Times New Roman"/>
                      <w:color w:val="FF0000"/>
                      <w:sz w:val="21"/>
                      <w:szCs w:val="21"/>
                      <w:highlight w:val="none"/>
                      <w:vertAlign w:val="baseline"/>
                      <w:lang w:val="en-US" w:eastAsia="zh-CN"/>
                    </w:rPr>
                  </w:pPr>
                  <w:r>
                    <w:rPr>
                      <w:rFonts w:hint="eastAsia" w:cs="Times New Roman"/>
                      <w:color w:val="FF0000"/>
                      <w:sz w:val="21"/>
                      <w:szCs w:val="21"/>
                      <w:highlight w:val="none"/>
                      <w:vertAlign w:val="baseline"/>
                      <w:lang w:val="en-US" w:eastAsia="zh-CN"/>
                    </w:rPr>
                    <w:t>植被恢复率100%</w:t>
                  </w:r>
                </w:p>
              </w:tc>
            </w:tr>
            <w:tr w14:paraId="45865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6" w:type="dxa"/>
                  <w:vMerge w:val="continue"/>
                  <w:vAlign w:val="center"/>
                </w:tcPr>
                <w:p w14:paraId="2330C792">
                  <w:pPr>
                    <w:keepNext w:val="0"/>
                    <w:keepLines w:val="0"/>
                    <w:widowControl/>
                    <w:numPr>
                      <w:ilvl w:val="0"/>
                      <w:numId w:val="0"/>
                    </w:numPr>
                    <w:suppressLineNumbers w:val="0"/>
                    <w:spacing w:line="240" w:lineRule="auto"/>
                    <w:jc w:val="center"/>
                    <w:rPr>
                      <w:rFonts w:hint="eastAsia" w:cs="Times New Roman"/>
                      <w:color w:val="FF0000"/>
                      <w:sz w:val="21"/>
                      <w:szCs w:val="21"/>
                      <w:highlight w:val="none"/>
                      <w:vertAlign w:val="baseline"/>
                      <w:lang w:val="en-US" w:eastAsia="zh-CN"/>
                    </w:rPr>
                  </w:pPr>
                </w:p>
              </w:tc>
              <w:tc>
                <w:tcPr>
                  <w:tcW w:w="4227" w:type="dxa"/>
                  <w:vAlign w:val="center"/>
                </w:tcPr>
                <w:p w14:paraId="2FEB69EE">
                  <w:pPr>
                    <w:keepNext w:val="0"/>
                    <w:keepLines w:val="0"/>
                    <w:widowControl/>
                    <w:numPr>
                      <w:ilvl w:val="0"/>
                      <w:numId w:val="0"/>
                    </w:numPr>
                    <w:suppressLineNumbers w:val="0"/>
                    <w:spacing w:line="240" w:lineRule="auto"/>
                    <w:jc w:val="center"/>
                    <w:rPr>
                      <w:rFonts w:hint="default" w:cs="Times New Roman"/>
                      <w:color w:val="FF0000"/>
                      <w:sz w:val="21"/>
                      <w:szCs w:val="21"/>
                      <w:highlight w:val="none"/>
                      <w:vertAlign w:val="baseline"/>
                      <w:lang w:val="en-US" w:eastAsia="zh-CN"/>
                    </w:rPr>
                  </w:pPr>
                  <w:r>
                    <w:rPr>
                      <w:rFonts w:hint="eastAsia" w:cs="Times New Roman"/>
                      <w:color w:val="FF0000"/>
                      <w:sz w:val="21"/>
                      <w:szCs w:val="21"/>
                      <w:highlight w:val="none"/>
                      <w:vertAlign w:val="baseline"/>
                      <w:lang w:val="en-US" w:eastAsia="zh-CN"/>
                    </w:rPr>
                    <w:t>开挖道路修复</w:t>
                  </w:r>
                </w:p>
              </w:tc>
              <w:tc>
                <w:tcPr>
                  <w:tcW w:w="3000" w:type="dxa"/>
                  <w:vAlign w:val="center"/>
                </w:tcPr>
                <w:p w14:paraId="24477C58">
                  <w:pPr>
                    <w:keepNext w:val="0"/>
                    <w:keepLines w:val="0"/>
                    <w:widowControl/>
                    <w:numPr>
                      <w:ilvl w:val="0"/>
                      <w:numId w:val="0"/>
                    </w:numPr>
                    <w:suppressLineNumbers w:val="0"/>
                    <w:spacing w:line="240" w:lineRule="auto"/>
                    <w:jc w:val="center"/>
                    <w:rPr>
                      <w:rFonts w:hint="default" w:cs="Times New Roman"/>
                      <w:color w:val="FF0000"/>
                      <w:sz w:val="21"/>
                      <w:szCs w:val="21"/>
                      <w:highlight w:val="none"/>
                      <w:vertAlign w:val="baseline"/>
                      <w:lang w:val="en-US" w:eastAsia="zh-CN"/>
                    </w:rPr>
                  </w:pPr>
                  <w:r>
                    <w:rPr>
                      <w:rFonts w:hint="eastAsia" w:cs="Times New Roman"/>
                      <w:color w:val="FF0000"/>
                      <w:sz w:val="21"/>
                      <w:szCs w:val="21"/>
                      <w:highlight w:val="none"/>
                      <w:vertAlign w:val="baseline"/>
                      <w:lang w:val="en-US" w:eastAsia="zh-CN"/>
                    </w:rPr>
                    <w:t>道路完全修复</w:t>
                  </w:r>
                </w:p>
              </w:tc>
            </w:tr>
          </w:tbl>
          <w:p w14:paraId="5630B3E2">
            <w:pPr>
              <w:keepNext w:val="0"/>
              <w:keepLines w:val="0"/>
              <w:widowControl/>
              <w:numPr>
                <w:ilvl w:val="0"/>
                <w:numId w:val="0"/>
              </w:numPr>
              <w:suppressLineNumbers w:val="0"/>
              <w:ind w:leftChars="0"/>
              <w:jc w:val="both"/>
              <w:rPr>
                <w:rFonts w:hint="eastAsia" w:cs="Times New Roman"/>
                <w:b/>
                <w:bCs/>
                <w:color w:val="auto"/>
                <w:sz w:val="24"/>
                <w:highlight w:val="none"/>
                <w:lang w:val="en-US" w:eastAsia="zh-CN"/>
              </w:rPr>
            </w:pPr>
            <w:r>
              <w:rPr>
                <w:rFonts w:hint="eastAsia" w:cs="Times New Roman"/>
                <w:b/>
                <w:bCs/>
                <w:color w:val="auto"/>
                <w:sz w:val="24"/>
                <w:highlight w:val="none"/>
                <w:lang w:val="en-US" w:eastAsia="zh-CN"/>
              </w:rPr>
              <w:t>五、建议</w:t>
            </w:r>
          </w:p>
          <w:p w14:paraId="2ADAF9F6">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（1）工程建设期间应做到标准化管理，减少施工对环境的影响。</w:t>
            </w:r>
          </w:p>
          <w:p w14:paraId="74D86A46">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（2）保证足够的环保资金，实施本报告建议的各项治污和生态保护措施。</w:t>
            </w:r>
          </w:p>
          <w:p w14:paraId="2B892184">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（3）加强用水管理，提高节水意识，提倡经济用水，减少浪费水资源。</w:t>
            </w:r>
          </w:p>
          <w:p w14:paraId="18B041EC">
            <w:pPr>
              <w:spacing w:line="360" w:lineRule="auto"/>
              <w:ind w:firstLine="480" w:firstLineChars="200"/>
              <w:rPr>
                <w:rFonts w:hint="default" w:ascii="Times New Roman" w:hAnsi="Times New Roman" w:cs="Times New Roman"/>
                <w:bCs/>
                <w:sz w:val="24"/>
                <w:szCs w:val="24"/>
              </w:rPr>
            </w:pPr>
            <w:r>
              <w:rPr>
                <w:rFonts w:hint="default" w:ascii="Times New Roman" w:hAnsi="Times New Roman" w:cs="Times New Roman"/>
                <w:bCs/>
                <w:sz w:val="24"/>
                <w:szCs w:val="24"/>
              </w:rPr>
              <w:t>（4）</w:t>
            </w:r>
            <w:r>
              <w:rPr>
                <w:rFonts w:hint="default" w:ascii="Times New Roman" w:hAnsi="Times New Roman" w:cs="Times New Roman"/>
                <w:sz w:val="24"/>
              </w:rPr>
              <w:t>严格按照项目环境管理和环境监测计划，做好环境保护相关工作。</w:t>
            </w:r>
          </w:p>
          <w:p w14:paraId="6EEED2A5">
            <w:pPr>
              <w:spacing w:line="360" w:lineRule="auto"/>
              <w:ind w:firstLine="480" w:firstLineChars="200"/>
              <w:rPr>
                <w:rFonts w:hint="default" w:cs="Times New Roman"/>
                <w:b/>
                <w:bCs/>
                <w:color w:val="auto"/>
                <w:sz w:val="24"/>
                <w:highlight w:val="none"/>
                <w:lang w:val="en-US" w:eastAsia="zh-CN"/>
              </w:rPr>
            </w:pPr>
            <w:r>
              <w:rPr>
                <w:rFonts w:hint="default" w:ascii="Times New Roman" w:hAnsi="Times New Roman" w:cs="Times New Roman"/>
                <w:bCs/>
                <w:sz w:val="24"/>
                <w:szCs w:val="24"/>
              </w:rPr>
              <w:t>（5）待项目措施完善后，建设单位进行自主验收，并向当地环保部门进行备案登记。</w:t>
            </w:r>
          </w:p>
        </w:tc>
      </w:tr>
    </w:tbl>
    <w:p w14:paraId="3FF04E10">
      <w:pPr>
        <w:rPr>
          <w:rFonts w:hint="default"/>
          <w:lang w:val="en-US" w:eastAsia="zh-CN"/>
        </w:rPr>
      </w:pPr>
      <w:r>
        <w:rPr>
          <w:rFonts w:hint="default"/>
          <w:lang w:val="en-US" w:eastAsia="zh-CN"/>
        </w:rPr>
        <w:br w:type="page"/>
      </w:r>
    </w:p>
    <w:tbl>
      <w:tblPr>
        <w:tblStyle w:val="9"/>
        <w:tblW w:w="887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870"/>
      </w:tblGrid>
      <w:tr w14:paraId="77CF1B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89" w:hRule="atLeast"/>
          <w:jc w:val="center"/>
        </w:trPr>
        <w:tc>
          <w:tcPr>
            <w:tcW w:w="8870" w:type="dxa"/>
            <w:tcBorders>
              <w:top w:val="single" w:color="auto" w:sz="8" w:space="0"/>
              <w:left w:val="single" w:color="auto" w:sz="8" w:space="0"/>
              <w:bottom w:val="single" w:color="auto" w:sz="8" w:space="0"/>
              <w:right w:val="single" w:color="auto" w:sz="8" w:space="0"/>
            </w:tcBorders>
            <w:vAlign w:val="center"/>
          </w:tcPr>
          <w:p w14:paraId="42FDE175">
            <w:pPr>
              <w:rPr>
                <w:rFonts w:ascii="Times New Roman" w:hAnsi="Times New Roman" w:cs="Times New Roman"/>
                <w:color w:val="auto"/>
                <w:sz w:val="24"/>
                <w:highlight w:val="none"/>
                <w:u w:val="single"/>
              </w:rPr>
            </w:pPr>
            <w:r>
              <w:rPr>
                <w:rFonts w:ascii="Times New Roman" w:hAnsi="Times New Roman" w:cs="Times New Roman"/>
                <w:b/>
                <w:bCs/>
                <w:color w:val="auto"/>
                <w:sz w:val="24"/>
                <w:highlight w:val="none"/>
              </w:rPr>
              <w:t>预审意见：</w:t>
            </w:r>
          </w:p>
          <w:p w14:paraId="1597F94E">
            <w:pPr>
              <w:rPr>
                <w:rFonts w:ascii="Times New Roman" w:hAnsi="Times New Roman" w:cs="Times New Roman"/>
                <w:color w:val="auto"/>
                <w:sz w:val="24"/>
                <w:highlight w:val="none"/>
                <w:u w:val="single"/>
              </w:rPr>
            </w:pPr>
          </w:p>
          <w:p w14:paraId="235C1EF1">
            <w:pPr>
              <w:rPr>
                <w:rFonts w:ascii="Times New Roman" w:hAnsi="Times New Roman" w:cs="Times New Roman"/>
                <w:color w:val="auto"/>
                <w:sz w:val="24"/>
                <w:highlight w:val="none"/>
                <w:u w:val="single"/>
              </w:rPr>
            </w:pPr>
          </w:p>
          <w:p w14:paraId="360A935E">
            <w:pPr>
              <w:rPr>
                <w:rFonts w:ascii="Times New Roman" w:hAnsi="Times New Roman" w:cs="Times New Roman"/>
                <w:color w:val="auto"/>
                <w:sz w:val="24"/>
                <w:highlight w:val="none"/>
                <w:u w:val="single"/>
              </w:rPr>
            </w:pPr>
          </w:p>
          <w:p w14:paraId="2DE3B248">
            <w:pPr>
              <w:rPr>
                <w:rFonts w:ascii="Times New Roman" w:hAnsi="Times New Roman" w:cs="Times New Roman"/>
                <w:color w:val="auto"/>
                <w:sz w:val="24"/>
                <w:highlight w:val="none"/>
                <w:u w:val="single"/>
              </w:rPr>
            </w:pPr>
          </w:p>
          <w:p w14:paraId="6A3612D0">
            <w:pPr>
              <w:rPr>
                <w:rFonts w:ascii="Times New Roman" w:hAnsi="Times New Roman" w:cs="Times New Roman"/>
                <w:color w:val="auto"/>
                <w:sz w:val="24"/>
                <w:highlight w:val="none"/>
                <w:u w:val="single"/>
              </w:rPr>
            </w:pPr>
          </w:p>
          <w:p w14:paraId="3635D02C">
            <w:pPr>
              <w:rPr>
                <w:rFonts w:ascii="Times New Roman" w:hAnsi="Times New Roman" w:cs="Times New Roman"/>
                <w:color w:val="auto"/>
                <w:sz w:val="24"/>
                <w:highlight w:val="none"/>
                <w:u w:val="single"/>
              </w:rPr>
            </w:pPr>
          </w:p>
          <w:p w14:paraId="2096D184">
            <w:pPr>
              <w:rPr>
                <w:rFonts w:ascii="Times New Roman" w:hAnsi="Times New Roman" w:cs="Times New Roman"/>
                <w:color w:val="auto"/>
                <w:sz w:val="24"/>
                <w:highlight w:val="none"/>
                <w:u w:val="single"/>
              </w:rPr>
            </w:pPr>
          </w:p>
          <w:p w14:paraId="5825298A">
            <w:pPr>
              <w:rPr>
                <w:rFonts w:ascii="Times New Roman" w:hAnsi="Times New Roman" w:cs="Times New Roman"/>
                <w:color w:val="auto"/>
                <w:sz w:val="24"/>
                <w:highlight w:val="none"/>
                <w:u w:val="single"/>
              </w:rPr>
            </w:pPr>
          </w:p>
          <w:p w14:paraId="1FC484DE">
            <w:pPr>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                                                 公  章</w:t>
            </w:r>
          </w:p>
          <w:p w14:paraId="4D3F0CB3">
            <w:pPr>
              <w:rPr>
                <w:rFonts w:ascii="Times New Roman" w:hAnsi="Times New Roman" w:cs="Times New Roman"/>
                <w:color w:val="auto"/>
                <w:sz w:val="24"/>
                <w:highlight w:val="none"/>
                <w:u w:val="single"/>
              </w:rPr>
            </w:pPr>
          </w:p>
          <w:p w14:paraId="26A5375B">
            <w:pPr>
              <w:rPr>
                <w:rFonts w:ascii="Times New Roman" w:hAnsi="Times New Roman" w:cs="Times New Roman"/>
                <w:color w:val="auto"/>
                <w:sz w:val="24"/>
                <w:highlight w:val="none"/>
              </w:rPr>
            </w:pPr>
          </w:p>
          <w:p w14:paraId="1270338D">
            <w:pPr>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经办人：                             </w:t>
            </w:r>
            <w:r>
              <w:rPr>
                <w:rFonts w:hint="eastAsia" w:cs="Times New Roman"/>
                <w:color w:val="auto"/>
                <w:sz w:val="24"/>
                <w:highlight w:val="none"/>
                <w:lang w:val="en-US" w:eastAsia="zh-CN"/>
              </w:rPr>
              <w:t xml:space="preserve">           </w:t>
            </w:r>
            <w:r>
              <w:rPr>
                <w:rFonts w:ascii="Times New Roman" w:hAnsi="Times New Roman" w:cs="Times New Roman"/>
                <w:color w:val="auto"/>
                <w:sz w:val="24"/>
                <w:highlight w:val="none"/>
              </w:rPr>
              <w:t>年  月  日</w:t>
            </w:r>
          </w:p>
        </w:tc>
      </w:tr>
      <w:tr w14:paraId="110669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089" w:hRule="atLeast"/>
          <w:jc w:val="center"/>
        </w:trPr>
        <w:tc>
          <w:tcPr>
            <w:tcW w:w="8870" w:type="dxa"/>
            <w:tcBorders>
              <w:top w:val="single" w:color="auto" w:sz="8" w:space="0"/>
              <w:left w:val="single" w:color="auto" w:sz="8" w:space="0"/>
              <w:bottom w:val="single" w:color="auto" w:sz="8" w:space="0"/>
              <w:right w:val="single" w:color="auto" w:sz="8" w:space="0"/>
            </w:tcBorders>
            <w:vAlign w:val="top"/>
          </w:tcPr>
          <w:p w14:paraId="2516BF9A">
            <w:pPr>
              <w:rPr>
                <w:rFonts w:ascii="Times New Roman" w:hAnsi="Times New Roman" w:cs="Times New Roman"/>
                <w:color w:val="auto"/>
                <w:sz w:val="24"/>
                <w:highlight w:val="none"/>
              </w:rPr>
            </w:pPr>
            <w:r>
              <w:rPr>
                <w:rFonts w:ascii="Times New Roman" w:hAnsi="Times New Roman" w:cs="Times New Roman"/>
                <w:b/>
                <w:bCs/>
                <w:color w:val="auto"/>
                <w:sz w:val="24"/>
                <w:highlight w:val="none"/>
              </w:rPr>
              <w:t>下一级环境保护行政主管部门审查意见：</w:t>
            </w:r>
          </w:p>
          <w:p w14:paraId="3B45F9DB">
            <w:pPr>
              <w:rPr>
                <w:rFonts w:ascii="Times New Roman" w:hAnsi="Times New Roman" w:cs="Times New Roman"/>
                <w:color w:val="auto"/>
                <w:sz w:val="24"/>
                <w:highlight w:val="none"/>
                <w:u w:val="single"/>
              </w:rPr>
            </w:pPr>
          </w:p>
          <w:p w14:paraId="74616760">
            <w:pPr>
              <w:rPr>
                <w:rFonts w:ascii="Times New Roman" w:hAnsi="Times New Roman" w:cs="Times New Roman"/>
                <w:color w:val="auto"/>
                <w:sz w:val="24"/>
                <w:highlight w:val="none"/>
                <w:u w:val="single"/>
              </w:rPr>
            </w:pPr>
          </w:p>
          <w:p w14:paraId="2B7F6783">
            <w:pPr>
              <w:rPr>
                <w:rFonts w:ascii="Times New Roman" w:hAnsi="Times New Roman" w:cs="Times New Roman"/>
                <w:color w:val="auto"/>
                <w:sz w:val="24"/>
                <w:highlight w:val="none"/>
                <w:u w:val="single"/>
              </w:rPr>
            </w:pPr>
          </w:p>
          <w:p w14:paraId="29F8C889">
            <w:pPr>
              <w:rPr>
                <w:rFonts w:ascii="Times New Roman" w:hAnsi="Times New Roman" w:cs="Times New Roman"/>
                <w:color w:val="auto"/>
                <w:sz w:val="24"/>
                <w:highlight w:val="none"/>
                <w:u w:val="single"/>
              </w:rPr>
            </w:pPr>
          </w:p>
          <w:p w14:paraId="3C39BAD6">
            <w:pPr>
              <w:rPr>
                <w:rFonts w:ascii="Times New Roman" w:hAnsi="Times New Roman" w:cs="Times New Roman"/>
                <w:color w:val="auto"/>
                <w:sz w:val="24"/>
                <w:highlight w:val="none"/>
                <w:u w:val="single"/>
              </w:rPr>
            </w:pPr>
          </w:p>
          <w:p w14:paraId="2E867730">
            <w:pPr>
              <w:rPr>
                <w:rFonts w:ascii="Times New Roman" w:hAnsi="Times New Roman" w:cs="Times New Roman"/>
                <w:color w:val="auto"/>
                <w:sz w:val="24"/>
                <w:highlight w:val="none"/>
                <w:u w:val="single"/>
              </w:rPr>
            </w:pPr>
          </w:p>
          <w:p w14:paraId="7024B684">
            <w:pPr>
              <w:rPr>
                <w:rFonts w:ascii="Times New Roman" w:hAnsi="Times New Roman" w:cs="Times New Roman"/>
                <w:color w:val="auto"/>
                <w:sz w:val="24"/>
                <w:highlight w:val="none"/>
                <w:u w:val="single"/>
              </w:rPr>
            </w:pPr>
          </w:p>
          <w:p w14:paraId="793A7F6C">
            <w:pPr>
              <w:rPr>
                <w:rFonts w:ascii="Times New Roman" w:hAnsi="Times New Roman" w:cs="Times New Roman"/>
                <w:color w:val="auto"/>
                <w:sz w:val="24"/>
                <w:highlight w:val="none"/>
                <w:u w:val="single"/>
              </w:rPr>
            </w:pPr>
          </w:p>
          <w:p w14:paraId="1E477020">
            <w:pPr>
              <w:rPr>
                <w:rFonts w:ascii="Times New Roman" w:hAnsi="Times New Roman" w:cs="Times New Roman"/>
                <w:color w:val="auto"/>
                <w:sz w:val="24"/>
                <w:highlight w:val="none"/>
                <w:u w:val="single"/>
              </w:rPr>
            </w:pPr>
          </w:p>
          <w:p w14:paraId="272F2DF0">
            <w:pPr>
              <w:jc w:val="both"/>
              <w:rPr>
                <w:rFonts w:ascii="Times New Roman" w:hAnsi="Times New Roman" w:cs="Times New Roman"/>
                <w:color w:val="auto"/>
                <w:sz w:val="24"/>
                <w:highlight w:val="none"/>
              </w:rPr>
            </w:pPr>
          </w:p>
          <w:p w14:paraId="69A282C0">
            <w:pPr>
              <w:jc w:val="center"/>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                            </w:t>
            </w:r>
            <w:r>
              <w:rPr>
                <w:rFonts w:hint="eastAsia" w:cs="Times New Roman"/>
                <w:color w:val="auto"/>
                <w:sz w:val="24"/>
                <w:highlight w:val="none"/>
                <w:lang w:val="en-US" w:eastAsia="zh-CN"/>
              </w:rPr>
              <w:t xml:space="preserve">   </w:t>
            </w:r>
            <w:r>
              <w:rPr>
                <w:rFonts w:ascii="Times New Roman" w:hAnsi="Times New Roman" w:cs="Times New Roman"/>
                <w:color w:val="auto"/>
                <w:sz w:val="24"/>
                <w:highlight w:val="none"/>
              </w:rPr>
              <w:t xml:space="preserve"> 公  章</w:t>
            </w:r>
          </w:p>
          <w:p w14:paraId="185BBED8">
            <w:pPr>
              <w:jc w:val="right"/>
              <w:rPr>
                <w:rFonts w:ascii="Times New Roman" w:hAnsi="Times New Roman" w:cs="Times New Roman"/>
                <w:color w:val="auto"/>
                <w:sz w:val="24"/>
                <w:highlight w:val="none"/>
                <w:u w:val="single"/>
              </w:rPr>
            </w:pPr>
          </w:p>
          <w:p w14:paraId="6AE7C9C5">
            <w:pPr>
              <w:jc w:val="right"/>
              <w:rPr>
                <w:rFonts w:ascii="Times New Roman" w:hAnsi="Times New Roman" w:cs="Times New Roman"/>
                <w:color w:val="auto"/>
                <w:sz w:val="24"/>
                <w:highlight w:val="none"/>
                <w:u w:val="single"/>
              </w:rPr>
            </w:pPr>
          </w:p>
          <w:p w14:paraId="12949E13">
            <w:pPr>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经办人：                            </w:t>
            </w:r>
            <w:r>
              <w:rPr>
                <w:rFonts w:hint="eastAsia" w:cs="Times New Roman"/>
                <w:color w:val="auto"/>
                <w:sz w:val="24"/>
                <w:highlight w:val="none"/>
                <w:lang w:val="en-US" w:eastAsia="zh-CN"/>
              </w:rPr>
              <w:t xml:space="preserve">            </w:t>
            </w:r>
            <w:r>
              <w:rPr>
                <w:rFonts w:ascii="Times New Roman" w:hAnsi="Times New Roman" w:cs="Times New Roman"/>
                <w:color w:val="auto"/>
                <w:sz w:val="24"/>
                <w:highlight w:val="none"/>
              </w:rPr>
              <w:t>年  月  日</w:t>
            </w:r>
          </w:p>
        </w:tc>
      </w:tr>
      <w:tr w14:paraId="073F27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126" w:hRule="atLeast"/>
          <w:jc w:val="center"/>
        </w:trPr>
        <w:tc>
          <w:tcPr>
            <w:tcW w:w="8870" w:type="dxa"/>
            <w:tcBorders>
              <w:top w:val="single" w:color="auto" w:sz="8" w:space="0"/>
              <w:left w:val="single" w:color="auto" w:sz="8" w:space="0"/>
              <w:bottom w:val="single" w:color="auto" w:sz="8" w:space="0"/>
              <w:right w:val="single" w:color="auto" w:sz="8" w:space="0"/>
            </w:tcBorders>
            <w:vAlign w:val="top"/>
          </w:tcPr>
          <w:p w14:paraId="3D6BBC8B">
            <w:pPr>
              <w:rPr>
                <w:rFonts w:ascii="Times New Roman" w:hAnsi="Times New Roman" w:cs="Times New Roman"/>
                <w:b/>
                <w:bCs/>
                <w:color w:val="auto"/>
                <w:sz w:val="24"/>
                <w:highlight w:val="none"/>
              </w:rPr>
            </w:pPr>
            <w:r>
              <w:rPr>
                <w:rFonts w:ascii="Times New Roman" w:hAnsi="Times New Roman" w:cs="Times New Roman"/>
                <w:b/>
                <w:bCs/>
                <w:color w:val="auto"/>
                <w:sz w:val="24"/>
                <w:highlight w:val="none"/>
              </w:rPr>
              <w:t>审批意见：</w:t>
            </w:r>
          </w:p>
          <w:p w14:paraId="235C77B1">
            <w:pPr>
              <w:rPr>
                <w:rFonts w:ascii="Times New Roman" w:hAnsi="Times New Roman" w:cs="Times New Roman"/>
                <w:color w:val="auto"/>
                <w:sz w:val="24"/>
                <w:highlight w:val="none"/>
                <w:u w:val="single"/>
              </w:rPr>
            </w:pPr>
          </w:p>
          <w:p w14:paraId="20A98FE7">
            <w:pPr>
              <w:rPr>
                <w:rFonts w:ascii="Times New Roman" w:hAnsi="Times New Roman" w:cs="Times New Roman"/>
                <w:color w:val="auto"/>
                <w:sz w:val="24"/>
                <w:highlight w:val="none"/>
                <w:u w:val="single"/>
              </w:rPr>
            </w:pPr>
          </w:p>
          <w:p w14:paraId="6AF2435B">
            <w:pPr>
              <w:rPr>
                <w:rFonts w:ascii="Times New Roman" w:hAnsi="Times New Roman" w:cs="Times New Roman"/>
                <w:color w:val="auto"/>
                <w:sz w:val="24"/>
                <w:highlight w:val="none"/>
                <w:u w:val="single"/>
              </w:rPr>
            </w:pPr>
          </w:p>
          <w:p w14:paraId="5A2F9961">
            <w:pPr>
              <w:rPr>
                <w:rFonts w:ascii="Times New Roman" w:hAnsi="Times New Roman" w:cs="Times New Roman"/>
                <w:color w:val="auto"/>
                <w:sz w:val="24"/>
                <w:highlight w:val="none"/>
                <w:u w:val="single"/>
              </w:rPr>
            </w:pPr>
          </w:p>
          <w:p w14:paraId="45BAF2CD">
            <w:pPr>
              <w:rPr>
                <w:rFonts w:ascii="Times New Roman" w:hAnsi="Times New Roman" w:cs="Times New Roman"/>
                <w:color w:val="auto"/>
                <w:sz w:val="24"/>
                <w:highlight w:val="none"/>
                <w:u w:val="single"/>
              </w:rPr>
            </w:pPr>
          </w:p>
          <w:p w14:paraId="6DF18483">
            <w:pPr>
              <w:rPr>
                <w:rFonts w:ascii="Times New Roman" w:hAnsi="Times New Roman" w:cs="Times New Roman"/>
                <w:color w:val="auto"/>
                <w:sz w:val="24"/>
                <w:highlight w:val="none"/>
                <w:u w:val="single"/>
              </w:rPr>
            </w:pPr>
          </w:p>
          <w:p w14:paraId="665FBCA2">
            <w:pPr>
              <w:rPr>
                <w:rFonts w:ascii="Times New Roman" w:hAnsi="Times New Roman" w:cs="Times New Roman"/>
                <w:color w:val="auto"/>
                <w:sz w:val="24"/>
                <w:highlight w:val="none"/>
                <w:u w:val="single"/>
              </w:rPr>
            </w:pPr>
          </w:p>
          <w:p w14:paraId="3B0237F9">
            <w:pPr>
              <w:rPr>
                <w:rFonts w:ascii="Times New Roman" w:hAnsi="Times New Roman" w:cs="Times New Roman"/>
                <w:color w:val="auto"/>
                <w:sz w:val="24"/>
                <w:highlight w:val="none"/>
                <w:u w:val="single"/>
              </w:rPr>
            </w:pPr>
          </w:p>
          <w:p w14:paraId="654516FD">
            <w:pPr>
              <w:rPr>
                <w:rFonts w:ascii="Times New Roman" w:hAnsi="Times New Roman" w:cs="Times New Roman"/>
                <w:color w:val="auto"/>
                <w:sz w:val="24"/>
                <w:highlight w:val="none"/>
                <w:u w:val="single"/>
              </w:rPr>
            </w:pPr>
          </w:p>
          <w:p w14:paraId="4F18CBF6">
            <w:pPr>
              <w:rPr>
                <w:rFonts w:ascii="Times New Roman" w:hAnsi="Times New Roman" w:cs="Times New Roman"/>
                <w:color w:val="auto"/>
                <w:sz w:val="24"/>
                <w:highlight w:val="none"/>
                <w:u w:val="single"/>
              </w:rPr>
            </w:pPr>
          </w:p>
          <w:p w14:paraId="136DC13C">
            <w:pPr>
              <w:rPr>
                <w:rFonts w:ascii="Times New Roman" w:hAnsi="Times New Roman" w:cs="Times New Roman"/>
                <w:color w:val="auto"/>
                <w:sz w:val="24"/>
                <w:highlight w:val="none"/>
                <w:u w:val="single"/>
              </w:rPr>
            </w:pPr>
          </w:p>
          <w:p w14:paraId="490E5EB8">
            <w:pPr>
              <w:rPr>
                <w:rFonts w:ascii="Times New Roman" w:hAnsi="Times New Roman" w:cs="Times New Roman"/>
                <w:color w:val="auto"/>
                <w:sz w:val="24"/>
                <w:highlight w:val="none"/>
                <w:u w:val="single"/>
              </w:rPr>
            </w:pPr>
          </w:p>
          <w:p w14:paraId="191F708E">
            <w:pPr>
              <w:rPr>
                <w:rFonts w:ascii="Times New Roman" w:hAnsi="Times New Roman" w:cs="Times New Roman"/>
                <w:color w:val="auto"/>
                <w:sz w:val="24"/>
                <w:highlight w:val="none"/>
                <w:u w:val="single"/>
              </w:rPr>
            </w:pPr>
          </w:p>
          <w:p w14:paraId="68FCE9F1">
            <w:pPr>
              <w:rPr>
                <w:rFonts w:ascii="Times New Roman" w:hAnsi="Times New Roman" w:cs="Times New Roman"/>
                <w:color w:val="auto"/>
                <w:sz w:val="24"/>
                <w:highlight w:val="none"/>
                <w:u w:val="single"/>
              </w:rPr>
            </w:pPr>
          </w:p>
          <w:p w14:paraId="7E2F155B">
            <w:pPr>
              <w:rPr>
                <w:rFonts w:ascii="Times New Roman" w:hAnsi="Times New Roman" w:cs="Times New Roman"/>
                <w:color w:val="auto"/>
                <w:sz w:val="24"/>
                <w:highlight w:val="none"/>
                <w:u w:val="single"/>
              </w:rPr>
            </w:pPr>
          </w:p>
          <w:p w14:paraId="0BEC0D34">
            <w:pPr>
              <w:rPr>
                <w:rFonts w:ascii="Times New Roman" w:hAnsi="Times New Roman" w:cs="Times New Roman"/>
                <w:color w:val="auto"/>
                <w:sz w:val="24"/>
                <w:highlight w:val="none"/>
                <w:u w:val="single"/>
              </w:rPr>
            </w:pPr>
          </w:p>
          <w:p w14:paraId="2AE94FCD">
            <w:pPr>
              <w:rPr>
                <w:rFonts w:ascii="Times New Roman" w:hAnsi="Times New Roman" w:cs="Times New Roman"/>
                <w:color w:val="auto"/>
                <w:sz w:val="24"/>
                <w:highlight w:val="none"/>
                <w:u w:val="single"/>
              </w:rPr>
            </w:pPr>
          </w:p>
          <w:p w14:paraId="6E0C3CF4">
            <w:pPr>
              <w:rPr>
                <w:rFonts w:ascii="Times New Roman" w:hAnsi="Times New Roman" w:cs="Times New Roman"/>
                <w:color w:val="auto"/>
                <w:sz w:val="24"/>
                <w:highlight w:val="none"/>
                <w:u w:val="single"/>
              </w:rPr>
            </w:pPr>
          </w:p>
          <w:p w14:paraId="278246C8">
            <w:pPr>
              <w:rPr>
                <w:rFonts w:ascii="Times New Roman" w:hAnsi="Times New Roman" w:cs="Times New Roman"/>
                <w:color w:val="auto"/>
                <w:sz w:val="24"/>
                <w:highlight w:val="none"/>
                <w:u w:val="single"/>
              </w:rPr>
            </w:pPr>
          </w:p>
          <w:p w14:paraId="76CE50E5">
            <w:pPr>
              <w:rPr>
                <w:rFonts w:ascii="Times New Roman" w:hAnsi="Times New Roman" w:cs="Times New Roman"/>
                <w:color w:val="auto"/>
                <w:sz w:val="24"/>
                <w:highlight w:val="none"/>
                <w:u w:val="single"/>
              </w:rPr>
            </w:pPr>
          </w:p>
          <w:p w14:paraId="6AC16CED">
            <w:pPr>
              <w:rPr>
                <w:rFonts w:ascii="Times New Roman" w:hAnsi="Times New Roman" w:cs="Times New Roman"/>
                <w:color w:val="auto"/>
                <w:sz w:val="24"/>
                <w:highlight w:val="none"/>
                <w:u w:val="single"/>
              </w:rPr>
            </w:pPr>
          </w:p>
          <w:p w14:paraId="62138FD3">
            <w:pPr>
              <w:rPr>
                <w:rFonts w:ascii="Times New Roman" w:hAnsi="Times New Roman" w:cs="Times New Roman"/>
                <w:color w:val="auto"/>
                <w:sz w:val="24"/>
                <w:highlight w:val="none"/>
              </w:rPr>
            </w:pPr>
          </w:p>
          <w:p w14:paraId="2E054023">
            <w:pPr>
              <w:jc w:val="center"/>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                               公  章</w:t>
            </w:r>
          </w:p>
          <w:p w14:paraId="28B0BC37">
            <w:pPr>
              <w:rPr>
                <w:rFonts w:ascii="Times New Roman" w:hAnsi="Times New Roman" w:cs="Times New Roman"/>
                <w:color w:val="auto"/>
                <w:sz w:val="24"/>
                <w:highlight w:val="none"/>
              </w:rPr>
            </w:pPr>
          </w:p>
          <w:p w14:paraId="021A1E34">
            <w:pPr>
              <w:rPr>
                <w:rFonts w:ascii="Times New Roman" w:hAnsi="Times New Roman" w:cs="Times New Roman"/>
                <w:color w:val="auto"/>
                <w:sz w:val="24"/>
                <w:highlight w:val="none"/>
              </w:rPr>
            </w:pPr>
            <w:r>
              <w:rPr>
                <w:rFonts w:ascii="Times New Roman" w:hAnsi="Times New Roman" w:cs="Times New Roman"/>
                <w:color w:val="auto"/>
                <w:sz w:val="24"/>
                <w:highlight w:val="none"/>
              </w:rPr>
              <w:t xml:space="preserve">经办人：                            </w:t>
            </w:r>
            <w:r>
              <w:rPr>
                <w:rFonts w:hint="eastAsia" w:cs="Times New Roman"/>
                <w:color w:val="auto"/>
                <w:sz w:val="24"/>
                <w:highlight w:val="none"/>
                <w:lang w:val="en-US" w:eastAsia="zh-CN"/>
              </w:rPr>
              <w:t xml:space="preserve">           </w:t>
            </w:r>
            <w:r>
              <w:rPr>
                <w:rFonts w:ascii="Times New Roman" w:hAnsi="Times New Roman" w:cs="Times New Roman"/>
                <w:color w:val="auto"/>
                <w:sz w:val="24"/>
                <w:highlight w:val="none"/>
              </w:rPr>
              <w:t>年   月   日</w:t>
            </w:r>
          </w:p>
          <w:p w14:paraId="4F899B17">
            <w:pPr>
              <w:rPr>
                <w:rFonts w:ascii="Times New Roman" w:hAnsi="Times New Roman" w:cs="Times New Roman"/>
                <w:color w:val="auto"/>
                <w:sz w:val="24"/>
                <w:highlight w:val="none"/>
              </w:rPr>
            </w:pPr>
          </w:p>
        </w:tc>
      </w:tr>
    </w:tbl>
    <w:p w14:paraId="3E900000">
      <w:pPr>
        <w:rPr>
          <w:rFonts w:hint="default"/>
          <w:lang w:val="en-US" w:eastAsia="zh-CN"/>
        </w:rPr>
      </w:pP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2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2">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auto"/>
    <w:pitch w:val="default"/>
    <w:sig w:usb0="00000000" w:usb1="00000000" w:usb2="00000000" w:usb3="00000000" w:csb0="00000000" w:csb1="00000000"/>
  </w:font>
  <w:font w:name="TimesNewRomanPS-BoldMT">
    <w:altName w:val="Courier Ne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67CF8">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465124">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11465124">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D8055D"/>
    <w:multiLevelType w:val="singleLevel"/>
    <w:tmpl w:val="80D8055D"/>
    <w:lvl w:ilvl="0" w:tentative="0">
      <w:start w:val="1"/>
      <w:numFmt w:val="chineseCounting"/>
      <w:suff w:val="nothing"/>
      <w:lvlText w:val="%1、"/>
      <w:lvlJc w:val="left"/>
      <w:rPr>
        <w:rFonts w:hint="eastAsia"/>
      </w:rPr>
    </w:lvl>
  </w:abstractNum>
  <w:abstractNum w:abstractNumId="1">
    <w:nsid w:val="826D10EA"/>
    <w:multiLevelType w:val="singleLevel"/>
    <w:tmpl w:val="826D10EA"/>
    <w:lvl w:ilvl="0" w:tentative="0">
      <w:start w:val="1"/>
      <w:numFmt w:val="decimal"/>
      <w:lvlText w:val="%1."/>
      <w:lvlJc w:val="left"/>
      <w:pPr>
        <w:tabs>
          <w:tab w:val="left" w:pos="312"/>
        </w:tabs>
      </w:pPr>
    </w:lvl>
  </w:abstractNum>
  <w:abstractNum w:abstractNumId="2">
    <w:nsid w:val="82B6E280"/>
    <w:multiLevelType w:val="singleLevel"/>
    <w:tmpl w:val="82B6E280"/>
    <w:lvl w:ilvl="0" w:tentative="0">
      <w:start w:val="1"/>
      <w:numFmt w:val="decimal"/>
      <w:suff w:val="nothing"/>
      <w:lvlText w:val="（%1）"/>
      <w:lvlJc w:val="left"/>
    </w:lvl>
  </w:abstractNum>
  <w:abstractNum w:abstractNumId="3">
    <w:nsid w:val="8B53D997"/>
    <w:multiLevelType w:val="singleLevel"/>
    <w:tmpl w:val="8B53D997"/>
    <w:lvl w:ilvl="0" w:tentative="0">
      <w:start w:val="1"/>
      <w:numFmt w:val="decimal"/>
      <w:lvlText w:val="%1."/>
      <w:lvlJc w:val="left"/>
      <w:pPr>
        <w:tabs>
          <w:tab w:val="left" w:pos="312"/>
        </w:tabs>
      </w:pPr>
    </w:lvl>
  </w:abstractNum>
  <w:abstractNum w:abstractNumId="4">
    <w:nsid w:val="966F4A32"/>
    <w:multiLevelType w:val="singleLevel"/>
    <w:tmpl w:val="966F4A32"/>
    <w:lvl w:ilvl="0" w:tentative="0">
      <w:start w:val="1"/>
      <w:numFmt w:val="decimal"/>
      <w:lvlText w:val="%1."/>
      <w:lvlJc w:val="left"/>
      <w:pPr>
        <w:tabs>
          <w:tab w:val="left" w:pos="312"/>
        </w:tabs>
      </w:pPr>
    </w:lvl>
  </w:abstractNum>
  <w:abstractNum w:abstractNumId="5">
    <w:nsid w:val="A39DDF40"/>
    <w:multiLevelType w:val="singleLevel"/>
    <w:tmpl w:val="A39DDF40"/>
    <w:lvl w:ilvl="0" w:tentative="0">
      <w:start w:val="1"/>
      <w:numFmt w:val="decimal"/>
      <w:lvlText w:val="%1."/>
      <w:lvlJc w:val="left"/>
      <w:pPr>
        <w:tabs>
          <w:tab w:val="left" w:pos="312"/>
        </w:tabs>
      </w:pPr>
    </w:lvl>
  </w:abstractNum>
  <w:abstractNum w:abstractNumId="6">
    <w:nsid w:val="A451EAFB"/>
    <w:multiLevelType w:val="singleLevel"/>
    <w:tmpl w:val="A451EAFB"/>
    <w:lvl w:ilvl="0" w:tentative="0">
      <w:start w:val="1"/>
      <w:numFmt w:val="decimal"/>
      <w:suff w:val="nothing"/>
      <w:lvlText w:val="（%1）"/>
      <w:lvlJc w:val="left"/>
    </w:lvl>
  </w:abstractNum>
  <w:abstractNum w:abstractNumId="7">
    <w:nsid w:val="A58B5809"/>
    <w:multiLevelType w:val="singleLevel"/>
    <w:tmpl w:val="A58B5809"/>
    <w:lvl w:ilvl="0" w:tentative="0">
      <w:start w:val="1"/>
      <w:numFmt w:val="chineseCounting"/>
      <w:suff w:val="nothing"/>
      <w:lvlText w:val="%1、"/>
      <w:lvlJc w:val="left"/>
      <w:rPr>
        <w:rFonts w:hint="eastAsia"/>
      </w:rPr>
    </w:lvl>
  </w:abstractNum>
  <w:abstractNum w:abstractNumId="8">
    <w:nsid w:val="B3023CD7"/>
    <w:multiLevelType w:val="singleLevel"/>
    <w:tmpl w:val="B3023CD7"/>
    <w:lvl w:ilvl="0" w:tentative="0">
      <w:start w:val="1"/>
      <w:numFmt w:val="chineseCounting"/>
      <w:suff w:val="nothing"/>
      <w:lvlText w:val="%1、"/>
      <w:lvlJc w:val="left"/>
      <w:rPr>
        <w:rFonts w:hint="eastAsia"/>
      </w:rPr>
    </w:lvl>
  </w:abstractNum>
  <w:abstractNum w:abstractNumId="9">
    <w:nsid w:val="B3F11235"/>
    <w:multiLevelType w:val="singleLevel"/>
    <w:tmpl w:val="B3F11235"/>
    <w:lvl w:ilvl="0" w:tentative="0">
      <w:start w:val="1"/>
      <w:numFmt w:val="decimal"/>
      <w:lvlText w:val="%1."/>
      <w:lvlJc w:val="left"/>
      <w:pPr>
        <w:tabs>
          <w:tab w:val="left" w:pos="312"/>
        </w:tabs>
      </w:pPr>
    </w:lvl>
  </w:abstractNum>
  <w:abstractNum w:abstractNumId="10">
    <w:nsid w:val="BDC945D4"/>
    <w:multiLevelType w:val="singleLevel"/>
    <w:tmpl w:val="BDC945D4"/>
    <w:lvl w:ilvl="0" w:tentative="0">
      <w:start w:val="1"/>
      <w:numFmt w:val="decimal"/>
      <w:lvlText w:val="%1."/>
      <w:lvlJc w:val="left"/>
      <w:pPr>
        <w:tabs>
          <w:tab w:val="left" w:pos="312"/>
        </w:tabs>
      </w:pPr>
    </w:lvl>
  </w:abstractNum>
  <w:abstractNum w:abstractNumId="11">
    <w:nsid w:val="C063863F"/>
    <w:multiLevelType w:val="singleLevel"/>
    <w:tmpl w:val="C063863F"/>
    <w:lvl w:ilvl="0" w:tentative="0">
      <w:start w:val="1"/>
      <w:numFmt w:val="decimal"/>
      <w:lvlText w:val="%1."/>
      <w:lvlJc w:val="left"/>
      <w:pPr>
        <w:tabs>
          <w:tab w:val="left" w:pos="312"/>
        </w:tabs>
      </w:pPr>
    </w:lvl>
  </w:abstractNum>
  <w:abstractNum w:abstractNumId="12">
    <w:nsid w:val="D2704C01"/>
    <w:multiLevelType w:val="singleLevel"/>
    <w:tmpl w:val="D2704C01"/>
    <w:lvl w:ilvl="0" w:tentative="0">
      <w:start w:val="1"/>
      <w:numFmt w:val="decimal"/>
      <w:lvlText w:val="%1."/>
      <w:lvlJc w:val="left"/>
      <w:pPr>
        <w:tabs>
          <w:tab w:val="left" w:pos="312"/>
        </w:tabs>
      </w:pPr>
    </w:lvl>
  </w:abstractNum>
  <w:abstractNum w:abstractNumId="13">
    <w:nsid w:val="D92C045C"/>
    <w:multiLevelType w:val="singleLevel"/>
    <w:tmpl w:val="D92C045C"/>
    <w:lvl w:ilvl="0" w:tentative="0">
      <w:start w:val="1"/>
      <w:numFmt w:val="decimal"/>
      <w:lvlText w:val="%1."/>
      <w:lvlJc w:val="left"/>
      <w:pPr>
        <w:tabs>
          <w:tab w:val="left" w:pos="312"/>
        </w:tabs>
      </w:pPr>
    </w:lvl>
  </w:abstractNum>
  <w:abstractNum w:abstractNumId="14">
    <w:nsid w:val="DD5545B9"/>
    <w:multiLevelType w:val="singleLevel"/>
    <w:tmpl w:val="DD5545B9"/>
    <w:lvl w:ilvl="0" w:tentative="0">
      <w:start w:val="1"/>
      <w:numFmt w:val="decimal"/>
      <w:suff w:val="nothing"/>
      <w:lvlText w:val="（%1）"/>
      <w:lvlJc w:val="left"/>
    </w:lvl>
  </w:abstractNum>
  <w:abstractNum w:abstractNumId="15">
    <w:nsid w:val="DF9A7603"/>
    <w:multiLevelType w:val="singleLevel"/>
    <w:tmpl w:val="DF9A7603"/>
    <w:lvl w:ilvl="0" w:tentative="0">
      <w:start w:val="1"/>
      <w:numFmt w:val="decimal"/>
      <w:suff w:val="nothing"/>
      <w:lvlText w:val="（%1）"/>
      <w:lvlJc w:val="left"/>
    </w:lvl>
  </w:abstractNum>
  <w:abstractNum w:abstractNumId="16">
    <w:nsid w:val="EA194AE8"/>
    <w:multiLevelType w:val="singleLevel"/>
    <w:tmpl w:val="EA194AE8"/>
    <w:lvl w:ilvl="0" w:tentative="0">
      <w:start w:val="1"/>
      <w:numFmt w:val="decimal"/>
      <w:lvlText w:val="%1."/>
      <w:lvlJc w:val="left"/>
      <w:pPr>
        <w:tabs>
          <w:tab w:val="left" w:pos="312"/>
        </w:tabs>
      </w:pPr>
    </w:lvl>
  </w:abstractNum>
  <w:abstractNum w:abstractNumId="17">
    <w:nsid w:val="EA196808"/>
    <w:multiLevelType w:val="singleLevel"/>
    <w:tmpl w:val="EA196808"/>
    <w:lvl w:ilvl="0" w:tentative="0">
      <w:start w:val="1"/>
      <w:numFmt w:val="decimal"/>
      <w:lvlText w:val="%1."/>
      <w:lvlJc w:val="left"/>
      <w:pPr>
        <w:tabs>
          <w:tab w:val="left" w:pos="312"/>
        </w:tabs>
      </w:pPr>
    </w:lvl>
  </w:abstractNum>
  <w:abstractNum w:abstractNumId="18">
    <w:nsid w:val="EBCCAB0A"/>
    <w:multiLevelType w:val="singleLevel"/>
    <w:tmpl w:val="EBCCAB0A"/>
    <w:lvl w:ilvl="0" w:tentative="0">
      <w:start w:val="1"/>
      <w:numFmt w:val="chineseCounting"/>
      <w:suff w:val="nothing"/>
      <w:lvlText w:val="（%1）"/>
      <w:lvlJc w:val="left"/>
      <w:rPr>
        <w:rFonts w:hint="eastAsia"/>
      </w:rPr>
    </w:lvl>
  </w:abstractNum>
  <w:abstractNum w:abstractNumId="19">
    <w:nsid w:val="EC730CCE"/>
    <w:multiLevelType w:val="singleLevel"/>
    <w:tmpl w:val="EC730CCE"/>
    <w:lvl w:ilvl="0" w:tentative="0">
      <w:start w:val="4"/>
      <w:numFmt w:val="chineseCounting"/>
      <w:suff w:val="nothing"/>
      <w:lvlText w:val="%1、"/>
      <w:lvlJc w:val="left"/>
      <w:rPr>
        <w:rFonts w:hint="eastAsia"/>
      </w:rPr>
    </w:lvl>
  </w:abstractNum>
  <w:abstractNum w:abstractNumId="20">
    <w:nsid w:val="EEC28300"/>
    <w:multiLevelType w:val="singleLevel"/>
    <w:tmpl w:val="EEC28300"/>
    <w:lvl w:ilvl="0" w:tentative="0">
      <w:start w:val="1"/>
      <w:numFmt w:val="decimal"/>
      <w:lvlText w:val="%1."/>
      <w:lvlJc w:val="left"/>
      <w:pPr>
        <w:tabs>
          <w:tab w:val="left" w:pos="312"/>
        </w:tabs>
      </w:pPr>
    </w:lvl>
  </w:abstractNum>
  <w:abstractNum w:abstractNumId="21">
    <w:nsid w:val="F04BE6AA"/>
    <w:multiLevelType w:val="singleLevel"/>
    <w:tmpl w:val="F04BE6AA"/>
    <w:lvl w:ilvl="0" w:tentative="0">
      <w:start w:val="1"/>
      <w:numFmt w:val="decimal"/>
      <w:lvlText w:val="%1."/>
      <w:lvlJc w:val="left"/>
      <w:pPr>
        <w:tabs>
          <w:tab w:val="left" w:pos="312"/>
        </w:tabs>
      </w:pPr>
    </w:lvl>
  </w:abstractNum>
  <w:abstractNum w:abstractNumId="22">
    <w:nsid w:val="F7637CD9"/>
    <w:multiLevelType w:val="singleLevel"/>
    <w:tmpl w:val="F7637CD9"/>
    <w:lvl w:ilvl="0" w:tentative="0">
      <w:start w:val="1"/>
      <w:numFmt w:val="decimal"/>
      <w:suff w:val="nothing"/>
      <w:lvlText w:val="（%1）"/>
      <w:lvlJc w:val="left"/>
    </w:lvl>
  </w:abstractNum>
  <w:abstractNum w:abstractNumId="23">
    <w:nsid w:val="F9993398"/>
    <w:multiLevelType w:val="singleLevel"/>
    <w:tmpl w:val="F9993398"/>
    <w:lvl w:ilvl="0" w:tentative="0">
      <w:start w:val="1"/>
      <w:numFmt w:val="decimal"/>
      <w:suff w:val="nothing"/>
      <w:lvlText w:val="（%1）"/>
      <w:lvlJc w:val="left"/>
    </w:lvl>
  </w:abstractNum>
  <w:abstractNum w:abstractNumId="24">
    <w:nsid w:val="0ED4F292"/>
    <w:multiLevelType w:val="singleLevel"/>
    <w:tmpl w:val="0ED4F292"/>
    <w:lvl w:ilvl="0" w:tentative="0">
      <w:start w:val="1"/>
      <w:numFmt w:val="decimal"/>
      <w:suff w:val="nothing"/>
      <w:lvlText w:val="（%1）"/>
      <w:lvlJc w:val="left"/>
    </w:lvl>
  </w:abstractNum>
  <w:abstractNum w:abstractNumId="25">
    <w:nsid w:val="20B93103"/>
    <w:multiLevelType w:val="singleLevel"/>
    <w:tmpl w:val="20B93103"/>
    <w:lvl w:ilvl="0" w:tentative="0">
      <w:start w:val="1"/>
      <w:numFmt w:val="decimal"/>
      <w:suff w:val="nothing"/>
      <w:lvlText w:val="（%1）"/>
      <w:lvlJc w:val="left"/>
    </w:lvl>
  </w:abstractNum>
  <w:abstractNum w:abstractNumId="26">
    <w:nsid w:val="22110BBB"/>
    <w:multiLevelType w:val="singleLevel"/>
    <w:tmpl w:val="22110BBB"/>
    <w:lvl w:ilvl="0" w:tentative="0">
      <w:start w:val="2"/>
      <w:numFmt w:val="decimal"/>
      <w:suff w:val="nothing"/>
      <w:lvlText w:val="（%1）"/>
      <w:lvlJc w:val="left"/>
    </w:lvl>
  </w:abstractNum>
  <w:abstractNum w:abstractNumId="27">
    <w:nsid w:val="299B3FC4"/>
    <w:multiLevelType w:val="singleLevel"/>
    <w:tmpl w:val="299B3FC4"/>
    <w:lvl w:ilvl="0" w:tentative="0">
      <w:start w:val="1"/>
      <w:numFmt w:val="decimal"/>
      <w:lvlText w:val="%1."/>
      <w:lvlJc w:val="left"/>
      <w:pPr>
        <w:tabs>
          <w:tab w:val="left" w:pos="312"/>
        </w:tabs>
      </w:pPr>
    </w:lvl>
  </w:abstractNum>
  <w:abstractNum w:abstractNumId="28">
    <w:nsid w:val="2A0B096C"/>
    <w:multiLevelType w:val="singleLevel"/>
    <w:tmpl w:val="2A0B096C"/>
    <w:lvl w:ilvl="0" w:tentative="0">
      <w:start w:val="1"/>
      <w:numFmt w:val="decimal"/>
      <w:lvlText w:val="%1."/>
      <w:lvlJc w:val="left"/>
      <w:pPr>
        <w:tabs>
          <w:tab w:val="left" w:pos="312"/>
        </w:tabs>
      </w:pPr>
    </w:lvl>
  </w:abstractNum>
  <w:abstractNum w:abstractNumId="29">
    <w:nsid w:val="323451F1"/>
    <w:multiLevelType w:val="singleLevel"/>
    <w:tmpl w:val="323451F1"/>
    <w:lvl w:ilvl="0" w:tentative="0">
      <w:start w:val="1"/>
      <w:numFmt w:val="decimal"/>
      <w:suff w:val="nothing"/>
      <w:lvlText w:val="（%1）"/>
      <w:lvlJc w:val="left"/>
    </w:lvl>
  </w:abstractNum>
  <w:abstractNum w:abstractNumId="30">
    <w:nsid w:val="383B8852"/>
    <w:multiLevelType w:val="singleLevel"/>
    <w:tmpl w:val="383B8852"/>
    <w:lvl w:ilvl="0" w:tentative="0">
      <w:start w:val="1"/>
      <w:numFmt w:val="decimal"/>
      <w:lvlText w:val="%1."/>
      <w:lvlJc w:val="left"/>
      <w:pPr>
        <w:tabs>
          <w:tab w:val="left" w:pos="312"/>
        </w:tabs>
      </w:pPr>
    </w:lvl>
  </w:abstractNum>
  <w:abstractNum w:abstractNumId="31">
    <w:nsid w:val="38E0598E"/>
    <w:multiLevelType w:val="singleLevel"/>
    <w:tmpl w:val="38E0598E"/>
    <w:lvl w:ilvl="0" w:tentative="0">
      <w:start w:val="1"/>
      <w:numFmt w:val="decimal"/>
      <w:lvlText w:val="%1."/>
      <w:lvlJc w:val="left"/>
      <w:pPr>
        <w:tabs>
          <w:tab w:val="left" w:pos="312"/>
        </w:tabs>
      </w:pPr>
    </w:lvl>
  </w:abstractNum>
  <w:abstractNum w:abstractNumId="32">
    <w:nsid w:val="3CA736E7"/>
    <w:multiLevelType w:val="singleLevel"/>
    <w:tmpl w:val="3CA736E7"/>
    <w:lvl w:ilvl="0" w:tentative="0">
      <w:start w:val="1"/>
      <w:numFmt w:val="decimal"/>
      <w:lvlText w:val="%1."/>
      <w:lvlJc w:val="left"/>
      <w:pPr>
        <w:tabs>
          <w:tab w:val="left" w:pos="312"/>
        </w:tabs>
      </w:pPr>
    </w:lvl>
  </w:abstractNum>
  <w:abstractNum w:abstractNumId="33">
    <w:nsid w:val="45101877"/>
    <w:multiLevelType w:val="singleLevel"/>
    <w:tmpl w:val="45101877"/>
    <w:lvl w:ilvl="0" w:tentative="0">
      <w:start w:val="1"/>
      <w:numFmt w:val="decimal"/>
      <w:lvlText w:val="%1."/>
      <w:lvlJc w:val="left"/>
      <w:pPr>
        <w:tabs>
          <w:tab w:val="left" w:pos="312"/>
        </w:tabs>
      </w:pPr>
    </w:lvl>
  </w:abstractNum>
  <w:abstractNum w:abstractNumId="34">
    <w:nsid w:val="4953FB6D"/>
    <w:multiLevelType w:val="singleLevel"/>
    <w:tmpl w:val="4953FB6D"/>
    <w:lvl w:ilvl="0" w:tentative="0">
      <w:start w:val="1"/>
      <w:numFmt w:val="decimal"/>
      <w:lvlText w:val="%1."/>
      <w:lvlJc w:val="left"/>
      <w:pPr>
        <w:tabs>
          <w:tab w:val="left" w:pos="312"/>
        </w:tabs>
      </w:pPr>
    </w:lvl>
  </w:abstractNum>
  <w:abstractNum w:abstractNumId="35">
    <w:nsid w:val="705F22CA"/>
    <w:multiLevelType w:val="singleLevel"/>
    <w:tmpl w:val="705F22CA"/>
    <w:lvl w:ilvl="0" w:tentative="0">
      <w:start w:val="1"/>
      <w:numFmt w:val="decimal"/>
      <w:lvlText w:val="%1."/>
      <w:lvlJc w:val="left"/>
      <w:pPr>
        <w:tabs>
          <w:tab w:val="left" w:pos="312"/>
        </w:tabs>
      </w:pPr>
    </w:lvl>
  </w:abstractNum>
  <w:abstractNum w:abstractNumId="36">
    <w:nsid w:val="71C4BDA9"/>
    <w:multiLevelType w:val="singleLevel"/>
    <w:tmpl w:val="71C4BDA9"/>
    <w:lvl w:ilvl="0" w:tentative="0">
      <w:start w:val="2"/>
      <w:numFmt w:val="chineseCounting"/>
      <w:suff w:val="nothing"/>
      <w:lvlText w:val="（%1）"/>
      <w:lvlJc w:val="left"/>
      <w:rPr>
        <w:rFonts w:hint="eastAsia"/>
      </w:rPr>
    </w:lvl>
  </w:abstractNum>
  <w:abstractNum w:abstractNumId="37">
    <w:nsid w:val="74EE262A"/>
    <w:multiLevelType w:val="singleLevel"/>
    <w:tmpl w:val="74EE262A"/>
    <w:lvl w:ilvl="0" w:tentative="0">
      <w:start w:val="1"/>
      <w:numFmt w:val="chineseCounting"/>
      <w:suff w:val="nothing"/>
      <w:lvlText w:val="%1、"/>
      <w:lvlJc w:val="left"/>
      <w:rPr>
        <w:rFonts w:hint="eastAsia"/>
      </w:rPr>
    </w:lvl>
  </w:abstractNum>
  <w:num w:numId="1">
    <w:abstractNumId w:val="7"/>
  </w:num>
  <w:num w:numId="2">
    <w:abstractNumId w:val="3"/>
  </w:num>
  <w:num w:numId="3">
    <w:abstractNumId w:val="19"/>
  </w:num>
  <w:num w:numId="4">
    <w:abstractNumId w:val="13"/>
  </w:num>
  <w:num w:numId="5">
    <w:abstractNumId w:val="36"/>
  </w:num>
  <w:num w:numId="6">
    <w:abstractNumId w:val="35"/>
  </w:num>
  <w:num w:numId="7">
    <w:abstractNumId w:val="26"/>
  </w:num>
  <w:num w:numId="8">
    <w:abstractNumId w:val="12"/>
  </w:num>
  <w:num w:numId="9">
    <w:abstractNumId w:val="15"/>
  </w:num>
  <w:num w:numId="10">
    <w:abstractNumId w:val="27"/>
  </w:num>
  <w:num w:numId="11">
    <w:abstractNumId w:val="29"/>
  </w:num>
  <w:num w:numId="12">
    <w:abstractNumId w:val="2"/>
  </w:num>
  <w:num w:numId="13">
    <w:abstractNumId w:val="14"/>
  </w:num>
  <w:num w:numId="14">
    <w:abstractNumId w:val="11"/>
  </w:num>
  <w:num w:numId="15">
    <w:abstractNumId w:val="6"/>
  </w:num>
  <w:num w:numId="16">
    <w:abstractNumId w:val="34"/>
  </w:num>
  <w:num w:numId="17">
    <w:abstractNumId w:val="9"/>
  </w:num>
  <w:num w:numId="18">
    <w:abstractNumId w:val="16"/>
  </w:num>
  <w:num w:numId="19">
    <w:abstractNumId w:val="33"/>
  </w:num>
  <w:num w:numId="20">
    <w:abstractNumId w:val="22"/>
  </w:num>
  <w:num w:numId="21">
    <w:abstractNumId w:val="30"/>
  </w:num>
  <w:num w:numId="22">
    <w:abstractNumId w:val="32"/>
  </w:num>
  <w:num w:numId="23">
    <w:abstractNumId w:val="10"/>
  </w:num>
  <w:num w:numId="24">
    <w:abstractNumId w:val="21"/>
  </w:num>
  <w:num w:numId="25">
    <w:abstractNumId w:val="8"/>
  </w:num>
  <w:num w:numId="26">
    <w:abstractNumId w:val="28"/>
  </w:num>
  <w:num w:numId="27">
    <w:abstractNumId w:val="25"/>
  </w:num>
  <w:num w:numId="28">
    <w:abstractNumId w:val="24"/>
  </w:num>
  <w:num w:numId="29">
    <w:abstractNumId w:val="23"/>
  </w:num>
  <w:num w:numId="30">
    <w:abstractNumId w:val="0"/>
  </w:num>
  <w:num w:numId="31">
    <w:abstractNumId w:val="5"/>
  </w:num>
  <w:num w:numId="32">
    <w:abstractNumId w:val="31"/>
  </w:num>
  <w:num w:numId="33">
    <w:abstractNumId w:val="17"/>
  </w:num>
  <w:num w:numId="34">
    <w:abstractNumId w:val="20"/>
  </w:num>
  <w:num w:numId="35">
    <w:abstractNumId w:val="37"/>
  </w:num>
  <w:num w:numId="36">
    <w:abstractNumId w:val="1"/>
  </w:num>
  <w:num w:numId="37">
    <w:abstractNumId w:val="18"/>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xYWVjZjFkYTJkNzI5ZDNmMjNjYTE4YTEwNTQ2OTUifQ=="/>
  </w:docVars>
  <w:rsids>
    <w:rsidRoot w:val="79523022"/>
    <w:rsid w:val="000245C2"/>
    <w:rsid w:val="0018317B"/>
    <w:rsid w:val="002A33B6"/>
    <w:rsid w:val="003B05F0"/>
    <w:rsid w:val="00516419"/>
    <w:rsid w:val="0084167E"/>
    <w:rsid w:val="009739D3"/>
    <w:rsid w:val="00BC2E28"/>
    <w:rsid w:val="00D75764"/>
    <w:rsid w:val="00DA673A"/>
    <w:rsid w:val="00FA541C"/>
    <w:rsid w:val="01065E1A"/>
    <w:rsid w:val="010B5372"/>
    <w:rsid w:val="01292FDC"/>
    <w:rsid w:val="01297BBF"/>
    <w:rsid w:val="0134302E"/>
    <w:rsid w:val="013C18C8"/>
    <w:rsid w:val="01481625"/>
    <w:rsid w:val="01564427"/>
    <w:rsid w:val="016A301B"/>
    <w:rsid w:val="016D7E1A"/>
    <w:rsid w:val="019F7618"/>
    <w:rsid w:val="01AD7C17"/>
    <w:rsid w:val="01B92642"/>
    <w:rsid w:val="01BE6021"/>
    <w:rsid w:val="01CD6A9B"/>
    <w:rsid w:val="01E3214A"/>
    <w:rsid w:val="02243059"/>
    <w:rsid w:val="02456B19"/>
    <w:rsid w:val="02594441"/>
    <w:rsid w:val="0271141B"/>
    <w:rsid w:val="02786BF3"/>
    <w:rsid w:val="02957682"/>
    <w:rsid w:val="02A0193B"/>
    <w:rsid w:val="02A42C3F"/>
    <w:rsid w:val="02AC774D"/>
    <w:rsid w:val="02BF476B"/>
    <w:rsid w:val="02C603B3"/>
    <w:rsid w:val="02C84DCA"/>
    <w:rsid w:val="02CD5C3B"/>
    <w:rsid w:val="02D441DF"/>
    <w:rsid w:val="02DF0855"/>
    <w:rsid w:val="02E32C0C"/>
    <w:rsid w:val="02ED5209"/>
    <w:rsid w:val="02FE0CEE"/>
    <w:rsid w:val="030E6882"/>
    <w:rsid w:val="032527B4"/>
    <w:rsid w:val="033B57E7"/>
    <w:rsid w:val="033C2793"/>
    <w:rsid w:val="035517A0"/>
    <w:rsid w:val="036D2676"/>
    <w:rsid w:val="037B6E5C"/>
    <w:rsid w:val="03A55696"/>
    <w:rsid w:val="03B03227"/>
    <w:rsid w:val="03BA4FD2"/>
    <w:rsid w:val="0402005C"/>
    <w:rsid w:val="041C64E4"/>
    <w:rsid w:val="043852C6"/>
    <w:rsid w:val="04434AD6"/>
    <w:rsid w:val="0449356D"/>
    <w:rsid w:val="04BC6189"/>
    <w:rsid w:val="04E231AF"/>
    <w:rsid w:val="04F411E9"/>
    <w:rsid w:val="04F66E61"/>
    <w:rsid w:val="05021425"/>
    <w:rsid w:val="05185136"/>
    <w:rsid w:val="05455905"/>
    <w:rsid w:val="056632D3"/>
    <w:rsid w:val="057C5CFE"/>
    <w:rsid w:val="05860E47"/>
    <w:rsid w:val="05C30289"/>
    <w:rsid w:val="05C400B7"/>
    <w:rsid w:val="05E534E2"/>
    <w:rsid w:val="060A27D3"/>
    <w:rsid w:val="06141274"/>
    <w:rsid w:val="063571AB"/>
    <w:rsid w:val="0635734A"/>
    <w:rsid w:val="063B7E34"/>
    <w:rsid w:val="065E5124"/>
    <w:rsid w:val="067C2F22"/>
    <w:rsid w:val="06865956"/>
    <w:rsid w:val="068B51B3"/>
    <w:rsid w:val="06C25ACD"/>
    <w:rsid w:val="06DA53BF"/>
    <w:rsid w:val="06E1585E"/>
    <w:rsid w:val="06F61702"/>
    <w:rsid w:val="071D43BA"/>
    <w:rsid w:val="076A2F1A"/>
    <w:rsid w:val="07704AFC"/>
    <w:rsid w:val="077D493D"/>
    <w:rsid w:val="07832E01"/>
    <w:rsid w:val="07AE73F4"/>
    <w:rsid w:val="08052C05"/>
    <w:rsid w:val="080E20AA"/>
    <w:rsid w:val="083359D5"/>
    <w:rsid w:val="086C6020"/>
    <w:rsid w:val="086E0A6D"/>
    <w:rsid w:val="088C72DD"/>
    <w:rsid w:val="0897704F"/>
    <w:rsid w:val="089A39F8"/>
    <w:rsid w:val="08D31CD7"/>
    <w:rsid w:val="08D34927"/>
    <w:rsid w:val="08DC1527"/>
    <w:rsid w:val="08F26658"/>
    <w:rsid w:val="091C6DDB"/>
    <w:rsid w:val="091D1C42"/>
    <w:rsid w:val="091E3032"/>
    <w:rsid w:val="0921694F"/>
    <w:rsid w:val="09237ED7"/>
    <w:rsid w:val="092E66C7"/>
    <w:rsid w:val="0942211F"/>
    <w:rsid w:val="095549EA"/>
    <w:rsid w:val="09572D62"/>
    <w:rsid w:val="09677B10"/>
    <w:rsid w:val="09796175"/>
    <w:rsid w:val="098C5540"/>
    <w:rsid w:val="09A05A50"/>
    <w:rsid w:val="09AD53E9"/>
    <w:rsid w:val="09CC17B8"/>
    <w:rsid w:val="09D70700"/>
    <w:rsid w:val="09FE5A23"/>
    <w:rsid w:val="0A225975"/>
    <w:rsid w:val="0A3B731D"/>
    <w:rsid w:val="0A6A1EC1"/>
    <w:rsid w:val="0A8B5480"/>
    <w:rsid w:val="0A984A45"/>
    <w:rsid w:val="0AA22B19"/>
    <w:rsid w:val="0AD170EA"/>
    <w:rsid w:val="0AD40064"/>
    <w:rsid w:val="0AD72FC5"/>
    <w:rsid w:val="0AE2790E"/>
    <w:rsid w:val="0AEA5FE1"/>
    <w:rsid w:val="0B1E3C02"/>
    <w:rsid w:val="0B2762C2"/>
    <w:rsid w:val="0B354FE8"/>
    <w:rsid w:val="0B457998"/>
    <w:rsid w:val="0B4960F0"/>
    <w:rsid w:val="0B53574E"/>
    <w:rsid w:val="0B5A1543"/>
    <w:rsid w:val="0B5A7209"/>
    <w:rsid w:val="0B6221E9"/>
    <w:rsid w:val="0B626242"/>
    <w:rsid w:val="0B6A24D6"/>
    <w:rsid w:val="0B6F0CE6"/>
    <w:rsid w:val="0B744296"/>
    <w:rsid w:val="0B8C107A"/>
    <w:rsid w:val="0BA5010B"/>
    <w:rsid w:val="0BCD304D"/>
    <w:rsid w:val="0BD52E49"/>
    <w:rsid w:val="0BD54487"/>
    <w:rsid w:val="0BEA56E8"/>
    <w:rsid w:val="0BF9020B"/>
    <w:rsid w:val="0BFA2977"/>
    <w:rsid w:val="0BFC5786"/>
    <w:rsid w:val="0C14045E"/>
    <w:rsid w:val="0C212BD4"/>
    <w:rsid w:val="0C6C55B9"/>
    <w:rsid w:val="0C75100D"/>
    <w:rsid w:val="0C835717"/>
    <w:rsid w:val="0CA23622"/>
    <w:rsid w:val="0CD16B9D"/>
    <w:rsid w:val="0CD71727"/>
    <w:rsid w:val="0CDF6AEB"/>
    <w:rsid w:val="0CFB2BD0"/>
    <w:rsid w:val="0D1F6EB4"/>
    <w:rsid w:val="0D4B09D9"/>
    <w:rsid w:val="0D6F28C9"/>
    <w:rsid w:val="0D705F74"/>
    <w:rsid w:val="0D8B4B5E"/>
    <w:rsid w:val="0D9A2C22"/>
    <w:rsid w:val="0DB849B2"/>
    <w:rsid w:val="0DC205E0"/>
    <w:rsid w:val="0DE408DD"/>
    <w:rsid w:val="0DE62804"/>
    <w:rsid w:val="0DED78C8"/>
    <w:rsid w:val="0DF2427C"/>
    <w:rsid w:val="0E577D0F"/>
    <w:rsid w:val="0E6708C8"/>
    <w:rsid w:val="0E8915B2"/>
    <w:rsid w:val="0E922E26"/>
    <w:rsid w:val="0E971104"/>
    <w:rsid w:val="0EAF6781"/>
    <w:rsid w:val="0EB13223"/>
    <w:rsid w:val="0EB438E0"/>
    <w:rsid w:val="0ED869DC"/>
    <w:rsid w:val="0EEC6E5B"/>
    <w:rsid w:val="0F14580A"/>
    <w:rsid w:val="0F371BF7"/>
    <w:rsid w:val="0F3C0C7A"/>
    <w:rsid w:val="0F48211D"/>
    <w:rsid w:val="0F8D1D96"/>
    <w:rsid w:val="0FA07BAD"/>
    <w:rsid w:val="0FA47E23"/>
    <w:rsid w:val="0FE47219"/>
    <w:rsid w:val="0FEB7F0D"/>
    <w:rsid w:val="1013658D"/>
    <w:rsid w:val="103150E4"/>
    <w:rsid w:val="10926E79"/>
    <w:rsid w:val="109C2702"/>
    <w:rsid w:val="10F31F4E"/>
    <w:rsid w:val="10F96F32"/>
    <w:rsid w:val="10FB4E1F"/>
    <w:rsid w:val="11077C88"/>
    <w:rsid w:val="11265B16"/>
    <w:rsid w:val="11301FCF"/>
    <w:rsid w:val="113A1743"/>
    <w:rsid w:val="113D01DB"/>
    <w:rsid w:val="11434983"/>
    <w:rsid w:val="114E5112"/>
    <w:rsid w:val="115A24DF"/>
    <w:rsid w:val="1170593D"/>
    <w:rsid w:val="117E551E"/>
    <w:rsid w:val="118273A7"/>
    <w:rsid w:val="118C0D34"/>
    <w:rsid w:val="118E703A"/>
    <w:rsid w:val="119B1ACD"/>
    <w:rsid w:val="11A810B8"/>
    <w:rsid w:val="11FC6068"/>
    <w:rsid w:val="122034D2"/>
    <w:rsid w:val="126B32C5"/>
    <w:rsid w:val="126D79E1"/>
    <w:rsid w:val="126E3727"/>
    <w:rsid w:val="12755E91"/>
    <w:rsid w:val="127A0D38"/>
    <w:rsid w:val="129E0C5D"/>
    <w:rsid w:val="12FD35B2"/>
    <w:rsid w:val="13106AF0"/>
    <w:rsid w:val="13266F60"/>
    <w:rsid w:val="135A4A8B"/>
    <w:rsid w:val="135B61CD"/>
    <w:rsid w:val="13897DF0"/>
    <w:rsid w:val="139922FE"/>
    <w:rsid w:val="13B943D7"/>
    <w:rsid w:val="13CC2DCF"/>
    <w:rsid w:val="13D33808"/>
    <w:rsid w:val="13D55E7F"/>
    <w:rsid w:val="13F25C27"/>
    <w:rsid w:val="14032A69"/>
    <w:rsid w:val="14121BCE"/>
    <w:rsid w:val="14513822"/>
    <w:rsid w:val="145252C8"/>
    <w:rsid w:val="14687231"/>
    <w:rsid w:val="146B53E3"/>
    <w:rsid w:val="14921EA2"/>
    <w:rsid w:val="14B53A53"/>
    <w:rsid w:val="14E57796"/>
    <w:rsid w:val="15017952"/>
    <w:rsid w:val="1507279D"/>
    <w:rsid w:val="150A3938"/>
    <w:rsid w:val="150E376D"/>
    <w:rsid w:val="15356EB9"/>
    <w:rsid w:val="15547AEF"/>
    <w:rsid w:val="15586738"/>
    <w:rsid w:val="158316B0"/>
    <w:rsid w:val="158F43D2"/>
    <w:rsid w:val="15C47345"/>
    <w:rsid w:val="15E06BEA"/>
    <w:rsid w:val="15FC1C04"/>
    <w:rsid w:val="160359F0"/>
    <w:rsid w:val="16042EF1"/>
    <w:rsid w:val="160920BA"/>
    <w:rsid w:val="16606044"/>
    <w:rsid w:val="16653EAF"/>
    <w:rsid w:val="166815F4"/>
    <w:rsid w:val="166F7CC6"/>
    <w:rsid w:val="167372C5"/>
    <w:rsid w:val="16765640"/>
    <w:rsid w:val="16A11BD6"/>
    <w:rsid w:val="16C928F7"/>
    <w:rsid w:val="16D86B38"/>
    <w:rsid w:val="16D928BE"/>
    <w:rsid w:val="16E01899"/>
    <w:rsid w:val="171D405C"/>
    <w:rsid w:val="174239CB"/>
    <w:rsid w:val="1745170B"/>
    <w:rsid w:val="17AE6ECA"/>
    <w:rsid w:val="17CE351F"/>
    <w:rsid w:val="17F33957"/>
    <w:rsid w:val="18236766"/>
    <w:rsid w:val="184B17D5"/>
    <w:rsid w:val="187816F0"/>
    <w:rsid w:val="189020E3"/>
    <w:rsid w:val="18A55C97"/>
    <w:rsid w:val="18B371DD"/>
    <w:rsid w:val="18D00988"/>
    <w:rsid w:val="19051116"/>
    <w:rsid w:val="190C34F8"/>
    <w:rsid w:val="191C268B"/>
    <w:rsid w:val="194505A6"/>
    <w:rsid w:val="195F2460"/>
    <w:rsid w:val="19632D60"/>
    <w:rsid w:val="19B75274"/>
    <w:rsid w:val="19CB4E9E"/>
    <w:rsid w:val="19D122B6"/>
    <w:rsid w:val="19F76224"/>
    <w:rsid w:val="1A011800"/>
    <w:rsid w:val="1A020072"/>
    <w:rsid w:val="1A083331"/>
    <w:rsid w:val="1A106752"/>
    <w:rsid w:val="1A193B03"/>
    <w:rsid w:val="1A1F71B0"/>
    <w:rsid w:val="1A2E2F5D"/>
    <w:rsid w:val="1A346F61"/>
    <w:rsid w:val="1A6D3894"/>
    <w:rsid w:val="1A744258"/>
    <w:rsid w:val="1A7E1898"/>
    <w:rsid w:val="1A956B7C"/>
    <w:rsid w:val="1A9B333D"/>
    <w:rsid w:val="1A9D4D4F"/>
    <w:rsid w:val="1AE82ADC"/>
    <w:rsid w:val="1AF31081"/>
    <w:rsid w:val="1AFB1D6E"/>
    <w:rsid w:val="1B000B9D"/>
    <w:rsid w:val="1B144FBC"/>
    <w:rsid w:val="1B284A83"/>
    <w:rsid w:val="1B2870C2"/>
    <w:rsid w:val="1B2C1EB8"/>
    <w:rsid w:val="1B5221D8"/>
    <w:rsid w:val="1B6C0608"/>
    <w:rsid w:val="1B7B3E8E"/>
    <w:rsid w:val="1B8A4B70"/>
    <w:rsid w:val="1B8E23E5"/>
    <w:rsid w:val="1BB72F67"/>
    <w:rsid w:val="1BF758B4"/>
    <w:rsid w:val="1BFB098C"/>
    <w:rsid w:val="1C096A77"/>
    <w:rsid w:val="1C0F1984"/>
    <w:rsid w:val="1C1E6D46"/>
    <w:rsid w:val="1C345E2C"/>
    <w:rsid w:val="1C3F59AE"/>
    <w:rsid w:val="1C7063B0"/>
    <w:rsid w:val="1C937A46"/>
    <w:rsid w:val="1CC51480"/>
    <w:rsid w:val="1CF02433"/>
    <w:rsid w:val="1D024956"/>
    <w:rsid w:val="1D03323C"/>
    <w:rsid w:val="1D16432F"/>
    <w:rsid w:val="1D2923E8"/>
    <w:rsid w:val="1D2F23C2"/>
    <w:rsid w:val="1D5C0D0A"/>
    <w:rsid w:val="1D8145E4"/>
    <w:rsid w:val="1D83064A"/>
    <w:rsid w:val="1D9275E7"/>
    <w:rsid w:val="1D9E60C6"/>
    <w:rsid w:val="1E1E1362"/>
    <w:rsid w:val="1E38204F"/>
    <w:rsid w:val="1E663F79"/>
    <w:rsid w:val="1E876BC1"/>
    <w:rsid w:val="1E987D21"/>
    <w:rsid w:val="1EA75384"/>
    <w:rsid w:val="1EA96CEF"/>
    <w:rsid w:val="1EC5735C"/>
    <w:rsid w:val="1EE53D4F"/>
    <w:rsid w:val="1EEA57E8"/>
    <w:rsid w:val="1F1F7392"/>
    <w:rsid w:val="1F201284"/>
    <w:rsid w:val="1F426BA5"/>
    <w:rsid w:val="1F5C0150"/>
    <w:rsid w:val="1F6A2F1D"/>
    <w:rsid w:val="1F7C25A7"/>
    <w:rsid w:val="1F8E398D"/>
    <w:rsid w:val="1F965BA8"/>
    <w:rsid w:val="1FB15EBF"/>
    <w:rsid w:val="1FB52C66"/>
    <w:rsid w:val="1FB55782"/>
    <w:rsid w:val="1FB774ED"/>
    <w:rsid w:val="1FD0012C"/>
    <w:rsid w:val="1FD850D4"/>
    <w:rsid w:val="201419F3"/>
    <w:rsid w:val="201C08B8"/>
    <w:rsid w:val="201D7BFC"/>
    <w:rsid w:val="20717F7D"/>
    <w:rsid w:val="208F31BE"/>
    <w:rsid w:val="20A87EB1"/>
    <w:rsid w:val="20B35792"/>
    <w:rsid w:val="20D34DC7"/>
    <w:rsid w:val="20F57ABE"/>
    <w:rsid w:val="20FF68D0"/>
    <w:rsid w:val="21584E38"/>
    <w:rsid w:val="215C5CEF"/>
    <w:rsid w:val="217B1AB9"/>
    <w:rsid w:val="2182689A"/>
    <w:rsid w:val="219C5D5E"/>
    <w:rsid w:val="21B17A3C"/>
    <w:rsid w:val="21C41107"/>
    <w:rsid w:val="21F11AD4"/>
    <w:rsid w:val="21F75759"/>
    <w:rsid w:val="22052945"/>
    <w:rsid w:val="220A29FE"/>
    <w:rsid w:val="22101737"/>
    <w:rsid w:val="22186165"/>
    <w:rsid w:val="222F589F"/>
    <w:rsid w:val="22360871"/>
    <w:rsid w:val="22494527"/>
    <w:rsid w:val="22545A3B"/>
    <w:rsid w:val="2269043B"/>
    <w:rsid w:val="22885F09"/>
    <w:rsid w:val="22A23949"/>
    <w:rsid w:val="22AC0E8A"/>
    <w:rsid w:val="22E06576"/>
    <w:rsid w:val="23363E9E"/>
    <w:rsid w:val="2368221B"/>
    <w:rsid w:val="236B4A4A"/>
    <w:rsid w:val="23824777"/>
    <w:rsid w:val="23A5034B"/>
    <w:rsid w:val="23D20FD5"/>
    <w:rsid w:val="23E62986"/>
    <w:rsid w:val="24086C79"/>
    <w:rsid w:val="240A30B5"/>
    <w:rsid w:val="242E6886"/>
    <w:rsid w:val="246C193E"/>
    <w:rsid w:val="248E384A"/>
    <w:rsid w:val="24A312E1"/>
    <w:rsid w:val="24B07A39"/>
    <w:rsid w:val="24CF0BFB"/>
    <w:rsid w:val="24D054E3"/>
    <w:rsid w:val="24DB0192"/>
    <w:rsid w:val="24FA27FE"/>
    <w:rsid w:val="24FF38DF"/>
    <w:rsid w:val="25111DBC"/>
    <w:rsid w:val="251274EF"/>
    <w:rsid w:val="251361B4"/>
    <w:rsid w:val="25174BC2"/>
    <w:rsid w:val="25270DAB"/>
    <w:rsid w:val="252A51A6"/>
    <w:rsid w:val="25471400"/>
    <w:rsid w:val="254B739B"/>
    <w:rsid w:val="25532640"/>
    <w:rsid w:val="256D6CF0"/>
    <w:rsid w:val="257A3A51"/>
    <w:rsid w:val="25A02C72"/>
    <w:rsid w:val="25D03F10"/>
    <w:rsid w:val="25E0471E"/>
    <w:rsid w:val="25E23BAA"/>
    <w:rsid w:val="26034699"/>
    <w:rsid w:val="260D417F"/>
    <w:rsid w:val="26173F7E"/>
    <w:rsid w:val="26346E38"/>
    <w:rsid w:val="26385B8B"/>
    <w:rsid w:val="26787500"/>
    <w:rsid w:val="26810495"/>
    <w:rsid w:val="268564AF"/>
    <w:rsid w:val="268637D3"/>
    <w:rsid w:val="26B53B3E"/>
    <w:rsid w:val="26B94A60"/>
    <w:rsid w:val="26DF5BD4"/>
    <w:rsid w:val="26E5488F"/>
    <w:rsid w:val="26EF5325"/>
    <w:rsid w:val="270C3836"/>
    <w:rsid w:val="271C62B6"/>
    <w:rsid w:val="271D2C19"/>
    <w:rsid w:val="27226A0E"/>
    <w:rsid w:val="276B13FB"/>
    <w:rsid w:val="276E73C9"/>
    <w:rsid w:val="27740203"/>
    <w:rsid w:val="277D26EA"/>
    <w:rsid w:val="27835B93"/>
    <w:rsid w:val="27946F6E"/>
    <w:rsid w:val="27966132"/>
    <w:rsid w:val="279755E0"/>
    <w:rsid w:val="27D331DD"/>
    <w:rsid w:val="27DD3D2B"/>
    <w:rsid w:val="28484DCD"/>
    <w:rsid w:val="28517615"/>
    <w:rsid w:val="285F2BAC"/>
    <w:rsid w:val="288D1376"/>
    <w:rsid w:val="28945536"/>
    <w:rsid w:val="28B42EB8"/>
    <w:rsid w:val="28C72773"/>
    <w:rsid w:val="28CD3E42"/>
    <w:rsid w:val="29230330"/>
    <w:rsid w:val="292718C9"/>
    <w:rsid w:val="29490891"/>
    <w:rsid w:val="29547FC1"/>
    <w:rsid w:val="296716CC"/>
    <w:rsid w:val="297434E0"/>
    <w:rsid w:val="29916FB5"/>
    <w:rsid w:val="29A54966"/>
    <w:rsid w:val="29AD03D5"/>
    <w:rsid w:val="29D01391"/>
    <w:rsid w:val="29FA4C72"/>
    <w:rsid w:val="2A1373D4"/>
    <w:rsid w:val="2A2A38EA"/>
    <w:rsid w:val="2A7E153A"/>
    <w:rsid w:val="2AB561EE"/>
    <w:rsid w:val="2AB66878"/>
    <w:rsid w:val="2AD717D2"/>
    <w:rsid w:val="2ADA715C"/>
    <w:rsid w:val="2AEC7FD3"/>
    <w:rsid w:val="2B3D182A"/>
    <w:rsid w:val="2B7A2A53"/>
    <w:rsid w:val="2B9D5BCC"/>
    <w:rsid w:val="2BB932C4"/>
    <w:rsid w:val="2BC21A3F"/>
    <w:rsid w:val="2BE60B99"/>
    <w:rsid w:val="2BE6139B"/>
    <w:rsid w:val="2BF05B08"/>
    <w:rsid w:val="2C1409A2"/>
    <w:rsid w:val="2C2262BC"/>
    <w:rsid w:val="2C3246DD"/>
    <w:rsid w:val="2C3F2A9E"/>
    <w:rsid w:val="2C4448E9"/>
    <w:rsid w:val="2CA1594A"/>
    <w:rsid w:val="2CAF0162"/>
    <w:rsid w:val="2CB33721"/>
    <w:rsid w:val="2CE85E94"/>
    <w:rsid w:val="2D030A3C"/>
    <w:rsid w:val="2D034AC4"/>
    <w:rsid w:val="2D0B1472"/>
    <w:rsid w:val="2D243E90"/>
    <w:rsid w:val="2D520A17"/>
    <w:rsid w:val="2D682B2A"/>
    <w:rsid w:val="2D72436B"/>
    <w:rsid w:val="2DC650C6"/>
    <w:rsid w:val="2DEF13E0"/>
    <w:rsid w:val="2DF40065"/>
    <w:rsid w:val="2E045EF7"/>
    <w:rsid w:val="2E084DED"/>
    <w:rsid w:val="2E122D09"/>
    <w:rsid w:val="2E38442F"/>
    <w:rsid w:val="2E45430B"/>
    <w:rsid w:val="2E474F2E"/>
    <w:rsid w:val="2E4B7117"/>
    <w:rsid w:val="2E6D0BFC"/>
    <w:rsid w:val="2E6E1792"/>
    <w:rsid w:val="2E8D4EB9"/>
    <w:rsid w:val="2E9012C9"/>
    <w:rsid w:val="2E9402DB"/>
    <w:rsid w:val="2E981BE1"/>
    <w:rsid w:val="2EA41123"/>
    <w:rsid w:val="2EBB3E1E"/>
    <w:rsid w:val="2EC272D7"/>
    <w:rsid w:val="2ED928F8"/>
    <w:rsid w:val="2EDB0164"/>
    <w:rsid w:val="2EE630A7"/>
    <w:rsid w:val="2EFB359A"/>
    <w:rsid w:val="2EFC6C44"/>
    <w:rsid w:val="2F0F7DA7"/>
    <w:rsid w:val="2F1B4BB4"/>
    <w:rsid w:val="2F29684C"/>
    <w:rsid w:val="2F2F510F"/>
    <w:rsid w:val="2F367EA3"/>
    <w:rsid w:val="2F3A3AF0"/>
    <w:rsid w:val="2F4F2D59"/>
    <w:rsid w:val="2F5F05B3"/>
    <w:rsid w:val="2F6214A9"/>
    <w:rsid w:val="2F6262F5"/>
    <w:rsid w:val="2FA52EDA"/>
    <w:rsid w:val="2FA91A19"/>
    <w:rsid w:val="2FB667C1"/>
    <w:rsid w:val="2FCC7191"/>
    <w:rsid w:val="2FCE7595"/>
    <w:rsid w:val="2FFB685D"/>
    <w:rsid w:val="30115AF6"/>
    <w:rsid w:val="302F3BAF"/>
    <w:rsid w:val="30303F85"/>
    <w:rsid w:val="304B75B0"/>
    <w:rsid w:val="305E08E2"/>
    <w:rsid w:val="307300A4"/>
    <w:rsid w:val="30741601"/>
    <w:rsid w:val="307471D3"/>
    <w:rsid w:val="307F24F7"/>
    <w:rsid w:val="308779DB"/>
    <w:rsid w:val="308A6C31"/>
    <w:rsid w:val="309A4A22"/>
    <w:rsid w:val="30A4427D"/>
    <w:rsid w:val="30A575E9"/>
    <w:rsid w:val="30C72914"/>
    <w:rsid w:val="30D16092"/>
    <w:rsid w:val="310D6681"/>
    <w:rsid w:val="31262CED"/>
    <w:rsid w:val="31B93B96"/>
    <w:rsid w:val="31BB3275"/>
    <w:rsid w:val="31E64168"/>
    <w:rsid w:val="31F70454"/>
    <w:rsid w:val="321A3902"/>
    <w:rsid w:val="322B7DBD"/>
    <w:rsid w:val="322F5600"/>
    <w:rsid w:val="326B0757"/>
    <w:rsid w:val="327357FB"/>
    <w:rsid w:val="329A2FA9"/>
    <w:rsid w:val="32A138C7"/>
    <w:rsid w:val="32DD5105"/>
    <w:rsid w:val="32EE0530"/>
    <w:rsid w:val="32F6147C"/>
    <w:rsid w:val="32F6334A"/>
    <w:rsid w:val="32F825B3"/>
    <w:rsid w:val="32FA1BE3"/>
    <w:rsid w:val="3329088D"/>
    <w:rsid w:val="332F52C8"/>
    <w:rsid w:val="335422F9"/>
    <w:rsid w:val="33780F68"/>
    <w:rsid w:val="33824058"/>
    <w:rsid w:val="33832210"/>
    <w:rsid w:val="339D3E79"/>
    <w:rsid w:val="33A248F3"/>
    <w:rsid w:val="33AF1A82"/>
    <w:rsid w:val="33C91E4D"/>
    <w:rsid w:val="33D50C01"/>
    <w:rsid w:val="33E020D9"/>
    <w:rsid w:val="33F44EE4"/>
    <w:rsid w:val="33FA0DF5"/>
    <w:rsid w:val="33FF6051"/>
    <w:rsid w:val="34601927"/>
    <w:rsid w:val="34681F79"/>
    <w:rsid w:val="3478168E"/>
    <w:rsid w:val="347F550F"/>
    <w:rsid w:val="34AC2099"/>
    <w:rsid w:val="34AE445E"/>
    <w:rsid w:val="34CB4CAE"/>
    <w:rsid w:val="34E74C8E"/>
    <w:rsid w:val="34F44760"/>
    <w:rsid w:val="3527267D"/>
    <w:rsid w:val="352E0081"/>
    <w:rsid w:val="35510B65"/>
    <w:rsid w:val="35523639"/>
    <w:rsid w:val="356271DD"/>
    <w:rsid w:val="358375C1"/>
    <w:rsid w:val="35837D25"/>
    <w:rsid w:val="359003E6"/>
    <w:rsid w:val="35920C7A"/>
    <w:rsid w:val="359605D3"/>
    <w:rsid w:val="35976BC0"/>
    <w:rsid w:val="359924E4"/>
    <w:rsid w:val="359F7A06"/>
    <w:rsid w:val="35A80C66"/>
    <w:rsid w:val="35B34F4A"/>
    <w:rsid w:val="35B37BDC"/>
    <w:rsid w:val="35B7484D"/>
    <w:rsid w:val="35CC3A40"/>
    <w:rsid w:val="361D79CC"/>
    <w:rsid w:val="3621518E"/>
    <w:rsid w:val="36437324"/>
    <w:rsid w:val="3694717A"/>
    <w:rsid w:val="36A63730"/>
    <w:rsid w:val="36C50F59"/>
    <w:rsid w:val="36CD5892"/>
    <w:rsid w:val="36CE4ED0"/>
    <w:rsid w:val="36E2619E"/>
    <w:rsid w:val="36E9160C"/>
    <w:rsid w:val="36EA339B"/>
    <w:rsid w:val="3711334B"/>
    <w:rsid w:val="372C18A1"/>
    <w:rsid w:val="37490B08"/>
    <w:rsid w:val="376A6337"/>
    <w:rsid w:val="3780559F"/>
    <w:rsid w:val="37A24FBF"/>
    <w:rsid w:val="37A411C3"/>
    <w:rsid w:val="37A536CC"/>
    <w:rsid w:val="37B13724"/>
    <w:rsid w:val="37BB583B"/>
    <w:rsid w:val="37C85DB0"/>
    <w:rsid w:val="37D420D6"/>
    <w:rsid w:val="37EC435C"/>
    <w:rsid w:val="37F14480"/>
    <w:rsid w:val="380F0B73"/>
    <w:rsid w:val="381A2844"/>
    <w:rsid w:val="38206CD1"/>
    <w:rsid w:val="38227F3E"/>
    <w:rsid w:val="38382EE8"/>
    <w:rsid w:val="388E16A0"/>
    <w:rsid w:val="3893725D"/>
    <w:rsid w:val="38B476B6"/>
    <w:rsid w:val="38CF42D7"/>
    <w:rsid w:val="38D30458"/>
    <w:rsid w:val="38D55C7A"/>
    <w:rsid w:val="38FA6876"/>
    <w:rsid w:val="390D613F"/>
    <w:rsid w:val="3923684A"/>
    <w:rsid w:val="39812466"/>
    <w:rsid w:val="39A711C9"/>
    <w:rsid w:val="39AB0C0B"/>
    <w:rsid w:val="39C0782C"/>
    <w:rsid w:val="39D31F3B"/>
    <w:rsid w:val="39FB4F3A"/>
    <w:rsid w:val="3A5B5C71"/>
    <w:rsid w:val="3A7671A4"/>
    <w:rsid w:val="3A906499"/>
    <w:rsid w:val="3A964D6F"/>
    <w:rsid w:val="3AB86E1B"/>
    <w:rsid w:val="3AD45422"/>
    <w:rsid w:val="3AD45E2A"/>
    <w:rsid w:val="3AD7540E"/>
    <w:rsid w:val="3AD82F8B"/>
    <w:rsid w:val="3AE92D27"/>
    <w:rsid w:val="3AF0053A"/>
    <w:rsid w:val="3AFB5784"/>
    <w:rsid w:val="3B0C63BE"/>
    <w:rsid w:val="3B173A44"/>
    <w:rsid w:val="3B20211A"/>
    <w:rsid w:val="3B273DB7"/>
    <w:rsid w:val="3B3E7103"/>
    <w:rsid w:val="3B425838"/>
    <w:rsid w:val="3B4442E1"/>
    <w:rsid w:val="3B491F44"/>
    <w:rsid w:val="3B6F4ED4"/>
    <w:rsid w:val="3B8C6E49"/>
    <w:rsid w:val="3BAC20E4"/>
    <w:rsid w:val="3BC94A69"/>
    <w:rsid w:val="3BD44E28"/>
    <w:rsid w:val="3BDA5996"/>
    <w:rsid w:val="3BEB4226"/>
    <w:rsid w:val="3BF11D0B"/>
    <w:rsid w:val="3C0F1734"/>
    <w:rsid w:val="3C4A6153"/>
    <w:rsid w:val="3C6B1CA3"/>
    <w:rsid w:val="3C701F3C"/>
    <w:rsid w:val="3CA66A04"/>
    <w:rsid w:val="3CB75DEF"/>
    <w:rsid w:val="3CBE550C"/>
    <w:rsid w:val="3CBF62B4"/>
    <w:rsid w:val="3D0A0562"/>
    <w:rsid w:val="3D184670"/>
    <w:rsid w:val="3D2116F7"/>
    <w:rsid w:val="3D2A5F6A"/>
    <w:rsid w:val="3D4B79F0"/>
    <w:rsid w:val="3D4C4549"/>
    <w:rsid w:val="3D675CF8"/>
    <w:rsid w:val="3D8A0BF7"/>
    <w:rsid w:val="3DB80048"/>
    <w:rsid w:val="3DC35195"/>
    <w:rsid w:val="3DE57338"/>
    <w:rsid w:val="3DF631B6"/>
    <w:rsid w:val="3E056DC0"/>
    <w:rsid w:val="3E365FE1"/>
    <w:rsid w:val="3E4A4475"/>
    <w:rsid w:val="3E59325E"/>
    <w:rsid w:val="3E5D72F4"/>
    <w:rsid w:val="3EB765E9"/>
    <w:rsid w:val="3EC05BC5"/>
    <w:rsid w:val="3EC8210C"/>
    <w:rsid w:val="3ED916EF"/>
    <w:rsid w:val="3EFC0724"/>
    <w:rsid w:val="3F1B77DB"/>
    <w:rsid w:val="3F2E09F3"/>
    <w:rsid w:val="3F5D21C9"/>
    <w:rsid w:val="3F7729E9"/>
    <w:rsid w:val="3F8A69AE"/>
    <w:rsid w:val="3F8D729C"/>
    <w:rsid w:val="3F9F5519"/>
    <w:rsid w:val="3FA1764A"/>
    <w:rsid w:val="3FAA7DFF"/>
    <w:rsid w:val="3FC22B33"/>
    <w:rsid w:val="401A65A5"/>
    <w:rsid w:val="406378BF"/>
    <w:rsid w:val="40794DDA"/>
    <w:rsid w:val="407E782C"/>
    <w:rsid w:val="40B47D5A"/>
    <w:rsid w:val="40B9628E"/>
    <w:rsid w:val="40C36C0E"/>
    <w:rsid w:val="40D44480"/>
    <w:rsid w:val="40DF3CE6"/>
    <w:rsid w:val="41046A5C"/>
    <w:rsid w:val="41063309"/>
    <w:rsid w:val="41417C0D"/>
    <w:rsid w:val="41576FEA"/>
    <w:rsid w:val="41585F24"/>
    <w:rsid w:val="416171B1"/>
    <w:rsid w:val="416848D2"/>
    <w:rsid w:val="416D3EE2"/>
    <w:rsid w:val="419D35EE"/>
    <w:rsid w:val="41B17206"/>
    <w:rsid w:val="41E77A9B"/>
    <w:rsid w:val="41F860A7"/>
    <w:rsid w:val="420F5FE7"/>
    <w:rsid w:val="42115F58"/>
    <w:rsid w:val="421826D5"/>
    <w:rsid w:val="4237743A"/>
    <w:rsid w:val="424B459A"/>
    <w:rsid w:val="425D2AA4"/>
    <w:rsid w:val="426027EF"/>
    <w:rsid w:val="42A047F9"/>
    <w:rsid w:val="42B0409C"/>
    <w:rsid w:val="42B04E7E"/>
    <w:rsid w:val="42C02EB8"/>
    <w:rsid w:val="42C40F40"/>
    <w:rsid w:val="42F959D9"/>
    <w:rsid w:val="430300E8"/>
    <w:rsid w:val="430D43BC"/>
    <w:rsid w:val="43686F71"/>
    <w:rsid w:val="43745BC1"/>
    <w:rsid w:val="437F5719"/>
    <w:rsid w:val="43812D07"/>
    <w:rsid w:val="438619E4"/>
    <w:rsid w:val="439A49DC"/>
    <w:rsid w:val="43A44553"/>
    <w:rsid w:val="43D21681"/>
    <w:rsid w:val="43EB3458"/>
    <w:rsid w:val="44632A5B"/>
    <w:rsid w:val="44667978"/>
    <w:rsid w:val="44750D61"/>
    <w:rsid w:val="448F5926"/>
    <w:rsid w:val="449E2C8D"/>
    <w:rsid w:val="44AE4BDA"/>
    <w:rsid w:val="44AE5E8D"/>
    <w:rsid w:val="44B72972"/>
    <w:rsid w:val="44B94A71"/>
    <w:rsid w:val="44E577E1"/>
    <w:rsid w:val="452037CF"/>
    <w:rsid w:val="45234DDD"/>
    <w:rsid w:val="454615F6"/>
    <w:rsid w:val="4558051D"/>
    <w:rsid w:val="457E0729"/>
    <w:rsid w:val="458D7966"/>
    <w:rsid w:val="459000AD"/>
    <w:rsid w:val="45995E6D"/>
    <w:rsid w:val="45AB53DE"/>
    <w:rsid w:val="45CE31B4"/>
    <w:rsid w:val="45D33A00"/>
    <w:rsid w:val="45E855B7"/>
    <w:rsid w:val="45FB6AB0"/>
    <w:rsid w:val="4604267F"/>
    <w:rsid w:val="46394E03"/>
    <w:rsid w:val="465A07C3"/>
    <w:rsid w:val="466E79AB"/>
    <w:rsid w:val="4674786E"/>
    <w:rsid w:val="467511B2"/>
    <w:rsid w:val="46766006"/>
    <w:rsid w:val="46A05EF3"/>
    <w:rsid w:val="46AD3B13"/>
    <w:rsid w:val="46BA69B6"/>
    <w:rsid w:val="46C92B65"/>
    <w:rsid w:val="46CE24CB"/>
    <w:rsid w:val="46D3542F"/>
    <w:rsid w:val="46E43B59"/>
    <w:rsid w:val="46F059FB"/>
    <w:rsid w:val="46FA071F"/>
    <w:rsid w:val="46FA0F7A"/>
    <w:rsid w:val="470E1670"/>
    <w:rsid w:val="47330814"/>
    <w:rsid w:val="473F6331"/>
    <w:rsid w:val="474E4150"/>
    <w:rsid w:val="47634C9E"/>
    <w:rsid w:val="47975234"/>
    <w:rsid w:val="47A648F5"/>
    <w:rsid w:val="47CE3C12"/>
    <w:rsid w:val="47F631D0"/>
    <w:rsid w:val="47F72CD8"/>
    <w:rsid w:val="47FF40A4"/>
    <w:rsid w:val="47FF68FB"/>
    <w:rsid w:val="480C4BDD"/>
    <w:rsid w:val="48641ED7"/>
    <w:rsid w:val="48730F38"/>
    <w:rsid w:val="48786E0E"/>
    <w:rsid w:val="48BC7D7A"/>
    <w:rsid w:val="48C04596"/>
    <w:rsid w:val="48D677B2"/>
    <w:rsid w:val="48E91B5C"/>
    <w:rsid w:val="48FA3CFE"/>
    <w:rsid w:val="49074BBD"/>
    <w:rsid w:val="491E359D"/>
    <w:rsid w:val="49302967"/>
    <w:rsid w:val="4950727D"/>
    <w:rsid w:val="495B411C"/>
    <w:rsid w:val="4972383F"/>
    <w:rsid w:val="497C64A4"/>
    <w:rsid w:val="497E09C6"/>
    <w:rsid w:val="49813830"/>
    <w:rsid w:val="49875589"/>
    <w:rsid w:val="4A1259E3"/>
    <w:rsid w:val="4A382288"/>
    <w:rsid w:val="4A4062B6"/>
    <w:rsid w:val="4A813680"/>
    <w:rsid w:val="4A962112"/>
    <w:rsid w:val="4AB141FA"/>
    <w:rsid w:val="4AF26BD6"/>
    <w:rsid w:val="4B2B6CCF"/>
    <w:rsid w:val="4B40665F"/>
    <w:rsid w:val="4B861BEB"/>
    <w:rsid w:val="4B9C1681"/>
    <w:rsid w:val="4BA75795"/>
    <w:rsid w:val="4BB706BD"/>
    <w:rsid w:val="4BCF5D55"/>
    <w:rsid w:val="4C59650F"/>
    <w:rsid w:val="4C6804AF"/>
    <w:rsid w:val="4C6A38B3"/>
    <w:rsid w:val="4CA43203"/>
    <w:rsid w:val="4CAF3FF2"/>
    <w:rsid w:val="4CC21BDA"/>
    <w:rsid w:val="4CCC6C6D"/>
    <w:rsid w:val="4CD41267"/>
    <w:rsid w:val="4CD947FF"/>
    <w:rsid w:val="4CEA2E54"/>
    <w:rsid w:val="4CEC486E"/>
    <w:rsid w:val="4D236C42"/>
    <w:rsid w:val="4D3B42EF"/>
    <w:rsid w:val="4D5646A8"/>
    <w:rsid w:val="4D613596"/>
    <w:rsid w:val="4D6775F8"/>
    <w:rsid w:val="4D6E2588"/>
    <w:rsid w:val="4D78783F"/>
    <w:rsid w:val="4DA2090D"/>
    <w:rsid w:val="4DB15E8B"/>
    <w:rsid w:val="4DB6007C"/>
    <w:rsid w:val="4DC22100"/>
    <w:rsid w:val="4DD15EB0"/>
    <w:rsid w:val="4DE50AB9"/>
    <w:rsid w:val="4DF145FE"/>
    <w:rsid w:val="4DFC2AC9"/>
    <w:rsid w:val="4E0E41D1"/>
    <w:rsid w:val="4E195567"/>
    <w:rsid w:val="4E2C11CC"/>
    <w:rsid w:val="4E486A38"/>
    <w:rsid w:val="4E5D7DE3"/>
    <w:rsid w:val="4E620BE7"/>
    <w:rsid w:val="4E742D75"/>
    <w:rsid w:val="4E762328"/>
    <w:rsid w:val="4E8D5226"/>
    <w:rsid w:val="4ECC171A"/>
    <w:rsid w:val="4EEB5370"/>
    <w:rsid w:val="4F0A74E2"/>
    <w:rsid w:val="4F263D9E"/>
    <w:rsid w:val="4F2F7CC7"/>
    <w:rsid w:val="4F37552C"/>
    <w:rsid w:val="4F561A64"/>
    <w:rsid w:val="4F5667D1"/>
    <w:rsid w:val="4F5C2A6D"/>
    <w:rsid w:val="4F693928"/>
    <w:rsid w:val="4F6B10B3"/>
    <w:rsid w:val="4F6D66FD"/>
    <w:rsid w:val="4F8659EE"/>
    <w:rsid w:val="4F905D37"/>
    <w:rsid w:val="4F9F2328"/>
    <w:rsid w:val="4FB3074F"/>
    <w:rsid w:val="4FE16E24"/>
    <w:rsid w:val="4FE533DF"/>
    <w:rsid w:val="4FE8701D"/>
    <w:rsid w:val="4FFB0A82"/>
    <w:rsid w:val="50021A70"/>
    <w:rsid w:val="50221958"/>
    <w:rsid w:val="5025027D"/>
    <w:rsid w:val="50457AD0"/>
    <w:rsid w:val="50614B2A"/>
    <w:rsid w:val="50824D8D"/>
    <w:rsid w:val="50852811"/>
    <w:rsid w:val="50A3516A"/>
    <w:rsid w:val="50AE29C9"/>
    <w:rsid w:val="50D55B9C"/>
    <w:rsid w:val="50E8648D"/>
    <w:rsid w:val="50EA2FFB"/>
    <w:rsid w:val="50EE0B5D"/>
    <w:rsid w:val="5106699E"/>
    <w:rsid w:val="513C0563"/>
    <w:rsid w:val="51492AF5"/>
    <w:rsid w:val="515D1DA4"/>
    <w:rsid w:val="515E5CE6"/>
    <w:rsid w:val="516F6E41"/>
    <w:rsid w:val="51894044"/>
    <w:rsid w:val="518B0EF0"/>
    <w:rsid w:val="518C094F"/>
    <w:rsid w:val="51A64750"/>
    <w:rsid w:val="51C36218"/>
    <w:rsid w:val="51CA1C6B"/>
    <w:rsid w:val="51DB0AD7"/>
    <w:rsid w:val="51DB3297"/>
    <w:rsid w:val="51E207D0"/>
    <w:rsid w:val="5202442D"/>
    <w:rsid w:val="52246996"/>
    <w:rsid w:val="52271088"/>
    <w:rsid w:val="52297C7D"/>
    <w:rsid w:val="52541483"/>
    <w:rsid w:val="525F5EBB"/>
    <w:rsid w:val="529D168D"/>
    <w:rsid w:val="52AB12BF"/>
    <w:rsid w:val="52B36807"/>
    <w:rsid w:val="52D46249"/>
    <w:rsid w:val="52E1690B"/>
    <w:rsid w:val="52E5043D"/>
    <w:rsid w:val="52F44DC0"/>
    <w:rsid w:val="52F45BCA"/>
    <w:rsid w:val="530F01D5"/>
    <w:rsid w:val="53264E68"/>
    <w:rsid w:val="532E515D"/>
    <w:rsid w:val="53310A5C"/>
    <w:rsid w:val="533416A9"/>
    <w:rsid w:val="53453312"/>
    <w:rsid w:val="535470DB"/>
    <w:rsid w:val="535D5621"/>
    <w:rsid w:val="536F1ADD"/>
    <w:rsid w:val="537C709C"/>
    <w:rsid w:val="53970F0C"/>
    <w:rsid w:val="53A40E68"/>
    <w:rsid w:val="54317188"/>
    <w:rsid w:val="544D6467"/>
    <w:rsid w:val="545963D3"/>
    <w:rsid w:val="54601354"/>
    <w:rsid w:val="5460674F"/>
    <w:rsid w:val="547F3A3B"/>
    <w:rsid w:val="54930D3C"/>
    <w:rsid w:val="549C33BC"/>
    <w:rsid w:val="54BE43B7"/>
    <w:rsid w:val="54C16D39"/>
    <w:rsid w:val="54C6014B"/>
    <w:rsid w:val="54CB2321"/>
    <w:rsid w:val="54E02C7A"/>
    <w:rsid w:val="54EB656D"/>
    <w:rsid w:val="55046C2E"/>
    <w:rsid w:val="5517455E"/>
    <w:rsid w:val="55177AD9"/>
    <w:rsid w:val="55535265"/>
    <w:rsid w:val="555E5BCB"/>
    <w:rsid w:val="55853001"/>
    <w:rsid w:val="55874B86"/>
    <w:rsid w:val="558E7829"/>
    <w:rsid w:val="559622EA"/>
    <w:rsid w:val="559D450C"/>
    <w:rsid w:val="55A43CE1"/>
    <w:rsid w:val="55A80F29"/>
    <w:rsid w:val="55AF7B24"/>
    <w:rsid w:val="55CC44DB"/>
    <w:rsid w:val="55D64B48"/>
    <w:rsid w:val="55E65C38"/>
    <w:rsid w:val="560322F5"/>
    <w:rsid w:val="56087B59"/>
    <w:rsid w:val="562572F7"/>
    <w:rsid w:val="562F7D63"/>
    <w:rsid w:val="563E1E22"/>
    <w:rsid w:val="5691015C"/>
    <w:rsid w:val="569327E7"/>
    <w:rsid w:val="56954741"/>
    <w:rsid w:val="56A03C70"/>
    <w:rsid w:val="56A83E91"/>
    <w:rsid w:val="56D66813"/>
    <w:rsid w:val="56E2330F"/>
    <w:rsid w:val="57011AB4"/>
    <w:rsid w:val="571702F7"/>
    <w:rsid w:val="573C3239"/>
    <w:rsid w:val="574E3B9E"/>
    <w:rsid w:val="575909FC"/>
    <w:rsid w:val="5763636C"/>
    <w:rsid w:val="57A221AA"/>
    <w:rsid w:val="57EA6B92"/>
    <w:rsid w:val="57FF2977"/>
    <w:rsid w:val="58125E96"/>
    <w:rsid w:val="582022C1"/>
    <w:rsid w:val="58375F68"/>
    <w:rsid w:val="58524FDA"/>
    <w:rsid w:val="58906594"/>
    <w:rsid w:val="58985BBA"/>
    <w:rsid w:val="58B76487"/>
    <w:rsid w:val="58C550E2"/>
    <w:rsid w:val="58DC3A79"/>
    <w:rsid w:val="591A7A94"/>
    <w:rsid w:val="59283180"/>
    <w:rsid w:val="592C4B05"/>
    <w:rsid w:val="59372877"/>
    <w:rsid w:val="59397845"/>
    <w:rsid w:val="594C5153"/>
    <w:rsid w:val="596454AE"/>
    <w:rsid w:val="59871214"/>
    <w:rsid w:val="59A7043A"/>
    <w:rsid w:val="59D9259B"/>
    <w:rsid w:val="59DE597F"/>
    <w:rsid w:val="59F63092"/>
    <w:rsid w:val="5A0C6402"/>
    <w:rsid w:val="5A2F5147"/>
    <w:rsid w:val="5A324DAB"/>
    <w:rsid w:val="5A335ED0"/>
    <w:rsid w:val="5A443913"/>
    <w:rsid w:val="5A7A3749"/>
    <w:rsid w:val="5A8C287B"/>
    <w:rsid w:val="5AB26016"/>
    <w:rsid w:val="5AB953DA"/>
    <w:rsid w:val="5AE070E2"/>
    <w:rsid w:val="5AF33116"/>
    <w:rsid w:val="5AF671D4"/>
    <w:rsid w:val="5B212508"/>
    <w:rsid w:val="5B2A2B26"/>
    <w:rsid w:val="5B387DF4"/>
    <w:rsid w:val="5B435852"/>
    <w:rsid w:val="5B4F1530"/>
    <w:rsid w:val="5B5F0821"/>
    <w:rsid w:val="5B6A55ED"/>
    <w:rsid w:val="5B8C7234"/>
    <w:rsid w:val="5B8F3B0A"/>
    <w:rsid w:val="5BA3576C"/>
    <w:rsid w:val="5BB12B71"/>
    <w:rsid w:val="5BBA0504"/>
    <w:rsid w:val="5BBD52A8"/>
    <w:rsid w:val="5BCF3607"/>
    <w:rsid w:val="5BD27B61"/>
    <w:rsid w:val="5BD329C8"/>
    <w:rsid w:val="5BD87164"/>
    <w:rsid w:val="5BE93473"/>
    <w:rsid w:val="5BF86634"/>
    <w:rsid w:val="5C000F24"/>
    <w:rsid w:val="5C0A003F"/>
    <w:rsid w:val="5C1A2D14"/>
    <w:rsid w:val="5C510824"/>
    <w:rsid w:val="5C6F4890"/>
    <w:rsid w:val="5C75669E"/>
    <w:rsid w:val="5C845CBA"/>
    <w:rsid w:val="5C9604E6"/>
    <w:rsid w:val="5CC415A6"/>
    <w:rsid w:val="5CF2524C"/>
    <w:rsid w:val="5D0B0E32"/>
    <w:rsid w:val="5D234CF9"/>
    <w:rsid w:val="5D3845B4"/>
    <w:rsid w:val="5D460AC2"/>
    <w:rsid w:val="5D710ED0"/>
    <w:rsid w:val="5D732909"/>
    <w:rsid w:val="5D7530EE"/>
    <w:rsid w:val="5D7C0119"/>
    <w:rsid w:val="5D9F5DC5"/>
    <w:rsid w:val="5DA97D4F"/>
    <w:rsid w:val="5DC04EA8"/>
    <w:rsid w:val="5DC36B22"/>
    <w:rsid w:val="5DC715BE"/>
    <w:rsid w:val="5DCA33FC"/>
    <w:rsid w:val="5DCD10B9"/>
    <w:rsid w:val="5DEC5A34"/>
    <w:rsid w:val="5E000B47"/>
    <w:rsid w:val="5E1B69CD"/>
    <w:rsid w:val="5E2641BC"/>
    <w:rsid w:val="5E2A6F5D"/>
    <w:rsid w:val="5E305119"/>
    <w:rsid w:val="5E6150DD"/>
    <w:rsid w:val="5E962C4F"/>
    <w:rsid w:val="5EBF7ED4"/>
    <w:rsid w:val="5ED36F8C"/>
    <w:rsid w:val="5EEF47A4"/>
    <w:rsid w:val="5EF0532E"/>
    <w:rsid w:val="5EF331A0"/>
    <w:rsid w:val="5EF75CCB"/>
    <w:rsid w:val="5F07351D"/>
    <w:rsid w:val="5F113B4B"/>
    <w:rsid w:val="5F127A6C"/>
    <w:rsid w:val="5F1B16B3"/>
    <w:rsid w:val="5F355FE5"/>
    <w:rsid w:val="5F714A8E"/>
    <w:rsid w:val="5F8829C3"/>
    <w:rsid w:val="5F8F2242"/>
    <w:rsid w:val="5F9B47A0"/>
    <w:rsid w:val="5FA34F56"/>
    <w:rsid w:val="5FB749A7"/>
    <w:rsid w:val="5FBE6049"/>
    <w:rsid w:val="5FCE5F8D"/>
    <w:rsid w:val="5FD75088"/>
    <w:rsid w:val="5FF6324A"/>
    <w:rsid w:val="60162FFF"/>
    <w:rsid w:val="60286156"/>
    <w:rsid w:val="60483B13"/>
    <w:rsid w:val="605158A2"/>
    <w:rsid w:val="606056C6"/>
    <w:rsid w:val="609B1BAC"/>
    <w:rsid w:val="609E553E"/>
    <w:rsid w:val="60C2394A"/>
    <w:rsid w:val="60CB7F87"/>
    <w:rsid w:val="61093BC9"/>
    <w:rsid w:val="61460B6F"/>
    <w:rsid w:val="6146498E"/>
    <w:rsid w:val="61936477"/>
    <w:rsid w:val="61C31594"/>
    <w:rsid w:val="6212446D"/>
    <w:rsid w:val="6216399A"/>
    <w:rsid w:val="62884912"/>
    <w:rsid w:val="629971AD"/>
    <w:rsid w:val="629A0F18"/>
    <w:rsid w:val="629A6B5D"/>
    <w:rsid w:val="629C0041"/>
    <w:rsid w:val="62B54EF0"/>
    <w:rsid w:val="62BA7576"/>
    <w:rsid w:val="62DC58D5"/>
    <w:rsid w:val="62F8114B"/>
    <w:rsid w:val="6321751B"/>
    <w:rsid w:val="632D7E80"/>
    <w:rsid w:val="63581F75"/>
    <w:rsid w:val="63595145"/>
    <w:rsid w:val="6361021D"/>
    <w:rsid w:val="63731D2A"/>
    <w:rsid w:val="63777B1D"/>
    <w:rsid w:val="639C13D1"/>
    <w:rsid w:val="63AD0E20"/>
    <w:rsid w:val="63C61A09"/>
    <w:rsid w:val="63C61A53"/>
    <w:rsid w:val="63E57BC1"/>
    <w:rsid w:val="63E9459A"/>
    <w:rsid w:val="63E96394"/>
    <w:rsid w:val="63FE64EE"/>
    <w:rsid w:val="64053939"/>
    <w:rsid w:val="642D3A71"/>
    <w:rsid w:val="643B6022"/>
    <w:rsid w:val="644940E0"/>
    <w:rsid w:val="645259B2"/>
    <w:rsid w:val="645F23DD"/>
    <w:rsid w:val="646B4E2B"/>
    <w:rsid w:val="6483569C"/>
    <w:rsid w:val="648A455C"/>
    <w:rsid w:val="64A04F3D"/>
    <w:rsid w:val="64A138ED"/>
    <w:rsid w:val="64BC677C"/>
    <w:rsid w:val="64C026E1"/>
    <w:rsid w:val="64CD1A2C"/>
    <w:rsid w:val="64CF1E76"/>
    <w:rsid w:val="64D575CA"/>
    <w:rsid w:val="64D92AF7"/>
    <w:rsid w:val="64E338CB"/>
    <w:rsid w:val="64ED177C"/>
    <w:rsid w:val="64ED7F61"/>
    <w:rsid w:val="64F61D1A"/>
    <w:rsid w:val="65141873"/>
    <w:rsid w:val="652705DC"/>
    <w:rsid w:val="653242FA"/>
    <w:rsid w:val="65441E56"/>
    <w:rsid w:val="655045B5"/>
    <w:rsid w:val="656E1F9E"/>
    <w:rsid w:val="65765573"/>
    <w:rsid w:val="65872038"/>
    <w:rsid w:val="658A6D8A"/>
    <w:rsid w:val="659B7879"/>
    <w:rsid w:val="659C69E8"/>
    <w:rsid w:val="65AE6913"/>
    <w:rsid w:val="65AF7BEA"/>
    <w:rsid w:val="65B774FB"/>
    <w:rsid w:val="65B9213D"/>
    <w:rsid w:val="65BA3AA0"/>
    <w:rsid w:val="65C00455"/>
    <w:rsid w:val="65C85ABD"/>
    <w:rsid w:val="65F426E0"/>
    <w:rsid w:val="660536CF"/>
    <w:rsid w:val="66061A92"/>
    <w:rsid w:val="661E4404"/>
    <w:rsid w:val="662E6E7A"/>
    <w:rsid w:val="66333339"/>
    <w:rsid w:val="66592FFA"/>
    <w:rsid w:val="666543A9"/>
    <w:rsid w:val="66935055"/>
    <w:rsid w:val="66A46CCF"/>
    <w:rsid w:val="66B7278E"/>
    <w:rsid w:val="66D02591"/>
    <w:rsid w:val="670C245F"/>
    <w:rsid w:val="6712789D"/>
    <w:rsid w:val="673C083F"/>
    <w:rsid w:val="67483BC4"/>
    <w:rsid w:val="677A7BFC"/>
    <w:rsid w:val="67A44A58"/>
    <w:rsid w:val="67A63D81"/>
    <w:rsid w:val="67AF6F80"/>
    <w:rsid w:val="67BB2C01"/>
    <w:rsid w:val="67F33CB5"/>
    <w:rsid w:val="68034840"/>
    <w:rsid w:val="680C39B8"/>
    <w:rsid w:val="683F1E7B"/>
    <w:rsid w:val="68765A49"/>
    <w:rsid w:val="687C1254"/>
    <w:rsid w:val="688C49FE"/>
    <w:rsid w:val="689C1BD4"/>
    <w:rsid w:val="68B4707D"/>
    <w:rsid w:val="68E53F20"/>
    <w:rsid w:val="68FE4186"/>
    <w:rsid w:val="6910062E"/>
    <w:rsid w:val="69211828"/>
    <w:rsid w:val="69244AC4"/>
    <w:rsid w:val="6991454C"/>
    <w:rsid w:val="69BD5B19"/>
    <w:rsid w:val="69D3071C"/>
    <w:rsid w:val="69DC53F9"/>
    <w:rsid w:val="69E95A96"/>
    <w:rsid w:val="69F173A0"/>
    <w:rsid w:val="6A4813DA"/>
    <w:rsid w:val="6A4A01C1"/>
    <w:rsid w:val="6A5434A5"/>
    <w:rsid w:val="6A591F26"/>
    <w:rsid w:val="6AAC513A"/>
    <w:rsid w:val="6AC23B41"/>
    <w:rsid w:val="6ACB6381"/>
    <w:rsid w:val="6ADE5F1C"/>
    <w:rsid w:val="6B06237C"/>
    <w:rsid w:val="6B170359"/>
    <w:rsid w:val="6B3844D7"/>
    <w:rsid w:val="6B3D4849"/>
    <w:rsid w:val="6B5E7A30"/>
    <w:rsid w:val="6B920629"/>
    <w:rsid w:val="6B9D35F3"/>
    <w:rsid w:val="6BD844B1"/>
    <w:rsid w:val="6BDB6AA3"/>
    <w:rsid w:val="6BEF2963"/>
    <w:rsid w:val="6C6A1254"/>
    <w:rsid w:val="6C6F3FAB"/>
    <w:rsid w:val="6C717085"/>
    <w:rsid w:val="6C8940DF"/>
    <w:rsid w:val="6C8E5D91"/>
    <w:rsid w:val="6C961A2A"/>
    <w:rsid w:val="6CD94FAB"/>
    <w:rsid w:val="6D2719AE"/>
    <w:rsid w:val="6D313761"/>
    <w:rsid w:val="6D3412C4"/>
    <w:rsid w:val="6D372CC3"/>
    <w:rsid w:val="6D62300B"/>
    <w:rsid w:val="6D642E00"/>
    <w:rsid w:val="6D757AE7"/>
    <w:rsid w:val="6D862462"/>
    <w:rsid w:val="6D885BA1"/>
    <w:rsid w:val="6D902819"/>
    <w:rsid w:val="6DC86B47"/>
    <w:rsid w:val="6DDE4808"/>
    <w:rsid w:val="6DE7364B"/>
    <w:rsid w:val="6E092FD9"/>
    <w:rsid w:val="6E156F4C"/>
    <w:rsid w:val="6E5B05B1"/>
    <w:rsid w:val="6E6159D4"/>
    <w:rsid w:val="6E6A13FA"/>
    <w:rsid w:val="6E72263E"/>
    <w:rsid w:val="6E724FD2"/>
    <w:rsid w:val="6E770444"/>
    <w:rsid w:val="6E8A4F32"/>
    <w:rsid w:val="6EA8567C"/>
    <w:rsid w:val="6EAE6B7A"/>
    <w:rsid w:val="6EB62649"/>
    <w:rsid w:val="6EC522D0"/>
    <w:rsid w:val="6ED118EE"/>
    <w:rsid w:val="6ED6062B"/>
    <w:rsid w:val="6EEB4B95"/>
    <w:rsid w:val="6F1A412F"/>
    <w:rsid w:val="6F597BF7"/>
    <w:rsid w:val="6F9C6510"/>
    <w:rsid w:val="6FCF4D58"/>
    <w:rsid w:val="6FE72B21"/>
    <w:rsid w:val="6FE961E1"/>
    <w:rsid w:val="7011407A"/>
    <w:rsid w:val="701F1237"/>
    <w:rsid w:val="702D437B"/>
    <w:rsid w:val="706B6531"/>
    <w:rsid w:val="70803D57"/>
    <w:rsid w:val="708F61B6"/>
    <w:rsid w:val="70B86DA1"/>
    <w:rsid w:val="713375D5"/>
    <w:rsid w:val="71634455"/>
    <w:rsid w:val="71641C60"/>
    <w:rsid w:val="717667F8"/>
    <w:rsid w:val="717715A1"/>
    <w:rsid w:val="717B47F9"/>
    <w:rsid w:val="7187368A"/>
    <w:rsid w:val="71975CC6"/>
    <w:rsid w:val="71A43D50"/>
    <w:rsid w:val="71B3330A"/>
    <w:rsid w:val="71BD6449"/>
    <w:rsid w:val="71C57547"/>
    <w:rsid w:val="71C81A56"/>
    <w:rsid w:val="71F21F25"/>
    <w:rsid w:val="71FD5EFE"/>
    <w:rsid w:val="720B7652"/>
    <w:rsid w:val="720F5136"/>
    <w:rsid w:val="72532250"/>
    <w:rsid w:val="72536017"/>
    <w:rsid w:val="72A17F4B"/>
    <w:rsid w:val="72B00AE7"/>
    <w:rsid w:val="72C570AC"/>
    <w:rsid w:val="72C765BC"/>
    <w:rsid w:val="72CD1B9E"/>
    <w:rsid w:val="72EE1831"/>
    <w:rsid w:val="731B6809"/>
    <w:rsid w:val="73361A04"/>
    <w:rsid w:val="736920FE"/>
    <w:rsid w:val="7382490B"/>
    <w:rsid w:val="738F4ED1"/>
    <w:rsid w:val="73A2011C"/>
    <w:rsid w:val="73BC171B"/>
    <w:rsid w:val="73C06CA1"/>
    <w:rsid w:val="73D75606"/>
    <w:rsid w:val="74093E8A"/>
    <w:rsid w:val="74140AE3"/>
    <w:rsid w:val="7437612D"/>
    <w:rsid w:val="74566B0C"/>
    <w:rsid w:val="74643641"/>
    <w:rsid w:val="748E7220"/>
    <w:rsid w:val="74A63996"/>
    <w:rsid w:val="74B62DE3"/>
    <w:rsid w:val="74F262C5"/>
    <w:rsid w:val="75094164"/>
    <w:rsid w:val="750E3A60"/>
    <w:rsid w:val="752C78B4"/>
    <w:rsid w:val="753F63BE"/>
    <w:rsid w:val="756A5353"/>
    <w:rsid w:val="75AE510A"/>
    <w:rsid w:val="75C34242"/>
    <w:rsid w:val="75E229B5"/>
    <w:rsid w:val="75E42695"/>
    <w:rsid w:val="75EE64DD"/>
    <w:rsid w:val="75FB6965"/>
    <w:rsid w:val="762D569C"/>
    <w:rsid w:val="76314C42"/>
    <w:rsid w:val="763B0BAE"/>
    <w:rsid w:val="764E1F17"/>
    <w:rsid w:val="76613B87"/>
    <w:rsid w:val="766B278B"/>
    <w:rsid w:val="768F3F2F"/>
    <w:rsid w:val="76934349"/>
    <w:rsid w:val="76BE41DC"/>
    <w:rsid w:val="76CD626D"/>
    <w:rsid w:val="76E95075"/>
    <w:rsid w:val="76EE4D33"/>
    <w:rsid w:val="76F536ED"/>
    <w:rsid w:val="770F2BBB"/>
    <w:rsid w:val="772453C8"/>
    <w:rsid w:val="772E6105"/>
    <w:rsid w:val="774100B9"/>
    <w:rsid w:val="774E2468"/>
    <w:rsid w:val="77580AD3"/>
    <w:rsid w:val="776410DB"/>
    <w:rsid w:val="776A0E3E"/>
    <w:rsid w:val="777F7686"/>
    <w:rsid w:val="778806CC"/>
    <w:rsid w:val="778A0495"/>
    <w:rsid w:val="7792148F"/>
    <w:rsid w:val="77C70756"/>
    <w:rsid w:val="77E2718B"/>
    <w:rsid w:val="77E46038"/>
    <w:rsid w:val="77F72D40"/>
    <w:rsid w:val="780854BB"/>
    <w:rsid w:val="782D1E8B"/>
    <w:rsid w:val="78312A57"/>
    <w:rsid w:val="78383F71"/>
    <w:rsid w:val="78426431"/>
    <w:rsid w:val="78467DE2"/>
    <w:rsid w:val="787E4A93"/>
    <w:rsid w:val="78893D4F"/>
    <w:rsid w:val="789913D2"/>
    <w:rsid w:val="78CC0C84"/>
    <w:rsid w:val="78D03C05"/>
    <w:rsid w:val="78F05DA7"/>
    <w:rsid w:val="78FB7333"/>
    <w:rsid w:val="791F7B99"/>
    <w:rsid w:val="7925348F"/>
    <w:rsid w:val="79523022"/>
    <w:rsid w:val="795E7EC0"/>
    <w:rsid w:val="796F0814"/>
    <w:rsid w:val="7992679E"/>
    <w:rsid w:val="79BA4779"/>
    <w:rsid w:val="79D81B06"/>
    <w:rsid w:val="79DB46D4"/>
    <w:rsid w:val="79FE6FCC"/>
    <w:rsid w:val="7A501AE6"/>
    <w:rsid w:val="7A6D7E6A"/>
    <w:rsid w:val="7A763736"/>
    <w:rsid w:val="7A892C33"/>
    <w:rsid w:val="7AB01EC0"/>
    <w:rsid w:val="7ABC6FB3"/>
    <w:rsid w:val="7ACB7A0D"/>
    <w:rsid w:val="7AE308FF"/>
    <w:rsid w:val="7B0F2E02"/>
    <w:rsid w:val="7B12366B"/>
    <w:rsid w:val="7B2A1F81"/>
    <w:rsid w:val="7B530756"/>
    <w:rsid w:val="7B550B10"/>
    <w:rsid w:val="7B7A3127"/>
    <w:rsid w:val="7B813D1E"/>
    <w:rsid w:val="7B876296"/>
    <w:rsid w:val="7B9F45E7"/>
    <w:rsid w:val="7BA66F39"/>
    <w:rsid w:val="7BAD2854"/>
    <w:rsid w:val="7BC60985"/>
    <w:rsid w:val="7BC6099B"/>
    <w:rsid w:val="7BD4060A"/>
    <w:rsid w:val="7C165FA8"/>
    <w:rsid w:val="7C191DA5"/>
    <w:rsid w:val="7C2E0FA8"/>
    <w:rsid w:val="7C315032"/>
    <w:rsid w:val="7C316C13"/>
    <w:rsid w:val="7C5D4EC1"/>
    <w:rsid w:val="7C7B76B0"/>
    <w:rsid w:val="7C837004"/>
    <w:rsid w:val="7CAE7E0B"/>
    <w:rsid w:val="7CF55503"/>
    <w:rsid w:val="7CFE362B"/>
    <w:rsid w:val="7D094883"/>
    <w:rsid w:val="7D257BA2"/>
    <w:rsid w:val="7D36222C"/>
    <w:rsid w:val="7D3B41CC"/>
    <w:rsid w:val="7D3E0B65"/>
    <w:rsid w:val="7D4332F5"/>
    <w:rsid w:val="7D5C16FB"/>
    <w:rsid w:val="7D8B6326"/>
    <w:rsid w:val="7D990BC8"/>
    <w:rsid w:val="7DC53F8B"/>
    <w:rsid w:val="7DCA31A9"/>
    <w:rsid w:val="7DE248E2"/>
    <w:rsid w:val="7DEC0499"/>
    <w:rsid w:val="7E2E33D4"/>
    <w:rsid w:val="7E407B48"/>
    <w:rsid w:val="7E4427D9"/>
    <w:rsid w:val="7E494AC6"/>
    <w:rsid w:val="7E54340A"/>
    <w:rsid w:val="7E606797"/>
    <w:rsid w:val="7E7F56B2"/>
    <w:rsid w:val="7E8762F0"/>
    <w:rsid w:val="7E89168D"/>
    <w:rsid w:val="7EEA2A24"/>
    <w:rsid w:val="7EEE4CFB"/>
    <w:rsid w:val="7EEE52AE"/>
    <w:rsid w:val="7EF4009C"/>
    <w:rsid w:val="7EFE3C9E"/>
    <w:rsid w:val="7F1902B5"/>
    <w:rsid w:val="7F1D185F"/>
    <w:rsid w:val="7F1D4A45"/>
    <w:rsid w:val="7F271008"/>
    <w:rsid w:val="7F2E27A7"/>
    <w:rsid w:val="7F380885"/>
    <w:rsid w:val="7F6744E8"/>
    <w:rsid w:val="7F743BD1"/>
    <w:rsid w:val="7F7703A5"/>
    <w:rsid w:val="7F7F3D58"/>
    <w:rsid w:val="7F9A70DA"/>
    <w:rsid w:val="7FA1134D"/>
    <w:rsid w:val="7FAA13A9"/>
    <w:rsid w:val="7FB32F1E"/>
    <w:rsid w:val="7FB51B09"/>
    <w:rsid w:val="7FC57E6D"/>
    <w:rsid w:val="7FE0373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heme="minorBidi"/>
      <w:kern w:val="2"/>
      <w:sz w:val="24"/>
      <w:szCs w:val="24"/>
      <w:lang w:val="en-US" w:eastAsia="zh-CN" w:bidi="ar-SA"/>
    </w:rPr>
  </w:style>
  <w:style w:type="paragraph" w:styleId="2">
    <w:name w:val="heading 1"/>
    <w:basedOn w:val="1"/>
    <w:next w:val="1"/>
    <w:link w:val="12"/>
    <w:qFormat/>
    <w:uiPriority w:val="0"/>
    <w:pPr>
      <w:keepNext/>
      <w:keepLines/>
      <w:spacing w:beforeLines="0" w:beforeAutospacing="0" w:afterLines="0" w:afterAutospacing="0" w:line="240" w:lineRule="auto"/>
      <w:outlineLvl w:val="0"/>
    </w:pPr>
    <w:rPr>
      <w:b/>
      <w:kern w:val="44"/>
      <w:sz w:val="28"/>
      <w:szCs w:val="28"/>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Plain Text"/>
    <w:basedOn w:val="1"/>
    <w:qFormat/>
    <w:uiPriority w:val="0"/>
    <w:rPr>
      <w:rFonts w:ascii="宋体" w:hAnsi="Courier New"/>
      <w:szCs w:val="21"/>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2"/>
    <w:basedOn w:val="1"/>
    <w:next w:val="1"/>
    <w:qFormat/>
    <w:uiPriority w:val="0"/>
    <w:pPr>
      <w:ind w:left="420" w:leftChars="200"/>
    </w:pPr>
  </w:style>
  <w:style w:type="paragraph" w:styleId="8">
    <w:name w:val="Normal (Web)"/>
    <w:basedOn w:val="1"/>
    <w:qFormat/>
    <w:uiPriority w:val="0"/>
    <w:rPr>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标题 1 Char"/>
    <w:link w:val="2"/>
    <w:qFormat/>
    <w:uiPriority w:val="0"/>
    <w:rPr>
      <w:rFonts w:ascii="Times New Roman" w:hAnsi="Times New Roman" w:eastAsia="宋体"/>
      <w:b/>
      <w:kern w:val="44"/>
      <w:sz w:val="28"/>
      <w:szCs w:val="28"/>
    </w:rPr>
  </w:style>
  <w:style w:type="paragraph" w:customStyle="1" w:styleId="13">
    <w:name w:val="样式 标题 1 + 四号 段前: 0 磅 段后: 0 磅 行距: 1.5 倍行距"/>
    <w:basedOn w:val="1"/>
    <w:next w:val="1"/>
    <w:qFormat/>
    <w:uiPriority w:val="0"/>
    <w:pPr>
      <w:spacing w:line="360" w:lineRule="auto"/>
      <w:ind w:firstLine="588" w:firstLineChars="196"/>
      <w:jc w:val="center"/>
    </w:pPr>
    <w:rPr>
      <w:rFonts w:ascii="Times New Roman" w:hAnsi="Times New Roman"/>
      <w:sz w:val="24"/>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66</Pages>
  <Words>30650</Words>
  <Characters>34615</Characters>
  <Lines>0</Lines>
  <Paragraphs>0</Paragraphs>
  <TotalTime>68</TotalTime>
  <ScaleCrop>false</ScaleCrop>
  <LinksUpToDate>false</LinksUpToDate>
  <CharactersWithSpaces>35168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2020-04-17T01:37:00Z</dcterms:created>
  <dc:creator>WPS_1534044737</dc:creator>
  <cp:lastModifiedBy>刘变香</cp:lastModifiedBy>
  <dcterms:modified xsi:type="dcterms:W3CDTF">2024-11-15T08:37:29Z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38589251EAE445AC94E908157DF6D9D9_12</vt:lpwstr>
  </property>
</Properties>
</file>