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color w:val="auto"/>
          <w:sz w:val="30"/>
          <w:szCs w:val="30"/>
        </w:rPr>
      </w:pPr>
      <w:bookmarkStart w:id="47" w:name="_GoBack"/>
      <w:bookmarkEnd w:id="47"/>
      <w:r>
        <w:rPr>
          <w:rFonts w:ascii="Times New Roman" w:hAnsi="Times New Roman" w:eastAsia="宋体" w:cs="Times New Roman"/>
          <w:b/>
          <w:color w:val="auto"/>
          <w:sz w:val="30"/>
          <w:szCs w:val="30"/>
        </w:rPr>
        <w:t>《建设项目环境影响报告表》编制说明</w:t>
      </w:r>
    </w:p>
    <w:p>
      <w:pPr>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《建设项目环境影响报告表》由具有从事环境影响评价工作资质的单位编制。</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1.项目名称--指项目立项批复时的名称，应不超过30个字（两个英文字段作一个汉字）。</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2.建设地点--指项目所在地详细地址，公路、铁路应填写起止地点。</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3.行业类别--按国标填写。</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4.总投资--指项目投资总额。</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5.主要环境保护目标--指项目区周围一定范围内集中居民住宅区、学校、医院、保护文物、风景名胜区、水源地和生态敏感点等，应尽可能给出保护目标、性质、规模和距厂界距离等。</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6.结论与建议--给出本项目清洁生产、达标排放和总量控制的分析结论，确定污染防治措施的有效性，说明本项目对环境造成的影响，给出建设项目环境可行性的明确结论。同时提出减少环境影响的其他建议。</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7.预审意见--由行业主管部门填写答复意见，无主管部门项目，可不填。</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8.审批意见--由负责审批该项目的环境保护行政主管部门批复。</w:t>
      </w:r>
    </w:p>
    <w:p>
      <w:pPr>
        <w:widowControl/>
        <w:jc w:val="left"/>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br w:type="page"/>
      </w:r>
      <w:r>
        <w:rPr>
          <w:rFonts w:ascii="Times New Roman" w:hAnsi="Times New Roman" w:eastAsia="宋体" w:cs="Times New Roman"/>
          <w:bCs/>
          <w:color w:val="auto"/>
          <w:kern w:val="44"/>
          <w:sz w:val="28"/>
          <w:szCs w:val="28"/>
          <w:lang w:val="zh-CN"/>
        </w:rPr>
        <w:br w:type="page"/>
      </w:r>
    </w:p>
    <w:p>
      <w:pPr>
        <w:pStyle w:val="24"/>
        <w:tabs>
          <w:tab w:val="right" w:leader="dot" w:pos="8296"/>
        </w:tabs>
        <w:jc w:val="center"/>
        <w:rPr>
          <w:color w:val="auto"/>
          <w:sz w:val="30"/>
          <w:szCs w:val="30"/>
        </w:rPr>
      </w:pPr>
      <w:r>
        <w:rPr>
          <w:b/>
          <w:color w:val="auto"/>
          <w:sz w:val="30"/>
          <w:szCs w:val="30"/>
        </w:rPr>
        <w:t>目 录</w:t>
      </w:r>
    </w:p>
    <w:p>
      <w:pPr>
        <w:pStyle w:val="24"/>
        <w:tabs>
          <w:tab w:val="right" w:leader="dot" w:pos="8296"/>
        </w:tabs>
        <w:spacing w:line="360" w:lineRule="auto"/>
        <w:rPr>
          <w:color w:val="auto"/>
          <w:sz w:val="24"/>
        </w:rPr>
      </w:pPr>
      <w:r>
        <w:rPr>
          <w:b/>
          <w:color w:val="auto"/>
          <w:sz w:val="28"/>
          <w:szCs w:val="28"/>
        </w:rPr>
        <w:fldChar w:fldCharType="begin"/>
      </w:r>
      <w:r>
        <w:rPr>
          <w:b/>
          <w:color w:val="auto"/>
          <w:sz w:val="28"/>
          <w:szCs w:val="28"/>
        </w:rPr>
        <w:instrText xml:space="preserve"> TOC \o "1-1" \h \z \u </w:instrText>
      </w:r>
      <w:r>
        <w:rPr>
          <w:b/>
          <w:color w:val="auto"/>
          <w:sz w:val="28"/>
          <w:szCs w:val="28"/>
        </w:rPr>
        <w:fldChar w:fldCharType="separate"/>
      </w:r>
      <w:r>
        <w:rPr>
          <w:color w:val="auto"/>
        </w:rPr>
        <w:fldChar w:fldCharType="begin"/>
      </w:r>
      <w:r>
        <w:rPr>
          <w:color w:val="auto"/>
        </w:rPr>
        <w:instrText xml:space="preserve"> HYPERLINK \l "_Toc47258237" </w:instrText>
      </w:r>
      <w:r>
        <w:rPr>
          <w:color w:val="auto"/>
        </w:rPr>
        <w:fldChar w:fldCharType="separate"/>
      </w:r>
      <w:r>
        <w:rPr>
          <w:rStyle w:val="46"/>
          <w:bCs/>
          <w:color w:val="auto"/>
          <w:kern w:val="44"/>
          <w:sz w:val="24"/>
          <w:lang w:val="zh-CN"/>
        </w:rPr>
        <w:t>表一、建设项目基本情况</w:t>
      </w:r>
      <w:r>
        <w:rPr>
          <w:color w:val="auto"/>
          <w:sz w:val="24"/>
        </w:rPr>
        <w:tab/>
      </w:r>
      <w:r>
        <w:rPr>
          <w:color w:val="auto"/>
          <w:sz w:val="24"/>
        </w:rPr>
        <w:t>1</w:t>
      </w:r>
      <w:r>
        <w:rPr>
          <w:color w:val="auto"/>
          <w:sz w:val="24"/>
        </w:rPr>
        <w:fldChar w:fldCharType="end"/>
      </w:r>
    </w:p>
    <w:p>
      <w:pPr>
        <w:pStyle w:val="24"/>
        <w:tabs>
          <w:tab w:val="right" w:leader="dot" w:pos="8296"/>
        </w:tabs>
        <w:spacing w:line="360" w:lineRule="auto"/>
        <w:rPr>
          <w:color w:val="auto"/>
          <w:sz w:val="24"/>
        </w:rPr>
      </w:pPr>
      <w:r>
        <w:rPr>
          <w:color w:val="auto"/>
        </w:rPr>
        <w:fldChar w:fldCharType="begin"/>
      </w:r>
      <w:r>
        <w:rPr>
          <w:color w:val="auto"/>
        </w:rPr>
        <w:instrText xml:space="preserve"> HYPERLINK \l "_Toc47258238" </w:instrText>
      </w:r>
      <w:r>
        <w:rPr>
          <w:color w:val="auto"/>
        </w:rPr>
        <w:fldChar w:fldCharType="separate"/>
      </w:r>
      <w:r>
        <w:rPr>
          <w:rStyle w:val="46"/>
          <w:bCs/>
          <w:color w:val="auto"/>
          <w:kern w:val="44"/>
          <w:sz w:val="24"/>
          <w:lang w:val="zh-CN"/>
        </w:rPr>
        <w:t>表二、建设项目所在地自然环境社会环境简况</w:t>
      </w:r>
      <w:r>
        <w:rPr>
          <w:color w:val="auto"/>
          <w:sz w:val="24"/>
        </w:rPr>
        <w:tab/>
      </w:r>
      <w:r>
        <w:rPr>
          <w:color w:val="auto"/>
          <w:sz w:val="24"/>
        </w:rPr>
        <w:fldChar w:fldCharType="begin"/>
      </w:r>
      <w:r>
        <w:rPr>
          <w:color w:val="auto"/>
          <w:sz w:val="24"/>
        </w:rPr>
        <w:instrText xml:space="preserve"> PAGEREF _Toc47258238 \h </w:instrText>
      </w:r>
      <w:r>
        <w:rPr>
          <w:color w:val="auto"/>
          <w:sz w:val="24"/>
        </w:rPr>
        <w:fldChar w:fldCharType="separate"/>
      </w:r>
      <w:r>
        <w:rPr>
          <w:color w:val="auto"/>
          <w:sz w:val="24"/>
        </w:rPr>
        <w:t>11</w:t>
      </w:r>
      <w:r>
        <w:rPr>
          <w:color w:val="auto"/>
          <w:sz w:val="24"/>
        </w:rPr>
        <w:fldChar w:fldCharType="end"/>
      </w:r>
      <w:r>
        <w:rPr>
          <w:color w:val="auto"/>
          <w:sz w:val="24"/>
        </w:rPr>
        <w:fldChar w:fldCharType="end"/>
      </w:r>
    </w:p>
    <w:p>
      <w:pPr>
        <w:pStyle w:val="24"/>
        <w:tabs>
          <w:tab w:val="right" w:leader="dot" w:pos="8296"/>
        </w:tabs>
        <w:spacing w:line="360" w:lineRule="auto"/>
        <w:rPr>
          <w:color w:val="auto"/>
          <w:sz w:val="24"/>
        </w:rPr>
      </w:pPr>
      <w:r>
        <w:rPr>
          <w:color w:val="auto"/>
        </w:rPr>
        <w:fldChar w:fldCharType="begin"/>
      </w:r>
      <w:r>
        <w:rPr>
          <w:color w:val="auto"/>
        </w:rPr>
        <w:instrText xml:space="preserve"> HYPERLINK \l "_Toc47258239" </w:instrText>
      </w:r>
      <w:r>
        <w:rPr>
          <w:color w:val="auto"/>
        </w:rPr>
        <w:fldChar w:fldCharType="separate"/>
      </w:r>
      <w:r>
        <w:rPr>
          <w:rStyle w:val="46"/>
          <w:bCs/>
          <w:color w:val="auto"/>
          <w:kern w:val="44"/>
          <w:sz w:val="24"/>
          <w:lang w:val="zh-CN"/>
        </w:rPr>
        <w:t>表三、环境质量状况</w:t>
      </w:r>
      <w:r>
        <w:rPr>
          <w:color w:val="auto"/>
          <w:sz w:val="24"/>
        </w:rPr>
        <w:tab/>
      </w:r>
      <w:r>
        <w:rPr>
          <w:color w:val="auto"/>
          <w:sz w:val="24"/>
        </w:rPr>
        <w:fldChar w:fldCharType="begin"/>
      </w:r>
      <w:r>
        <w:rPr>
          <w:color w:val="auto"/>
          <w:sz w:val="24"/>
        </w:rPr>
        <w:instrText xml:space="preserve"> PAGEREF _Toc47258239 \h </w:instrText>
      </w:r>
      <w:r>
        <w:rPr>
          <w:color w:val="auto"/>
          <w:sz w:val="24"/>
        </w:rPr>
        <w:fldChar w:fldCharType="separate"/>
      </w:r>
      <w:r>
        <w:rPr>
          <w:color w:val="auto"/>
          <w:sz w:val="24"/>
        </w:rPr>
        <w:t>15</w:t>
      </w:r>
      <w:r>
        <w:rPr>
          <w:color w:val="auto"/>
          <w:sz w:val="24"/>
        </w:rPr>
        <w:fldChar w:fldCharType="end"/>
      </w:r>
      <w:r>
        <w:rPr>
          <w:color w:val="auto"/>
          <w:sz w:val="24"/>
        </w:rPr>
        <w:fldChar w:fldCharType="end"/>
      </w:r>
    </w:p>
    <w:p>
      <w:pPr>
        <w:pStyle w:val="24"/>
        <w:tabs>
          <w:tab w:val="right" w:leader="dot" w:pos="8296"/>
        </w:tabs>
        <w:spacing w:line="360" w:lineRule="auto"/>
        <w:rPr>
          <w:color w:val="auto"/>
          <w:sz w:val="24"/>
        </w:rPr>
      </w:pPr>
      <w:r>
        <w:rPr>
          <w:color w:val="auto"/>
        </w:rPr>
        <w:fldChar w:fldCharType="begin"/>
      </w:r>
      <w:r>
        <w:rPr>
          <w:color w:val="auto"/>
        </w:rPr>
        <w:instrText xml:space="preserve"> HYPERLINK \l "_Toc47258240" </w:instrText>
      </w:r>
      <w:r>
        <w:rPr>
          <w:color w:val="auto"/>
        </w:rPr>
        <w:fldChar w:fldCharType="separate"/>
      </w:r>
      <w:r>
        <w:rPr>
          <w:rStyle w:val="46"/>
          <w:bCs/>
          <w:color w:val="auto"/>
          <w:kern w:val="44"/>
          <w:sz w:val="24"/>
          <w:lang w:val="zh-CN"/>
        </w:rPr>
        <w:t>表四、评价适用标准</w:t>
      </w:r>
      <w:r>
        <w:rPr>
          <w:color w:val="auto"/>
          <w:sz w:val="24"/>
        </w:rPr>
        <w:tab/>
      </w:r>
      <w:r>
        <w:rPr>
          <w:color w:val="auto"/>
          <w:sz w:val="24"/>
        </w:rPr>
        <w:fldChar w:fldCharType="begin"/>
      </w:r>
      <w:r>
        <w:rPr>
          <w:color w:val="auto"/>
          <w:sz w:val="24"/>
        </w:rPr>
        <w:instrText xml:space="preserve"> PAGEREF _Toc47258240 \h </w:instrText>
      </w:r>
      <w:r>
        <w:rPr>
          <w:color w:val="auto"/>
          <w:sz w:val="24"/>
        </w:rPr>
        <w:fldChar w:fldCharType="separate"/>
      </w:r>
      <w:r>
        <w:rPr>
          <w:color w:val="auto"/>
          <w:sz w:val="24"/>
        </w:rPr>
        <w:t>18</w:t>
      </w:r>
      <w:r>
        <w:rPr>
          <w:color w:val="auto"/>
          <w:sz w:val="24"/>
        </w:rPr>
        <w:fldChar w:fldCharType="end"/>
      </w:r>
      <w:r>
        <w:rPr>
          <w:color w:val="auto"/>
          <w:sz w:val="24"/>
        </w:rPr>
        <w:fldChar w:fldCharType="end"/>
      </w:r>
    </w:p>
    <w:p>
      <w:pPr>
        <w:pStyle w:val="24"/>
        <w:tabs>
          <w:tab w:val="right" w:leader="dot" w:pos="8296"/>
        </w:tabs>
        <w:spacing w:line="360" w:lineRule="auto"/>
        <w:rPr>
          <w:color w:val="auto"/>
          <w:sz w:val="24"/>
        </w:rPr>
      </w:pPr>
      <w:r>
        <w:rPr>
          <w:color w:val="auto"/>
        </w:rPr>
        <w:fldChar w:fldCharType="begin"/>
      </w:r>
      <w:r>
        <w:rPr>
          <w:color w:val="auto"/>
        </w:rPr>
        <w:instrText xml:space="preserve"> HYPERLINK \l "_Toc47258241" </w:instrText>
      </w:r>
      <w:r>
        <w:rPr>
          <w:color w:val="auto"/>
        </w:rPr>
        <w:fldChar w:fldCharType="separate"/>
      </w:r>
      <w:r>
        <w:rPr>
          <w:rStyle w:val="46"/>
          <w:color w:val="auto"/>
          <w:sz w:val="24"/>
        </w:rPr>
        <w:t>表五、建设项目工程分析及工艺流程简述</w:t>
      </w:r>
      <w:r>
        <w:rPr>
          <w:color w:val="auto"/>
          <w:sz w:val="24"/>
        </w:rPr>
        <w:tab/>
      </w:r>
      <w:r>
        <w:rPr>
          <w:color w:val="auto"/>
          <w:sz w:val="24"/>
        </w:rPr>
        <w:fldChar w:fldCharType="begin"/>
      </w:r>
      <w:r>
        <w:rPr>
          <w:color w:val="auto"/>
          <w:sz w:val="24"/>
        </w:rPr>
        <w:instrText xml:space="preserve"> PAGEREF _Toc47258241 \h </w:instrText>
      </w:r>
      <w:r>
        <w:rPr>
          <w:color w:val="auto"/>
          <w:sz w:val="24"/>
        </w:rPr>
        <w:fldChar w:fldCharType="separate"/>
      </w:r>
      <w:r>
        <w:rPr>
          <w:color w:val="auto"/>
          <w:sz w:val="24"/>
        </w:rPr>
        <w:t>22</w:t>
      </w:r>
      <w:r>
        <w:rPr>
          <w:color w:val="auto"/>
          <w:sz w:val="24"/>
        </w:rPr>
        <w:fldChar w:fldCharType="end"/>
      </w:r>
      <w:r>
        <w:rPr>
          <w:color w:val="auto"/>
          <w:sz w:val="24"/>
        </w:rPr>
        <w:fldChar w:fldCharType="end"/>
      </w:r>
    </w:p>
    <w:p>
      <w:pPr>
        <w:pStyle w:val="24"/>
        <w:tabs>
          <w:tab w:val="right" w:leader="dot" w:pos="8296"/>
        </w:tabs>
        <w:spacing w:line="276" w:lineRule="auto"/>
        <w:rPr>
          <w:color w:val="auto"/>
          <w:sz w:val="24"/>
        </w:rPr>
      </w:pPr>
      <w:r>
        <w:rPr>
          <w:color w:val="auto"/>
        </w:rPr>
        <w:fldChar w:fldCharType="begin"/>
      </w:r>
      <w:r>
        <w:rPr>
          <w:color w:val="auto"/>
        </w:rPr>
        <w:instrText xml:space="preserve"> HYPERLINK \l "_Toc47258243" </w:instrText>
      </w:r>
      <w:r>
        <w:rPr>
          <w:color w:val="auto"/>
        </w:rPr>
        <w:fldChar w:fldCharType="separate"/>
      </w:r>
      <w:r>
        <w:rPr>
          <w:rStyle w:val="46"/>
          <w:bCs/>
          <w:color w:val="auto"/>
          <w:kern w:val="44"/>
          <w:sz w:val="24"/>
          <w:lang w:val="zh-CN"/>
        </w:rPr>
        <w:t>表六、项目主要污染物产生及预计排放情况</w:t>
      </w:r>
      <w:r>
        <w:rPr>
          <w:color w:val="auto"/>
          <w:sz w:val="24"/>
        </w:rPr>
        <w:tab/>
      </w:r>
      <w:r>
        <w:rPr>
          <w:color w:val="auto"/>
          <w:sz w:val="24"/>
        </w:rPr>
        <w:fldChar w:fldCharType="begin"/>
      </w:r>
      <w:r>
        <w:rPr>
          <w:color w:val="auto"/>
          <w:sz w:val="24"/>
        </w:rPr>
        <w:instrText xml:space="preserve"> PAGEREF _Toc47258243 \h </w:instrText>
      </w:r>
      <w:r>
        <w:rPr>
          <w:color w:val="auto"/>
          <w:sz w:val="24"/>
        </w:rPr>
        <w:fldChar w:fldCharType="separate"/>
      </w:r>
      <w:r>
        <w:rPr>
          <w:color w:val="auto"/>
          <w:sz w:val="24"/>
        </w:rPr>
        <w:t>36</w:t>
      </w:r>
      <w:r>
        <w:rPr>
          <w:color w:val="auto"/>
          <w:sz w:val="24"/>
        </w:rPr>
        <w:fldChar w:fldCharType="end"/>
      </w:r>
      <w:r>
        <w:rPr>
          <w:color w:val="auto"/>
          <w:sz w:val="24"/>
        </w:rPr>
        <w:fldChar w:fldCharType="end"/>
      </w:r>
    </w:p>
    <w:p>
      <w:pPr>
        <w:pStyle w:val="24"/>
        <w:tabs>
          <w:tab w:val="right" w:leader="dot" w:pos="8296"/>
        </w:tabs>
        <w:spacing w:line="360" w:lineRule="auto"/>
        <w:rPr>
          <w:color w:val="auto"/>
          <w:sz w:val="24"/>
        </w:rPr>
      </w:pPr>
      <w:r>
        <w:rPr>
          <w:color w:val="auto"/>
        </w:rPr>
        <w:fldChar w:fldCharType="begin"/>
      </w:r>
      <w:r>
        <w:rPr>
          <w:color w:val="auto"/>
        </w:rPr>
        <w:instrText xml:space="preserve"> HYPERLINK \l "_Toc47258244" </w:instrText>
      </w:r>
      <w:r>
        <w:rPr>
          <w:color w:val="auto"/>
        </w:rPr>
        <w:fldChar w:fldCharType="separate"/>
      </w:r>
      <w:r>
        <w:rPr>
          <w:rStyle w:val="46"/>
          <w:bCs/>
          <w:color w:val="auto"/>
          <w:kern w:val="44"/>
          <w:sz w:val="24"/>
          <w:lang w:val="zh-CN"/>
        </w:rPr>
        <w:t>表七、环境影响分析</w:t>
      </w:r>
      <w:r>
        <w:rPr>
          <w:color w:val="auto"/>
          <w:sz w:val="24"/>
        </w:rPr>
        <w:tab/>
      </w:r>
      <w:r>
        <w:rPr>
          <w:color w:val="auto"/>
          <w:sz w:val="24"/>
        </w:rPr>
        <w:fldChar w:fldCharType="begin"/>
      </w:r>
      <w:r>
        <w:rPr>
          <w:color w:val="auto"/>
          <w:sz w:val="24"/>
        </w:rPr>
        <w:instrText xml:space="preserve"> PAGEREF _Toc47258244 \h </w:instrText>
      </w:r>
      <w:r>
        <w:rPr>
          <w:color w:val="auto"/>
          <w:sz w:val="24"/>
        </w:rPr>
        <w:fldChar w:fldCharType="separate"/>
      </w:r>
      <w:r>
        <w:rPr>
          <w:color w:val="auto"/>
          <w:sz w:val="24"/>
        </w:rPr>
        <w:t>38</w:t>
      </w:r>
      <w:r>
        <w:rPr>
          <w:color w:val="auto"/>
          <w:sz w:val="24"/>
        </w:rPr>
        <w:fldChar w:fldCharType="end"/>
      </w:r>
      <w:r>
        <w:rPr>
          <w:color w:val="auto"/>
          <w:sz w:val="24"/>
        </w:rPr>
        <w:fldChar w:fldCharType="end"/>
      </w:r>
    </w:p>
    <w:p>
      <w:pPr>
        <w:pStyle w:val="24"/>
        <w:tabs>
          <w:tab w:val="right" w:leader="dot" w:pos="8296"/>
        </w:tabs>
        <w:spacing w:line="360" w:lineRule="auto"/>
        <w:rPr>
          <w:color w:val="auto"/>
          <w:sz w:val="24"/>
        </w:rPr>
      </w:pPr>
      <w:r>
        <w:rPr>
          <w:color w:val="auto"/>
        </w:rPr>
        <w:fldChar w:fldCharType="begin"/>
      </w:r>
      <w:r>
        <w:rPr>
          <w:color w:val="auto"/>
        </w:rPr>
        <w:instrText xml:space="preserve"> HYPERLINK \l "_Toc47258301" </w:instrText>
      </w:r>
      <w:r>
        <w:rPr>
          <w:color w:val="auto"/>
        </w:rPr>
        <w:fldChar w:fldCharType="separate"/>
      </w:r>
      <w:r>
        <w:rPr>
          <w:rStyle w:val="46"/>
          <w:bCs/>
          <w:color w:val="auto"/>
          <w:kern w:val="44"/>
          <w:sz w:val="24"/>
        </w:rPr>
        <w:t>表八、建设项目拟采取的防治措施及预期治理效果</w:t>
      </w:r>
      <w:r>
        <w:rPr>
          <w:color w:val="auto"/>
          <w:sz w:val="24"/>
        </w:rPr>
        <w:tab/>
      </w:r>
      <w:r>
        <w:rPr>
          <w:color w:val="auto"/>
          <w:sz w:val="24"/>
        </w:rPr>
        <w:fldChar w:fldCharType="begin"/>
      </w:r>
      <w:r>
        <w:rPr>
          <w:color w:val="auto"/>
          <w:sz w:val="24"/>
        </w:rPr>
        <w:instrText xml:space="preserve"> PAGEREF _Toc47258301 \h </w:instrText>
      </w:r>
      <w:r>
        <w:rPr>
          <w:color w:val="auto"/>
          <w:sz w:val="24"/>
        </w:rPr>
        <w:fldChar w:fldCharType="separate"/>
      </w:r>
      <w:r>
        <w:rPr>
          <w:color w:val="auto"/>
          <w:sz w:val="24"/>
        </w:rPr>
        <w:t>59</w:t>
      </w:r>
      <w:r>
        <w:rPr>
          <w:color w:val="auto"/>
          <w:sz w:val="24"/>
        </w:rPr>
        <w:fldChar w:fldCharType="end"/>
      </w:r>
      <w:r>
        <w:rPr>
          <w:color w:val="auto"/>
          <w:sz w:val="24"/>
        </w:rPr>
        <w:fldChar w:fldCharType="end"/>
      </w:r>
    </w:p>
    <w:p>
      <w:pPr>
        <w:pStyle w:val="24"/>
        <w:tabs>
          <w:tab w:val="right" w:leader="dot" w:pos="8296"/>
        </w:tabs>
        <w:spacing w:line="360" w:lineRule="auto"/>
        <w:rPr>
          <w:b/>
          <w:color w:val="auto"/>
          <w:sz w:val="28"/>
          <w:szCs w:val="28"/>
        </w:rPr>
      </w:pPr>
      <w:r>
        <w:rPr>
          <w:color w:val="auto"/>
        </w:rPr>
        <w:fldChar w:fldCharType="begin"/>
      </w:r>
      <w:r>
        <w:rPr>
          <w:color w:val="auto"/>
        </w:rPr>
        <w:instrText xml:space="preserve"> HYPERLINK \l "_Toc47258302" </w:instrText>
      </w:r>
      <w:r>
        <w:rPr>
          <w:color w:val="auto"/>
        </w:rPr>
        <w:fldChar w:fldCharType="separate"/>
      </w:r>
      <w:r>
        <w:rPr>
          <w:rStyle w:val="46"/>
          <w:bCs/>
          <w:color w:val="auto"/>
          <w:kern w:val="44"/>
          <w:sz w:val="24"/>
        </w:rPr>
        <w:t>表九、结论与建议</w:t>
      </w:r>
      <w:r>
        <w:rPr>
          <w:color w:val="auto"/>
          <w:sz w:val="24"/>
        </w:rPr>
        <w:tab/>
      </w:r>
      <w:r>
        <w:rPr>
          <w:color w:val="auto"/>
          <w:sz w:val="24"/>
        </w:rPr>
        <w:fldChar w:fldCharType="begin"/>
      </w:r>
      <w:r>
        <w:rPr>
          <w:color w:val="auto"/>
          <w:sz w:val="24"/>
        </w:rPr>
        <w:instrText xml:space="preserve"> PAGEREF _Toc47258302 \h </w:instrText>
      </w:r>
      <w:r>
        <w:rPr>
          <w:color w:val="auto"/>
          <w:sz w:val="24"/>
        </w:rPr>
        <w:fldChar w:fldCharType="separate"/>
      </w:r>
      <w:r>
        <w:rPr>
          <w:color w:val="auto"/>
          <w:sz w:val="24"/>
        </w:rPr>
        <w:t>61</w:t>
      </w:r>
      <w:r>
        <w:rPr>
          <w:color w:val="auto"/>
          <w:sz w:val="24"/>
        </w:rPr>
        <w:fldChar w:fldCharType="end"/>
      </w:r>
      <w:r>
        <w:rPr>
          <w:color w:val="auto"/>
          <w:sz w:val="24"/>
        </w:rPr>
        <w:fldChar w:fldCharType="end"/>
      </w:r>
    </w:p>
    <w:p>
      <w:pPr>
        <w:widowControl/>
        <w:spacing w:line="360" w:lineRule="auto"/>
        <w:ind w:firstLine="562" w:firstLineChars="200"/>
        <w:rPr>
          <w:rFonts w:ascii="Times New Roman" w:hAnsi="Times New Roman" w:eastAsia="宋体" w:cs="Times New Roman"/>
          <w:b/>
          <w:color w:val="auto"/>
          <w:sz w:val="28"/>
          <w:szCs w:val="28"/>
        </w:rPr>
      </w:pPr>
      <w:r>
        <w:rPr>
          <w:rFonts w:ascii="Times New Roman" w:hAnsi="Times New Roman" w:eastAsia="宋体" w:cs="Times New Roman"/>
          <w:b/>
          <w:color w:val="auto"/>
          <w:sz w:val="28"/>
          <w:szCs w:val="28"/>
        </w:rPr>
        <w:fldChar w:fldCharType="end"/>
      </w:r>
    </w:p>
    <w:p>
      <w:pPr>
        <w:widowControl/>
        <w:jc w:val="left"/>
        <w:rPr>
          <w:rFonts w:ascii="Times New Roman" w:hAnsi="Times New Roman" w:eastAsia="宋体" w:cs="Times New Roman"/>
          <w:b/>
          <w:color w:val="auto"/>
          <w:sz w:val="28"/>
          <w:szCs w:val="28"/>
        </w:rPr>
      </w:pPr>
      <w:r>
        <w:rPr>
          <w:rFonts w:ascii="Times New Roman" w:hAnsi="Times New Roman" w:eastAsia="宋体" w:cs="Times New Roman"/>
          <w:b/>
          <w:color w:val="auto"/>
          <w:sz w:val="28"/>
          <w:szCs w:val="28"/>
        </w:rPr>
        <w:br w:type="page"/>
      </w:r>
    </w:p>
    <w:p>
      <w:pPr>
        <w:spacing w:line="300" w:lineRule="auto"/>
        <w:ind w:firstLine="482" w:firstLineChars="200"/>
        <w:jc w:val="left"/>
        <w:rPr>
          <w:rFonts w:ascii="Times New Roman" w:hAnsi="Times New Roman" w:eastAsia="宋体" w:cs="Times New Roman"/>
          <w:b/>
          <w:color w:val="auto"/>
          <w:sz w:val="24"/>
        </w:rPr>
      </w:pPr>
      <w:r>
        <w:rPr>
          <w:rFonts w:ascii="Times New Roman" w:hAnsi="Times New Roman" w:eastAsia="宋体" w:cs="Times New Roman"/>
          <w:b/>
          <w:color w:val="auto"/>
          <w:sz w:val="24"/>
        </w:rPr>
        <w:t>附表</w:t>
      </w:r>
    </w:p>
    <w:p>
      <w:pPr>
        <w:spacing w:line="30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附表1  建设项目环评审批基础信息表</w:t>
      </w:r>
    </w:p>
    <w:p>
      <w:pPr>
        <w:spacing w:line="30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 xml:space="preserve">附表2  </w:t>
      </w:r>
      <w:r>
        <w:rPr>
          <w:rFonts w:ascii="Times New Roman" w:hAnsi="Times New Roman" w:eastAsia="宋体" w:cs="Times New Roman"/>
          <w:bCs/>
          <w:color w:val="auto"/>
          <w:sz w:val="24"/>
        </w:rPr>
        <w:t>大气环境影响评价自查表</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 xml:space="preserve">附表3  </w:t>
      </w:r>
      <w:r>
        <w:rPr>
          <w:rFonts w:ascii="Times New Roman" w:hAnsi="Times New Roman" w:eastAsia="宋体" w:cs="Times New Roman"/>
          <w:color w:val="auto"/>
          <w:sz w:val="24"/>
        </w:rPr>
        <w:t>地表水环境影响评价自查表</w:t>
      </w:r>
    </w:p>
    <w:p>
      <w:pPr>
        <w:spacing w:line="300" w:lineRule="auto"/>
        <w:ind w:firstLine="482" w:firstLineChars="200"/>
        <w:jc w:val="left"/>
        <w:rPr>
          <w:rFonts w:ascii="Times New Roman" w:hAnsi="Times New Roman" w:eastAsia="宋体" w:cs="Times New Roman"/>
          <w:b/>
          <w:color w:val="auto"/>
          <w:sz w:val="24"/>
        </w:rPr>
      </w:pPr>
    </w:p>
    <w:p>
      <w:pPr>
        <w:spacing w:line="300" w:lineRule="auto"/>
        <w:ind w:firstLine="482" w:firstLineChars="200"/>
        <w:jc w:val="left"/>
        <w:rPr>
          <w:rFonts w:ascii="Times New Roman" w:hAnsi="Times New Roman" w:eastAsia="宋体" w:cs="Times New Roman"/>
          <w:b/>
          <w:color w:val="auto"/>
          <w:sz w:val="24"/>
        </w:rPr>
      </w:pPr>
      <w:r>
        <w:rPr>
          <w:rFonts w:ascii="Times New Roman" w:hAnsi="Times New Roman" w:eastAsia="宋体" w:cs="Times New Roman"/>
          <w:b/>
          <w:color w:val="auto"/>
          <w:sz w:val="24"/>
        </w:rPr>
        <w:t>附图</w:t>
      </w:r>
    </w:p>
    <w:p>
      <w:pPr>
        <w:spacing w:line="30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附图1  项目地理位置图</w:t>
      </w:r>
    </w:p>
    <w:p>
      <w:pPr>
        <w:spacing w:line="30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附图2  项目基本信息底图</w:t>
      </w:r>
    </w:p>
    <w:p>
      <w:pPr>
        <w:spacing w:line="30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附图3  项目基本信息图</w:t>
      </w:r>
    </w:p>
    <w:p>
      <w:pPr>
        <w:spacing w:line="30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附图4  项目水系图</w:t>
      </w:r>
    </w:p>
    <w:p>
      <w:pPr>
        <w:pStyle w:val="212"/>
        <w:spacing w:line="300" w:lineRule="auto"/>
        <w:ind w:firstLine="482" w:firstLineChars="200"/>
        <w:rPr>
          <w:rFonts w:ascii="Times New Roman" w:hAnsi="Times New Roman" w:cs="Times New Roman"/>
          <w:color w:val="auto"/>
        </w:rPr>
      </w:pPr>
    </w:p>
    <w:p>
      <w:pPr>
        <w:pStyle w:val="212"/>
        <w:spacing w:line="300" w:lineRule="auto"/>
        <w:ind w:firstLine="482" w:firstLineChars="200"/>
        <w:rPr>
          <w:rFonts w:ascii="Times New Roman" w:hAnsi="Times New Roman" w:cs="Times New Roman"/>
          <w:color w:val="auto"/>
        </w:rPr>
      </w:pPr>
      <w:r>
        <w:rPr>
          <w:rFonts w:ascii="Times New Roman" w:hAnsi="Times New Roman" w:cs="Times New Roman"/>
          <w:color w:val="auto"/>
        </w:rPr>
        <w:t>附件</w:t>
      </w:r>
    </w:p>
    <w:p>
      <w:pPr>
        <w:spacing w:line="300" w:lineRule="auto"/>
        <w:ind w:firstLine="480" w:firstLineChars="200"/>
        <w:jc w:val="left"/>
        <w:rPr>
          <w:rFonts w:ascii="Times New Roman" w:hAnsi="Times New Roman" w:eastAsia="宋体" w:cs="Times New Roman"/>
          <w:bCs/>
          <w:color w:val="auto"/>
          <w:sz w:val="24"/>
        </w:rPr>
      </w:pPr>
      <w:bookmarkStart w:id="0" w:name="_Toc47258237"/>
      <w:r>
        <w:rPr>
          <w:rFonts w:ascii="Times New Roman" w:hAnsi="Times New Roman" w:eastAsia="宋体" w:cs="Times New Roman"/>
          <w:bCs/>
          <w:color w:val="auto"/>
          <w:sz w:val="24"/>
        </w:rPr>
        <w:t>附件1  委托书</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附件2  投资项目备案证</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附件3  芒市汇捷汽车有限服务公司情况说明</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附件4  营业执照</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附件5  租赁合同</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附件5-1  土地证</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附件6  原环评登记表及审批意见</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附件7  色漆成分说明</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附件8  稀释剂成分说明</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附件9  固化剂成分说明</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附件10  清漆成分说明</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附件11  底漆成分说明</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附件12  环境影响评价技术合同</w:t>
      </w:r>
    </w:p>
    <w:p>
      <w:pPr>
        <w:spacing w:line="300" w:lineRule="auto"/>
        <w:ind w:firstLine="480" w:firstLineChars="200"/>
        <w:jc w:val="left"/>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附件1</w:t>
      </w:r>
      <w:r>
        <w:rPr>
          <w:rFonts w:ascii="Times New Roman" w:hAnsi="Times New Roman" w:eastAsia="宋体" w:cs="Times New Roman"/>
          <w:bCs/>
          <w:color w:val="auto"/>
          <w:sz w:val="24"/>
        </w:rPr>
        <w:t>3</w:t>
      </w:r>
      <w:r>
        <w:rPr>
          <w:rFonts w:hint="eastAsia" w:ascii="Times New Roman" w:hAnsi="Times New Roman" w:eastAsia="宋体" w:cs="Times New Roman"/>
          <w:bCs/>
          <w:color w:val="auto"/>
          <w:sz w:val="24"/>
        </w:rPr>
        <w:t xml:space="preserve">  云南百源众环进度、审核表</w:t>
      </w:r>
    </w:p>
    <w:p>
      <w:pPr>
        <w:pStyle w:val="2"/>
        <w:rPr>
          <w:rFonts w:ascii="Times New Roman" w:hAnsi="Times New Roman"/>
          <w:color w:val="auto"/>
        </w:rPr>
        <w:sectPr>
          <w:headerReference r:id="rId5" w:type="default"/>
          <w:footerReference r:id="rId6" w:type="default"/>
          <w:pgSz w:w="11906" w:h="16838"/>
          <w:pgMar w:top="1440" w:right="1800" w:bottom="1440" w:left="1800" w:header="851" w:footer="992" w:gutter="0"/>
          <w:pgNumType w:fmt="upperRoman" w:start="1"/>
          <w:cols w:space="425" w:num="1"/>
          <w:docGrid w:type="lines" w:linePitch="312" w:charSpace="0"/>
        </w:sectPr>
      </w:pPr>
    </w:p>
    <w:p>
      <w:pPr>
        <w:keepNext/>
        <w:keepLines/>
        <w:pageBreakBefore/>
        <w:jc w:val="left"/>
        <w:outlineLvl w:val="0"/>
        <w:rPr>
          <w:rFonts w:ascii="Times New Roman" w:hAnsi="Times New Roman" w:eastAsia="宋体" w:cs="Times New Roman"/>
          <w:b/>
          <w:bCs/>
          <w:color w:val="auto"/>
          <w:kern w:val="44"/>
          <w:sz w:val="30"/>
          <w:szCs w:val="44"/>
          <w:lang w:val="zh-CN"/>
        </w:rPr>
      </w:pPr>
      <w:r>
        <w:rPr>
          <w:rFonts w:ascii="Times New Roman" w:hAnsi="Times New Roman" w:eastAsia="宋体" w:cs="Times New Roman"/>
          <w:b/>
          <w:bCs/>
          <w:color w:val="auto"/>
          <w:kern w:val="44"/>
          <w:sz w:val="30"/>
          <w:szCs w:val="44"/>
          <w:lang w:val="zh-CN"/>
        </w:rPr>
        <w:t>表一、建设项目基本情况</w:t>
      </w:r>
      <w:bookmarkEnd w:id="0"/>
    </w:p>
    <w:tbl>
      <w:tblPr>
        <w:tblStyle w:val="39"/>
        <w:tblW w:w="99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18"/>
        <w:gridCol w:w="1706"/>
        <w:gridCol w:w="1592"/>
        <w:gridCol w:w="1796"/>
        <w:gridCol w:w="1811"/>
        <w:gridCol w:w="14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项目名称</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kern w:val="0"/>
                <w:sz w:val="24"/>
              </w:rPr>
              <w:t>芒市汇捷汽车服务有限公司年维修保养1800台汽车建设项目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建设单位</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kern w:val="0"/>
                <w:sz w:val="24"/>
              </w:rPr>
              <w:t>芒市汇捷汽车服务有限公司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法人代表</w:t>
            </w:r>
          </w:p>
        </w:tc>
        <w:tc>
          <w:tcPr>
            <w:tcW w:w="3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段正敏</w:t>
            </w:r>
          </w:p>
        </w:tc>
        <w:tc>
          <w:tcPr>
            <w:tcW w:w="179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联系人</w:t>
            </w:r>
          </w:p>
        </w:tc>
        <w:tc>
          <w:tcPr>
            <w:tcW w:w="322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Cs/>
                <w:color w:val="auto"/>
                <w:sz w:val="24"/>
              </w:rPr>
            </w:pPr>
            <w:r>
              <w:rPr>
                <w:rFonts w:ascii="Times New Roman" w:hAnsi="Times New Roman" w:eastAsia="宋体" w:cs="Times New Roman"/>
                <w:bCs/>
                <w:color w:val="auto"/>
                <w:sz w:val="24"/>
              </w:rPr>
              <w:t>陈跃昌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通讯地址</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Cs/>
                <w:color w:val="auto"/>
                <w:sz w:val="24"/>
              </w:rPr>
            </w:pPr>
            <w:r>
              <w:rPr>
                <w:rFonts w:ascii="Times New Roman" w:hAnsi="Times New Roman" w:eastAsia="宋体" w:cs="Times New Roman"/>
                <w:color w:val="auto"/>
                <w:sz w:val="24"/>
              </w:rPr>
              <w:t>云南省德宏州芒市胞波路203号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联系电话</w:t>
            </w:r>
          </w:p>
        </w:tc>
        <w:tc>
          <w:tcPr>
            <w:tcW w:w="170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Cs/>
                <w:color w:val="auto"/>
                <w:sz w:val="24"/>
              </w:rPr>
            </w:pPr>
            <w:r>
              <w:rPr>
                <w:rFonts w:ascii="Times New Roman" w:hAnsi="Times New Roman" w:eastAsia="宋体" w:cs="Times New Roman"/>
                <w:bCs/>
                <w:color w:val="auto"/>
                <w:sz w:val="24"/>
              </w:rPr>
              <w:t>186</w:t>
            </w:r>
            <w:r>
              <w:rPr>
                <w:rFonts w:hint="eastAsia" w:ascii="Times New Roman" w:hAnsi="Times New Roman" w:eastAsia="宋体" w:cs="Times New Roman"/>
                <w:bCs/>
                <w:color w:val="auto"/>
                <w:sz w:val="24"/>
                <w:lang w:val="en-US" w:eastAsia="zh-CN"/>
              </w:rPr>
              <w:t>****</w:t>
            </w:r>
            <w:r>
              <w:rPr>
                <w:rFonts w:ascii="Times New Roman" w:hAnsi="Times New Roman" w:eastAsia="宋体" w:cs="Times New Roman"/>
                <w:bCs/>
                <w:color w:val="auto"/>
                <w:sz w:val="24"/>
              </w:rPr>
              <w:t>779</w:t>
            </w:r>
          </w:p>
        </w:tc>
        <w:tc>
          <w:tcPr>
            <w:tcW w:w="159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传真</w:t>
            </w:r>
          </w:p>
        </w:tc>
        <w:tc>
          <w:tcPr>
            <w:tcW w:w="179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Cs/>
                <w:color w:val="auto"/>
                <w:sz w:val="24"/>
              </w:rPr>
            </w:pPr>
            <w:r>
              <w:rPr>
                <w:rFonts w:ascii="Times New Roman" w:hAnsi="Times New Roman" w:eastAsia="宋体" w:cs="Times New Roman"/>
                <w:bCs/>
                <w:color w:val="auto"/>
                <w:sz w:val="24"/>
              </w:rPr>
              <w:t>/</w:t>
            </w:r>
          </w:p>
        </w:tc>
        <w:tc>
          <w:tcPr>
            <w:tcW w:w="181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邮编</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Cs/>
                <w:color w:val="auto"/>
                <w:sz w:val="24"/>
              </w:rPr>
            </w:pPr>
            <w:r>
              <w:rPr>
                <w:rFonts w:ascii="Times New Roman" w:hAnsi="Times New Roman" w:eastAsia="宋体" w:cs="Times New Roman"/>
                <w:bCs/>
                <w:color w:val="auto"/>
                <w:sz w:val="24"/>
              </w:rPr>
              <w:t>678400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建设地点</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pStyle w:val="218"/>
              <w:autoSpaceDE w:val="0"/>
              <w:autoSpaceDN w:val="0"/>
              <w:rPr>
                <w:rFonts w:hint="default" w:ascii="Times New Roman" w:hAnsi="Times New Roman" w:eastAsia="宋体" w:cs="Times New Roman"/>
                <w:color w:val="auto"/>
              </w:rPr>
            </w:pPr>
            <w:r>
              <w:rPr>
                <w:rFonts w:hint="default" w:ascii="Times New Roman" w:hAnsi="Times New Roman" w:eastAsia="宋体" w:cs="Times New Roman"/>
                <w:color w:val="auto"/>
              </w:rPr>
              <w:t>云南省德宏州芒市胞波路203号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立项审批部门</w:t>
            </w:r>
          </w:p>
        </w:tc>
        <w:tc>
          <w:tcPr>
            <w:tcW w:w="3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芒市发展和改革局</w:t>
            </w:r>
          </w:p>
        </w:tc>
        <w:tc>
          <w:tcPr>
            <w:tcW w:w="179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备案项目编号</w:t>
            </w:r>
          </w:p>
        </w:tc>
        <w:tc>
          <w:tcPr>
            <w:tcW w:w="322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备案号：芒发改备案[2020]233号</w:t>
            </w:r>
          </w:p>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项目代码：2020-533103-80-03-008943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建设性质</w:t>
            </w:r>
          </w:p>
        </w:tc>
        <w:tc>
          <w:tcPr>
            <w:tcW w:w="3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新建√ 改扩建口 技改口</w:t>
            </w:r>
          </w:p>
        </w:tc>
        <w:tc>
          <w:tcPr>
            <w:tcW w:w="179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行业类别及代码</w:t>
            </w:r>
          </w:p>
        </w:tc>
        <w:tc>
          <w:tcPr>
            <w:tcW w:w="322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O8111汽车修理与维护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占地面积</w:t>
            </w:r>
          </w:p>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(平方米)</w:t>
            </w:r>
          </w:p>
        </w:tc>
        <w:tc>
          <w:tcPr>
            <w:tcW w:w="3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1300</w:t>
            </w:r>
          </w:p>
        </w:tc>
        <w:tc>
          <w:tcPr>
            <w:tcW w:w="179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绿化面积</w:t>
            </w:r>
          </w:p>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(平方米)</w:t>
            </w:r>
          </w:p>
        </w:tc>
        <w:tc>
          <w:tcPr>
            <w:tcW w:w="322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总投资</w:t>
            </w:r>
          </w:p>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(万元)</w:t>
            </w:r>
          </w:p>
        </w:tc>
        <w:tc>
          <w:tcPr>
            <w:tcW w:w="170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100</w:t>
            </w:r>
          </w:p>
        </w:tc>
        <w:tc>
          <w:tcPr>
            <w:tcW w:w="159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b/>
                <w:color w:val="auto"/>
                <w:sz w:val="24"/>
              </w:rPr>
              <w:t>其中：环保投资(万元)</w:t>
            </w:r>
          </w:p>
        </w:tc>
        <w:tc>
          <w:tcPr>
            <w:tcW w:w="179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14.05</w:t>
            </w:r>
          </w:p>
        </w:tc>
        <w:tc>
          <w:tcPr>
            <w:tcW w:w="181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b/>
                <w:color w:val="auto"/>
                <w:sz w:val="24"/>
              </w:rPr>
              <w:t>环保投资占总投资比例%</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14.05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评价经费</w:t>
            </w:r>
          </w:p>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(万元)</w:t>
            </w:r>
          </w:p>
        </w:tc>
        <w:tc>
          <w:tcPr>
            <w:tcW w:w="170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w:t>
            </w:r>
          </w:p>
        </w:tc>
        <w:tc>
          <w:tcPr>
            <w:tcW w:w="159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预期投产日期</w:t>
            </w:r>
          </w:p>
        </w:tc>
        <w:tc>
          <w:tcPr>
            <w:tcW w:w="502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2021年3月1日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9940" w:type="dxa"/>
            <w:gridSpan w:val="6"/>
            <w:tcBorders>
              <w:top w:val="single" w:color="auto" w:sz="6" w:space="0"/>
              <w:left w:val="single" w:color="auto" w:sz="6" w:space="0"/>
              <w:bottom w:val="single" w:color="auto" w:sz="6" w:space="0"/>
              <w:right w:val="single" w:color="auto" w:sz="6" w:space="0"/>
            </w:tcBorders>
          </w:tcPr>
          <w:p>
            <w:pPr>
              <w:pStyle w:val="79"/>
              <w:spacing w:line="360" w:lineRule="auto"/>
              <w:ind w:firstLine="482" w:firstLineChars="200"/>
              <w:jc w:val="left"/>
              <w:rPr>
                <w:b/>
                <w:color w:val="auto"/>
                <w:sz w:val="24"/>
              </w:rPr>
            </w:pPr>
            <w:r>
              <w:rPr>
                <w:b/>
                <w:color w:val="auto"/>
                <w:sz w:val="24"/>
              </w:rPr>
              <w:t>1、项目概况</w:t>
            </w:r>
          </w:p>
          <w:p>
            <w:pPr>
              <w:spacing w:line="360" w:lineRule="auto"/>
              <w:ind w:firstLine="482"/>
              <w:jc w:val="left"/>
              <w:rPr>
                <w:rFonts w:ascii="Times New Roman" w:hAnsi="Times New Roman" w:eastAsia="宋体" w:cs="Times New Roman"/>
                <w:b/>
                <w:color w:val="auto"/>
                <w:sz w:val="24"/>
              </w:rPr>
            </w:pPr>
            <w:r>
              <w:rPr>
                <w:rFonts w:ascii="Times New Roman" w:hAnsi="Times New Roman" w:eastAsia="宋体" w:cs="Times New Roman"/>
                <w:b/>
                <w:color w:val="auto"/>
                <w:sz w:val="24"/>
              </w:rPr>
              <w:t>（1）项目背景</w:t>
            </w:r>
          </w:p>
          <w:p>
            <w:pPr>
              <w:spacing w:line="360" w:lineRule="auto"/>
              <w:ind w:firstLine="480" w:firstLineChars="200"/>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芒市汇捷汽车服务有限公司（下称“建设单位”）成立于2020年1月15日，注册地址位于云南省德宏州芒市胞波路203号，经营范围：汽车修理与维护；汽车零配件的销售；证照代办服务。为了顺应市场的发展，德宏联友汽车销售服务有限公司于2019年12月1日将其位于云南省德宏州芒市胞波路203号的修理厂</w:t>
            </w:r>
            <w:r>
              <w:rPr>
                <w:rFonts w:hint="eastAsia" w:ascii="Times New Roman" w:hAnsi="Times New Roman" w:eastAsia="宋体" w:cs="Times New Roman"/>
                <w:color w:val="auto"/>
                <w:kern w:val="0"/>
                <w:sz w:val="24"/>
              </w:rPr>
              <w:t>（下称“原厂”）</w:t>
            </w:r>
            <w:r>
              <w:rPr>
                <w:rFonts w:ascii="Times New Roman" w:hAnsi="Times New Roman" w:eastAsia="宋体" w:cs="Times New Roman"/>
                <w:color w:val="auto"/>
                <w:kern w:val="0"/>
                <w:sz w:val="24"/>
              </w:rPr>
              <w:t>及相关设备全套转让给芒市汇捷汽车服务有限公司经营，建设单位接收本修理厂后，</w:t>
            </w:r>
            <w:r>
              <w:rPr>
                <w:rFonts w:hint="eastAsia" w:ascii="Times New Roman" w:hAnsi="Times New Roman" w:eastAsia="宋体" w:cs="Times New Roman"/>
                <w:color w:val="auto"/>
                <w:kern w:val="0"/>
                <w:sz w:val="24"/>
              </w:rPr>
              <w:t>在原有基础设施不变的情况下</w:t>
            </w:r>
            <w:r>
              <w:rPr>
                <w:rFonts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rPr>
              <w:t>维修保养车次增加3</w:t>
            </w:r>
            <w:r>
              <w:rPr>
                <w:rFonts w:ascii="Times New Roman" w:hAnsi="Times New Roman" w:eastAsia="宋体" w:cs="Times New Roman"/>
                <w:color w:val="auto"/>
                <w:kern w:val="0"/>
                <w:sz w:val="24"/>
              </w:rPr>
              <w:t>00</w:t>
            </w:r>
            <w:r>
              <w:rPr>
                <w:rFonts w:hint="eastAsia" w:ascii="Times New Roman" w:hAnsi="Times New Roman" w:eastAsia="宋体" w:cs="Times New Roman"/>
                <w:color w:val="auto"/>
                <w:kern w:val="0"/>
                <w:sz w:val="24"/>
              </w:rPr>
              <w:t>辆，现年</w:t>
            </w:r>
            <w:r>
              <w:rPr>
                <w:rFonts w:ascii="Times New Roman" w:hAnsi="Times New Roman" w:eastAsia="宋体" w:cs="Times New Roman"/>
                <w:color w:val="auto"/>
                <w:kern w:val="0"/>
                <w:sz w:val="24"/>
              </w:rPr>
              <w:t>维修保养车次</w:t>
            </w:r>
            <w:r>
              <w:rPr>
                <w:rFonts w:hint="eastAsia" w:ascii="Times New Roman" w:hAnsi="Times New Roman" w:eastAsia="宋体" w:cs="Times New Roman"/>
                <w:color w:val="auto"/>
                <w:kern w:val="0"/>
                <w:sz w:val="24"/>
              </w:rPr>
              <w:t>为</w:t>
            </w:r>
            <w:r>
              <w:rPr>
                <w:rFonts w:ascii="Times New Roman" w:hAnsi="Times New Roman" w:eastAsia="宋体" w:cs="Times New Roman"/>
                <w:color w:val="auto"/>
                <w:kern w:val="0"/>
                <w:sz w:val="24"/>
              </w:rPr>
              <w:t>1800辆。本项目总投资100万，总占地面积为1300m</w:t>
            </w:r>
            <w:r>
              <w:rPr>
                <w:rFonts w:ascii="Times New Roman" w:hAnsi="Times New Roman" w:eastAsia="宋体" w:cs="Times New Roman"/>
                <w:color w:val="auto"/>
                <w:kern w:val="0"/>
                <w:sz w:val="24"/>
                <w:vertAlign w:val="superscript"/>
              </w:rPr>
              <w:t>2</w:t>
            </w:r>
            <w:r>
              <w:rPr>
                <w:rFonts w:ascii="Times New Roman" w:hAnsi="Times New Roman" w:eastAsia="宋体" w:cs="Times New Roman"/>
                <w:color w:val="auto"/>
                <w:kern w:val="0"/>
                <w:sz w:val="24"/>
              </w:rPr>
              <w:t>，主要建设内容为1座汽车维修车间及相应配套公用设施等，建成后可实现年维修保养车辆1800辆的生产能力。</w:t>
            </w:r>
          </w:p>
          <w:p>
            <w:pPr>
              <w:spacing w:line="360" w:lineRule="auto"/>
              <w:ind w:firstLine="480" w:firstLineChars="200"/>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本项目于2020年11月19日取得芒市发展和改革局备案文件，备案号：芒发改备案[2020]233号，项目代码：2020-533103-80-03-008943，详见附件2。</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（2）原项目手续办理</w:t>
            </w:r>
          </w:p>
          <w:p>
            <w:pPr>
              <w:pStyle w:val="79"/>
              <w:spacing w:line="360" w:lineRule="auto"/>
              <w:ind w:firstLine="480" w:firstLineChars="200"/>
              <w:jc w:val="left"/>
              <w:rPr>
                <w:bCs/>
                <w:color w:val="auto"/>
                <w:sz w:val="24"/>
              </w:rPr>
            </w:pPr>
            <w:r>
              <w:rPr>
                <w:color w:val="auto"/>
                <w:sz w:val="24"/>
              </w:rPr>
              <w:t>2015年10月12日，</w:t>
            </w:r>
            <w:r>
              <w:rPr>
                <w:color w:val="auto"/>
                <w:kern w:val="0"/>
                <w:sz w:val="24"/>
              </w:rPr>
              <w:t>德宏联友汽车销售服务有限公司完成德宏联友汽车销售服务有限公司建设项目环境影响登记表并取得原芒市环境保护局审批意见（编号：芒环评2015-396号），详见附件7；</w:t>
            </w:r>
          </w:p>
          <w:p>
            <w:pPr>
              <w:pStyle w:val="79"/>
              <w:spacing w:line="360" w:lineRule="auto"/>
              <w:ind w:firstLine="480" w:firstLineChars="200"/>
              <w:jc w:val="left"/>
              <w:rPr>
                <w:color w:val="auto"/>
                <w:sz w:val="24"/>
              </w:rPr>
            </w:pPr>
            <w:r>
              <w:rPr>
                <w:color w:val="auto"/>
                <w:sz w:val="24"/>
              </w:rPr>
              <w:t>2020年1月2日，德宏联友汽车销售服务有限公司与有资质单位签订危险废物处置合同，详见附件6</w:t>
            </w:r>
            <w:r>
              <w:rPr>
                <w:color w:val="auto"/>
                <w:kern w:val="0"/>
                <w:sz w:val="24"/>
              </w:rPr>
              <w:t>。</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（3）环评程序</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根据《中华人民共和国环境保护法》、《中华人民共和国环境影响评价法》和《建设项目环境保护管理条例》（国务院令第682号）的规定，本项目应进行环境影响评价；根据《建设项目环境影响评价分类管理名录》（2018年4月28日修正），本项目属于“四十、社会事业与服务业，126、汽车、摩托车维修场所”中“有喷漆工艺的”，本项目应编制环境影响报告表。</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环评类别见表1-1。</w:t>
            </w:r>
          </w:p>
          <w:p>
            <w:pPr>
              <w:tabs>
                <w:tab w:val="left" w:pos="2395"/>
              </w:tabs>
              <w:ind w:firstLine="482"/>
              <w:jc w:val="center"/>
              <w:rPr>
                <w:rFonts w:ascii="Times New Roman" w:hAnsi="Times New Roman" w:eastAsia="宋体" w:cs="Times New Roman"/>
                <w:b/>
                <w:bCs/>
                <w:color w:val="auto"/>
                <w:sz w:val="24"/>
              </w:rPr>
            </w:pPr>
            <w:r>
              <w:rPr>
                <w:rFonts w:ascii="Times New Roman" w:hAnsi="Times New Roman" w:eastAsia="宋体" w:cs="Times New Roman"/>
                <w:b/>
                <w:color w:val="auto"/>
                <w:sz w:val="24"/>
              </w:rPr>
              <w:t>表1-1  环评类别一览表</w:t>
            </w:r>
          </w:p>
          <w:tbl>
            <w:tblPr>
              <w:tblStyle w:val="39"/>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2316"/>
              <w:gridCol w:w="1426"/>
              <w:gridCol w:w="3403"/>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483"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tabs>
                      <w:tab w:val="left" w:pos="2395"/>
                    </w:tabs>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 xml:space="preserve">            环评类别</w:t>
                  </w:r>
                </w:p>
                <w:p>
                  <w:pPr>
                    <w:tabs>
                      <w:tab w:val="left" w:pos="2395"/>
                    </w:tabs>
                    <w:rPr>
                      <w:rFonts w:ascii="Times New Roman" w:hAnsi="Times New Roman" w:eastAsia="宋体" w:cs="Times New Roman"/>
                      <w:b/>
                      <w:bCs/>
                      <w:color w:val="auto"/>
                      <w:szCs w:val="21"/>
                    </w:rPr>
                  </w:pPr>
                  <w:r>
                    <w:rPr>
                      <w:rFonts w:ascii="Times New Roman" w:hAnsi="Times New Roman" w:eastAsia="宋体" w:cs="Times New Roman"/>
                      <w:b/>
                      <w:bCs/>
                      <w:color w:val="auto"/>
                      <w:szCs w:val="21"/>
                    </w:rPr>
                    <w:t>项目类别</w:t>
                  </w:r>
                </w:p>
              </w:tc>
              <w:tc>
                <w:tcPr>
                  <w:tcW w:w="1426" w:type="dxa"/>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报告书</w:t>
                  </w:r>
                </w:p>
              </w:tc>
              <w:tc>
                <w:tcPr>
                  <w:tcW w:w="3403" w:type="dxa"/>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报告表</w:t>
                  </w:r>
                </w:p>
              </w:tc>
              <w:tc>
                <w:tcPr>
                  <w:tcW w:w="1562" w:type="dxa"/>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4" w:type="dxa"/>
                  <w:gridSpan w:val="5"/>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Cs/>
                      <w:color w:val="auto"/>
                      <w:szCs w:val="21"/>
                    </w:rPr>
                  </w:pPr>
                  <w:r>
                    <w:rPr>
                      <w:rFonts w:ascii="Times New Roman" w:hAnsi="Times New Roman" w:eastAsia="宋体" w:cs="Times New Roman"/>
                      <w:b/>
                      <w:color w:val="auto"/>
                      <w:szCs w:val="21"/>
                    </w:rPr>
                    <w:t>四十、社会事业与服务业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7" w:type="dxa"/>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126</w:t>
                  </w:r>
                </w:p>
              </w:tc>
              <w:tc>
                <w:tcPr>
                  <w:tcW w:w="23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汽车、摩托车维修场所</w:t>
                  </w:r>
                </w:p>
              </w:tc>
              <w:tc>
                <w:tcPr>
                  <w:tcW w:w="1426" w:type="dxa"/>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 xml:space="preserve">/ </w:t>
                  </w:r>
                </w:p>
              </w:tc>
              <w:tc>
                <w:tcPr>
                  <w:tcW w:w="3403" w:type="dxa"/>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Cs/>
                      <w:color w:val="auto"/>
                      <w:szCs w:val="21"/>
                    </w:rPr>
                  </w:pPr>
                  <w:r>
                    <w:rPr>
                      <w:rFonts w:ascii="Times New Roman" w:hAnsi="Times New Roman" w:eastAsia="宋体" w:cs="Times New Roman"/>
                      <w:b/>
                      <w:color w:val="auto"/>
                      <w:szCs w:val="21"/>
                    </w:rPr>
                    <w:t>涉及环境敏感区的；有喷漆工艺的</w:t>
                  </w:r>
                </w:p>
              </w:tc>
              <w:tc>
                <w:tcPr>
                  <w:tcW w:w="1562" w:type="dxa"/>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其他</w:t>
                  </w:r>
                </w:p>
              </w:tc>
            </w:tr>
          </w:tbl>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为此，受建设方委托，云南百源众环环保科技有限公司（以下简称“我单位”）承担了该项目环境影响报告表的编制工作。我单位接到委托后，在现场踏勘和收集相关资料的基础上，编制完成了《芒市汇捷汽车服务有限公司年维修保养1800台汽车建设项目环境影响报告表》，供建设单位上报环境主管部门审批，作为该项目环境管理的依据。</w:t>
            </w:r>
          </w:p>
          <w:p>
            <w:pPr>
              <w:pStyle w:val="79"/>
              <w:spacing w:line="360" w:lineRule="auto"/>
              <w:ind w:firstLine="482" w:firstLineChars="200"/>
              <w:jc w:val="left"/>
              <w:rPr>
                <w:b/>
                <w:color w:val="auto"/>
                <w:sz w:val="24"/>
              </w:rPr>
            </w:pPr>
            <w:r>
              <w:rPr>
                <w:b/>
                <w:color w:val="auto"/>
                <w:sz w:val="24"/>
              </w:rPr>
              <w:t>2、建设规模及内容</w:t>
            </w:r>
          </w:p>
          <w:p>
            <w:pPr>
              <w:tabs>
                <w:tab w:val="left" w:pos="2395"/>
              </w:tabs>
              <w:spacing w:line="360" w:lineRule="auto"/>
              <w:ind w:firstLine="482" w:firstLineChars="200"/>
              <w:jc w:val="left"/>
              <w:rPr>
                <w:rFonts w:ascii="Times New Roman" w:hAnsi="Times New Roman" w:eastAsia="宋体" w:cs="Times New Roman"/>
                <w:color w:val="auto"/>
                <w:sz w:val="24"/>
              </w:rPr>
            </w:pPr>
            <w:r>
              <w:rPr>
                <w:rFonts w:ascii="Times New Roman" w:hAnsi="Times New Roman" w:eastAsia="宋体" w:cs="Times New Roman"/>
                <w:b/>
                <w:color w:val="auto"/>
                <w:sz w:val="24"/>
              </w:rPr>
              <w:t>项目名称：</w:t>
            </w:r>
            <w:r>
              <w:rPr>
                <w:rFonts w:ascii="Times New Roman" w:hAnsi="Times New Roman" w:eastAsia="宋体" w:cs="Times New Roman"/>
                <w:color w:val="auto"/>
                <w:kern w:val="0"/>
                <w:sz w:val="24"/>
              </w:rPr>
              <w:t>芒市汇捷汽车服务有限公司年维修保养1800台汽车建设项目</w:t>
            </w:r>
          </w:p>
          <w:p>
            <w:pPr>
              <w:tabs>
                <w:tab w:val="left" w:pos="2395"/>
              </w:tabs>
              <w:spacing w:line="360" w:lineRule="auto"/>
              <w:ind w:firstLine="482" w:firstLineChars="200"/>
              <w:jc w:val="left"/>
              <w:rPr>
                <w:rFonts w:ascii="Times New Roman" w:hAnsi="Times New Roman" w:eastAsia="宋体" w:cs="Times New Roman"/>
                <w:color w:val="auto"/>
                <w:sz w:val="24"/>
              </w:rPr>
            </w:pPr>
            <w:r>
              <w:rPr>
                <w:rFonts w:ascii="Times New Roman" w:hAnsi="Times New Roman" w:eastAsia="宋体" w:cs="Times New Roman"/>
                <w:b/>
                <w:color w:val="auto"/>
                <w:sz w:val="24"/>
              </w:rPr>
              <w:t>建设单位：</w:t>
            </w:r>
            <w:r>
              <w:rPr>
                <w:rFonts w:ascii="Times New Roman" w:hAnsi="Times New Roman" w:eastAsia="宋体" w:cs="Times New Roman"/>
                <w:color w:val="auto"/>
                <w:sz w:val="24"/>
              </w:rPr>
              <w:t>芒市汇捷汽车服务有限公司</w:t>
            </w:r>
          </w:p>
          <w:p>
            <w:pPr>
              <w:tabs>
                <w:tab w:val="left" w:pos="2395"/>
              </w:tabs>
              <w:spacing w:line="360" w:lineRule="auto"/>
              <w:ind w:firstLine="482" w:firstLineChars="200"/>
              <w:jc w:val="left"/>
              <w:rPr>
                <w:rFonts w:ascii="Times New Roman" w:hAnsi="Times New Roman" w:eastAsia="宋体" w:cs="Times New Roman"/>
                <w:color w:val="auto"/>
                <w:sz w:val="24"/>
              </w:rPr>
            </w:pPr>
            <w:r>
              <w:rPr>
                <w:rFonts w:ascii="Times New Roman" w:hAnsi="Times New Roman" w:eastAsia="宋体" w:cs="Times New Roman"/>
                <w:b/>
                <w:color w:val="auto"/>
                <w:sz w:val="24"/>
              </w:rPr>
              <w:t>建设地点：</w:t>
            </w:r>
            <w:r>
              <w:rPr>
                <w:rFonts w:ascii="Times New Roman" w:hAnsi="Times New Roman" w:eastAsia="宋体" w:cs="Times New Roman"/>
                <w:color w:val="auto"/>
                <w:sz w:val="24"/>
              </w:rPr>
              <w:t>云南省德宏州芒市胞波路203号</w:t>
            </w:r>
          </w:p>
          <w:p>
            <w:pPr>
              <w:tabs>
                <w:tab w:val="left" w:pos="2395"/>
              </w:tabs>
              <w:spacing w:line="360" w:lineRule="auto"/>
              <w:ind w:firstLine="482" w:firstLineChars="200"/>
              <w:jc w:val="left"/>
              <w:rPr>
                <w:rFonts w:ascii="Times New Roman" w:hAnsi="Times New Roman" w:eastAsia="宋体" w:cs="Times New Roman"/>
                <w:color w:val="auto"/>
                <w:sz w:val="24"/>
              </w:rPr>
            </w:pPr>
            <w:r>
              <w:rPr>
                <w:rFonts w:ascii="Times New Roman" w:hAnsi="Times New Roman" w:eastAsia="宋体" w:cs="Times New Roman"/>
                <w:b/>
                <w:color w:val="auto"/>
                <w:sz w:val="24"/>
              </w:rPr>
              <w:t>建设性质：</w:t>
            </w:r>
            <w:r>
              <w:rPr>
                <w:rFonts w:ascii="Times New Roman" w:hAnsi="Times New Roman" w:eastAsia="宋体" w:cs="Times New Roman"/>
                <w:color w:val="auto"/>
                <w:sz w:val="24"/>
              </w:rPr>
              <w:t>新</w:t>
            </w:r>
            <w:r>
              <w:rPr>
                <w:rFonts w:ascii="Times New Roman" w:hAnsi="Times New Roman" w:eastAsia="宋体" w:cs="Times New Roman"/>
                <w:bCs/>
                <w:color w:val="auto"/>
                <w:sz w:val="24"/>
              </w:rPr>
              <w:t>建</w:t>
            </w:r>
          </w:p>
          <w:p>
            <w:pPr>
              <w:tabs>
                <w:tab w:val="left" w:pos="2395"/>
              </w:tabs>
              <w:spacing w:line="360" w:lineRule="auto"/>
              <w:ind w:firstLine="482" w:firstLineChars="200"/>
              <w:jc w:val="left"/>
              <w:rPr>
                <w:rFonts w:ascii="Times New Roman" w:hAnsi="Times New Roman" w:eastAsia="宋体" w:cs="Times New Roman"/>
                <w:color w:val="auto"/>
                <w:sz w:val="24"/>
              </w:rPr>
            </w:pPr>
            <w:r>
              <w:rPr>
                <w:rFonts w:ascii="Times New Roman" w:hAnsi="Times New Roman" w:eastAsia="宋体" w:cs="Times New Roman"/>
                <w:b/>
                <w:color w:val="auto"/>
                <w:sz w:val="24"/>
              </w:rPr>
              <w:t>投资总额：</w:t>
            </w:r>
            <w:r>
              <w:rPr>
                <w:rFonts w:ascii="Times New Roman" w:hAnsi="Times New Roman" w:eastAsia="宋体" w:cs="Times New Roman"/>
                <w:color w:val="auto"/>
                <w:sz w:val="24"/>
              </w:rPr>
              <w:t>100万元</w:t>
            </w:r>
          </w:p>
          <w:p>
            <w:pPr>
              <w:tabs>
                <w:tab w:val="left" w:pos="2395"/>
              </w:tabs>
              <w:spacing w:line="360" w:lineRule="auto"/>
              <w:ind w:firstLine="482" w:firstLineChars="200"/>
              <w:jc w:val="left"/>
              <w:rPr>
                <w:rFonts w:ascii="Times New Roman" w:hAnsi="Times New Roman" w:eastAsia="宋体" w:cs="Times New Roman"/>
                <w:color w:val="auto"/>
                <w:sz w:val="24"/>
              </w:rPr>
            </w:pPr>
            <w:r>
              <w:rPr>
                <w:rFonts w:ascii="Times New Roman" w:hAnsi="Times New Roman" w:eastAsia="宋体" w:cs="Times New Roman"/>
                <w:b/>
                <w:color w:val="auto"/>
                <w:sz w:val="24"/>
              </w:rPr>
              <w:t>建设内容：</w:t>
            </w:r>
            <w:r>
              <w:rPr>
                <w:rFonts w:ascii="Times New Roman" w:hAnsi="Times New Roman" w:eastAsia="宋体" w:cs="Times New Roman"/>
                <w:color w:val="auto"/>
                <w:sz w:val="24"/>
              </w:rPr>
              <w:t>本项目主要利用原有厂房改造，建设内容主要包括维修区、保养区、四轮定位区、打磨间、喷烤漆房、钣喷维修间、机电维修间等以及相关附属设施建设。</w:t>
            </w:r>
          </w:p>
          <w:p>
            <w:pPr>
              <w:tabs>
                <w:tab w:val="left" w:pos="2395"/>
              </w:tabs>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项目建成后维修保养车辆1800</w:t>
            </w:r>
            <w:r>
              <w:rPr>
                <w:rFonts w:ascii="Times New Roman" w:hAnsi="Times New Roman" w:eastAsia="宋体" w:cs="Times New Roman"/>
                <w:color w:val="auto"/>
                <w:kern w:val="0"/>
                <w:sz w:val="24"/>
              </w:rPr>
              <w:t>台</w:t>
            </w:r>
            <w:r>
              <w:rPr>
                <w:rFonts w:ascii="Times New Roman" w:hAnsi="Times New Roman" w:eastAsia="宋体" w:cs="Times New Roman"/>
                <w:color w:val="auto"/>
                <w:sz w:val="24"/>
              </w:rPr>
              <w:t>/a</w:t>
            </w:r>
            <w:commentRangeStart w:id="0"/>
            <w:r>
              <w:rPr>
                <w:rFonts w:ascii="Times New Roman" w:hAnsi="Times New Roman" w:eastAsia="宋体" w:cs="Times New Roman"/>
                <w:color w:val="auto"/>
                <w:sz w:val="24"/>
              </w:rPr>
              <w:t>（其中喷漆480</w:t>
            </w:r>
            <w:r>
              <w:rPr>
                <w:rFonts w:ascii="Times New Roman" w:hAnsi="Times New Roman" w:eastAsia="宋体" w:cs="Times New Roman"/>
                <w:color w:val="auto"/>
                <w:kern w:val="0"/>
                <w:sz w:val="24"/>
              </w:rPr>
              <w:t>台</w:t>
            </w:r>
            <w:r>
              <w:rPr>
                <w:rFonts w:ascii="Times New Roman" w:hAnsi="Times New Roman" w:eastAsia="宋体" w:cs="Times New Roman"/>
                <w:color w:val="auto"/>
                <w:sz w:val="24"/>
              </w:rPr>
              <w:t>/a）</w:t>
            </w:r>
            <w:commentRangeEnd w:id="0"/>
            <w:r>
              <w:rPr>
                <w:color w:val="auto"/>
              </w:rPr>
              <w:commentReference w:id="0"/>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不涉及洗车服务</w:t>
            </w:r>
            <w:r>
              <w:rPr>
                <w:rFonts w:ascii="Times New Roman" w:hAnsi="Times New Roman" w:eastAsia="宋体" w:cs="Times New Roman"/>
                <w:color w:val="auto"/>
                <w:sz w:val="24"/>
              </w:rPr>
              <w:t>。</w:t>
            </w:r>
          </w:p>
          <w:p>
            <w:pPr>
              <w:tabs>
                <w:tab w:val="left" w:pos="2395"/>
              </w:tabs>
              <w:spacing w:line="360" w:lineRule="auto"/>
              <w:ind w:firstLine="480" w:firstLineChars="200"/>
              <w:rPr>
                <w:rFonts w:ascii="Times New Roman" w:hAnsi="Times New Roman" w:eastAsia="宋体" w:cs="Times New Roman"/>
                <w:b/>
                <w:color w:val="auto"/>
                <w:sz w:val="24"/>
              </w:rPr>
            </w:pPr>
            <w:r>
              <w:rPr>
                <w:rFonts w:ascii="Times New Roman" w:hAnsi="Times New Roman" w:eastAsia="宋体" w:cs="Times New Roman"/>
                <w:bCs/>
                <w:color w:val="auto"/>
                <w:sz w:val="24"/>
              </w:rPr>
              <w:t>项目工程内容组成见表1-2。</w:t>
            </w:r>
          </w:p>
          <w:p>
            <w:pPr>
              <w:tabs>
                <w:tab w:val="left" w:pos="2395"/>
              </w:tabs>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表1-2  项目建设内容一览表</w:t>
            </w:r>
          </w:p>
          <w:tbl>
            <w:tblPr>
              <w:tblStyle w:val="4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36"/>
              <w:gridCol w:w="7690"/>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Align w:val="center"/>
                </w:tcPr>
                <w:p>
                  <w:pPr>
                    <w:pStyle w:val="79"/>
                    <w:jc w:val="center"/>
                    <w:rPr>
                      <w:b/>
                      <w:bCs/>
                      <w:color w:val="auto"/>
                      <w:szCs w:val="21"/>
                    </w:rPr>
                  </w:pPr>
                  <w:r>
                    <w:rPr>
                      <w:b/>
                      <w:bCs/>
                      <w:color w:val="auto"/>
                      <w:szCs w:val="21"/>
                    </w:rPr>
                    <w:t>类别</w:t>
                  </w:r>
                </w:p>
              </w:tc>
              <w:tc>
                <w:tcPr>
                  <w:tcW w:w="1036" w:type="dxa"/>
                  <w:vAlign w:val="center"/>
                </w:tcPr>
                <w:p>
                  <w:pPr>
                    <w:pStyle w:val="79"/>
                    <w:jc w:val="center"/>
                    <w:rPr>
                      <w:b/>
                      <w:bCs/>
                      <w:color w:val="auto"/>
                      <w:szCs w:val="21"/>
                    </w:rPr>
                  </w:pPr>
                  <w:r>
                    <w:rPr>
                      <w:b/>
                      <w:bCs/>
                      <w:color w:val="auto"/>
                      <w:szCs w:val="21"/>
                    </w:rPr>
                    <w:t>工程名称</w:t>
                  </w:r>
                </w:p>
              </w:tc>
              <w:tc>
                <w:tcPr>
                  <w:tcW w:w="7690" w:type="dxa"/>
                  <w:vAlign w:val="center"/>
                </w:tcPr>
                <w:p>
                  <w:pPr>
                    <w:pStyle w:val="79"/>
                    <w:jc w:val="center"/>
                    <w:rPr>
                      <w:b/>
                      <w:bCs/>
                      <w:color w:val="auto"/>
                      <w:szCs w:val="21"/>
                    </w:rPr>
                  </w:pPr>
                  <w:r>
                    <w:rPr>
                      <w:b/>
                      <w:bCs/>
                      <w:color w:val="auto"/>
                      <w:szCs w:val="21"/>
                    </w:rPr>
                    <w:t>建设内容</w:t>
                  </w:r>
                  <w:r>
                    <w:rPr>
                      <w:rFonts w:hint="eastAsia"/>
                      <w:b/>
                      <w:bCs/>
                      <w:color w:val="auto"/>
                      <w:szCs w:val="21"/>
                    </w:rPr>
                    <w:t>及规模</w:t>
                  </w:r>
                </w:p>
              </w:tc>
              <w:tc>
                <w:tcPr>
                  <w:tcW w:w="721" w:type="dxa"/>
                  <w:vAlign w:val="center"/>
                </w:tcPr>
                <w:p>
                  <w:pPr>
                    <w:pStyle w:val="79"/>
                    <w:jc w:val="center"/>
                    <w:rPr>
                      <w:b/>
                      <w:bCs/>
                      <w:color w:val="auto"/>
                      <w:szCs w:val="21"/>
                    </w:rPr>
                  </w:pPr>
                  <w:r>
                    <w:rPr>
                      <w:rFonts w:hint="eastAsia"/>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restart"/>
                  <w:vAlign w:val="center"/>
                </w:tcPr>
                <w:p>
                  <w:pPr>
                    <w:pStyle w:val="79"/>
                    <w:jc w:val="center"/>
                    <w:rPr>
                      <w:bCs/>
                      <w:color w:val="auto"/>
                      <w:szCs w:val="21"/>
                    </w:rPr>
                  </w:pPr>
                  <w:r>
                    <w:rPr>
                      <w:bCs/>
                      <w:color w:val="auto"/>
                      <w:szCs w:val="21"/>
                    </w:rPr>
                    <w:t>主体工程</w:t>
                  </w:r>
                </w:p>
              </w:tc>
              <w:tc>
                <w:tcPr>
                  <w:tcW w:w="1036" w:type="dxa"/>
                  <w:vAlign w:val="center"/>
                </w:tcPr>
                <w:p>
                  <w:pPr>
                    <w:pStyle w:val="79"/>
                    <w:jc w:val="center"/>
                    <w:rPr>
                      <w:bCs/>
                      <w:color w:val="auto"/>
                      <w:szCs w:val="21"/>
                    </w:rPr>
                  </w:pPr>
                  <w:r>
                    <w:rPr>
                      <w:bCs/>
                      <w:color w:val="auto"/>
                      <w:szCs w:val="21"/>
                    </w:rPr>
                    <w:t>维修区</w:t>
                  </w:r>
                </w:p>
              </w:tc>
              <w:tc>
                <w:tcPr>
                  <w:tcW w:w="7690" w:type="dxa"/>
                  <w:vAlign w:val="center"/>
                </w:tcPr>
                <w:p>
                  <w:pPr>
                    <w:pStyle w:val="79"/>
                    <w:ind w:firstLine="420" w:firstLineChars="200"/>
                    <w:jc w:val="left"/>
                    <w:rPr>
                      <w:bCs/>
                      <w:color w:val="auto"/>
                      <w:szCs w:val="21"/>
                    </w:rPr>
                  </w:pPr>
                  <w:r>
                    <w:rPr>
                      <w:bCs/>
                      <w:color w:val="auto"/>
                      <w:szCs w:val="21"/>
                    </w:rPr>
                    <w:t>位于项目区东侧，占地面积50m</w:t>
                  </w:r>
                  <w:r>
                    <w:rPr>
                      <w:bCs/>
                      <w:color w:val="auto"/>
                      <w:szCs w:val="21"/>
                      <w:vertAlign w:val="superscript"/>
                    </w:rPr>
                    <w:t>2</w:t>
                  </w:r>
                  <w:r>
                    <w:rPr>
                      <w:bCs/>
                      <w:color w:val="auto"/>
                      <w:szCs w:val="21"/>
                    </w:rPr>
                    <w:t>，主要对汽车进行检查、补给、润滑、调整或更换某些零件等。</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color w:val="auto"/>
                    </w:rPr>
                  </w:pPr>
                </w:p>
              </w:tc>
              <w:tc>
                <w:tcPr>
                  <w:tcW w:w="1036" w:type="dxa"/>
                  <w:vAlign w:val="center"/>
                </w:tcPr>
                <w:p>
                  <w:pPr>
                    <w:pStyle w:val="79"/>
                    <w:jc w:val="center"/>
                    <w:rPr>
                      <w:color w:val="auto"/>
                    </w:rPr>
                  </w:pPr>
                  <w:r>
                    <w:rPr>
                      <w:color w:val="auto"/>
                    </w:rPr>
                    <w:t>保养区</w:t>
                  </w:r>
                </w:p>
              </w:tc>
              <w:tc>
                <w:tcPr>
                  <w:tcW w:w="7690" w:type="dxa"/>
                  <w:vAlign w:val="center"/>
                </w:tcPr>
                <w:p>
                  <w:pPr>
                    <w:pStyle w:val="79"/>
                    <w:ind w:firstLine="420" w:firstLineChars="200"/>
                    <w:rPr>
                      <w:color w:val="auto"/>
                    </w:rPr>
                  </w:pPr>
                  <w:r>
                    <w:rPr>
                      <w:bCs/>
                      <w:color w:val="auto"/>
                      <w:szCs w:val="21"/>
                    </w:rPr>
                    <w:t>位于项目区南侧，</w:t>
                  </w:r>
                  <w:r>
                    <w:rPr>
                      <w:color w:val="auto"/>
                    </w:rPr>
                    <w:t>占地面积132m</w:t>
                  </w:r>
                  <w:r>
                    <w:rPr>
                      <w:color w:val="auto"/>
                      <w:vertAlign w:val="superscript"/>
                    </w:rPr>
                    <w:t>2</w:t>
                  </w:r>
                  <w:r>
                    <w:rPr>
                      <w:color w:val="auto"/>
                    </w:rPr>
                    <w:t>，共设5个保养工位，主要用于汽车检查、保养等</w:t>
                  </w:r>
                  <w:r>
                    <w:rPr>
                      <w:color w:val="auto"/>
                      <w:kern w:val="0"/>
                      <w:szCs w:val="21"/>
                    </w:rPr>
                    <w:t>。</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rPr>
                  </w:pPr>
                </w:p>
              </w:tc>
              <w:tc>
                <w:tcPr>
                  <w:tcW w:w="1036" w:type="dxa"/>
                  <w:vAlign w:val="center"/>
                </w:tcPr>
                <w:p>
                  <w:pPr>
                    <w:pStyle w:val="79"/>
                    <w:jc w:val="center"/>
                    <w:rPr>
                      <w:bCs/>
                      <w:color w:val="auto"/>
                      <w:szCs w:val="21"/>
                    </w:rPr>
                  </w:pPr>
                  <w:r>
                    <w:rPr>
                      <w:bCs/>
                      <w:color w:val="auto"/>
                      <w:szCs w:val="21"/>
                    </w:rPr>
                    <w:t>四轮定位区</w:t>
                  </w:r>
                </w:p>
              </w:tc>
              <w:tc>
                <w:tcPr>
                  <w:tcW w:w="7690" w:type="dxa"/>
                  <w:vAlign w:val="center"/>
                </w:tcPr>
                <w:p>
                  <w:pPr>
                    <w:pStyle w:val="79"/>
                    <w:ind w:firstLine="420" w:firstLineChars="200"/>
                    <w:rPr>
                      <w:bCs/>
                      <w:color w:val="auto"/>
                      <w:szCs w:val="21"/>
                    </w:rPr>
                  </w:pPr>
                  <w:r>
                    <w:rPr>
                      <w:bCs/>
                      <w:color w:val="auto"/>
                      <w:szCs w:val="21"/>
                    </w:rPr>
                    <w:t>位于项目区西侧，占地面积48m</w:t>
                  </w:r>
                  <w:r>
                    <w:rPr>
                      <w:bCs/>
                      <w:color w:val="auto"/>
                      <w:szCs w:val="21"/>
                      <w:vertAlign w:val="superscript"/>
                    </w:rPr>
                    <w:t>2</w:t>
                  </w:r>
                  <w:r>
                    <w:rPr>
                      <w:bCs/>
                      <w:color w:val="auto"/>
                      <w:szCs w:val="21"/>
                    </w:rPr>
                    <w:t>，主要进行机油、变速箱油、齿轮油、刹车油的检查及更换，底盘件、四轮件的检查及更换工作。</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pStyle w:val="79"/>
                    <w:jc w:val="center"/>
                    <w:rPr>
                      <w:bCs/>
                      <w:color w:val="auto"/>
                      <w:szCs w:val="21"/>
                    </w:rPr>
                  </w:pPr>
                  <w:r>
                    <w:rPr>
                      <w:bCs/>
                      <w:color w:val="auto"/>
                      <w:szCs w:val="21"/>
                    </w:rPr>
                    <w:t>打磨间</w:t>
                  </w:r>
                </w:p>
              </w:tc>
              <w:tc>
                <w:tcPr>
                  <w:tcW w:w="7690" w:type="dxa"/>
                  <w:vAlign w:val="center"/>
                </w:tcPr>
                <w:p>
                  <w:pPr>
                    <w:pStyle w:val="79"/>
                    <w:ind w:firstLine="420" w:firstLineChars="200"/>
                    <w:rPr>
                      <w:bCs/>
                      <w:color w:val="auto"/>
                      <w:szCs w:val="21"/>
                    </w:rPr>
                  </w:pPr>
                  <w:r>
                    <w:rPr>
                      <w:bCs/>
                      <w:color w:val="auto"/>
                      <w:szCs w:val="21"/>
                    </w:rPr>
                    <w:t>位于项目区东南侧，建筑面积30m</w:t>
                  </w:r>
                  <w:r>
                    <w:rPr>
                      <w:bCs/>
                      <w:color w:val="auto"/>
                      <w:szCs w:val="21"/>
                      <w:vertAlign w:val="superscript"/>
                    </w:rPr>
                    <w:t>2</w:t>
                  </w:r>
                  <w:r>
                    <w:rPr>
                      <w:bCs/>
                      <w:color w:val="auto"/>
                      <w:szCs w:val="21"/>
                    </w:rPr>
                    <w:t>，设有1个工位，该工位为密闭空间，主要供喷漆过程的打磨、补灰使用。采用干法打磨工艺，设有打磨抛光设备3套，干磨机自带收尘设施。钢结构厂房。</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pStyle w:val="79"/>
                    <w:jc w:val="center"/>
                    <w:rPr>
                      <w:bCs/>
                      <w:color w:val="auto"/>
                      <w:szCs w:val="21"/>
                    </w:rPr>
                  </w:pPr>
                  <w:r>
                    <w:rPr>
                      <w:bCs/>
                      <w:color w:val="auto"/>
                      <w:szCs w:val="21"/>
                    </w:rPr>
                    <w:t>喷烤漆房</w:t>
                  </w:r>
                </w:p>
              </w:tc>
              <w:tc>
                <w:tcPr>
                  <w:tcW w:w="7690" w:type="dxa"/>
                  <w:vAlign w:val="center"/>
                </w:tcPr>
                <w:p>
                  <w:pPr>
                    <w:pStyle w:val="79"/>
                    <w:ind w:firstLine="420" w:firstLineChars="200"/>
                    <w:rPr>
                      <w:bCs/>
                      <w:color w:val="auto"/>
                      <w:szCs w:val="21"/>
                    </w:rPr>
                  </w:pPr>
                  <w:r>
                    <w:rPr>
                      <w:bCs/>
                      <w:color w:val="auto"/>
                      <w:szCs w:val="21"/>
                    </w:rPr>
                    <w:t>位于项目区东南侧，建筑面积30m</w:t>
                  </w:r>
                  <w:r>
                    <w:rPr>
                      <w:bCs/>
                      <w:color w:val="auto"/>
                      <w:szCs w:val="21"/>
                      <w:vertAlign w:val="superscript"/>
                    </w:rPr>
                    <w:t>2</w:t>
                  </w:r>
                  <w:r>
                    <w:rPr>
                      <w:bCs/>
                      <w:color w:val="auto"/>
                      <w:szCs w:val="21"/>
                    </w:rPr>
                    <w:t>，共1间，为封闭式，设置于厂区东部，主要进行汽车表面损坏处理，根据具体情况进行喷漆和烤漆，烤漆采用电加热方式进行烘烤。</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pStyle w:val="79"/>
                    <w:jc w:val="center"/>
                    <w:rPr>
                      <w:bCs/>
                      <w:color w:val="auto"/>
                      <w:szCs w:val="21"/>
                    </w:rPr>
                  </w:pPr>
                  <w:r>
                    <w:rPr>
                      <w:bCs/>
                      <w:color w:val="auto"/>
                      <w:szCs w:val="21"/>
                    </w:rPr>
                    <w:t>钣喷维修间</w:t>
                  </w:r>
                </w:p>
              </w:tc>
              <w:tc>
                <w:tcPr>
                  <w:tcW w:w="7690" w:type="dxa"/>
                  <w:vAlign w:val="center"/>
                </w:tcPr>
                <w:p>
                  <w:pPr>
                    <w:pStyle w:val="79"/>
                    <w:ind w:firstLine="420" w:firstLineChars="200"/>
                    <w:jc w:val="left"/>
                    <w:rPr>
                      <w:bCs/>
                      <w:color w:val="auto"/>
                      <w:szCs w:val="21"/>
                    </w:rPr>
                  </w:pPr>
                  <w:r>
                    <w:rPr>
                      <w:bCs/>
                      <w:color w:val="auto"/>
                      <w:szCs w:val="21"/>
                    </w:rPr>
                    <w:t>位于项目区东南侧，建筑面积33m</w:t>
                  </w:r>
                  <w:r>
                    <w:rPr>
                      <w:bCs/>
                      <w:color w:val="auto"/>
                      <w:szCs w:val="21"/>
                      <w:vertAlign w:val="superscript"/>
                    </w:rPr>
                    <w:t>2</w:t>
                  </w:r>
                  <w:r>
                    <w:rPr>
                      <w:bCs/>
                      <w:color w:val="auto"/>
                      <w:szCs w:val="21"/>
                    </w:rPr>
                    <w:t>，共设置1个钣金工位，主要进行车身的变形修复、车架的修复、各梁柱的修复及保险杠、叶子板、各大小灯更换及修复、车身校正、拆解等工作。钢结构厂房。</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pStyle w:val="79"/>
                    <w:jc w:val="center"/>
                    <w:rPr>
                      <w:bCs/>
                      <w:color w:val="auto"/>
                      <w:szCs w:val="21"/>
                    </w:rPr>
                  </w:pPr>
                  <w:r>
                    <w:rPr>
                      <w:bCs/>
                      <w:color w:val="auto"/>
                      <w:szCs w:val="21"/>
                    </w:rPr>
                    <w:t>机电维修间</w:t>
                  </w:r>
                </w:p>
              </w:tc>
              <w:tc>
                <w:tcPr>
                  <w:tcW w:w="7690" w:type="dxa"/>
                  <w:vAlign w:val="center"/>
                </w:tcPr>
                <w:p>
                  <w:pPr>
                    <w:pStyle w:val="79"/>
                    <w:ind w:firstLine="420" w:firstLineChars="200"/>
                    <w:jc w:val="left"/>
                    <w:rPr>
                      <w:bCs/>
                      <w:color w:val="auto"/>
                      <w:szCs w:val="21"/>
                    </w:rPr>
                  </w:pPr>
                  <w:r>
                    <w:rPr>
                      <w:bCs/>
                      <w:color w:val="auto"/>
                      <w:szCs w:val="21"/>
                    </w:rPr>
                    <w:t>位于项目区南侧，建筑面积33m</w:t>
                  </w:r>
                  <w:r>
                    <w:rPr>
                      <w:bCs/>
                      <w:color w:val="auto"/>
                      <w:szCs w:val="21"/>
                      <w:vertAlign w:val="superscript"/>
                    </w:rPr>
                    <w:t>2</w:t>
                  </w:r>
                  <w:r>
                    <w:rPr>
                      <w:bCs/>
                      <w:color w:val="auto"/>
                      <w:szCs w:val="21"/>
                    </w:rPr>
                    <w:t>，主要用以汽车机电维修等。</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pStyle w:val="79"/>
                    <w:jc w:val="center"/>
                    <w:rPr>
                      <w:bCs/>
                      <w:color w:val="auto"/>
                      <w:szCs w:val="21"/>
                    </w:rPr>
                  </w:pPr>
                  <w:r>
                    <w:rPr>
                      <w:bCs/>
                      <w:color w:val="auto"/>
                      <w:szCs w:val="21"/>
                    </w:rPr>
                    <w:t>双膜施工间</w:t>
                  </w:r>
                </w:p>
              </w:tc>
              <w:tc>
                <w:tcPr>
                  <w:tcW w:w="7690" w:type="dxa"/>
                  <w:vAlign w:val="center"/>
                </w:tcPr>
                <w:p>
                  <w:pPr>
                    <w:pStyle w:val="79"/>
                    <w:ind w:firstLine="420" w:firstLineChars="200"/>
                    <w:jc w:val="left"/>
                    <w:rPr>
                      <w:bCs/>
                      <w:color w:val="auto"/>
                      <w:szCs w:val="21"/>
                    </w:rPr>
                  </w:pPr>
                  <w:r>
                    <w:rPr>
                      <w:bCs/>
                      <w:color w:val="auto"/>
                      <w:szCs w:val="21"/>
                    </w:rPr>
                    <w:t>位于项目区北侧，建筑面积15m</w:t>
                  </w:r>
                  <w:r>
                    <w:rPr>
                      <w:bCs/>
                      <w:color w:val="auto"/>
                      <w:szCs w:val="21"/>
                      <w:vertAlign w:val="superscript"/>
                    </w:rPr>
                    <w:t>2</w:t>
                  </w:r>
                  <w:r>
                    <w:rPr>
                      <w:bCs/>
                      <w:color w:val="auto"/>
                      <w:szCs w:val="21"/>
                    </w:rPr>
                    <w:t>，主要用以汽车贴膜等。</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restart"/>
                  <w:vAlign w:val="center"/>
                </w:tcPr>
                <w:p>
                  <w:pPr>
                    <w:pStyle w:val="79"/>
                    <w:jc w:val="center"/>
                    <w:rPr>
                      <w:bCs/>
                      <w:color w:val="auto"/>
                      <w:szCs w:val="21"/>
                    </w:rPr>
                  </w:pPr>
                  <w:r>
                    <w:rPr>
                      <w:bCs/>
                      <w:color w:val="auto"/>
                      <w:szCs w:val="21"/>
                    </w:rPr>
                    <w:t>辅助工程</w:t>
                  </w:r>
                </w:p>
              </w:tc>
              <w:tc>
                <w:tcPr>
                  <w:tcW w:w="1036" w:type="dxa"/>
                  <w:vAlign w:val="center"/>
                </w:tcPr>
                <w:p>
                  <w:pPr>
                    <w:pStyle w:val="79"/>
                    <w:jc w:val="center"/>
                    <w:rPr>
                      <w:bCs/>
                      <w:color w:val="auto"/>
                      <w:szCs w:val="21"/>
                    </w:rPr>
                  </w:pPr>
                  <w:r>
                    <w:rPr>
                      <w:bCs/>
                      <w:color w:val="auto"/>
                      <w:szCs w:val="21"/>
                    </w:rPr>
                    <w:t>接待、办公区</w:t>
                  </w:r>
                </w:p>
              </w:tc>
              <w:tc>
                <w:tcPr>
                  <w:tcW w:w="7690" w:type="dxa"/>
                  <w:vAlign w:val="center"/>
                </w:tcPr>
                <w:p>
                  <w:pPr>
                    <w:pStyle w:val="79"/>
                    <w:ind w:firstLine="420" w:firstLineChars="200"/>
                    <w:jc w:val="left"/>
                    <w:rPr>
                      <w:bCs/>
                      <w:color w:val="auto"/>
                      <w:szCs w:val="21"/>
                    </w:rPr>
                  </w:pPr>
                  <w:r>
                    <w:rPr>
                      <w:bCs/>
                      <w:color w:val="auto"/>
                      <w:szCs w:val="21"/>
                    </w:rPr>
                    <w:t>位于项目区西北侧，共2层，建筑面积308m</w:t>
                  </w:r>
                  <w:r>
                    <w:rPr>
                      <w:bCs/>
                      <w:color w:val="auto"/>
                      <w:szCs w:val="21"/>
                      <w:vertAlign w:val="superscript"/>
                    </w:rPr>
                    <w:t>2</w:t>
                  </w:r>
                  <w:r>
                    <w:rPr>
                      <w:bCs/>
                      <w:color w:val="auto"/>
                      <w:szCs w:val="21"/>
                    </w:rPr>
                    <w:t>，1F分别设置接待区、办公区、经理室、财务室等；2F为会议室，主要用于员工培训。</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空压间</w:t>
                  </w:r>
                </w:p>
              </w:tc>
              <w:tc>
                <w:tcPr>
                  <w:tcW w:w="7690" w:type="dxa"/>
                  <w:vAlign w:val="center"/>
                </w:tcPr>
                <w:p>
                  <w:pPr>
                    <w:pStyle w:val="79"/>
                    <w:ind w:firstLine="420" w:firstLineChars="200"/>
                    <w:rPr>
                      <w:b/>
                      <w:color w:val="auto"/>
                      <w:szCs w:val="21"/>
                    </w:rPr>
                  </w:pPr>
                  <w:r>
                    <w:rPr>
                      <w:bCs/>
                      <w:color w:val="auto"/>
                      <w:szCs w:val="21"/>
                    </w:rPr>
                    <w:t>位于项目区东南侧，建筑面积为33m</w:t>
                  </w:r>
                  <w:r>
                    <w:rPr>
                      <w:bCs/>
                      <w:color w:val="auto"/>
                      <w:szCs w:val="21"/>
                      <w:vertAlign w:val="superscript"/>
                    </w:rPr>
                    <w:t>2</w:t>
                  </w:r>
                  <w:r>
                    <w:rPr>
                      <w:bCs/>
                      <w:color w:val="auto"/>
                      <w:szCs w:val="21"/>
                    </w:rPr>
                    <w:t>，</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rPr>
                  </w:pPr>
                </w:p>
              </w:tc>
              <w:tc>
                <w:tcPr>
                  <w:tcW w:w="1036" w:type="dxa"/>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rPr>
                    <w:t>卫生间</w:t>
                  </w:r>
                </w:p>
              </w:tc>
              <w:tc>
                <w:tcPr>
                  <w:tcW w:w="7690" w:type="dxa"/>
                  <w:vAlign w:val="center"/>
                </w:tcPr>
                <w:p>
                  <w:pPr>
                    <w:pStyle w:val="79"/>
                    <w:ind w:firstLine="420" w:firstLineChars="200"/>
                    <w:rPr>
                      <w:b/>
                      <w:color w:val="auto"/>
                      <w:szCs w:val="21"/>
                    </w:rPr>
                  </w:pPr>
                  <w:r>
                    <w:rPr>
                      <w:bCs/>
                      <w:color w:val="auto"/>
                      <w:szCs w:val="21"/>
                    </w:rPr>
                    <w:t>位于项目区东侧，建筑面积为10m</w:t>
                  </w:r>
                  <w:r>
                    <w:rPr>
                      <w:bCs/>
                      <w:color w:val="auto"/>
                      <w:szCs w:val="21"/>
                      <w:vertAlign w:val="superscript"/>
                    </w:rPr>
                    <w:t>2</w:t>
                  </w:r>
                  <w:r>
                    <w:rPr>
                      <w:bCs/>
                      <w:color w:val="auto"/>
                      <w:szCs w:val="21"/>
                    </w:rPr>
                    <w:t>，为水冲厕。</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jc w:val="center"/>
                    <w:rPr>
                      <w:rFonts w:ascii="Times New Roman" w:hAnsi="Times New Roman" w:eastAsia="宋体" w:cs="Times New Roman"/>
                      <w:bCs/>
                      <w:color w:val="auto"/>
                    </w:rPr>
                  </w:pPr>
                  <w:r>
                    <w:rPr>
                      <w:rFonts w:ascii="Times New Roman" w:hAnsi="Times New Roman" w:eastAsia="宋体" w:cs="Times New Roman"/>
                      <w:bCs/>
                      <w:color w:val="auto"/>
                    </w:rPr>
                    <w:t>危废间</w:t>
                  </w:r>
                </w:p>
              </w:tc>
              <w:tc>
                <w:tcPr>
                  <w:tcW w:w="7690" w:type="dxa"/>
                  <w:vAlign w:val="center"/>
                </w:tcPr>
                <w:p>
                  <w:pPr>
                    <w:pStyle w:val="79"/>
                    <w:ind w:firstLine="420" w:firstLineChars="200"/>
                    <w:rPr>
                      <w:bCs/>
                      <w:color w:val="auto"/>
                      <w:szCs w:val="21"/>
                    </w:rPr>
                  </w:pPr>
                  <w:r>
                    <w:rPr>
                      <w:bCs/>
                      <w:color w:val="auto"/>
                      <w:szCs w:val="21"/>
                    </w:rPr>
                    <w:t>位于项目区西南侧，建筑面积为33m</w:t>
                  </w:r>
                  <w:r>
                    <w:rPr>
                      <w:bCs/>
                      <w:color w:val="auto"/>
                      <w:szCs w:val="21"/>
                      <w:vertAlign w:val="superscript"/>
                    </w:rPr>
                    <w:t>2</w:t>
                  </w:r>
                  <w:r>
                    <w:rPr>
                      <w:bCs/>
                      <w:color w:val="auto"/>
                      <w:szCs w:val="21"/>
                    </w:rPr>
                    <w:t>，用于暂存生产过程中产生的危险废物。</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jc w:val="center"/>
                    <w:rPr>
                      <w:rFonts w:ascii="Times New Roman" w:hAnsi="Times New Roman" w:eastAsia="宋体" w:cs="Times New Roman"/>
                      <w:bCs/>
                      <w:color w:val="auto"/>
                    </w:rPr>
                  </w:pPr>
                  <w:r>
                    <w:rPr>
                      <w:rFonts w:ascii="Times New Roman" w:hAnsi="Times New Roman" w:eastAsia="宋体" w:cs="Times New Roman"/>
                      <w:bCs/>
                      <w:color w:val="auto"/>
                    </w:rPr>
                    <w:t>仓库</w:t>
                  </w:r>
                </w:p>
              </w:tc>
              <w:tc>
                <w:tcPr>
                  <w:tcW w:w="7690" w:type="dxa"/>
                  <w:vAlign w:val="center"/>
                </w:tcPr>
                <w:p>
                  <w:pPr>
                    <w:pStyle w:val="79"/>
                    <w:ind w:firstLine="420" w:firstLineChars="200"/>
                    <w:rPr>
                      <w:bCs/>
                      <w:color w:val="auto"/>
                      <w:szCs w:val="21"/>
                    </w:rPr>
                  </w:pPr>
                  <w:r>
                    <w:rPr>
                      <w:bCs/>
                      <w:color w:val="auto"/>
                      <w:szCs w:val="21"/>
                    </w:rPr>
                    <w:t>位于项目区南侧，建筑面积为33m</w:t>
                  </w:r>
                  <w:r>
                    <w:rPr>
                      <w:bCs/>
                      <w:color w:val="auto"/>
                      <w:szCs w:val="21"/>
                      <w:vertAlign w:val="superscript"/>
                    </w:rPr>
                    <w:t>2</w:t>
                  </w:r>
                  <w:r>
                    <w:rPr>
                      <w:bCs/>
                      <w:color w:val="auto"/>
                      <w:szCs w:val="21"/>
                    </w:rPr>
                    <w:t>，用于存储原辅材料。</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jc w:val="center"/>
                    <w:rPr>
                      <w:rFonts w:ascii="Times New Roman" w:hAnsi="Times New Roman" w:eastAsia="宋体" w:cs="Times New Roman"/>
                      <w:bCs/>
                      <w:color w:val="auto"/>
                    </w:rPr>
                  </w:pPr>
                  <w:r>
                    <w:rPr>
                      <w:rFonts w:ascii="Times New Roman" w:hAnsi="Times New Roman" w:eastAsia="宋体" w:cs="Times New Roman"/>
                      <w:bCs/>
                      <w:color w:val="auto"/>
                    </w:rPr>
                    <w:t>休息室</w:t>
                  </w:r>
                </w:p>
              </w:tc>
              <w:tc>
                <w:tcPr>
                  <w:tcW w:w="7690" w:type="dxa"/>
                  <w:vAlign w:val="center"/>
                </w:tcPr>
                <w:p>
                  <w:pPr>
                    <w:pStyle w:val="79"/>
                    <w:ind w:firstLine="420" w:firstLineChars="200"/>
                    <w:rPr>
                      <w:bCs/>
                      <w:color w:val="auto"/>
                      <w:szCs w:val="21"/>
                    </w:rPr>
                  </w:pPr>
                  <w:r>
                    <w:rPr>
                      <w:bCs/>
                      <w:color w:val="auto"/>
                      <w:szCs w:val="21"/>
                    </w:rPr>
                    <w:t>位于项目区南侧，建筑面积为33m</w:t>
                  </w:r>
                  <w:r>
                    <w:rPr>
                      <w:bCs/>
                      <w:color w:val="auto"/>
                      <w:szCs w:val="21"/>
                      <w:vertAlign w:val="superscript"/>
                    </w:rPr>
                    <w:t>2</w:t>
                  </w:r>
                  <w:r>
                    <w:rPr>
                      <w:bCs/>
                      <w:color w:val="auto"/>
                      <w:szCs w:val="21"/>
                    </w:rPr>
                    <w:t>，用于员工休息。</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restart"/>
                  <w:vAlign w:val="center"/>
                </w:tcPr>
                <w:p>
                  <w:pPr>
                    <w:pStyle w:val="79"/>
                    <w:jc w:val="center"/>
                    <w:rPr>
                      <w:bCs/>
                      <w:color w:val="auto"/>
                      <w:szCs w:val="21"/>
                    </w:rPr>
                  </w:pPr>
                  <w:r>
                    <w:rPr>
                      <w:bCs/>
                      <w:color w:val="auto"/>
                      <w:szCs w:val="21"/>
                    </w:rPr>
                    <w:t>公用工程</w:t>
                  </w:r>
                </w:p>
              </w:tc>
              <w:tc>
                <w:tcPr>
                  <w:tcW w:w="1036" w:type="dxa"/>
                  <w:vAlign w:val="center"/>
                </w:tcPr>
                <w:p>
                  <w:pPr>
                    <w:pStyle w:val="79"/>
                    <w:jc w:val="center"/>
                    <w:rPr>
                      <w:bCs/>
                      <w:color w:val="auto"/>
                      <w:szCs w:val="21"/>
                    </w:rPr>
                  </w:pPr>
                  <w:r>
                    <w:rPr>
                      <w:bCs/>
                      <w:color w:val="auto"/>
                      <w:szCs w:val="21"/>
                    </w:rPr>
                    <w:t>供水</w:t>
                  </w:r>
                </w:p>
              </w:tc>
              <w:tc>
                <w:tcPr>
                  <w:tcW w:w="7690" w:type="dxa"/>
                  <w:vAlign w:val="center"/>
                </w:tcPr>
                <w:p>
                  <w:pPr>
                    <w:pStyle w:val="79"/>
                    <w:ind w:firstLine="420" w:firstLineChars="200"/>
                    <w:jc w:val="left"/>
                    <w:rPr>
                      <w:bCs/>
                      <w:color w:val="auto"/>
                      <w:szCs w:val="21"/>
                    </w:rPr>
                  </w:pPr>
                  <w:r>
                    <w:rPr>
                      <w:bCs/>
                      <w:color w:val="auto"/>
                      <w:szCs w:val="21"/>
                    </w:rPr>
                    <w:t>由自来水管网供给。</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Merge w:val="restart"/>
                  <w:vAlign w:val="center"/>
                </w:tcPr>
                <w:p>
                  <w:pPr>
                    <w:pStyle w:val="79"/>
                    <w:jc w:val="center"/>
                    <w:rPr>
                      <w:bCs/>
                      <w:color w:val="auto"/>
                      <w:szCs w:val="21"/>
                    </w:rPr>
                  </w:pPr>
                  <w:r>
                    <w:rPr>
                      <w:bCs/>
                      <w:color w:val="auto"/>
                      <w:szCs w:val="21"/>
                    </w:rPr>
                    <w:t>排水</w:t>
                  </w:r>
                </w:p>
              </w:tc>
              <w:tc>
                <w:tcPr>
                  <w:tcW w:w="7690" w:type="dxa"/>
                  <w:vAlign w:val="center"/>
                </w:tcPr>
                <w:p>
                  <w:pPr>
                    <w:pStyle w:val="79"/>
                    <w:ind w:firstLine="420" w:firstLineChars="200"/>
                    <w:jc w:val="left"/>
                    <w:rPr>
                      <w:bCs/>
                      <w:color w:val="auto"/>
                      <w:szCs w:val="21"/>
                    </w:rPr>
                  </w:pPr>
                  <w:r>
                    <w:rPr>
                      <w:bCs/>
                      <w:color w:val="auto"/>
                      <w:szCs w:val="21"/>
                    </w:rPr>
                    <w:t>项目区实行雨污分流；</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ind w:firstLine="420" w:firstLineChars="200"/>
                    <w:jc w:val="left"/>
                    <w:rPr>
                      <w:bCs/>
                      <w:color w:val="auto"/>
                    </w:rPr>
                  </w:pPr>
                </w:p>
              </w:tc>
              <w:tc>
                <w:tcPr>
                  <w:tcW w:w="1036" w:type="dxa"/>
                  <w:vMerge w:val="continue"/>
                  <w:vAlign w:val="center"/>
                </w:tcPr>
                <w:p>
                  <w:pPr>
                    <w:pStyle w:val="79"/>
                    <w:ind w:firstLine="420" w:firstLineChars="200"/>
                    <w:jc w:val="left"/>
                    <w:rPr>
                      <w:bCs/>
                      <w:color w:val="auto"/>
                    </w:rPr>
                  </w:pPr>
                </w:p>
              </w:tc>
              <w:tc>
                <w:tcPr>
                  <w:tcW w:w="7690" w:type="dxa"/>
                  <w:vAlign w:val="center"/>
                </w:tcPr>
                <w:p>
                  <w:pPr>
                    <w:widowControl/>
                    <w:ind w:firstLine="422" w:firstLineChars="200"/>
                    <w:jc w:val="left"/>
                    <w:rPr>
                      <w:rFonts w:ascii="Times New Roman" w:hAnsi="Times New Roman" w:eastAsia="宋体" w:cs="Times New Roman"/>
                      <w:bCs/>
                      <w:color w:val="auto"/>
                      <w:szCs w:val="21"/>
                    </w:rPr>
                  </w:pPr>
                  <w:r>
                    <w:rPr>
                      <w:rFonts w:ascii="Times New Roman" w:hAnsi="Times New Roman" w:eastAsia="宋体" w:cs="Times New Roman"/>
                      <w:b/>
                      <w:color w:val="auto"/>
                      <w:szCs w:val="21"/>
                    </w:rPr>
                    <w:t>生活污水：</w:t>
                  </w:r>
                  <w:r>
                    <w:rPr>
                      <w:rFonts w:ascii="Times New Roman" w:hAnsi="Times New Roman" w:eastAsia="宋体" w:cs="Times New Roman"/>
                      <w:bCs/>
                      <w:color w:val="auto"/>
                      <w:szCs w:val="21"/>
                    </w:rPr>
                    <w:t>生活污水排入化粪池（项目区东北15m</w:t>
                  </w:r>
                  <w:r>
                    <w:rPr>
                      <w:rFonts w:ascii="Times New Roman" w:hAnsi="Times New Roman" w:eastAsia="宋体" w:cs="Times New Roman"/>
                      <w:bCs/>
                      <w:color w:val="auto"/>
                      <w:szCs w:val="21"/>
                      <w:vertAlign w:val="superscript"/>
                    </w:rPr>
                    <w:t>3</w:t>
                  </w:r>
                  <w:r>
                    <w:rPr>
                      <w:rFonts w:ascii="Times New Roman" w:hAnsi="Times New Roman" w:eastAsia="宋体" w:cs="Times New Roman"/>
                      <w:bCs/>
                      <w:color w:val="auto"/>
                      <w:szCs w:val="21"/>
                    </w:rPr>
                    <w:t>），</w:t>
                  </w:r>
                  <w:r>
                    <w:rPr>
                      <w:rFonts w:hint="eastAsia" w:eastAsia="宋体"/>
                      <w:bCs/>
                      <w:color w:val="auto"/>
                      <w:szCs w:val="21"/>
                    </w:rPr>
                    <w:t>定期委托环卫部门清运，不外排</w:t>
                  </w:r>
                  <w:r>
                    <w:rPr>
                      <w:rFonts w:ascii="Times New Roman" w:hAnsi="Times New Roman" w:eastAsia="宋体" w:cs="Times New Roman"/>
                      <w:bCs/>
                      <w:color w:val="auto"/>
                      <w:szCs w:val="21"/>
                    </w:rPr>
                    <w:t>。</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pStyle w:val="79"/>
                    <w:jc w:val="center"/>
                    <w:rPr>
                      <w:bCs/>
                      <w:color w:val="auto"/>
                      <w:szCs w:val="21"/>
                    </w:rPr>
                  </w:pPr>
                  <w:r>
                    <w:rPr>
                      <w:bCs/>
                      <w:color w:val="auto"/>
                      <w:szCs w:val="21"/>
                    </w:rPr>
                    <w:t>供电</w:t>
                  </w:r>
                </w:p>
              </w:tc>
              <w:tc>
                <w:tcPr>
                  <w:tcW w:w="7690" w:type="dxa"/>
                  <w:vAlign w:val="center"/>
                </w:tcPr>
                <w:p>
                  <w:pPr>
                    <w:pStyle w:val="79"/>
                    <w:ind w:firstLine="420" w:firstLineChars="200"/>
                    <w:jc w:val="left"/>
                    <w:rPr>
                      <w:bCs/>
                      <w:color w:val="auto"/>
                      <w:szCs w:val="21"/>
                    </w:rPr>
                  </w:pPr>
                  <w:r>
                    <w:rPr>
                      <w:bCs/>
                      <w:color w:val="auto"/>
                      <w:szCs w:val="21"/>
                    </w:rPr>
                    <w:t>市政供电电网供应。</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restart"/>
                  <w:vAlign w:val="center"/>
                </w:tcPr>
                <w:p>
                  <w:pPr>
                    <w:pStyle w:val="79"/>
                    <w:jc w:val="center"/>
                    <w:rPr>
                      <w:bCs/>
                      <w:color w:val="auto"/>
                      <w:szCs w:val="21"/>
                    </w:rPr>
                  </w:pPr>
                  <w:r>
                    <w:rPr>
                      <w:bCs/>
                      <w:color w:val="auto"/>
                      <w:szCs w:val="21"/>
                    </w:rPr>
                    <w:t>环保工程</w:t>
                  </w:r>
                </w:p>
              </w:tc>
              <w:tc>
                <w:tcPr>
                  <w:tcW w:w="1036" w:type="dxa"/>
                  <w:vMerge w:val="restart"/>
                  <w:vAlign w:val="center"/>
                </w:tcPr>
                <w:p>
                  <w:pPr>
                    <w:pStyle w:val="79"/>
                    <w:jc w:val="center"/>
                    <w:rPr>
                      <w:bCs/>
                      <w:color w:val="auto"/>
                      <w:szCs w:val="21"/>
                    </w:rPr>
                  </w:pPr>
                  <w:r>
                    <w:rPr>
                      <w:bCs/>
                      <w:color w:val="auto"/>
                      <w:szCs w:val="21"/>
                    </w:rPr>
                    <w:t>废水</w:t>
                  </w:r>
                </w:p>
              </w:tc>
              <w:tc>
                <w:tcPr>
                  <w:tcW w:w="7690" w:type="dxa"/>
                  <w:vAlign w:val="center"/>
                </w:tcPr>
                <w:p>
                  <w:pPr>
                    <w:pStyle w:val="79"/>
                    <w:ind w:firstLine="420" w:firstLineChars="200"/>
                    <w:jc w:val="left"/>
                    <w:rPr>
                      <w:bCs/>
                      <w:color w:val="auto"/>
                      <w:szCs w:val="21"/>
                    </w:rPr>
                  </w:pPr>
                  <w:r>
                    <w:rPr>
                      <w:bCs/>
                      <w:color w:val="auto"/>
                      <w:szCs w:val="21"/>
                    </w:rPr>
                    <w:t>项目区实行雨污分流；</w:t>
                  </w:r>
                </w:p>
              </w:tc>
              <w:tc>
                <w:tcPr>
                  <w:tcW w:w="721" w:type="dxa"/>
                  <w:vMerge w:val="restart"/>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left"/>
                    <w:rPr>
                      <w:bCs/>
                      <w:color w:val="auto"/>
                    </w:rPr>
                  </w:pPr>
                </w:p>
              </w:tc>
              <w:tc>
                <w:tcPr>
                  <w:tcW w:w="1036" w:type="dxa"/>
                  <w:vMerge w:val="continue"/>
                  <w:vAlign w:val="center"/>
                </w:tcPr>
                <w:p>
                  <w:pPr>
                    <w:pStyle w:val="79"/>
                    <w:jc w:val="left"/>
                    <w:rPr>
                      <w:bCs/>
                      <w:color w:val="auto"/>
                    </w:rPr>
                  </w:pPr>
                </w:p>
              </w:tc>
              <w:tc>
                <w:tcPr>
                  <w:tcW w:w="7690" w:type="dxa"/>
                  <w:vAlign w:val="center"/>
                </w:tcPr>
                <w:p>
                  <w:pPr>
                    <w:pStyle w:val="79"/>
                    <w:ind w:firstLine="422" w:firstLineChars="200"/>
                    <w:jc w:val="left"/>
                    <w:rPr>
                      <w:bCs/>
                      <w:color w:val="auto"/>
                      <w:szCs w:val="21"/>
                    </w:rPr>
                  </w:pPr>
                  <w:r>
                    <w:rPr>
                      <w:b/>
                      <w:color w:val="auto"/>
                      <w:szCs w:val="21"/>
                    </w:rPr>
                    <w:t>生活污水：</w:t>
                  </w:r>
                  <w:r>
                    <w:rPr>
                      <w:bCs/>
                      <w:color w:val="auto"/>
                      <w:szCs w:val="21"/>
                    </w:rPr>
                    <w:t>生活污水排入化粪池（项目区东北侧15m</w:t>
                  </w:r>
                  <w:r>
                    <w:rPr>
                      <w:bCs/>
                      <w:color w:val="auto"/>
                      <w:szCs w:val="21"/>
                      <w:vertAlign w:val="superscript"/>
                    </w:rPr>
                    <w:t>3</w:t>
                  </w:r>
                  <w:r>
                    <w:rPr>
                      <w:bCs/>
                      <w:color w:val="auto"/>
                      <w:szCs w:val="21"/>
                    </w:rPr>
                    <w:t>）</w:t>
                  </w:r>
                  <w:r>
                    <w:rPr>
                      <w:rFonts w:hint="eastAsia"/>
                      <w:bCs/>
                      <w:color w:val="auto"/>
                      <w:szCs w:val="21"/>
                    </w:rPr>
                    <w:t>，定期委托环卫部门清运，不外排。</w:t>
                  </w:r>
                </w:p>
              </w:tc>
              <w:tc>
                <w:tcPr>
                  <w:tcW w:w="721" w:type="dxa"/>
                  <w:vMerge w:val="continue"/>
                  <w:vAlign w:val="center"/>
                </w:tcPr>
                <w:p>
                  <w:pPr>
                    <w:pStyle w:val="79"/>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left"/>
                    <w:rPr>
                      <w:bCs/>
                      <w:color w:val="auto"/>
                      <w:szCs w:val="21"/>
                    </w:rPr>
                  </w:pPr>
                </w:p>
              </w:tc>
              <w:tc>
                <w:tcPr>
                  <w:tcW w:w="1036" w:type="dxa"/>
                  <w:vMerge w:val="continue"/>
                  <w:vAlign w:val="center"/>
                </w:tcPr>
                <w:p>
                  <w:pPr>
                    <w:pStyle w:val="79"/>
                    <w:jc w:val="left"/>
                    <w:rPr>
                      <w:bCs/>
                      <w:color w:val="auto"/>
                      <w:szCs w:val="21"/>
                    </w:rPr>
                  </w:pPr>
                </w:p>
              </w:tc>
              <w:tc>
                <w:tcPr>
                  <w:tcW w:w="7690" w:type="dxa"/>
                  <w:vAlign w:val="center"/>
                </w:tcPr>
                <w:p>
                  <w:pPr>
                    <w:pStyle w:val="79"/>
                    <w:ind w:firstLine="422" w:firstLineChars="200"/>
                    <w:jc w:val="left"/>
                    <w:rPr>
                      <w:bCs/>
                      <w:color w:val="auto"/>
                      <w:szCs w:val="21"/>
                    </w:rPr>
                  </w:pPr>
                  <w:r>
                    <w:rPr>
                      <w:b/>
                      <w:color w:val="auto"/>
                      <w:szCs w:val="21"/>
                    </w:rPr>
                    <w:t>生产废水：</w:t>
                  </w:r>
                  <w:r>
                    <w:rPr>
                      <w:rFonts w:hint="eastAsia"/>
                      <w:color w:val="auto"/>
                      <w:szCs w:val="21"/>
                    </w:rPr>
                    <w:t>本项目无生产废水产生</w:t>
                  </w:r>
                  <w:r>
                    <w:rPr>
                      <w:bCs/>
                      <w:color w:val="auto"/>
                      <w:szCs w:val="21"/>
                    </w:rPr>
                    <w:t>。</w:t>
                  </w:r>
                </w:p>
              </w:tc>
              <w:tc>
                <w:tcPr>
                  <w:tcW w:w="721" w:type="dxa"/>
                  <w:vAlign w:val="center"/>
                </w:tcPr>
                <w:p>
                  <w:pPr>
                    <w:pStyle w:val="79"/>
                    <w:jc w:val="center"/>
                    <w:rPr>
                      <w:bCs/>
                      <w:color w:val="auto"/>
                      <w:szCs w:val="21"/>
                    </w:rPr>
                  </w:pPr>
                  <w:r>
                    <w:rPr>
                      <w:rFonts w:hint="eastAsia"/>
                      <w:bCs/>
                      <w:color w:val="auto"/>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Merge w:val="restart"/>
                  <w:vAlign w:val="center"/>
                </w:tcPr>
                <w:p>
                  <w:pPr>
                    <w:pStyle w:val="79"/>
                    <w:jc w:val="center"/>
                    <w:rPr>
                      <w:bCs/>
                      <w:color w:val="auto"/>
                      <w:szCs w:val="21"/>
                    </w:rPr>
                  </w:pPr>
                  <w:r>
                    <w:rPr>
                      <w:bCs/>
                      <w:color w:val="auto"/>
                      <w:szCs w:val="21"/>
                    </w:rPr>
                    <w:t>废气</w:t>
                  </w:r>
                </w:p>
              </w:tc>
              <w:tc>
                <w:tcPr>
                  <w:tcW w:w="7690" w:type="dxa"/>
                  <w:vAlign w:val="center"/>
                </w:tcPr>
                <w:p>
                  <w:pPr>
                    <w:pStyle w:val="79"/>
                    <w:ind w:firstLine="422" w:firstLineChars="200"/>
                    <w:jc w:val="left"/>
                    <w:rPr>
                      <w:bCs/>
                      <w:color w:val="auto"/>
                      <w:szCs w:val="21"/>
                    </w:rPr>
                  </w:pPr>
                  <w:r>
                    <w:rPr>
                      <w:b/>
                      <w:bCs/>
                      <w:color w:val="auto"/>
                    </w:rPr>
                    <w:t>喷烤漆房废气：</w:t>
                  </w:r>
                  <w:r>
                    <w:rPr>
                      <w:color w:val="auto"/>
                    </w:rPr>
                    <w:t>共1间，喷烤漆房密闭式设置，设置1套废气净化系统（过滤棉+UV光氧催化+活性炭+1根15m高排气筒）。</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Merge w:val="continue"/>
                  <w:vAlign w:val="center"/>
                </w:tcPr>
                <w:p>
                  <w:pPr>
                    <w:pStyle w:val="79"/>
                    <w:jc w:val="center"/>
                    <w:rPr>
                      <w:bCs/>
                      <w:color w:val="auto"/>
                      <w:szCs w:val="21"/>
                    </w:rPr>
                  </w:pPr>
                </w:p>
              </w:tc>
              <w:tc>
                <w:tcPr>
                  <w:tcW w:w="7690" w:type="dxa"/>
                  <w:vAlign w:val="center"/>
                </w:tcPr>
                <w:p>
                  <w:pPr>
                    <w:pStyle w:val="79"/>
                    <w:ind w:firstLine="422" w:firstLineChars="200"/>
                    <w:jc w:val="left"/>
                    <w:rPr>
                      <w:b/>
                      <w:bCs/>
                      <w:color w:val="auto"/>
                      <w:szCs w:val="21"/>
                    </w:rPr>
                  </w:pPr>
                  <w:r>
                    <w:rPr>
                      <w:b/>
                      <w:bCs/>
                      <w:color w:val="auto"/>
                      <w:szCs w:val="21"/>
                    </w:rPr>
                    <w:t>打磨粉尘：</w:t>
                  </w:r>
                  <w:r>
                    <w:rPr>
                      <w:color w:val="auto"/>
                      <w:szCs w:val="21"/>
                    </w:rPr>
                    <w:t>打磨设备自带收尘设施</w:t>
                  </w:r>
                  <w:r>
                    <w:rPr>
                      <w:b/>
                      <w:bCs/>
                      <w:color w:val="auto"/>
                      <w:szCs w:val="21"/>
                    </w:rPr>
                    <w:t>。</w:t>
                  </w:r>
                </w:p>
                <w:p>
                  <w:pPr>
                    <w:pStyle w:val="79"/>
                    <w:ind w:firstLine="422" w:firstLineChars="200"/>
                    <w:jc w:val="left"/>
                    <w:rPr>
                      <w:b/>
                      <w:bCs/>
                      <w:color w:val="auto"/>
                    </w:rPr>
                  </w:pPr>
                  <w:r>
                    <w:rPr>
                      <w:b/>
                      <w:bCs/>
                      <w:color w:val="auto"/>
                      <w:szCs w:val="21"/>
                    </w:rPr>
                    <w:t>焊接烟尘：</w:t>
                  </w:r>
                  <w:r>
                    <w:rPr>
                      <w:color w:val="auto"/>
                      <w:szCs w:val="21"/>
                    </w:rPr>
                    <w:t>1台移动式烟尘净化器。</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Merge w:val="restart"/>
                  <w:vAlign w:val="center"/>
                </w:tcPr>
                <w:p>
                  <w:pPr>
                    <w:pStyle w:val="79"/>
                    <w:jc w:val="center"/>
                    <w:rPr>
                      <w:bCs/>
                      <w:color w:val="auto"/>
                      <w:szCs w:val="21"/>
                    </w:rPr>
                  </w:pPr>
                  <w:r>
                    <w:rPr>
                      <w:bCs/>
                      <w:color w:val="auto"/>
                      <w:szCs w:val="21"/>
                    </w:rPr>
                    <w:t>固废</w:t>
                  </w:r>
                </w:p>
              </w:tc>
              <w:tc>
                <w:tcPr>
                  <w:tcW w:w="7690" w:type="dxa"/>
                  <w:vAlign w:val="center"/>
                </w:tcPr>
                <w:p>
                  <w:pPr>
                    <w:ind w:firstLine="420"/>
                    <w:jc w:val="left"/>
                    <w:rPr>
                      <w:rFonts w:ascii="Times New Roman" w:hAnsi="Times New Roman" w:eastAsia="宋体" w:cs="Times New Roman"/>
                      <w:bCs/>
                      <w:color w:val="auto"/>
                      <w:szCs w:val="21"/>
                    </w:rPr>
                  </w:pPr>
                  <w:r>
                    <w:rPr>
                      <w:rFonts w:ascii="Times New Roman" w:hAnsi="Times New Roman" w:eastAsia="宋体" w:cs="Times New Roman"/>
                      <w:b/>
                      <w:color w:val="auto"/>
                      <w:szCs w:val="21"/>
                    </w:rPr>
                    <w:t>生活垃圾：</w:t>
                  </w:r>
                  <w:r>
                    <w:rPr>
                      <w:rFonts w:ascii="Times New Roman" w:hAnsi="Times New Roman" w:eastAsia="宋体" w:cs="Times New Roman"/>
                      <w:bCs/>
                      <w:color w:val="auto"/>
                      <w:szCs w:val="21"/>
                    </w:rPr>
                    <w:t>设置若干个移动式垃圾桶集中收集。</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Merge w:val="continue"/>
                  <w:vAlign w:val="center"/>
                </w:tcPr>
                <w:p>
                  <w:pPr>
                    <w:pStyle w:val="79"/>
                    <w:jc w:val="center"/>
                    <w:rPr>
                      <w:bCs/>
                      <w:color w:val="auto"/>
                      <w:szCs w:val="21"/>
                    </w:rPr>
                  </w:pPr>
                </w:p>
              </w:tc>
              <w:tc>
                <w:tcPr>
                  <w:tcW w:w="7690" w:type="dxa"/>
                  <w:vAlign w:val="center"/>
                </w:tcPr>
                <w:p>
                  <w:pPr>
                    <w:pStyle w:val="79"/>
                    <w:ind w:firstLine="422" w:firstLineChars="200"/>
                    <w:rPr>
                      <w:bCs/>
                      <w:color w:val="auto"/>
                      <w:szCs w:val="21"/>
                    </w:rPr>
                  </w:pPr>
                  <w:r>
                    <w:rPr>
                      <w:b/>
                      <w:color w:val="auto"/>
                      <w:szCs w:val="21"/>
                    </w:rPr>
                    <w:t>一般固废：</w:t>
                  </w:r>
                  <w:r>
                    <w:rPr>
                      <w:color w:val="auto"/>
                      <w:szCs w:val="21"/>
                    </w:rPr>
                    <w:t>设置1个一般固废间，位于项目区西侧（</w:t>
                  </w:r>
                  <w:r>
                    <w:rPr>
                      <w:bCs/>
                      <w:color w:val="auto"/>
                      <w:szCs w:val="21"/>
                    </w:rPr>
                    <w:t>10.5m</w:t>
                  </w:r>
                  <w:r>
                    <w:rPr>
                      <w:bCs/>
                      <w:color w:val="auto"/>
                      <w:szCs w:val="21"/>
                      <w:vertAlign w:val="superscript"/>
                    </w:rPr>
                    <w:t>2</w:t>
                  </w:r>
                  <w:r>
                    <w:rPr>
                      <w:color w:val="auto"/>
                      <w:szCs w:val="21"/>
                    </w:rPr>
                    <w:t>），</w:t>
                  </w:r>
                  <w:r>
                    <w:rPr>
                      <w:bCs/>
                      <w:color w:val="auto"/>
                      <w:szCs w:val="21"/>
                    </w:rPr>
                    <w:t>用于存放废旧轮胎、废包装材料、废金属零件和报废汽车外壳等。</w:t>
                  </w:r>
                </w:p>
              </w:tc>
              <w:tc>
                <w:tcPr>
                  <w:tcW w:w="721" w:type="dxa"/>
                  <w:vAlign w:val="center"/>
                </w:tcPr>
                <w:p>
                  <w:pPr>
                    <w:pStyle w:val="79"/>
                    <w:jc w:val="center"/>
                    <w:rPr>
                      <w:bCs/>
                      <w:color w:val="auto"/>
                      <w:szCs w:val="21"/>
                    </w:rPr>
                  </w:pPr>
                  <w:r>
                    <w:rPr>
                      <w:rFonts w:hint="eastAsia"/>
                      <w:bCs/>
                      <w:color w:val="auto"/>
                      <w:szCs w:val="21"/>
                    </w:rPr>
                    <w:t>现有改造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ind w:firstLine="420" w:firstLineChars="200"/>
                    <w:jc w:val="left"/>
                    <w:rPr>
                      <w:bCs/>
                      <w:color w:val="auto"/>
                    </w:rPr>
                  </w:pPr>
                </w:p>
              </w:tc>
              <w:tc>
                <w:tcPr>
                  <w:tcW w:w="1036" w:type="dxa"/>
                  <w:vMerge w:val="continue"/>
                  <w:vAlign w:val="center"/>
                </w:tcPr>
                <w:p>
                  <w:pPr>
                    <w:pStyle w:val="79"/>
                    <w:ind w:firstLine="420" w:firstLineChars="200"/>
                    <w:jc w:val="left"/>
                    <w:rPr>
                      <w:bCs/>
                      <w:color w:val="auto"/>
                    </w:rPr>
                  </w:pPr>
                </w:p>
              </w:tc>
              <w:tc>
                <w:tcPr>
                  <w:tcW w:w="7690" w:type="dxa"/>
                  <w:vAlign w:val="center"/>
                </w:tcPr>
                <w:p>
                  <w:pPr>
                    <w:pStyle w:val="79"/>
                    <w:ind w:firstLine="422" w:firstLineChars="200"/>
                    <w:jc w:val="left"/>
                    <w:rPr>
                      <w:bCs/>
                      <w:color w:val="auto"/>
                      <w:szCs w:val="21"/>
                    </w:rPr>
                  </w:pPr>
                  <w:r>
                    <w:rPr>
                      <w:b/>
                      <w:color w:val="auto"/>
                      <w:szCs w:val="21"/>
                    </w:rPr>
                    <w:t>危险废物：</w:t>
                  </w:r>
                  <w:r>
                    <w:rPr>
                      <w:color w:val="auto"/>
                      <w:szCs w:val="21"/>
                    </w:rPr>
                    <w:t>设置1个危废暂存间，位于项目区西侧（</w:t>
                  </w:r>
                  <w:r>
                    <w:rPr>
                      <w:bCs/>
                      <w:color w:val="auto"/>
                      <w:szCs w:val="21"/>
                    </w:rPr>
                    <w:t>33m</w:t>
                  </w:r>
                  <w:r>
                    <w:rPr>
                      <w:bCs/>
                      <w:color w:val="auto"/>
                      <w:szCs w:val="21"/>
                      <w:vertAlign w:val="superscript"/>
                    </w:rPr>
                    <w:t>2</w:t>
                  </w:r>
                  <w:r>
                    <w:rPr>
                      <w:color w:val="auto"/>
                      <w:szCs w:val="21"/>
                    </w:rPr>
                    <w:t>），用于存放废电池、废油漆、废沾染物等。</w:t>
                  </w:r>
                  <w:r>
                    <w:rPr>
                      <w:bCs/>
                      <w:color w:val="auto"/>
                      <w:szCs w:val="21"/>
                    </w:rPr>
                    <w:t>放在危废暂存间里储存，定期委托有资质单位进行清运处置。</w:t>
                  </w:r>
                </w:p>
              </w:tc>
              <w:tc>
                <w:tcPr>
                  <w:tcW w:w="721" w:type="dxa"/>
                  <w:vAlign w:val="center"/>
                </w:tcPr>
                <w:p>
                  <w:pPr>
                    <w:pStyle w:val="79"/>
                    <w:jc w:val="center"/>
                    <w:rPr>
                      <w:bCs/>
                      <w:color w:val="auto"/>
                      <w:szCs w:val="21"/>
                    </w:rPr>
                  </w:pPr>
                  <w:r>
                    <w:rPr>
                      <w:rFonts w:hint="eastAsia"/>
                      <w:bCs/>
                      <w:color w:val="auto"/>
                      <w:szCs w:val="21"/>
                    </w:rPr>
                    <w:t>现有改造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pStyle w:val="79"/>
                    <w:jc w:val="center"/>
                    <w:rPr>
                      <w:bCs/>
                      <w:color w:val="auto"/>
                      <w:szCs w:val="21"/>
                    </w:rPr>
                  </w:pPr>
                  <w:r>
                    <w:rPr>
                      <w:bCs/>
                      <w:color w:val="auto"/>
                      <w:szCs w:val="21"/>
                    </w:rPr>
                    <w:t>噪声</w:t>
                  </w:r>
                </w:p>
              </w:tc>
              <w:tc>
                <w:tcPr>
                  <w:tcW w:w="7690" w:type="dxa"/>
                  <w:vAlign w:val="center"/>
                </w:tcPr>
                <w:p>
                  <w:pPr>
                    <w:pStyle w:val="79"/>
                    <w:ind w:firstLine="420" w:firstLineChars="200"/>
                    <w:jc w:val="left"/>
                    <w:rPr>
                      <w:bCs/>
                      <w:color w:val="auto"/>
                      <w:szCs w:val="21"/>
                    </w:rPr>
                  </w:pPr>
                  <w:r>
                    <w:rPr>
                      <w:bCs/>
                      <w:color w:val="auto"/>
                      <w:szCs w:val="21"/>
                    </w:rPr>
                    <w:t>采用低噪声设备，设在专用设备房内，设备基础减震；风机进出口安装消声器。</w:t>
                  </w:r>
                </w:p>
              </w:tc>
              <w:tc>
                <w:tcPr>
                  <w:tcW w:w="721" w:type="dxa"/>
                  <w:vAlign w:val="center"/>
                </w:tcPr>
                <w:p>
                  <w:pPr>
                    <w:pStyle w:val="79"/>
                    <w:jc w:val="center"/>
                    <w:rPr>
                      <w:bCs/>
                      <w:color w:val="auto"/>
                      <w:szCs w:val="21"/>
                    </w:rPr>
                  </w:pPr>
                  <w:r>
                    <w:rPr>
                      <w:rFonts w:hint="eastAsia"/>
                      <w:bCs/>
                      <w:color w:val="auto"/>
                      <w:szCs w:val="21"/>
                    </w:rPr>
                    <w:t>原厂已建</w:t>
                  </w:r>
                </w:p>
              </w:tc>
            </w:tr>
          </w:tbl>
          <w:p>
            <w:pPr>
              <w:rPr>
                <w:rFonts w:ascii="Times New Roman" w:hAnsi="Times New Roman" w:eastAsia="宋体" w:cs="Times New Roman"/>
                <w:b/>
                <w:color w:val="auto"/>
                <w:sz w:val="24"/>
              </w:rPr>
            </w:pPr>
          </w:p>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表1-3  项目经济技术指标一览表</w:t>
            </w:r>
          </w:p>
          <w:tbl>
            <w:tblPr>
              <w:tblStyle w:val="40"/>
              <w:tblW w:w="9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793"/>
              <w:gridCol w:w="1351"/>
              <w:gridCol w:w="2245"/>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项目名称</w:t>
                  </w:r>
                </w:p>
              </w:tc>
              <w:tc>
                <w:tcPr>
                  <w:tcW w:w="1351"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单位</w:t>
                  </w:r>
                </w:p>
              </w:tc>
              <w:tc>
                <w:tcPr>
                  <w:tcW w:w="2245"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项目指标</w:t>
                  </w:r>
                </w:p>
              </w:tc>
              <w:tc>
                <w:tcPr>
                  <w:tcW w:w="1791"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总用地面积</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1300</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总建筑面积</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591.5</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restart"/>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其中</w:t>
                  </w: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接待、办公区</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308</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共2层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1347" w:type="dxa"/>
                  <w:vMerge w:val="restart"/>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其中</w:t>
                  </w:r>
                </w:p>
              </w:tc>
              <w:tc>
                <w:tcPr>
                  <w:tcW w:w="1793"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会议室</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154</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1347" w:type="dxa"/>
                  <w:vMerge w:val="continue"/>
                  <w:vAlign w:val="center"/>
                </w:tcPr>
                <w:p>
                  <w:pPr>
                    <w:jc w:val="center"/>
                    <w:rPr>
                      <w:rFonts w:ascii="Times New Roman" w:hAnsi="Times New Roman" w:eastAsia="宋体" w:cs="Times New Roman"/>
                      <w:color w:val="auto"/>
                    </w:rPr>
                  </w:pPr>
                </w:p>
              </w:tc>
              <w:tc>
                <w:tcPr>
                  <w:tcW w:w="1793"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接待区</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77</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1347" w:type="dxa"/>
                  <w:vMerge w:val="continue"/>
                  <w:vAlign w:val="center"/>
                </w:tcPr>
                <w:p>
                  <w:pPr>
                    <w:jc w:val="center"/>
                    <w:rPr>
                      <w:rFonts w:ascii="Times New Roman" w:hAnsi="Times New Roman" w:eastAsia="宋体" w:cs="Times New Roman"/>
                      <w:color w:val="auto"/>
                    </w:rPr>
                  </w:pPr>
                </w:p>
              </w:tc>
              <w:tc>
                <w:tcPr>
                  <w:tcW w:w="1793"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办公区</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61</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1347" w:type="dxa"/>
                  <w:vMerge w:val="continue"/>
                  <w:vAlign w:val="center"/>
                </w:tcPr>
                <w:p>
                  <w:pPr>
                    <w:jc w:val="center"/>
                    <w:rPr>
                      <w:rFonts w:ascii="Times New Roman" w:hAnsi="Times New Roman" w:eastAsia="宋体" w:cs="Times New Roman"/>
                      <w:color w:val="auto"/>
                    </w:rPr>
                  </w:pPr>
                </w:p>
              </w:tc>
              <w:tc>
                <w:tcPr>
                  <w:tcW w:w="1793"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经理室</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8</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1347" w:type="dxa"/>
                  <w:vMerge w:val="continue"/>
                  <w:vAlign w:val="center"/>
                </w:tcPr>
                <w:p>
                  <w:pPr>
                    <w:jc w:val="center"/>
                    <w:rPr>
                      <w:rFonts w:ascii="Times New Roman" w:hAnsi="Times New Roman" w:eastAsia="宋体" w:cs="Times New Roman"/>
                      <w:color w:val="auto"/>
                    </w:rPr>
                  </w:pPr>
                </w:p>
              </w:tc>
              <w:tc>
                <w:tcPr>
                  <w:tcW w:w="1793"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财务室</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8</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双膜施工间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15</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喷烤漆房</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30</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打磨间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30</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空压间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钣喷维修间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机电维修间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仓库</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危废暂存间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休息室</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1791" w:type="dxa"/>
                  <w:vAlign w:val="center"/>
                </w:tcPr>
                <w:p>
                  <w:pPr>
                    <w:jc w:val="center"/>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一般固废间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10.5</w:t>
                  </w:r>
                </w:p>
              </w:tc>
              <w:tc>
                <w:tcPr>
                  <w:tcW w:w="1791" w:type="dxa"/>
                  <w:vAlign w:val="center"/>
                </w:tcPr>
                <w:p>
                  <w:pPr>
                    <w:jc w:val="center"/>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维修区</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50</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保养区</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132</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四轮定位区</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48</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过道、硬地、停车等</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145.5</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全年运营天数</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d</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300</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每日工作时间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h</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8</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劳动定员</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人</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20</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bl>
          <w:p>
            <w:pPr>
              <w:tabs>
                <w:tab w:val="left" w:pos="2395"/>
              </w:tabs>
              <w:spacing w:before="156" w:beforeLines="50" w:line="360" w:lineRule="auto"/>
              <w:ind w:firstLine="493"/>
              <w:rPr>
                <w:rFonts w:ascii="Times New Roman" w:hAnsi="Times New Roman" w:eastAsia="宋体" w:cs="Times New Roman"/>
                <w:b/>
                <w:color w:val="auto"/>
                <w:sz w:val="24"/>
              </w:rPr>
            </w:pPr>
            <w:r>
              <w:rPr>
                <w:rFonts w:ascii="Times New Roman" w:hAnsi="Times New Roman" w:eastAsia="宋体" w:cs="Times New Roman"/>
                <w:b/>
                <w:color w:val="auto"/>
                <w:sz w:val="24"/>
              </w:rPr>
              <w:t>3、服务内容</w:t>
            </w:r>
          </w:p>
          <w:p>
            <w:pPr>
              <w:spacing w:line="360" w:lineRule="auto"/>
              <w:ind w:firstLine="480" w:firstLineChars="200"/>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项目主要进行小型汽车的维修、喷烤漆等服务，维修保养车辆约1800车次/年，烤漆量480 车次/年，项目不</w:t>
            </w:r>
            <w:r>
              <w:rPr>
                <w:rFonts w:hint="eastAsia" w:ascii="Times New Roman" w:hAnsi="Times New Roman" w:eastAsia="宋体" w:cs="Times New Roman"/>
                <w:color w:val="auto"/>
                <w:sz w:val="24"/>
                <w:szCs w:val="28"/>
              </w:rPr>
              <w:t>涉及</w:t>
            </w:r>
            <w:r>
              <w:rPr>
                <w:rFonts w:ascii="Times New Roman" w:hAnsi="Times New Roman" w:eastAsia="宋体" w:cs="Times New Roman"/>
                <w:color w:val="auto"/>
                <w:sz w:val="24"/>
                <w:szCs w:val="28"/>
              </w:rPr>
              <w:t>洗车服务。</w:t>
            </w:r>
          </w:p>
          <w:p>
            <w:pPr>
              <w:tabs>
                <w:tab w:val="left" w:pos="23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4、项目运营主要设备</w:t>
            </w:r>
          </w:p>
          <w:p>
            <w:pPr>
              <w:spacing w:line="360" w:lineRule="auto"/>
              <w:ind w:firstLine="480" w:firstLineChars="200"/>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项目使用主要设备见表1-4。</w:t>
            </w:r>
          </w:p>
          <w:p>
            <w:pPr>
              <w:tabs>
                <w:tab w:val="left" w:pos="2395"/>
              </w:tabs>
              <w:spacing w:line="360" w:lineRule="auto"/>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表1-4  项目主要设备清单一览表</w:t>
            </w:r>
          </w:p>
          <w:tbl>
            <w:tblPr>
              <w:tblStyle w:val="39"/>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3098"/>
              <w:gridCol w:w="1789"/>
              <w:gridCol w:w="1047"/>
              <w:gridCol w:w="104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b/>
                      <w:color w:val="auto"/>
                      <w:szCs w:val="21"/>
                    </w:rPr>
                    <w:t>序号</w:t>
                  </w:r>
                </w:p>
              </w:tc>
              <w:tc>
                <w:tcPr>
                  <w:tcW w:w="3098" w:type="dxa"/>
                  <w:vAlign w:val="center"/>
                </w:tcPr>
                <w:p>
                  <w:pPr>
                    <w:pStyle w:val="93"/>
                    <w:snapToGrid w:val="0"/>
                    <w:spacing w:before="0" w:after="0" w:line="240" w:lineRule="auto"/>
                    <w:rPr>
                      <w:color w:val="auto"/>
                      <w:szCs w:val="21"/>
                    </w:rPr>
                  </w:pPr>
                  <w:r>
                    <w:rPr>
                      <w:b/>
                      <w:color w:val="auto"/>
                      <w:szCs w:val="21"/>
                    </w:rPr>
                    <w:t>名称</w:t>
                  </w:r>
                </w:p>
              </w:tc>
              <w:tc>
                <w:tcPr>
                  <w:tcW w:w="1789" w:type="dxa"/>
                  <w:vAlign w:val="center"/>
                </w:tcPr>
                <w:p>
                  <w:pPr>
                    <w:pStyle w:val="93"/>
                    <w:snapToGrid w:val="0"/>
                    <w:spacing w:before="0" w:after="0" w:line="240" w:lineRule="auto"/>
                    <w:rPr>
                      <w:color w:val="auto"/>
                      <w:szCs w:val="21"/>
                    </w:rPr>
                  </w:pPr>
                  <w:r>
                    <w:rPr>
                      <w:b/>
                      <w:color w:val="auto"/>
                      <w:szCs w:val="21"/>
                    </w:rPr>
                    <w:t>型号</w:t>
                  </w:r>
                </w:p>
              </w:tc>
              <w:tc>
                <w:tcPr>
                  <w:tcW w:w="1047" w:type="dxa"/>
                  <w:vAlign w:val="center"/>
                </w:tcPr>
                <w:p>
                  <w:pPr>
                    <w:pStyle w:val="93"/>
                    <w:snapToGrid w:val="0"/>
                    <w:spacing w:before="0" w:after="0" w:line="240" w:lineRule="auto"/>
                    <w:rPr>
                      <w:b/>
                      <w:color w:val="auto"/>
                      <w:szCs w:val="21"/>
                    </w:rPr>
                  </w:pPr>
                  <w:r>
                    <w:rPr>
                      <w:b/>
                      <w:color w:val="auto"/>
                      <w:szCs w:val="21"/>
                    </w:rPr>
                    <w:t>单位</w:t>
                  </w:r>
                </w:p>
              </w:tc>
              <w:tc>
                <w:tcPr>
                  <w:tcW w:w="1047" w:type="dxa"/>
                  <w:vAlign w:val="center"/>
                </w:tcPr>
                <w:p>
                  <w:pPr>
                    <w:pStyle w:val="93"/>
                    <w:snapToGrid w:val="0"/>
                    <w:spacing w:before="0" w:after="0" w:line="240" w:lineRule="auto"/>
                    <w:rPr>
                      <w:color w:val="auto"/>
                      <w:szCs w:val="21"/>
                    </w:rPr>
                  </w:pPr>
                  <w:r>
                    <w:rPr>
                      <w:b/>
                      <w:color w:val="auto"/>
                      <w:szCs w:val="21"/>
                    </w:rPr>
                    <w:t>数量</w:t>
                  </w:r>
                </w:p>
              </w:tc>
              <w:tc>
                <w:tcPr>
                  <w:tcW w:w="1985" w:type="dxa"/>
                  <w:vAlign w:val="center"/>
                </w:tcPr>
                <w:p>
                  <w:pPr>
                    <w:pStyle w:val="93"/>
                    <w:snapToGrid w:val="0"/>
                    <w:spacing w:before="0" w:after="0" w:line="240" w:lineRule="auto"/>
                    <w:rPr>
                      <w:b/>
                      <w:color w:val="auto"/>
                      <w:szCs w:val="21"/>
                    </w:rPr>
                  </w:pPr>
                  <w:r>
                    <w:rPr>
                      <w:b/>
                      <w:color w:val="auto"/>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4" w:type="dxa"/>
                  <w:gridSpan w:val="6"/>
                  <w:vAlign w:val="center"/>
                </w:tcPr>
                <w:p>
                  <w:pPr>
                    <w:pStyle w:val="93"/>
                    <w:snapToGrid w:val="0"/>
                    <w:spacing w:before="0" w:after="0" w:line="240" w:lineRule="auto"/>
                    <w:rPr>
                      <w:b/>
                      <w:color w:val="auto"/>
                      <w:szCs w:val="21"/>
                    </w:rPr>
                  </w:pPr>
                  <w:r>
                    <w:rPr>
                      <w:b/>
                      <w:color w:val="auto"/>
                      <w:szCs w:val="21"/>
                    </w:rPr>
                    <w:t>仪表工具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w:t>
                  </w:r>
                </w:p>
              </w:tc>
              <w:tc>
                <w:tcPr>
                  <w:tcW w:w="3098" w:type="dxa"/>
                  <w:vAlign w:val="center"/>
                </w:tcPr>
                <w:p>
                  <w:pPr>
                    <w:pStyle w:val="93"/>
                    <w:snapToGrid w:val="0"/>
                    <w:spacing w:before="0" w:after="0" w:line="240" w:lineRule="auto"/>
                    <w:rPr>
                      <w:color w:val="auto"/>
                      <w:szCs w:val="21"/>
                    </w:rPr>
                  </w:pPr>
                  <w:r>
                    <w:rPr>
                      <w:color w:val="auto"/>
                      <w:szCs w:val="21"/>
                    </w:rPr>
                    <w:t>万用表</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个</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w:t>
                  </w:r>
                </w:p>
              </w:tc>
              <w:tc>
                <w:tcPr>
                  <w:tcW w:w="3098" w:type="dxa"/>
                  <w:vAlign w:val="center"/>
                </w:tcPr>
                <w:p>
                  <w:pPr>
                    <w:pStyle w:val="93"/>
                    <w:snapToGrid w:val="0"/>
                    <w:spacing w:before="0" w:after="0" w:line="240" w:lineRule="auto"/>
                    <w:rPr>
                      <w:color w:val="auto"/>
                      <w:szCs w:val="21"/>
                    </w:rPr>
                  </w:pPr>
                  <w:r>
                    <w:rPr>
                      <w:color w:val="auto"/>
                      <w:szCs w:val="21"/>
                    </w:rPr>
                    <w:t>气缸压力表</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个</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w:t>
                  </w:r>
                </w:p>
              </w:tc>
              <w:tc>
                <w:tcPr>
                  <w:tcW w:w="3098" w:type="dxa"/>
                  <w:vAlign w:val="center"/>
                </w:tcPr>
                <w:p>
                  <w:pPr>
                    <w:pStyle w:val="93"/>
                    <w:snapToGrid w:val="0"/>
                    <w:spacing w:before="0" w:after="0" w:line="240" w:lineRule="auto"/>
                    <w:rPr>
                      <w:color w:val="auto"/>
                      <w:szCs w:val="21"/>
                    </w:rPr>
                  </w:pPr>
                  <w:r>
                    <w:rPr>
                      <w:color w:val="auto"/>
                      <w:szCs w:val="21"/>
                    </w:rPr>
                    <w:t>燃油压力表</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个</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4</w:t>
                  </w:r>
                </w:p>
              </w:tc>
              <w:tc>
                <w:tcPr>
                  <w:tcW w:w="3098" w:type="dxa"/>
                  <w:vAlign w:val="center"/>
                </w:tcPr>
                <w:p>
                  <w:pPr>
                    <w:pStyle w:val="93"/>
                    <w:snapToGrid w:val="0"/>
                    <w:spacing w:before="0" w:after="0" w:line="240" w:lineRule="auto"/>
                    <w:rPr>
                      <w:color w:val="auto"/>
                      <w:szCs w:val="21"/>
                    </w:rPr>
                  </w:pPr>
                  <w:r>
                    <w:rPr>
                      <w:color w:val="auto"/>
                      <w:szCs w:val="21"/>
                    </w:rPr>
                    <w:t>液压油压力表</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个</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5</w:t>
                  </w:r>
                </w:p>
              </w:tc>
              <w:tc>
                <w:tcPr>
                  <w:tcW w:w="3098" w:type="dxa"/>
                  <w:vAlign w:val="center"/>
                </w:tcPr>
                <w:p>
                  <w:pPr>
                    <w:pStyle w:val="93"/>
                    <w:snapToGrid w:val="0"/>
                    <w:spacing w:before="0" w:after="0" w:line="240" w:lineRule="auto"/>
                    <w:rPr>
                      <w:color w:val="auto"/>
                      <w:szCs w:val="21"/>
                    </w:rPr>
                  </w:pPr>
                  <w:r>
                    <w:rPr>
                      <w:color w:val="auto"/>
                      <w:szCs w:val="21"/>
                    </w:rPr>
                    <w:t>轮胎气压表</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个</w:t>
                  </w:r>
                </w:p>
              </w:tc>
              <w:tc>
                <w:tcPr>
                  <w:tcW w:w="1047" w:type="dxa"/>
                  <w:vAlign w:val="center"/>
                </w:tcPr>
                <w:p>
                  <w:pPr>
                    <w:pStyle w:val="93"/>
                    <w:snapToGrid w:val="0"/>
                    <w:spacing w:before="0" w:after="0" w:line="240" w:lineRule="auto"/>
                    <w:rPr>
                      <w:color w:val="auto"/>
                      <w:szCs w:val="21"/>
                    </w:rPr>
                  </w:pPr>
                  <w:r>
                    <w:rPr>
                      <w:color w:val="auto"/>
                      <w:szCs w:val="21"/>
                    </w:rPr>
                    <w:t>2</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6</w:t>
                  </w:r>
                </w:p>
              </w:tc>
              <w:tc>
                <w:tcPr>
                  <w:tcW w:w="3098" w:type="dxa"/>
                  <w:vAlign w:val="center"/>
                </w:tcPr>
                <w:p>
                  <w:pPr>
                    <w:pStyle w:val="93"/>
                    <w:snapToGrid w:val="0"/>
                    <w:spacing w:before="0" w:after="0" w:line="240" w:lineRule="auto"/>
                    <w:rPr>
                      <w:color w:val="auto"/>
                      <w:szCs w:val="21"/>
                    </w:rPr>
                  </w:pPr>
                  <w:r>
                    <w:rPr>
                      <w:color w:val="auto"/>
                      <w:szCs w:val="21"/>
                    </w:rPr>
                    <w:t>扭力扳手</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个</w:t>
                  </w:r>
                </w:p>
              </w:tc>
              <w:tc>
                <w:tcPr>
                  <w:tcW w:w="1047" w:type="dxa"/>
                  <w:vAlign w:val="center"/>
                </w:tcPr>
                <w:p>
                  <w:pPr>
                    <w:pStyle w:val="93"/>
                    <w:snapToGrid w:val="0"/>
                    <w:spacing w:before="0" w:after="0" w:line="240" w:lineRule="auto"/>
                    <w:rPr>
                      <w:color w:val="auto"/>
                      <w:szCs w:val="21"/>
                    </w:rPr>
                  </w:pPr>
                  <w:r>
                    <w:rPr>
                      <w:color w:val="auto"/>
                      <w:szCs w:val="21"/>
                    </w:rPr>
                    <w:t>3</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4" w:type="dxa"/>
                  <w:gridSpan w:val="6"/>
                  <w:vAlign w:val="center"/>
                </w:tcPr>
                <w:p>
                  <w:pPr>
                    <w:pStyle w:val="93"/>
                    <w:snapToGrid w:val="0"/>
                    <w:spacing w:before="0" w:after="0" w:line="240" w:lineRule="auto"/>
                    <w:rPr>
                      <w:b/>
                      <w:color w:val="auto"/>
                      <w:szCs w:val="21"/>
                    </w:rPr>
                  </w:pPr>
                  <w:r>
                    <w:rPr>
                      <w:b/>
                      <w:color w:val="auto"/>
                      <w:szCs w:val="21"/>
                    </w:rPr>
                    <w:t>专用设备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7</w:t>
                  </w:r>
                </w:p>
              </w:tc>
              <w:tc>
                <w:tcPr>
                  <w:tcW w:w="3098" w:type="dxa"/>
                  <w:vAlign w:val="center"/>
                </w:tcPr>
                <w:p>
                  <w:pPr>
                    <w:pStyle w:val="93"/>
                    <w:snapToGrid w:val="0"/>
                    <w:spacing w:before="0" w:after="0" w:line="240" w:lineRule="auto"/>
                    <w:rPr>
                      <w:color w:val="auto"/>
                      <w:szCs w:val="21"/>
                    </w:rPr>
                  </w:pPr>
                  <w:r>
                    <w:rPr>
                      <w:color w:val="auto"/>
                      <w:szCs w:val="21"/>
                    </w:rPr>
                    <w:t>废油收集设备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2</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8</w:t>
                  </w:r>
                </w:p>
              </w:tc>
              <w:tc>
                <w:tcPr>
                  <w:tcW w:w="3098" w:type="dxa"/>
                  <w:vAlign w:val="center"/>
                </w:tcPr>
                <w:p>
                  <w:pPr>
                    <w:pStyle w:val="93"/>
                    <w:snapToGrid w:val="0"/>
                    <w:spacing w:before="0" w:after="0" w:line="240" w:lineRule="auto"/>
                    <w:rPr>
                      <w:color w:val="auto"/>
                      <w:szCs w:val="21"/>
                    </w:rPr>
                  </w:pPr>
                  <w:r>
                    <w:rPr>
                      <w:color w:val="auto"/>
                      <w:szCs w:val="21"/>
                    </w:rPr>
                    <w:t>齿轮油加注设备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9</w:t>
                  </w:r>
                </w:p>
              </w:tc>
              <w:tc>
                <w:tcPr>
                  <w:tcW w:w="3098" w:type="dxa"/>
                  <w:vAlign w:val="center"/>
                </w:tcPr>
                <w:p>
                  <w:pPr>
                    <w:pStyle w:val="93"/>
                    <w:snapToGrid w:val="0"/>
                    <w:spacing w:before="0" w:after="0" w:line="240" w:lineRule="auto"/>
                    <w:rPr>
                      <w:color w:val="auto"/>
                      <w:szCs w:val="21"/>
                    </w:rPr>
                  </w:pPr>
                  <w:r>
                    <w:rPr>
                      <w:color w:val="auto"/>
                      <w:szCs w:val="21"/>
                    </w:rPr>
                    <w:t>轮胎轮辋拆装设备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10</w:t>
                  </w:r>
                </w:p>
              </w:tc>
              <w:tc>
                <w:tcPr>
                  <w:tcW w:w="3098" w:type="dxa"/>
                  <w:vAlign w:val="center"/>
                </w:tcPr>
                <w:p>
                  <w:pPr>
                    <w:pStyle w:val="93"/>
                    <w:snapToGrid w:val="0"/>
                    <w:spacing w:before="0" w:after="0" w:line="240" w:lineRule="auto"/>
                    <w:rPr>
                      <w:color w:val="auto"/>
                      <w:szCs w:val="21"/>
                    </w:rPr>
                  </w:pPr>
                  <w:r>
                    <w:rPr>
                      <w:color w:val="auto"/>
                      <w:szCs w:val="21"/>
                    </w:rPr>
                    <w:t>轮胎螺母拆装机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11</w:t>
                  </w:r>
                </w:p>
              </w:tc>
              <w:tc>
                <w:tcPr>
                  <w:tcW w:w="3098" w:type="dxa"/>
                  <w:vAlign w:val="center"/>
                </w:tcPr>
                <w:p>
                  <w:pPr>
                    <w:pStyle w:val="93"/>
                    <w:snapToGrid w:val="0"/>
                    <w:spacing w:before="0" w:after="0" w:line="240" w:lineRule="auto"/>
                    <w:rPr>
                      <w:color w:val="auto"/>
                      <w:szCs w:val="21"/>
                    </w:rPr>
                  </w:pPr>
                  <w:r>
                    <w:rPr>
                      <w:color w:val="auto"/>
                      <w:szCs w:val="21"/>
                    </w:rPr>
                    <w:t>车轮动平衡机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12</w:t>
                  </w:r>
                </w:p>
              </w:tc>
              <w:tc>
                <w:tcPr>
                  <w:tcW w:w="3098" w:type="dxa"/>
                  <w:vAlign w:val="center"/>
                </w:tcPr>
                <w:p>
                  <w:pPr>
                    <w:pStyle w:val="93"/>
                    <w:snapToGrid w:val="0"/>
                    <w:spacing w:before="0" w:after="0" w:line="240" w:lineRule="auto"/>
                    <w:rPr>
                      <w:color w:val="auto"/>
                      <w:szCs w:val="21"/>
                    </w:rPr>
                  </w:pPr>
                  <w:r>
                    <w:rPr>
                      <w:color w:val="auto"/>
                      <w:szCs w:val="21"/>
                    </w:rPr>
                    <w:t>四轮定位仪</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13</w:t>
                  </w:r>
                </w:p>
              </w:tc>
              <w:tc>
                <w:tcPr>
                  <w:tcW w:w="3098" w:type="dxa"/>
                  <w:vAlign w:val="center"/>
                </w:tcPr>
                <w:p>
                  <w:pPr>
                    <w:pStyle w:val="93"/>
                    <w:snapToGrid w:val="0"/>
                    <w:spacing w:before="0" w:after="0" w:line="240" w:lineRule="auto"/>
                    <w:rPr>
                      <w:color w:val="auto"/>
                      <w:szCs w:val="21"/>
                    </w:rPr>
                  </w:pPr>
                  <w:r>
                    <w:rPr>
                      <w:color w:val="auto"/>
                      <w:szCs w:val="21"/>
                    </w:rPr>
                    <w:t>总成吊装设备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14</w:t>
                  </w:r>
                </w:p>
              </w:tc>
              <w:tc>
                <w:tcPr>
                  <w:tcW w:w="3098" w:type="dxa"/>
                  <w:vAlign w:val="center"/>
                </w:tcPr>
                <w:p>
                  <w:pPr>
                    <w:pStyle w:val="93"/>
                    <w:snapToGrid w:val="0"/>
                    <w:spacing w:before="0" w:after="0" w:line="240" w:lineRule="auto"/>
                    <w:rPr>
                      <w:color w:val="auto"/>
                      <w:szCs w:val="21"/>
                    </w:rPr>
                  </w:pPr>
                  <w:r>
                    <w:rPr>
                      <w:color w:val="auto"/>
                      <w:szCs w:val="21"/>
                    </w:rPr>
                    <w:t>汽车举升设备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5</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15</w:t>
                  </w:r>
                </w:p>
              </w:tc>
              <w:tc>
                <w:tcPr>
                  <w:tcW w:w="3098" w:type="dxa"/>
                  <w:vAlign w:val="center"/>
                </w:tcPr>
                <w:p>
                  <w:pPr>
                    <w:pStyle w:val="93"/>
                    <w:snapToGrid w:val="0"/>
                    <w:spacing w:before="0" w:after="0" w:line="240" w:lineRule="auto"/>
                    <w:rPr>
                      <w:color w:val="auto"/>
                      <w:szCs w:val="21"/>
                    </w:rPr>
                  </w:pPr>
                  <w:r>
                    <w:rPr>
                      <w:color w:val="auto"/>
                      <w:szCs w:val="21"/>
                    </w:rPr>
                    <w:t>汽车故障电脑诊断仪</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2</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16</w:t>
                  </w:r>
                </w:p>
              </w:tc>
              <w:tc>
                <w:tcPr>
                  <w:tcW w:w="3098" w:type="dxa"/>
                  <w:vAlign w:val="center"/>
                </w:tcPr>
                <w:p>
                  <w:pPr>
                    <w:pStyle w:val="93"/>
                    <w:snapToGrid w:val="0"/>
                    <w:spacing w:before="0" w:after="0" w:line="240" w:lineRule="auto"/>
                    <w:rPr>
                      <w:color w:val="auto"/>
                      <w:szCs w:val="21"/>
                    </w:rPr>
                  </w:pPr>
                  <w:r>
                    <w:rPr>
                      <w:color w:val="auto"/>
                      <w:szCs w:val="21"/>
                    </w:rPr>
                    <w:t>蓄电池检查、充电设备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17</w:t>
                  </w:r>
                </w:p>
              </w:tc>
              <w:tc>
                <w:tcPr>
                  <w:tcW w:w="3098" w:type="dxa"/>
                  <w:vAlign w:val="center"/>
                </w:tcPr>
                <w:p>
                  <w:pPr>
                    <w:pStyle w:val="93"/>
                    <w:snapToGrid w:val="0"/>
                    <w:spacing w:before="0" w:after="0" w:line="240" w:lineRule="auto"/>
                    <w:rPr>
                      <w:color w:val="auto"/>
                      <w:szCs w:val="21"/>
                    </w:rPr>
                  </w:pPr>
                  <w:r>
                    <w:rPr>
                      <w:color w:val="auto"/>
                      <w:szCs w:val="21"/>
                    </w:rPr>
                    <w:t>车身清洁设备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18</w:t>
                  </w:r>
                </w:p>
              </w:tc>
              <w:tc>
                <w:tcPr>
                  <w:tcW w:w="3098" w:type="dxa"/>
                  <w:vAlign w:val="center"/>
                </w:tcPr>
                <w:p>
                  <w:pPr>
                    <w:pStyle w:val="93"/>
                    <w:snapToGrid w:val="0"/>
                    <w:spacing w:before="0" w:after="0" w:line="240" w:lineRule="auto"/>
                    <w:rPr>
                      <w:color w:val="auto"/>
                      <w:szCs w:val="21"/>
                    </w:rPr>
                  </w:pPr>
                  <w:r>
                    <w:rPr>
                      <w:color w:val="auto"/>
                      <w:szCs w:val="21"/>
                    </w:rPr>
                    <w:t>打磨抛光设备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3</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19</w:t>
                  </w:r>
                </w:p>
              </w:tc>
              <w:tc>
                <w:tcPr>
                  <w:tcW w:w="3098" w:type="dxa"/>
                  <w:vAlign w:val="center"/>
                </w:tcPr>
                <w:p>
                  <w:pPr>
                    <w:pStyle w:val="93"/>
                    <w:snapToGrid w:val="0"/>
                    <w:spacing w:before="0" w:after="0" w:line="240" w:lineRule="auto"/>
                    <w:rPr>
                      <w:color w:val="auto"/>
                      <w:szCs w:val="21"/>
                    </w:rPr>
                  </w:pPr>
                  <w:r>
                    <w:rPr>
                      <w:color w:val="auto"/>
                      <w:szCs w:val="21"/>
                    </w:rPr>
                    <w:t>除尘除垢设备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20</w:t>
                  </w:r>
                </w:p>
              </w:tc>
              <w:tc>
                <w:tcPr>
                  <w:tcW w:w="3098" w:type="dxa"/>
                  <w:vAlign w:val="center"/>
                </w:tcPr>
                <w:p>
                  <w:pPr>
                    <w:pStyle w:val="93"/>
                    <w:snapToGrid w:val="0"/>
                    <w:spacing w:before="0" w:after="0" w:line="240" w:lineRule="auto"/>
                    <w:rPr>
                      <w:color w:val="auto"/>
                      <w:szCs w:val="21"/>
                    </w:rPr>
                  </w:pPr>
                  <w:r>
                    <w:rPr>
                      <w:color w:val="auto"/>
                      <w:szCs w:val="21"/>
                    </w:rPr>
                    <w:t>车身整形设备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21</w:t>
                  </w:r>
                </w:p>
              </w:tc>
              <w:tc>
                <w:tcPr>
                  <w:tcW w:w="3098" w:type="dxa"/>
                  <w:vAlign w:val="center"/>
                </w:tcPr>
                <w:p>
                  <w:pPr>
                    <w:pStyle w:val="93"/>
                    <w:snapToGrid w:val="0"/>
                    <w:spacing w:before="0" w:after="0" w:line="240" w:lineRule="auto"/>
                    <w:rPr>
                      <w:color w:val="auto"/>
                      <w:szCs w:val="21"/>
                    </w:rPr>
                  </w:pPr>
                  <w:r>
                    <w:rPr>
                      <w:color w:val="auto"/>
                      <w:szCs w:val="21"/>
                    </w:rPr>
                    <w:t>车身校正设备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22</w:t>
                  </w:r>
                </w:p>
              </w:tc>
              <w:tc>
                <w:tcPr>
                  <w:tcW w:w="3098" w:type="dxa"/>
                  <w:vAlign w:val="center"/>
                </w:tcPr>
                <w:p>
                  <w:pPr>
                    <w:pStyle w:val="93"/>
                    <w:snapToGrid w:val="0"/>
                    <w:spacing w:before="0" w:after="0" w:line="240" w:lineRule="auto"/>
                    <w:rPr>
                      <w:color w:val="auto"/>
                      <w:szCs w:val="21"/>
                    </w:rPr>
                  </w:pPr>
                  <w:r>
                    <w:rPr>
                      <w:color w:val="auto"/>
                      <w:szCs w:val="21"/>
                    </w:rPr>
                    <w:t>悬架试验台</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23</w:t>
                  </w:r>
                </w:p>
              </w:tc>
              <w:tc>
                <w:tcPr>
                  <w:tcW w:w="3098" w:type="dxa"/>
                  <w:vAlign w:val="center"/>
                </w:tcPr>
                <w:p>
                  <w:pPr>
                    <w:pStyle w:val="93"/>
                    <w:snapToGrid w:val="0"/>
                    <w:spacing w:before="0" w:after="0" w:line="240" w:lineRule="auto"/>
                    <w:rPr>
                      <w:color w:val="auto"/>
                      <w:szCs w:val="21"/>
                    </w:rPr>
                  </w:pPr>
                  <w:r>
                    <w:rPr>
                      <w:color w:val="auto"/>
                      <w:szCs w:val="21"/>
                    </w:rPr>
                    <w:t>喷喷烤漆房及设备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24</w:t>
                  </w:r>
                </w:p>
              </w:tc>
              <w:tc>
                <w:tcPr>
                  <w:tcW w:w="3098" w:type="dxa"/>
                  <w:vAlign w:val="center"/>
                </w:tcPr>
                <w:p>
                  <w:pPr>
                    <w:pStyle w:val="93"/>
                    <w:snapToGrid w:val="0"/>
                    <w:spacing w:before="0" w:after="0" w:line="240" w:lineRule="auto"/>
                    <w:rPr>
                      <w:color w:val="auto"/>
                      <w:szCs w:val="21"/>
                    </w:rPr>
                  </w:pPr>
                  <w:r>
                    <w:rPr>
                      <w:color w:val="auto"/>
                      <w:szCs w:val="21"/>
                    </w:rPr>
                    <w:t>氮气置换装置</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25</w:t>
                  </w:r>
                </w:p>
              </w:tc>
              <w:tc>
                <w:tcPr>
                  <w:tcW w:w="3098" w:type="dxa"/>
                  <w:vAlign w:val="center"/>
                </w:tcPr>
                <w:p>
                  <w:pPr>
                    <w:pStyle w:val="93"/>
                    <w:snapToGrid w:val="0"/>
                    <w:spacing w:before="0" w:after="0" w:line="240" w:lineRule="auto"/>
                    <w:rPr>
                      <w:color w:val="auto"/>
                      <w:szCs w:val="21"/>
                    </w:rPr>
                  </w:pPr>
                  <w:r>
                    <w:rPr>
                      <w:color w:val="auto"/>
                      <w:szCs w:val="21"/>
                    </w:rPr>
                    <w:t>空气压缩机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4" w:type="dxa"/>
                  <w:gridSpan w:val="6"/>
                  <w:vAlign w:val="center"/>
                </w:tcPr>
                <w:p>
                  <w:pPr>
                    <w:pStyle w:val="93"/>
                    <w:snapToGrid w:val="0"/>
                    <w:spacing w:before="0" w:after="0" w:line="240" w:lineRule="auto"/>
                    <w:rPr>
                      <w:b/>
                      <w:color w:val="auto"/>
                      <w:szCs w:val="21"/>
                    </w:rPr>
                  </w:pPr>
                  <w:r>
                    <w:rPr>
                      <w:b/>
                      <w:color w:val="auto"/>
                      <w:szCs w:val="21"/>
                    </w:rPr>
                    <w:t>通用设备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26</w:t>
                  </w:r>
                </w:p>
              </w:tc>
              <w:tc>
                <w:tcPr>
                  <w:tcW w:w="3098" w:type="dxa"/>
                  <w:vAlign w:val="center"/>
                </w:tcPr>
                <w:p>
                  <w:pPr>
                    <w:pStyle w:val="93"/>
                    <w:snapToGrid w:val="0"/>
                    <w:spacing w:before="0" w:after="0" w:line="240" w:lineRule="auto"/>
                    <w:rPr>
                      <w:color w:val="auto"/>
                      <w:szCs w:val="21"/>
                    </w:rPr>
                  </w:pPr>
                  <w:r>
                    <w:rPr>
                      <w:color w:val="auto"/>
                      <w:szCs w:val="21"/>
                    </w:rPr>
                    <w:t>计算机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台</w:t>
                  </w:r>
                </w:p>
              </w:tc>
              <w:tc>
                <w:tcPr>
                  <w:tcW w:w="1047" w:type="dxa"/>
                  <w:vAlign w:val="center"/>
                </w:tcPr>
                <w:p>
                  <w:pPr>
                    <w:pStyle w:val="93"/>
                    <w:snapToGrid w:val="0"/>
                    <w:spacing w:before="0" w:after="0" w:line="240" w:lineRule="auto"/>
                    <w:rPr>
                      <w:color w:val="auto"/>
                      <w:szCs w:val="21"/>
                    </w:rPr>
                  </w:pPr>
                  <w:r>
                    <w:rPr>
                      <w:color w:val="auto"/>
                      <w:szCs w:val="21"/>
                    </w:rPr>
                    <w:t>5</w:t>
                  </w:r>
                </w:p>
              </w:tc>
              <w:tc>
                <w:tcPr>
                  <w:tcW w:w="1985" w:type="dxa"/>
                  <w:vAlign w:val="center"/>
                </w:tcPr>
                <w:p>
                  <w:pPr>
                    <w:pStyle w:val="93"/>
                    <w:snapToGrid w:val="0"/>
                    <w:spacing w:before="0" w:after="0" w:line="240" w:lineRule="auto"/>
                    <w:rPr>
                      <w:color w:val="auto"/>
                      <w:szCs w:val="21"/>
                    </w:rPr>
                  </w:pPr>
                  <w:r>
                    <w:rPr>
                      <w:color w:val="auto"/>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27</w:t>
                  </w:r>
                </w:p>
              </w:tc>
              <w:tc>
                <w:tcPr>
                  <w:tcW w:w="3098" w:type="dxa"/>
                  <w:vAlign w:val="center"/>
                </w:tcPr>
                <w:p>
                  <w:pPr>
                    <w:pStyle w:val="93"/>
                    <w:snapToGrid w:val="0"/>
                    <w:spacing w:before="0" w:after="0" w:line="240" w:lineRule="auto"/>
                    <w:rPr>
                      <w:color w:val="auto"/>
                      <w:szCs w:val="21"/>
                    </w:rPr>
                  </w:pPr>
                  <w:r>
                    <w:rPr>
                      <w:color w:val="auto"/>
                      <w:szCs w:val="21"/>
                    </w:rPr>
                    <w:t>砂轮机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28</w:t>
                  </w:r>
                </w:p>
              </w:tc>
              <w:tc>
                <w:tcPr>
                  <w:tcW w:w="3098" w:type="dxa"/>
                  <w:vAlign w:val="center"/>
                </w:tcPr>
                <w:p>
                  <w:pPr>
                    <w:pStyle w:val="93"/>
                    <w:snapToGrid w:val="0"/>
                    <w:spacing w:before="0" w:after="0" w:line="240" w:lineRule="auto"/>
                    <w:rPr>
                      <w:color w:val="auto"/>
                      <w:szCs w:val="21"/>
                    </w:rPr>
                  </w:pPr>
                  <w:r>
                    <w:rPr>
                      <w:color w:val="auto"/>
                      <w:szCs w:val="21"/>
                    </w:rPr>
                    <w:t>台钻</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29</w:t>
                  </w:r>
                </w:p>
              </w:tc>
              <w:tc>
                <w:tcPr>
                  <w:tcW w:w="3098" w:type="dxa"/>
                  <w:vAlign w:val="center"/>
                </w:tcPr>
                <w:p>
                  <w:pPr>
                    <w:pStyle w:val="93"/>
                    <w:snapToGrid w:val="0"/>
                    <w:spacing w:before="0" w:after="0" w:line="240" w:lineRule="auto"/>
                    <w:rPr>
                      <w:color w:val="auto"/>
                      <w:szCs w:val="21"/>
                    </w:rPr>
                  </w:pPr>
                  <w:r>
                    <w:rPr>
                      <w:color w:val="auto"/>
                      <w:szCs w:val="21"/>
                    </w:rPr>
                    <w:t>电焊设备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30</w:t>
                  </w:r>
                </w:p>
              </w:tc>
              <w:tc>
                <w:tcPr>
                  <w:tcW w:w="3098" w:type="dxa"/>
                  <w:vAlign w:val="center"/>
                </w:tcPr>
                <w:p>
                  <w:pPr>
                    <w:pStyle w:val="93"/>
                    <w:snapToGrid w:val="0"/>
                    <w:spacing w:before="0" w:after="0" w:line="240" w:lineRule="auto"/>
                    <w:rPr>
                      <w:color w:val="auto"/>
                      <w:szCs w:val="21"/>
                    </w:rPr>
                  </w:pPr>
                  <w:r>
                    <w:rPr>
                      <w:color w:val="auto"/>
                      <w:szCs w:val="21"/>
                    </w:rPr>
                    <w:t>CO</w:t>
                  </w:r>
                  <w:r>
                    <w:rPr>
                      <w:color w:val="auto"/>
                      <w:szCs w:val="21"/>
                      <w:vertAlign w:val="subscript"/>
                    </w:rPr>
                    <w:t>2</w:t>
                  </w:r>
                  <w:r>
                    <w:rPr>
                      <w:color w:val="auto"/>
                      <w:szCs w:val="21"/>
                    </w:rPr>
                    <w:t>保护焊机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31</w:t>
                  </w:r>
                </w:p>
              </w:tc>
              <w:tc>
                <w:tcPr>
                  <w:tcW w:w="3098" w:type="dxa"/>
                  <w:vAlign w:val="center"/>
                </w:tcPr>
                <w:p>
                  <w:pPr>
                    <w:pStyle w:val="93"/>
                    <w:snapToGrid w:val="0"/>
                    <w:spacing w:before="0" w:after="0" w:line="240" w:lineRule="auto"/>
                    <w:rPr>
                      <w:color w:val="auto"/>
                      <w:szCs w:val="21"/>
                    </w:rPr>
                  </w:pPr>
                  <w:r>
                    <w:rPr>
                      <w:color w:val="auto"/>
                      <w:szCs w:val="21"/>
                    </w:rPr>
                    <w:t>压床</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32</w:t>
                  </w:r>
                </w:p>
              </w:tc>
              <w:tc>
                <w:tcPr>
                  <w:tcW w:w="3098" w:type="dxa"/>
                  <w:vAlign w:val="center"/>
                </w:tcPr>
                <w:p>
                  <w:pPr>
                    <w:pStyle w:val="93"/>
                    <w:snapToGrid w:val="0"/>
                    <w:spacing w:before="0" w:after="0" w:line="240" w:lineRule="auto"/>
                    <w:rPr>
                      <w:color w:val="auto"/>
                      <w:szCs w:val="21"/>
                    </w:rPr>
                  </w:pPr>
                  <w:r>
                    <w:rPr>
                      <w:color w:val="auto"/>
                      <w:szCs w:val="21"/>
                    </w:rPr>
                    <w:t>空气压缩机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2</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33</w:t>
                  </w:r>
                </w:p>
              </w:tc>
              <w:tc>
                <w:tcPr>
                  <w:tcW w:w="3098" w:type="dxa"/>
                  <w:vAlign w:val="center"/>
                </w:tcPr>
                <w:p>
                  <w:pPr>
                    <w:pStyle w:val="93"/>
                    <w:snapToGrid w:val="0"/>
                    <w:spacing w:before="0" w:after="0" w:line="240" w:lineRule="auto"/>
                    <w:rPr>
                      <w:color w:val="auto"/>
                      <w:szCs w:val="21"/>
                    </w:rPr>
                  </w:pPr>
                  <w:r>
                    <w:rPr>
                      <w:color w:val="auto"/>
                      <w:szCs w:val="21"/>
                    </w:rPr>
                    <w:t>抢险服务车</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量</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4" w:type="dxa"/>
                  <w:gridSpan w:val="6"/>
                  <w:vAlign w:val="center"/>
                </w:tcPr>
                <w:p>
                  <w:pPr>
                    <w:pStyle w:val="93"/>
                    <w:snapToGrid w:val="0"/>
                    <w:spacing w:before="0" w:after="0" w:line="240" w:lineRule="auto"/>
                    <w:rPr>
                      <w:b/>
                      <w:color w:val="auto"/>
                      <w:szCs w:val="21"/>
                    </w:rPr>
                  </w:pPr>
                  <w:r>
                    <w:rPr>
                      <w:b/>
                      <w:color w:val="auto"/>
                      <w:szCs w:val="21"/>
                    </w:rPr>
                    <w:t>其它设备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34</w:t>
                  </w:r>
                </w:p>
              </w:tc>
              <w:tc>
                <w:tcPr>
                  <w:tcW w:w="3098" w:type="dxa"/>
                  <w:vAlign w:val="center"/>
                </w:tcPr>
                <w:p>
                  <w:pPr>
                    <w:pStyle w:val="93"/>
                    <w:snapToGrid w:val="0"/>
                    <w:spacing w:before="0" w:after="0" w:line="240" w:lineRule="auto"/>
                    <w:rPr>
                      <w:color w:val="auto"/>
                      <w:szCs w:val="21"/>
                    </w:rPr>
                  </w:pPr>
                  <w:r>
                    <w:rPr>
                      <w:color w:val="auto"/>
                      <w:szCs w:val="21"/>
                    </w:rPr>
                    <w:t>胎压配对机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35</w:t>
                  </w:r>
                </w:p>
              </w:tc>
              <w:tc>
                <w:tcPr>
                  <w:tcW w:w="3098" w:type="dxa"/>
                  <w:vAlign w:val="center"/>
                </w:tcPr>
                <w:p>
                  <w:pPr>
                    <w:pStyle w:val="93"/>
                    <w:snapToGrid w:val="0"/>
                    <w:spacing w:before="0" w:after="0" w:line="240" w:lineRule="auto"/>
                    <w:rPr>
                      <w:color w:val="auto"/>
                      <w:szCs w:val="21"/>
                    </w:rPr>
                  </w:pPr>
                  <w:r>
                    <w:rPr>
                      <w:color w:val="auto"/>
                      <w:szCs w:val="21"/>
                    </w:rPr>
                    <w:t>汽车电脑匹配专家</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2</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36</w:t>
                  </w:r>
                </w:p>
              </w:tc>
              <w:tc>
                <w:tcPr>
                  <w:tcW w:w="3098" w:type="dxa"/>
                  <w:vAlign w:val="center"/>
                </w:tcPr>
                <w:p>
                  <w:pPr>
                    <w:pStyle w:val="93"/>
                    <w:snapToGrid w:val="0"/>
                    <w:spacing w:before="0" w:after="0" w:line="240" w:lineRule="auto"/>
                    <w:rPr>
                      <w:color w:val="auto"/>
                      <w:szCs w:val="21"/>
                    </w:rPr>
                  </w:pPr>
                  <w:r>
                    <w:rPr>
                      <w:color w:val="auto"/>
                      <w:szCs w:val="21"/>
                    </w:rPr>
                    <w:t>汽车保养归零专家</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37</w:t>
                  </w:r>
                </w:p>
              </w:tc>
              <w:tc>
                <w:tcPr>
                  <w:tcW w:w="3098" w:type="dxa"/>
                  <w:vAlign w:val="center"/>
                </w:tcPr>
                <w:p>
                  <w:pPr>
                    <w:pStyle w:val="93"/>
                    <w:snapToGrid w:val="0"/>
                    <w:spacing w:before="0" w:after="0" w:line="240" w:lineRule="auto"/>
                    <w:rPr>
                      <w:color w:val="auto"/>
                      <w:szCs w:val="21"/>
                    </w:rPr>
                  </w:pPr>
                  <w:r>
                    <w:rPr>
                      <w:color w:val="auto"/>
                      <w:szCs w:val="21"/>
                    </w:rPr>
                    <w:t>刹车泵调整组</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12</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38</w:t>
                  </w:r>
                </w:p>
              </w:tc>
              <w:tc>
                <w:tcPr>
                  <w:tcW w:w="3098" w:type="dxa"/>
                  <w:vAlign w:val="center"/>
                </w:tcPr>
                <w:p>
                  <w:pPr>
                    <w:pStyle w:val="93"/>
                    <w:snapToGrid w:val="0"/>
                    <w:spacing w:before="0" w:after="0" w:line="240" w:lineRule="auto"/>
                    <w:rPr>
                      <w:color w:val="auto"/>
                      <w:szCs w:val="21"/>
                    </w:rPr>
                  </w:pPr>
                  <w:r>
                    <w:rPr>
                      <w:color w:val="auto"/>
                      <w:szCs w:val="21"/>
                    </w:rPr>
                    <w:t>气门弹簧压缩器</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9</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39</w:t>
                  </w:r>
                </w:p>
              </w:tc>
              <w:tc>
                <w:tcPr>
                  <w:tcW w:w="3098" w:type="dxa"/>
                  <w:vAlign w:val="center"/>
                </w:tcPr>
                <w:p>
                  <w:pPr>
                    <w:pStyle w:val="93"/>
                    <w:snapToGrid w:val="0"/>
                    <w:spacing w:before="0" w:after="0" w:line="240" w:lineRule="auto"/>
                    <w:rPr>
                      <w:color w:val="auto"/>
                      <w:szCs w:val="21"/>
                    </w:rPr>
                  </w:pPr>
                  <w:r>
                    <w:rPr>
                      <w:color w:val="auto"/>
                      <w:szCs w:val="21"/>
                    </w:rPr>
                    <w:t>减震器专用拆装机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40</w:t>
                  </w:r>
                </w:p>
              </w:tc>
              <w:tc>
                <w:tcPr>
                  <w:tcW w:w="3098" w:type="dxa"/>
                  <w:vAlign w:val="center"/>
                </w:tcPr>
                <w:p>
                  <w:pPr>
                    <w:pStyle w:val="93"/>
                    <w:snapToGrid w:val="0"/>
                    <w:spacing w:before="0" w:after="0" w:line="240" w:lineRule="auto"/>
                    <w:rPr>
                      <w:color w:val="auto"/>
                      <w:szCs w:val="21"/>
                    </w:rPr>
                  </w:pPr>
                  <w:r>
                    <w:rPr>
                      <w:color w:val="auto"/>
                      <w:szCs w:val="21"/>
                    </w:rPr>
                    <w:t>喷烤漆房废气处理设备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bl>
          <w:p>
            <w:pPr>
              <w:spacing w:line="360" w:lineRule="auto"/>
              <w:ind w:firstLine="482" w:firstLineChars="200"/>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4、原辅材料及用量</w:t>
            </w:r>
          </w:p>
          <w:p>
            <w:pPr>
              <w:spacing w:line="360" w:lineRule="auto"/>
              <w:ind w:firstLine="482" w:firstLineChars="200"/>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（1）项目主要原辅材料</w:t>
            </w:r>
          </w:p>
          <w:p>
            <w:pPr>
              <w:spacing w:line="360" w:lineRule="auto"/>
              <w:ind w:firstLine="480" w:firstLineChars="200"/>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根据建设单位提供资料，项目主要原辅材料及用量见表1-5。</w:t>
            </w:r>
          </w:p>
          <w:p>
            <w:pPr>
              <w:jc w:val="center"/>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表1-5  项目主要原辅料用量一览表</w:t>
            </w:r>
          </w:p>
          <w:tbl>
            <w:tblPr>
              <w:tblStyle w:val="39"/>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48"/>
              <w:gridCol w:w="2759"/>
              <w:gridCol w:w="1572"/>
              <w:gridCol w:w="1351"/>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序号</w:t>
                  </w:r>
                </w:p>
              </w:tc>
              <w:tc>
                <w:tcPr>
                  <w:tcW w:w="1248"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项目</w:t>
                  </w:r>
                </w:p>
              </w:tc>
              <w:tc>
                <w:tcPr>
                  <w:tcW w:w="2759"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名称</w:t>
                  </w:r>
                </w:p>
              </w:tc>
              <w:tc>
                <w:tcPr>
                  <w:tcW w:w="1572"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单位</w:t>
                  </w:r>
                </w:p>
              </w:tc>
              <w:tc>
                <w:tcPr>
                  <w:tcW w:w="1351"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用量</w:t>
                  </w:r>
                </w:p>
              </w:tc>
              <w:tc>
                <w:tcPr>
                  <w:tcW w:w="2188"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1248" w:type="dxa"/>
                  <w:vMerge w:val="restart"/>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原辅材料</w:t>
                  </w:r>
                </w:p>
              </w:tc>
              <w:tc>
                <w:tcPr>
                  <w:tcW w:w="2759"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各类汽车耗材</w:t>
                  </w:r>
                </w:p>
              </w:tc>
              <w:tc>
                <w:tcPr>
                  <w:tcW w:w="1572"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套/a</w:t>
                  </w:r>
                </w:p>
              </w:tc>
              <w:tc>
                <w:tcPr>
                  <w:tcW w:w="1351"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2300</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1248" w:type="dxa"/>
                  <w:vMerge w:val="continue"/>
                  <w:vAlign w:val="center"/>
                </w:tcPr>
                <w:p>
                  <w:pPr>
                    <w:adjustRightInd w:val="0"/>
                    <w:snapToGrid w:val="0"/>
                    <w:jc w:val="center"/>
                    <w:rPr>
                      <w:rFonts w:ascii="Times New Roman" w:hAnsi="Times New Roman" w:eastAsia="宋体" w:cs="Times New Roman"/>
                      <w:color w:val="auto"/>
                      <w:szCs w:val="21"/>
                    </w:rPr>
                  </w:pPr>
                </w:p>
              </w:tc>
              <w:tc>
                <w:tcPr>
                  <w:tcW w:w="2759"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机油</w:t>
                  </w:r>
                </w:p>
              </w:tc>
              <w:tc>
                <w:tcPr>
                  <w:tcW w:w="1572"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L/a</w:t>
                  </w:r>
                </w:p>
              </w:tc>
              <w:tc>
                <w:tcPr>
                  <w:tcW w:w="1351"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12000</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3</w:t>
                  </w:r>
                </w:p>
              </w:tc>
              <w:tc>
                <w:tcPr>
                  <w:tcW w:w="1248" w:type="dxa"/>
                  <w:vMerge w:val="continue"/>
                  <w:vAlign w:val="center"/>
                </w:tcPr>
                <w:p>
                  <w:pPr>
                    <w:adjustRightInd w:val="0"/>
                    <w:snapToGrid w:val="0"/>
                    <w:jc w:val="center"/>
                    <w:rPr>
                      <w:rFonts w:ascii="Times New Roman" w:hAnsi="Times New Roman" w:eastAsia="宋体" w:cs="Times New Roman"/>
                      <w:color w:val="auto"/>
                      <w:szCs w:val="21"/>
                    </w:rPr>
                  </w:pPr>
                </w:p>
              </w:tc>
              <w:tc>
                <w:tcPr>
                  <w:tcW w:w="2759"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刹车油</w:t>
                  </w:r>
                </w:p>
              </w:tc>
              <w:tc>
                <w:tcPr>
                  <w:tcW w:w="1572"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L/a</w:t>
                  </w:r>
                </w:p>
              </w:tc>
              <w:tc>
                <w:tcPr>
                  <w:tcW w:w="1351"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375</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4</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原子灰</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0.15</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5</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底漆</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0.12</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6</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色漆</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0.38</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7</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清漆</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0.45</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8</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固化剂</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0.23</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9</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稀释剂</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保护蜡</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11</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焊丝</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抹布、手套</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套/a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375</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13</w:t>
                  </w:r>
                </w:p>
              </w:tc>
              <w:tc>
                <w:tcPr>
                  <w:tcW w:w="124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能源</w:t>
                  </w: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自来水</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市政供水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电</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度/a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市政供电</w:t>
                  </w:r>
                </w:p>
              </w:tc>
            </w:tr>
          </w:tbl>
          <w:p>
            <w:pPr>
              <w:tabs>
                <w:tab w:val="left" w:pos="4350"/>
              </w:tabs>
              <w:spacing w:before="156" w:beforeLines="50"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（2）项目原辅材料理化性质</w:t>
            </w:r>
          </w:p>
          <w:p>
            <w:pPr>
              <w:pStyle w:val="8"/>
              <w:spacing w:line="360" w:lineRule="auto"/>
              <w:ind w:firstLine="480" w:firstLineChars="200"/>
              <w:jc w:val="left"/>
              <w:rPr>
                <w:color w:val="auto"/>
                <w:szCs w:val="24"/>
              </w:rPr>
            </w:pPr>
            <w:r>
              <w:rPr>
                <w:bCs/>
                <w:color w:val="auto"/>
              </w:rPr>
              <w:t>项目使用油漆、稀释剂、固化剂均来自艾仕得涂料系统（上海）有限公司，</w:t>
            </w:r>
            <w:r>
              <w:rPr>
                <w:color w:val="auto"/>
                <w:szCs w:val="24"/>
              </w:rPr>
              <w:t>底色漆均为汽车专用底色漆，由多种改良树脂组成，高品质，遮盖力强，具有优良的附着力及层间密着性。清漆指丙烯酸涂料或聚氨酯涂料，与传统的硝基或热塑性丙烯酸树脂等汽车涂料相比其施工固体成分高、VOC排放低、涂膜丰满、装饰性好、耐酸雨性能卓越、耐擦伤性能优异。</w:t>
            </w:r>
          </w:p>
          <w:p>
            <w:pPr>
              <w:pStyle w:val="8"/>
              <w:spacing w:line="360" w:lineRule="auto"/>
              <w:ind w:firstLine="480" w:firstLineChars="200"/>
              <w:jc w:val="left"/>
              <w:rPr>
                <w:color w:val="auto"/>
                <w:szCs w:val="24"/>
              </w:rPr>
            </w:pPr>
            <w:r>
              <w:rPr>
                <w:color w:val="auto"/>
                <w:szCs w:val="24"/>
              </w:rPr>
              <w:t>本项目所用油漆为水性漆，油漆、稀释剂、固化剂不含苯和甲苯。项目所用油漆、漆稀释剂、固化剂各化学组分含量如下。</w:t>
            </w:r>
          </w:p>
          <w:p>
            <w:pPr>
              <w:tabs>
                <w:tab w:val="left" w:pos="2395"/>
              </w:tabs>
              <w:ind w:left="493"/>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表1-6  底漆成分一览表</w:t>
            </w:r>
          </w:p>
          <w:tbl>
            <w:tblPr>
              <w:tblStyle w:val="4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1"/>
              <w:gridCol w:w="3395"/>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b/>
                      <w:color w:val="auto"/>
                      <w:sz w:val="21"/>
                      <w:szCs w:val="21"/>
                    </w:rPr>
                  </w:pPr>
                  <w:r>
                    <w:rPr>
                      <w:rFonts w:ascii="Times New Roman" w:hAnsi="Times New Roman"/>
                      <w:b/>
                      <w:color w:val="auto"/>
                      <w:sz w:val="21"/>
                      <w:szCs w:val="21"/>
                    </w:rPr>
                    <w:t>组分</w:t>
                  </w:r>
                </w:p>
              </w:tc>
              <w:tc>
                <w:tcPr>
                  <w:tcW w:w="3395" w:type="dxa"/>
                  <w:vAlign w:val="center"/>
                </w:tcPr>
                <w:p>
                  <w:pPr>
                    <w:pStyle w:val="2"/>
                    <w:spacing w:line="240" w:lineRule="auto"/>
                    <w:jc w:val="center"/>
                    <w:rPr>
                      <w:rFonts w:ascii="Times New Roman" w:hAnsi="Times New Roman"/>
                      <w:b/>
                      <w:color w:val="auto"/>
                      <w:sz w:val="21"/>
                      <w:szCs w:val="21"/>
                    </w:rPr>
                  </w:pPr>
                  <w:r>
                    <w:rPr>
                      <w:rFonts w:ascii="Times New Roman" w:hAnsi="Times New Roman"/>
                      <w:b/>
                      <w:color w:val="auto"/>
                      <w:sz w:val="21"/>
                      <w:szCs w:val="21"/>
                    </w:rPr>
                    <w:t>比例</w:t>
                  </w:r>
                </w:p>
              </w:tc>
              <w:tc>
                <w:tcPr>
                  <w:tcW w:w="1428" w:type="dxa"/>
                  <w:vAlign w:val="center"/>
                </w:tcPr>
                <w:p>
                  <w:pPr>
                    <w:pStyle w:val="2"/>
                    <w:spacing w:line="240" w:lineRule="auto"/>
                    <w:jc w:val="center"/>
                    <w:rPr>
                      <w:rFonts w:ascii="Times New Roman" w:hAnsi="Times New Roman"/>
                      <w:b/>
                      <w:color w:val="auto"/>
                      <w:sz w:val="21"/>
                      <w:szCs w:val="21"/>
                    </w:rPr>
                  </w:pPr>
                  <w:r>
                    <w:rPr>
                      <w:rFonts w:hint="eastAsia" w:ascii="Times New Roman" w:hAnsi="Times New Roman"/>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乙酸正丁酯</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10-20%</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白云石</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5-10%</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二氧化钛</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5-10%</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二甲苯</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5-10%</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酸碱锌</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5-10%</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1,2,4-三甲苯</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1-3%</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轻芳烃溶剂石脑油（石油）</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1-3%</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乙基苯</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1-3%</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方英石</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1-3%</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C18-不饱和三聚硬脂酸与（Z）-9-十八烯-1-胺合成物</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0.1-0.3%</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妥尔油脂肪酸与（Z）-9-十八烯-1-胺合成物</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0.1-0.3%</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树脂及高岭土</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40-50%</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bl>
          <w:p>
            <w:pPr>
              <w:tabs>
                <w:tab w:val="left" w:pos="2395"/>
              </w:tabs>
              <w:spacing w:before="156" w:beforeLines="50"/>
              <w:ind w:left="493"/>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表1-7  清漆成分一览表</w:t>
            </w:r>
          </w:p>
          <w:tbl>
            <w:tblPr>
              <w:tblStyle w:val="4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8"/>
              <w:gridCol w:w="3314"/>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组分</w:t>
                  </w:r>
                </w:p>
              </w:tc>
              <w:tc>
                <w:tcPr>
                  <w:tcW w:w="3314"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比例</w:t>
                  </w:r>
                </w:p>
              </w:tc>
              <w:tc>
                <w:tcPr>
                  <w:tcW w:w="1422" w:type="dxa"/>
                  <w:vAlign w:val="center"/>
                </w:tcPr>
                <w:p>
                  <w:pPr>
                    <w:pStyle w:val="2"/>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乙酸正丁酯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20-30%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二甲苯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10-20%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乙酸-2-丁氧基乙酯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3-5%</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轻芳烃溶剂石脑油（石油）</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3-5%</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1,2,4-三甲苯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乙基苯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亏二酸双（1，2,2,6,6-戊甲基-4-哌啶基）酯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0.3-1.0%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紫外线吸收剂</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0.3-1.0%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葵二酸甲基五基哌啶酯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0.1-03%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2-甲基-2-丙烯酸-1-2-丙二醇酯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0.1-03%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甲基丙烯酸甲酯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0.1-03%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树脂及高岭土</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40-50%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bl>
          <w:p>
            <w:pPr>
              <w:tabs>
                <w:tab w:val="left" w:pos="2395"/>
              </w:tabs>
              <w:spacing w:before="156" w:beforeLines="50"/>
              <w:ind w:left="493"/>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表1-8  色漆成分一览表</w:t>
            </w:r>
          </w:p>
          <w:tbl>
            <w:tblPr>
              <w:tblStyle w:val="4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3258"/>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组分</w:t>
                  </w:r>
                </w:p>
              </w:tc>
              <w:tc>
                <w:tcPr>
                  <w:tcW w:w="3258"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比例</w:t>
                  </w:r>
                </w:p>
              </w:tc>
              <w:tc>
                <w:tcPr>
                  <w:tcW w:w="1422" w:type="dxa"/>
                  <w:vAlign w:val="center"/>
                </w:tcPr>
                <w:p>
                  <w:pPr>
                    <w:pStyle w:val="2"/>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2-丙醇</w:t>
                  </w:r>
                </w:p>
              </w:tc>
              <w:tc>
                <w:tcPr>
                  <w:tcW w:w="325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1-3%</w:t>
                  </w:r>
                </w:p>
              </w:tc>
              <w:tc>
                <w:tcPr>
                  <w:tcW w:w="1422" w:type="dxa"/>
                  <w:vAlign w:val="center"/>
                </w:tcPr>
                <w:p>
                  <w:pPr>
                    <w:pStyle w:val="2"/>
                    <w:spacing w:line="240" w:lineRule="auto"/>
                    <w:jc w:val="center"/>
                    <w:rPr>
                      <w:rFonts w:ascii="Times New Roman" w:hAnsi="Times New Roman"/>
                      <w:color w:val="auto"/>
                      <w:sz w:val="21"/>
                      <w:szCs w:val="21"/>
                    </w:rPr>
                  </w:pPr>
                  <w:r>
                    <w:rPr>
                      <w:rFonts w:hint="eastAsia" w:ascii="Times New Roman" w:hAnsi="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四甲基癸二醇</w:t>
                  </w:r>
                </w:p>
              </w:tc>
              <w:tc>
                <w:tcPr>
                  <w:tcW w:w="325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0.1-0.3%</w:t>
                  </w:r>
                </w:p>
              </w:tc>
              <w:tc>
                <w:tcPr>
                  <w:tcW w:w="1422" w:type="dxa"/>
                  <w:vAlign w:val="center"/>
                </w:tcPr>
                <w:p>
                  <w:pPr>
                    <w:pStyle w:val="2"/>
                    <w:spacing w:line="240" w:lineRule="auto"/>
                    <w:jc w:val="center"/>
                    <w:rPr>
                      <w:rFonts w:ascii="Times New Roman" w:hAnsi="Times New Roman"/>
                      <w:color w:val="auto"/>
                      <w:sz w:val="21"/>
                      <w:szCs w:val="21"/>
                    </w:rPr>
                  </w:pPr>
                  <w:r>
                    <w:rPr>
                      <w:rFonts w:hint="eastAsia" w:ascii="Times New Roman" w:hAnsi="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树脂及高岭土</w:t>
                  </w:r>
                </w:p>
              </w:tc>
              <w:tc>
                <w:tcPr>
                  <w:tcW w:w="325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90-100%</w:t>
                  </w:r>
                </w:p>
              </w:tc>
              <w:tc>
                <w:tcPr>
                  <w:tcW w:w="1422" w:type="dxa"/>
                  <w:vAlign w:val="center"/>
                </w:tcPr>
                <w:p>
                  <w:pPr>
                    <w:pStyle w:val="2"/>
                    <w:spacing w:line="240" w:lineRule="auto"/>
                    <w:jc w:val="center"/>
                    <w:rPr>
                      <w:rFonts w:ascii="Times New Roman" w:hAnsi="Times New Roman"/>
                      <w:color w:val="auto"/>
                      <w:sz w:val="21"/>
                      <w:szCs w:val="21"/>
                    </w:rPr>
                  </w:pPr>
                  <w:r>
                    <w:rPr>
                      <w:rFonts w:hint="eastAsia" w:ascii="Times New Roman" w:hAnsi="Times New Roman"/>
                      <w:color w:val="auto"/>
                      <w:sz w:val="21"/>
                      <w:szCs w:val="21"/>
                    </w:rPr>
                    <w:t>固体分</w:t>
                  </w:r>
                </w:p>
              </w:tc>
            </w:tr>
          </w:tbl>
          <w:p>
            <w:pPr>
              <w:tabs>
                <w:tab w:val="left" w:pos="2395"/>
              </w:tabs>
              <w:spacing w:before="156" w:beforeLines="50"/>
              <w:ind w:left="493"/>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表1-9  稀释剂成分一览表</w:t>
            </w:r>
          </w:p>
          <w:tbl>
            <w:tblPr>
              <w:tblStyle w:val="4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3258"/>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组分</w:t>
                  </w:r>
                </w:p>
              </w:tc>
              <w:tc>
                <w:tcPr>
                  <w:tcW w:w="3258"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比例</w:t>
                  </w:r>
                </w:p>
              </w:tc>
              <w:tc>
                <w:tcPr>
                  <w:tcW w:w="1422" w:type="dxa"/>
                  <w:vAlign w:val="center"/>
                </w:tcPr>
                <w:p>
                  <w:pPr>
                    <w:pStyle w:val="2"/>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乙酸正丁酯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50-60%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石油精（石油）</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20-30%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一缩二丙二醇一甲醚</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二甲苯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乙基苯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树脂</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0.0-0.1%</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bl>
          <w:p>
            <w:pPr>
              <w:tabs>
                <w:tab w:val="left" w:pos="2395"/>
              </w:tabs>
              <w:spacing w:before="156" w:beforeLines="50"/>
              <w:ind w:left="493"/>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表1-10  固化剂成分一览表</w:t>
            </w:r>
          </w:p>
          <w:tbl>
            <w:tblPr>
              <w:tblStyle w:val="4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3258"/>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组分</w:t>
                  </w:r>
                </w:p>
              </w:tc>
              <w:tc>
                <w:tcPr>
                  <w:tcW w:w="3258"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比例</w:t>
                  </w:r>
                </w:p>
              </w:tc>
              <w:tc>
                <w:tcPr>
                  <w:tcW w:w="1422" w:type="dxa"/>
                  <w:vAlign w:val="center"/>
                </w:tcPr>
                <w:p>
                  <w:pPr>
                    <w:pStyle w:val="2"/>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己二异氰酸酯低聚物</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30-40%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轻芳烃溶剂石脑油（石油）</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10-20%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乙酸正丁酯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10-20%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二甲苯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10-20%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1,2,4-三甲苯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3-异氰酸甲基-3,5,5-三甲基环己基氰酸酯，齐聚物</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乙酸-1-甲氧基-2-丙基酯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1,3-5-三甲基苯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丙苯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乙基苯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树脂</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0.1-1.0%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bl>
          <w:p>
            <w:pPr>
              <w:adjustRightInd w:val="0"/>
              <w:snapToGrid w:val="0"/>
              <w:spacing w:before="156" w:beforeLines="50"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原材料成分中含有属于国家危险物品的材料及其理化性质见下表。</w:t>
            </w:r>
          </w:p>
          <w:p>
            <w:pPr>
              <w:tabs>
                <w:tab w:val="left" w:pos="2395"/>
              </w:tabs>
              <w:ind w:left="493"/>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表1-11  主要原辅材料中成分及理化性质</w:t>
            </w:r>
          </w:p>
          <w:tbl>
            <w:tblPr>
              <w:tblStyle w:val="4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244"/>
              <w:gridCol w:w="3181"/>
              <w:gridCol w:w="1276"/>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名称</w:t>
                  </w:r>
                </w:p>
              </w:tc>
              <w:tc>
                <w:tcPr>
                  <w:tcW w:w="1244"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分子式</w:t>
                  </w:r>
                </w:p>
              </w:tc>
              <w:tc>
                <w:tcPr>
                  <w:tcW w:w="3181"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理化性质</w:t>
                  </w:r>
                </w:p>
              </w:tc>
              <w:tc>
                <w:tcPr>
                  <w:tcW w:w="1276"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燃烧爆炸性</w:t>
                  </w:r>
                </w:p>
              </w:tc>
              <w:tc>
                <w:tcPr>
                  <w:tcW w:w="2838"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毒性及危害性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癸二酸双(1,2,2,6,6-戊甲基-4- 哌啶 基) 酯</w:t>
                  </w:r>
                </w:p>
              </w:tc>
              <w:tc>
                <w:tcPr>
                  <w:tcW w:w="1244"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C</w:t>
                  </w:r>
                  <w:r>
                    <w:rPr>
                      <w:rFonts w:ascii="Times New Roman" w:hAnsi="Times New Roman"/>
                      <w:color w:val="auto"/>
                      <w:sz w:val="21"/>
                      <w:szCs w:val="21"/>
                      <w:vertAlign w:val="subscript"/>
                    </w:rPr>
                    <w:t>30</w:t>
                  </w:r>
                  <w:r>
                    <w:rPr>
                      <w:rFonts w:ascii="Times New Roman" w:hAnsi="Times New Roman"/>
                      <w:color w:val="auto"/>
                      <w:sz w:val="21"/>
                      <w:szCs w:val="21"/>
                    </w:rPr>
                    <w:t>H</w:t>
                  </w:r>
                  <w:r>
                    <w:rPr>
                      <w:rFonts w:ascii="Times New Roman" w:hAnsi="Times New Roman"/>
                      <w:color w:val="auto"/>
                      <w:sz w:val="21"/>
                      <w:szCs w:val="21"/>
                      <w:vertAlign w:val="subscript"/>
                    </w:rPr>
                    <w:t>56</w:t>
                  </w:r>
                  <w:r>
                    <w:rPr>
                      <w:rFonts w:ascii="Times New Roman" w:hAnsi="Times New Roman"/>
                      <w:color w:val="auto"/>
                      <w:sz w:val="21"/>
                      <w:szCs w:val="21"/>
                    </w:rPr>
                    <w:t>N</w:t>
                  </w:r>
                  <w:r>
                    <w:rPr>
                      <w:rFonts w:ascii="Times New Roman" w:hAnsi="Times New Roman"/>
                      <w:color w:val="auto"/>
                      <w:sz w:val="21"/>
                      <w:szCs w:val="21"/>
                      <w:vertAlign w:val="subscript"/>
                    </w:rPr>
                    <w:t>2</w:t>
                  </w:r>
                  <w:r>
                    <w:rPr>
                      <w:rFonts w:ascii="Times New Roman" w:hAnsi="Times New Roman"/>
                      <w:color w:val="auto"/>
                      <w:sz w:val="21"/>
                      <w:szCs w:val="21"/>
                    </w:rPr>
                    <w:t>O</w:t>
                  </w:r>
                  <w:r>
                    <w:rPr>
                      <w:rFonts w:ascii="Times New Roman" w:hAnsi="Times New Roman"/>
                      <w:color w:val="auto"/>
                      <w:sz w:val="21"/>
                      <w:szCs w:val="21"/>
                      <w:vertAlign w:val="subscript"/>
                    </w:rPr>
                    <w:t>4</w:t>
                  </w:r>
                </w:p>
              </w:tc>
              <w:tc>
                <w:tcPr>
                  <w:tcW w:w="3181"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浅黄色液体，有水果香味。不溶于水，可混溶于乙醇、乙醚等多数有机溶剂。熔点 20 ℃，沸点 260 ℃，相对密度 0.9925（水=1）</w:t>
                  </w:r>
                </w:p>
              </w:tc>
              <w:tc>
                <w:tcPr>
                  <w:tcW w:w="1276"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闪点257.1℃，易燃，</w:t>
                  </w:r>
                </w:p>
              </w:tc>
              <w:tc>
                <w:tcPr>
                  <w:tcW w:w="2838"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对眼及上呼吸道均有强烈的刺激作用， 燃烧或高温下可能分解产生毒烟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乙酸正丁酯</w:t>
                  </w:r>
                </w:p>
              </w:tc>
              <w:tc>
                <w:tcPr>
                  <w:tcW w:w="1244"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C</w:t>
                  </w:r>
                  <w:r>
                    <w:rPr>
                      <w:rFonts w:ascii="Times New Roman" w:hAnsi="Times New Roman"/>
                      <w:color w:val="auto"/>
                      <w:sz w:val="21"/>
                      <w:szCs w:val="21"/>
                      <w:vertAlign w:val="subscript"/>
                    </w:rPr>
                    <w:t>6</w:t>
                  </w:r>
                  <w:r>
                    <w:rPr>
                      <w:rFonts w:ascii="Times New Roman" w:hAnsi="Times New Roman"/>
                      <w:color w:val="auto"/>
                      <w:sz w:val="21"/>
                      <w:szCs w:val="21"/>
                    </w:rPr>
                    <w:t>H</w:t>
                  </w:r>
                  <w:r>
                    <w:rPr>
                      <w:rFonts w:ascii="Times New Roman" w:hAnsi="Times New Roman"/>
                      <w:color w:val="auto"/>
                      <w:sz w:val="21"/>
                      <w:szCs w:val="21"/>
                      <w:vertAlign w:val="subscript"/>
                    </w:rPr>
                    <w:t>12</w:t>
                  </w:r>
                  <w:r>
                    <w:rPr>
                      <w:rFonts w:ascii="Times New Roman" w:hAnsi="Times New Roman"/>
                      <w:color w:val="auto"/>
                      <w:sz w:val="21"/>
                      <w:szCs w:val="21"/>
                    </w:rPr>
                    <w:t>O</w:t>
                  </w:r>
                  <w:r>
                    <w:rPr>
                      <w:rFonts w:ascii="Times New Roman" w:hAnsi="Times New Roman"/>
                      <w:color w:val="auto"/>
                      <w:sz w:val="21"/>
                      <w:szCs w:val="21"/>
                      <w:vertAlign w:val="subscript"/>
                    </w:rPr>
                    <w:t>2</w:t>
                  </w:r>
                </w:p>
              </w:tc>
              <w:tc>
                <w:tcPr>
                  <w:tcW w:w="3181"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分子量116.16，无色液体，有水果香味。不溶于水，可混溶于乙醇、乙醚等多数有机溶剂。熔点－98.9 ℃， 沸点112.3 ℃，相对密度 0.86（水=1）4.00（空气=1）饱和蒸气压1.33（20  ℃）KPa</w:t>
                  </w:r>
                </w:p>
              </w:tc>
              <w:tc>
                <w:tcPr>
                  <w:tcW w:w="1276"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闪点22 ℃，易燃，爆炸下限（%）：1.2，爆炸上限（%）：7.5</w:t>
                  </w:r>
                </w:p>
              </w:tc>
              <w:tc>
                <w:tcPr>
                  <w:tcW w:w="2838"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口服大鼠LD50:10768mg/kg；口服- 小鼠LD50：7076 mg/ kg。对眼及上呼吸道均有强烈的刺激作用， 有麻醉作用。吸入高浓度本品会出现流泪、咽痛、咳嗽、胸闷、气短等症状，严重者会出现心血管和神经系统的疾病， 可引起结膜炎、角膜炎，角膜上皮有空泡形成。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二甲苯</w:t>
                  </w:r>
                </w:p>
              </w:tc>
              <w:tc>
                <w:tcPr>
                  <w:tcW w:w="1244"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C</w:t>
                  </w:r>
                  <w:r>
                    <w:rPr>
                      <w:rFonts w:ascii="Times New Roman" w:hAnsi="Times New Roman"/>
                      <w:color w:val="auto"/>
                      <w:sz w:val="21"/>
                      <w:szCs w:val="21"/>
                      <w:vertAlign w:val="subscript"/>
                    </w:rPr>
                    <w:t>8</w:t>
                  </w:r>
                  <w:r>
                    <w:rPr>
                      <w:rFonts w:ascii="Times New Roman" w:hAnsi="Times New Roman"/>
                      <w:color w:val="auto"/>
                      <w:sz w:val="21"/>
                      <w:szCs w:val="21"/>
                    </w:rPr>
                    <w:t>H</w:t>
                  </w:r>
                  <w:r>
                    <w:rPr>
                      <w:rFonts w:ascii="Times New Roman" w:hAnsi="Times New Roman"/>
                      <w:color w:val="auto"/>
                      <w:sz w:val="21"/>
                      <w:szCs w:val="21"/>
                      <w:vertAlign w:val="subscript"/>
                    </w:rPr>
                    <w:t>10</w:t>
                  </w:r>
                </w:p>
              </w:tc>
              <w:tc>
                <w:tcPr>
                  <w:tcW w:w="3181"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分子量106.17，无色透明液体，有类似甲苯的气味，不溶于水，可混溶于乙醇、乙醚、氯仿等多数有机溶剂。熔点-25.5 ℃，沸点 144.4 ℃，临界温度 357.2 ℃，相对密度0.88（水=1）3.66(空气=1)，饱和蒸汽压1.33（32℃）KPa。</w:t>
                  </w:r>
                </w:p>
              </w:tc>
              <w:tc>
                <w:tcPr>
                  <w:tcW w:w="1276"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闪点30 ℃，为易燃液体</w:t>
                  </w:r>
                </w:p>
              </w:tc>
              <w:tc>
                <w:tcPr>
                  <w:tcW w:w="2838"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对皮肤粘膜有</w:t>
                  </w:r>
                </w:p>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刺激作用，对中枢神经有麻痹作用；其蒸汽与空气形成爆炸性混合物，与氧化剂发生强烈反应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己酮</w:t>
                  </w:r>
                </w:p>
              </w:tc>
              <w:tc>
                <w:tcPr>
                  <w:tcW w:w="1244"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C</w:t>
                  </w:r>
                  <w:r>
                    <w:rPr>
                      <w:rFonts w:ascii="Times New Roman" w:hAnsi="Times New Roman"/>
                      <w:color w:val="auto"/>
                      <w:sz w:val="21"/>
                      <w:szCs w:val="21"/>
                      <w:vertAlign w:val="subscript"/>
                    </w:rPr>
                    <w:t>6</w:t>
                  </w:r>
                  <w:r>
                    <w:rPr>
                      <w:rFonts w:ascii="Times New Roman" w:hAnsi="Times New Roman"/>
                      <w:color w:val="auto"/>
                      <w:sz w:val="21"/>
                      <w:szCs w:val="21"/>
                    </w:rPr>
                    <w:t>H</w:t>
                  </w:r>
                  <w:r>
                    <w:rPr>
                      <w:rFonts w:ascii="Times New Roman" w:hAnsi="Times New Roman"/>
                      <w:color w:val="auto"/>
                      <w:sz w:val="21"/>
                      <w:szCs w:val="21"/>
                      <w:vertAlign w:val="subscript"/>
                    </w:rPr>
                    <w:t>10</w:t>
                  </w:r>
                  <w:r>
                    <w:rPr>
                      <w:rFonts w:ascii="Times New Roman" w:hAnsi="Times New Roman"/>
                      <w:color w:val="auto"/>
                      <w:sz w:val="21"/>
                      <w:szCs w:val="21"/>
                    </w:rPr>
                    <w:t>O</w:t>
                  </w:r>
                </w:p>
              </w:tc>
              <w:tc>
                <w:tcPr>
                  <w:tcW w:w="3181"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分子量98.14，无色或浅黄色黄色</w:t>
                  </w:r>
                </w:p>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透明液体，有强烈的刺激性臭味。熔点－45 ℃，沸点155.6 ℃，相对密度0.95（水= 1）3.38（空气= 1），饱和蒸气压1.33（38.7 ℃）KPa</w:t>
                  </w:r>
                </w:p>
              </w:tc>
              <w:tc>
                <w:tcPr>
                  <w:tcW w:w="1276"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闪点46℃</w:t>
                  </w:r>
                </w:p>
              </w:tc>
              <w:tc>
                <w:tcPr>
                  <w:tcW w:w="2838"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急性毒性，与空气混合会发生爆炸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异氰酸酯</w:t>
                  </w:r>
                </w:p>
              </w:tc>
              <w:tc>
                <w:tcPr>
                  <w:tcW w:w="1244"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CHNO</w:t>
                  </w:r>
                </w:p>
              </w:tc>
              <w:tc>
                <w:tcPr>
                  <w:tcW w:w="3181"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无色清亮液体，有强烈的刺激性</w:t>
                  </w:r>
                </w:p>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臭味。熔点－45 ℃，沸点39.1℃，相对密度1.04（水= 1）</w:t>
                  </w:r>
                </w:p>
              </w:tc>
              <w:tc>
                <w:tcPr>
                  <w:tcW w:w="1276"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闪点-15 ℃、遇热、明火、氧化剂易 燃</w:t>
                  </w:r>
                </w:p>
              </w:tc>
              <w:tc>
                <w:tcPr>
                  <w:tcW w:w="2838"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剧毒类</w:t>
                  </w:r>
                </w:p>
              </w:tc>
            </w:tr>
          </w:tbl>
          <w:p>
            <w:pPr>
              <w:tabs>
                <w:tab w:val="left" w:pos="2395"/>
              </w:tabs>
              <w:spacing w:before="156" w:beforeLines="50"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5、劳动定员及工作制度</w:t>
            </w:r>
          </w:p>
          <w:p>
            <w:pPr>
              <w:adjustRightInd w:val="0"/>
              <w:snapToGrid w:val="0"/>
              <w:spacing w:line="360" w:lineRule="auto"/>
              <w:ind w:firstLine="482" w:firstLineChars="200"/>
              <w:rPr>
                <w:rFonts w:ascii="Times New Roman" w:hAnsi="Times New Roman" w:eastAsia="宋体" w:cs="Times New Roman"/>
                <w:color w:val="auto"/>
                <w:sz w:val="24"/>
              </w:rPr>
            </w:pPr>
            <w:r>
              <w:rPr>
                <w:rFonts w:ascii="Times New Roman" w:hAnsi="Times New Roman" w:eastAsia="宋体" w:cs="Times New Roman"/>
                <w:b/>
                <w:bCs/>
                <w:color w:val="auto"/>
                <w:sz w:val="24"/>
              </w:rPr>
              <w:t>劳动动员：</w:t>
            </w:r>
            <w:r>
              <w:rPr>
                <w:rFonts w:ascii="Times New Roman" w:hAnsi="Times New Roman" w:eastAsia="宋体" w:cs="Times New Roman"/>
                <w:color w:val="auto"/>
                <w:sz w:val="24"/>
              </w:rPr>
              <w:t>本项目工作人员20人，所有员工均不在项目区食宿。</w:t>
            </w:r>
          </w:p>
          <w:p>
            <w:pPr>
              <w:adjustRightInd w:val="0"/>
              <w:snapToGrid w:val="0"/>
              <w:spacing w:line="360" w:lineRule="auto"/>
              <w:ind w:firstLine="482" w:firstLineChars="200"/>
              <w:rPr>
                <w:rFonts w:ascii="Times New Roman" w:hAnsi="Times New Roman" w:eastAsia="宋体" w:cs="Times New Roman"/>
                <w:color w:val="auto"/>
              </w:rPr>
            </w:pPr>
            <w:r>
              <w:rPr>
                <w:rFonts w:ascii="Times New Roman" w:hAnsi="Times New Roman" w:eastAsia="宋体" w:cs="Times New Roman"/>
                <w:b/>
                <w:bCs/>
                <w:color w:val="auto"/>
                <w:sz w:val="24"/>
              </w:rPr>
              <w:t>工作制度：</w:t>
            </w:r>
            <w:r>
              <w:rPr>
                <w:rFonts w:ascii="Times New Roman" w:hAnsi="Times New Roman" w:eastAsia="宋体" w:cs="Times New Roman"/>
                <w:color w:val="auto"/>
                <w:sz w:val="24"/>
              </w:rPr>
              <w:t>年工作300天，实行双班制，每天工作8小时。</w:t>
            </w:r>
          </w:p>
          <w:p>
            <w:pPr>
              <w:tabs>
                <w:tab w:val="left" w:pos="23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6、总平面布置</w:t>
            </w:r>
          </w:p>
          <w:p>
            <w:pPr>
              <w:tabs>
                <w:tab w:val="left" w:pos="2395"/>
              </w:tab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主要包括1栋钢结构厂房，按功能划主要分为四轮定位区、保养区、维修区、接待办公区等功能区；所有建筑及区域划分均沿厂房边界设置，从西南侧依次设置有一般固废间、危废暂存间机电维修间、休息室、仓库、钣喷维修间、空压间、喷烤漆房、打磨间、双膜施工间、办公区及会议室等。项目厂区内有一长直通道，项目内各建筑均沿该通道两侧分布，方便人员及车辆的进出及调运，本项目平面布局合理</w:t>
            </w:r>
            <w:r>
              <w:rPr>
                <w:rFonts w:ascii="Times New Roman" w:hAnsi="Times New Roman" w:eastAsia="宋体" w:cs="Times New Roman"/>
                <w:color w:val="auto"/>
                <w:spacing w:val="-5"/>
                <w:sz w:val="24"/>
              </w:rPr>
              <w:t>。项目区总平面布置详见附图3。</w:t>
            </w:r>
          </w:p>
          <w:p>
            <w:pPr>
              <w:tabs>
                <w:tab w:val="left" w:pos="23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7、公用工程</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（1）供水</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由</w:t>
            </w:r>
            <w:r>
              <w:rPr>
                <w:rFonts w:ascii="Times New Roman" w:hAnsi="Times New Roman" w:eastAsia="宋体" w:cs="Times New Roman"/>
                <w:bCs/>
                <w:color w:val="auto"/>
                <w:sz w:val="24"/>
              </w:rPr>
              <w:t>市政</w:t>
            </w:r>
            <w:r>
              <w:rPr>
                <w:rFonts w:ascii="Times New Roman" w:hAnsi="Times New Roman" w:eastAsia="宋体" w:cs="Times New Roman"/>
                <w:color w:val="auto"/>
                <w:sz w:val="24"/>
              </w:rPr>
              <w:t>自来水管网供给。</w:t>
            </w:r>
          </w:p>
          <w:p>
            <w:pPr>
              <w:spacing w:line="360" w:lineRule="auto"/>
              <w:ind w:firstLine="482" w:firstLineChars="200"/>
              <w:rPr>
                <w:rFonts w:ascii="Times New Roman" w:hAnsi="Times New Roman" w:eastAsia="宋体" w:cs="Times New Roman"/>
                <w:b/>
                <w:color w:val="auto"/>
                <w:sz w:val="24"/>
                <w:lang w:val="zh-CN"/>
              </w:rPr>
            </w:pPr>
            <w:r>
              <w:rPr>
                <w:rFonts w:ascii="Times New Roman" w:hAnsi="Times New Roman" w:eastAsia="宋体" w:cs="Times New Roman"/>
                <w:b/>
                <w:color w:val="auto"/>
                <w:kern w:val="0"/>
                <w:sz w:val="24"/>
              </w:rPr>
              <w:t>（2）排水</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项目区实行雨污分流；</w:t>
            </w:r>
          </w:p>
          <w:p>
            <w:pPr>
              <w:widowControl/>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生活污水排入化粪池（项目区东北侧15m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）处理，</w:t>
            </w:r>
            <w:r>
              <w:rPr>
                <w:rFonts w:hint="eastAsia" w:ascii="Times New Roman" w:hAnsi="Times New Roman" w:eastAsia="宋体" w:cs="Times New Roman"/>
                <w:bCs/>
                <w:color w:val="auto"/>
                <w:sz w:val="24"/>
              </w:rPr>
              <w:t>定期委托环卫部门清运，不外排。</w:t>
            </w:r>
          </w:p>
          <w:p>
            <w:pPr>
              <w:spacing w:line="360" w:lineRule="auto"/>
              <w:ind w:firstLine="482" w:firstLineChars="200"/>
              <w:rPr>
                <w:rFonts w:ascii="Times New Roman" w:hAnsi="Times New Roman" w:eastAsia="宋体" w:cs="Times New Roman"/>
                <w:color w:val="auto"/>
                <w:sz w:val="24"/>
              </w:rPr>
            </w:pPr>
            <w:r>
              <w:rPr>
                <w:rFonts w:ascii="Times New Roman" w:hAnsi="Times New Roman" w:eastAsia="宋体" w:cs="Times New Roman"/>
                <w:b/>
                <w:color w:val="auto"/>
                <w:sz w:val="24"/>
              </w:rPr>
              <w:t>（3）供电</w:t>
            </w:r>
          </w:p>
          <w:p>
            <w:pPr>
              <w:spacing w:line="360" w:lineRule="auto"/>
              <w:ind w:firstLine="480" w:firstLineChars="200"/>
              <w:textAlignment w:val="baseline"/>
              <w:rPr>
                <w:rFonts w:ascii="Times New Roman" w:hAnsi="Times New Roman" w:eastAsia="宋体" w:cs="Times New Roman"/>
                <w:color w:val="auto"/>
                <w:kern w:val="0"/>
                <w:sz w:val="24"/>
              </w:rPr>
            </w:pPr>
            <w:r>
              <w:rPr>
                <w:rFonts w:ascii="Times New Roman" w:hAnsi="Times New Roman" w:eastAsia="宋体" w:cs="Times New Roman"/>
                <w:color w:val="auto"/>
                <w:sz w:val="24"/>
              </w:rPr>
              <w:t>由</w:t>
            </w:r>
            <w:r>
              <w:rPr>
                <w:rFonts w:ascii="Times New Roman" w:hAnsi="Times New Roman" w:eastAsia="宋体" w:cs="Times New Roman"/>
                <w:bCs/>
                <w:color w:val="auto"/>
                <w:sz w:val="24"/>
              </w:rPr>
              <w:t>市政电网供给</w:t>
            </w:r>
            <w:r>
              <w:rPr>
                <w:rFonts w:ascii="Times New Roman" w:hAnsi="Times New Roman" w:eastAsia="宋体" w:cs="Times New Roman"/>
                <w:color w:val="auto"/>
                <w:sz w:val="24"/>
              </w:rPr>
              <w:t>。</w:t>
            </w:r>
          </w:p>
          <w:p>
            <w:pPr>
              <w:tabs>
                <w:tab w:val="left" w:pos="2395"/>
              </w:tabs>
              <w:spacing w:line="360" w:lineRule="auto"/>
              <w:ind w:firstLine="493"/>
              <w:jc w:val="left"/>
              <w:rPr>
                <w:rFonts w:ascii="Times New Roman" w:hAnsi="Times New Roman" w:eastAsia="宋体" w:cs="Times New Roman"/>
                <w:b/>
                <w:color w:val="auto"/>
                <w:sz w:val="24"/>
              </w:rPr>
            </w:pPr>
            <w:r>
              <w:rPr>
                <w:rFonts w:ascii="Times New Roman" w:hAnsi="Times New Roman" w:eastAsia="宋体" w:cs="Times New Roman"/>
                <w:b/>
                <w:color w:val="auto"/>
                <w:sz w:val="24"/>
              </w:rPr>
              <w:t>8、施工进度</w:t>
            </w:r>
          </w:p>
          <w:p>
            <w:pPr>
              <w:pStyle w:val="79"/>
              <w:spacing w:line="360" w:lineRule="auto"/>
              <w:ind w:firstLine="480" w:firstLineChars="200"/>
              <w:jc w:val="left"/>
              <w:rPr>
                <w:color w:val="auto"/>
                <w:sz w:val="24"/>
              </w:rPr>
            </w:pPr>
            <w:r>
              <w:rPr>
                <w:color w:val="auto"/>
                <w:sz w:val="24"/>
              </w:rPr>
              <w:t>施工时间：2020年12~2021年3月；</w:t>
            </w:r>
          </w:p>
          <w:p>
            <w:pPr>
              <w:tabs>
                <w:tab w:val="left" w:pos="23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9、环保投资情况</w:t>
            </w:r>
          </w:p>
          <w:p>
            <w:pPr>
              <w:tabs>
                <w:tab w:val="left" w:pos="2395"/>
              </w:tab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项目总投资100万，其中环保投资14.05万元，占项目总投资的14.05%，环保投资一览表见下表。</w:t>
            </w:r>
          </w:p>
          <w:p>
            <w:pPr>
              <w:tabs>
                <w:tab w:val="left" w:pos="2395"/>
              </w:tabs>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表1-12  环保投资一览表</w:t>
            </w:r>
          </w:p>
          <w:tbl>
            <w:tblPr>
              <w:tblStyle w:val="39"/>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853"/>
              <w:gridCol w:w="997"/>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shd w:val="clear" w:color="auto" w:fill="auto"/>
                  <w:vAlign w:val="center"/>
                </w:tcPr>
                <w:p>
                  <w:pPr>
                    <w:jc w:val="center"/>
                    <w:rPr>
                      <w:rFonts w:ascii="Times New Roman" w:hAnsi="Times New Roman" w:eastAsia="宋体" w:cs="Times New Roman"/>
                      <w:b/>
                      <w:color w:val="auto"/>
                    </w:rPr>
                  </w:pPr>
                  <w:r>
                    <w:rPr>
                      <w:rFonts w:ascii="Times New Roman" w:hAnsi="Times New Roman" w:eastAsia="宋体" w:cs="Times New Roman"/>
                      <w:b/>
                      <w:color w:val="auto"/>
                    </w:rPr>
                    <w:t>项目</w:t>
                  </w:r>
                </w:p>
              </w:tc>
              <w:tc>
                <w:tcPr>
                  <w:tcW w:w="6853" w:type="dxa"/>
                  <w:shd w:val="clear" w:color="auto" w:fill="auto"/>
                  <w:vAlign w:val="center"/>
                </w:tcPr>
                <w:p>
                  <w:pPr>
                    <w:jc w:val="center"/>
                    <w:rPr>
                      <w:rFonts w:ascii="Times New Roman" w:hAnsi="Times New Roman" w:eastAsia="宋体" w:cs="Times New Roman"/>
                      <w:b/>
                      <w:color w:val="auto"/>
                    </w:rPr>
                  </w:pPr>
                  <w:r>
                    <w:rPr>
                      <w:rFonts w:ascii="Times New Roman" w:hAnsi="Times New Roman" w:eastAsia="宋体" w:cs="Times New Roman"/>
                      <w:b/>
                      <w:color w:val="auto"/>
                    </w:rPr>
                    <w:t>环保措施</w:t>
                  </w:r>
                </w:p>
              </w:tc>
              <w:tc>
                <w:tcPr>
                  <w:tcW w:w="997" w:type="dxa"/>
                  <w:shd w:val="clear" w:color="auto" w:fill="auto"/>
                  <w:vAlign w:val="center"/>
                </w:tcPr>
                <w:p>
                  <w:pPr>
                    <w:jc w:val="center"/>
                    <w:rPr>
                      <w:rFonts w:ascii="Times New Roman" w:hAnsi="Times New Roman" w:eastAsia="宋体" w:cs="Times New Roman"/>
                      <w:b/>
                      <w:color w:val="auto"/>
                    </w:rPr>
                  </w:pPr>
                  <w:r>
                    <w:rPr>
                      <w:rFonts w:ascii="Times New Roman" w:hAnsi="Times New Roman" w:eastAsia="宋体" w:cs="Times New Roman"/>
                      <w:b/>
                      <w:color w:val="auto"/>
                    </w:rPr>
                    <w:t>投资额</w:t>
                  </w:r>
                </w:p>
                <w:p>
                  <w:pPr>
                    <w:jc w:val="center"/>
                    <w:rPr>
                      <w:rFonts w:ascii="Times New Roman" w:hAnsi="Times New Roman" w:eastAsia="宋体" w:cs="Times New Roman"/>
                      <w:b/>
                      <w:color w:val="auto"/>
                    </w:rPr>
                  </w:pPr>
                  <w:r>
                    <w:rPr>
                      <w:rFonts w:ascii="Times New Roman" w:hAnsi="Times New Roman" w:eastAsia="宋体" w:cs="Times New Roman"/>
                      <w:b/>
                      <w:color w:val="auto"/>
                    </w:rPr>
                    <w:t>(万元)</w:t>
                  </w:r>
                </w:p>
              </w:tc>
              <w:tc>
                <w:tcPr>
                  <w:tcW w:w="1293" w:type="dxa"/>
                  <w:shd w:val="clear" w:color="auto" w:fill="auto"/>
                  <w:vAlign w:val="center"/>
                </w:tcPr>
                <w:p>
                  <w:pPr>
                    <w:jc w:val="center"/>
                    <w:rPr>
                      <w:rFonts w:ascii="Times New Roman" w:hAnsi="Times New Roman" w:eastAsia="宋体" w:cs="Times New Roman"/>
                      <w:b/>
                      <w:color w:val="auto"/>
                    </w:rPr>
                  </w:pPr>
                  <w:r>
                    <w:rPr>
                      <w:rFonts w:ascii="Times New Roman" w:hAnsi="Times New Roman" w:eastAsia="宋体" w:cs="Times New Roman"/>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31" w:type="dxa"/>
                  <w:vMerge w:val="restart"/>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废水</w:t>
                  </w:r>
                </w:p>
              </w:tc>
              <w:tc>
                <w:tcPr>
                  <w:tcW w:w="6853" w:type="dxa"/>
                  <w:shd w:val="clear" w:color="auto" w:fill="auto"/>
                  <w:vAlign w:val="center"/>
                </w:tcPr>
                <w:p>
                  <w:pPr>
                    <w:ind w:firstLine="420" w:firstLineChars="200"/>
                    <w:jc w:val="left"/>
                    <w:rPr>
                      <w:rFonts w:ascii="Times New Roman" w:hAnsi="Times New Roman" w:eastAsia="宋体" w:cs="Times New Roman"/>
                      <w:color w:val="auto"/>
                    </w:rPr>
                  </w:pPr>
                  <w:r>
                    <w:rPr>
                      <w:rFonts w:ascii="Times New Roman" w:hAnsi="Times New Roman" w:eastAsia="宋体" w:cs="Times New Roman"/>
                      <w:color w:val="auto"/>
                      <w:szCs w:val="21"/>
                    </w:rPr>
                    <w:t>雨污分流，厂房加盖彩钢瓦；</w:t>
                  </w:r>
                </w:p>
              </w:tc>
              <w:tc>
                <w:tcPr>
                  <w:tcW w:w="997"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c>
                <w:tcPr>
                  <w:tcW w:w="1293"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31" w:type="dxa"/>
                  <w:vMerge w:val="continue"/>
                  <w:shd w:val="clear" w:color="auto" w:fill="auto"/>
                  <w:vAlign w:val="center"/>
                </w:tcPr>
                <w:p>
                  <w:pPr>
                    <w:jc w:val="center"/>
                    <w:rPr>
                      <w:rFonts w:ascii="Times New Roman" w:hAnsi="Times New Roman" w:eastAsia="宋体" w:cs="Times New Roman"/>
                      <w:color w:val="auto"/>
                    </w:rPr>
                  </w:pPr>
                </w:p>
              </w:tc>
              <w:tc>
                <w:tcPr>
                  <w:tcW w:w="6853" w:type="dxa"/>
                  <w:shd w:val="clear" w:color="auto" w:fill="auto"/>
                  <w:vAlign w:val="center"/>
                </w:tcPr>
                <w:p>
                  <w:pPr>
                    <w:ind w:firstLine="422" w:firstLineChars="200"/>
                    <w:jc w:val="left"/>
                    <w:rPr>
                      <w:rFonts w:ascii="Times New Roman" w:hAnsi="Times New Roman" w:eastAsia="宋体" w:cs="Times New Roman"/>
                      <w:b/>
                      <w:color w:val="auto"/>
                      <w:szCs w:val="21"/>
                    </w:rPr>
                  </w:pPr>
                  <w:r>
                    <w:rPr>
                      <w:rFonts w:ascii="Times New Roman" w:hAnsi="Times New Roman" w:eastAsia="宋体" w:cs="Times New Roman"/>
                      <w:b/>
                      <w:color w:val="auto"/>
                      <w:szCs w:val="21"/>
                    </w:rPr>
                    <w:t>生活污水：</w:t>
                  </w:r>
                  <w:r>
                    <w:rPr>
                      <w:rFonts w:ascii="Times New Roman" w:hAnsi="Times New Roman" w:eastAsia="宋体" w:cs="Times New Roman"/>
                      <w:bCs/>
                      <w:color w:val="auto"/>
                      <w:szCs w:val="21"/>
                    </w:rPr>
                    <w:t>生活污水排入化粪池（项目区东北侧，15m</w:t>
                  </w:r>
                  <w:r>
                    <w:rPr>
                      <w:rFonts w:ascii="Times New Roman" w:hAnsi="Times New Roman" w:eastAsia="宋体" w:cs="Times New Roman"/>
                      <w:bCs/>
                      <w:color w:val="auto"/>
                      <w:szCs w:val="21"/>
                      <w:vertAlign w:val="superscript"/>
                    </w:rPr>
                    <w:t>3</w:t>
                  </w:r>
                  <w:r>
                    <w:rPr>
                      <w:rFonts w:ascii="Times New Roman" w:hAnsi="Times New Roman" w:eastAsia="宋体" w:cs="Times New Roman"/>
                      <w:bCs/>
                      <w:color w:val="auto"/>
                      <w:szCs w:val="21"/>
                    </w:rPr>
                    <w:t>）</w:t>
                  </w:r>
                </w:p>
              </w:tc>
              <w:tc>
                <w:tcPr>
                  <w:tcW w:w="997" w:type="dxa"/>
                  <w:shd w:val="clear" w:color="auto" w:fill="auto"/>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1.5</w:t>
                  </w:r>
                </w:p>
              </w:tc>
              <w:tc>
                <w:tcPr>
                  <w:tcW w:w="1293" w:type="dxa"/>
                  <w:shd w:val="clear" w:color="auto" w:fill="auto"/>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31" w:type="dxa"/>
                  <w:vMerge w:val="restart"/>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废气</w:t>
                  </w:r>
                </w:p>
              </w:tc>
              <w:tc>
                <w:tcPr>
                  <w:tcW w:w="6853" w:type="dxa"/>
                  <w:shd w:val="clear" w:color="auto" w:fill="auto"/>
                  <w:vAlign w:val="center"/>
                </w:tcPr>
                <w:p>
                  <w:pPr>
                    <w:ind w:firstLine="422" w:firstLineChars="200"/>
                    <w:jc w:val="left"/>
                    <w:rPr>
                      <w:rFonts w:ascii="Times New Roman" w:hAnsi="Times New Roman" w:eastAsia="宋体" w:cs="Times New Roman"/>
                      <w:color w:val="auto"/>
                    </w:rPr>
                  </w:pPr>
                  <w:r>
                    <w:rPr>
                      <w:rFonts w:ascii="Times New Roman" w:hAnsi="Times New Roman" w:eastAsia="宋体" w:cs="Times New Roman"/>
                      <w:b/>
                      <w:bCs/>
                      <w:color w:val="auto"/>
                    </w:rPr>
                    <w:t>喷烤漆房废气：</w:t>
                  </w:r>
                  <w:r>
                    <w:rPr>
                      <w:rFonts w:ascii="Times New Roman" w:hAnsi="Times New Roman" w:eastAsia="宋体" w:cs="Times New Roman"/>
                      <w:color w:val="auto"/>
                    </w:rPr>
                    <w:t>喷烤漆房密闭式设置，设置1套废气净化系统（过滤棉+UV光氧催化+活性炭+1根15m高排气筒）</w:t>
                  </w:r>
                </w:p>
              </w:tc>
              <w:tc>
                <w:tcPr>
                  <w:tcW w:w="997"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 xml:space="preserve">6  </w:t>
                  </w:r>
                </w:p>
              </w:tc>
              <w:tc>
                <w:tcPr>
                  <w:tcW w:w="1293"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31" w:type="dxa"/>
                  <w:vMerge w:val="continue"/>
                  <w:shd w:val="clear" w:color="auto" w:fill="auto"/>
                  <w:vAlign w:val="center"/>
                </w:tcPr>
                <w:p>
                  <w:pPr>
                    <w:jc w:val="center"/>
                    <w:rPr>
                      <w:rFonts w:ascii="Times New Roman" w:hAnsi="Times New Roman" w:eastAsia="宋体" w:cs="Times New Roman"/>
                      <w:color w:val="auto"/>
                    </w:rPr>
                  </w:pPr>
                </w:p>
              </w:tc>
              <w:tc>
                <w:tcPr>
                  <w:tcW w:w="6853" w:type="dxa"/>
                  <w:shd w:val="clear" w:color="auto" w:fill="auto"/>
                  <w:vAlign w:val="center"/>
                </w:tcPr>
                <w:p>
                  <w:pPr>
                    <w:ind w:firstLine="422" w:firstLineChars="200"/>
                    <w:jc w:val="left"/>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打磨粉尘：</w:t>
                  </w:r>
                  <w:r>
                    <w:rPr>
                      <w:rFonts w:ascii="Times New Roman" w:hAnsi="Times New Roman" w:eastAsia="宋体" w:cs="Times New Roman"/>
                      <w:color w:val="auto"/>
                      <w:szCs w:val="21"/>
                    </w:rPr>
                    <w:t>打磨设备自带收尘设施</w:t>
                  </w:r>
                </w:p>
                <w:p>
                  <w:pPr>
                    <w:ind w:firstLine="422" w:firstLineChars="200"/>
                    <w:jc w:val="left"/>
                    <w:rPr>
                      <w:rFonts w:ascii="Times New Roman" w:hAnsi="Times New Roman" w:eastAsia="宋体" w:cs="Times New Roman"/>
                      <w:b/>
                      <w:bCs/>
                      <w:color w:val="auto"/>
                    </w:rPr>
                  </w:pPr>
                  <w:r>
                    <w:rPr>
                      <w:rFonts w:ascii="Times New Roman" w:hAnsi="Times New Roman" w:eastAsia="宋体" w:cs="Times New Roman"/>
                      <w:b/>
                      <w:bCs/>
                      <w:color w:val="auto"/>
                      <w:szCs w:val="21"/>
                    </w:rPr>
                    <w:t>焊接烟尘：</w:t>
                  </w:r>
                  <w:r>
                    <w:rPr>
                      <w:rFonts w:ascii="Times New Roman" w:hAnsi="Times New Roman" w:eastAsia="宋体" w:cs="Times New Roman"/>
                      <w:color w:val="auto"/>
                      <w:szCs w:val="21"/>
                    </w:rPr>
                    <w:t>1台移动式烟尘净化器</w:t>
                  </w:r>
                </w:p>
              </w:tc>
              <w:tc>
                <w:tcPr>
                  <w:tcW w:w="997"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w:t>
                  </w:r>
                </w:p>
              </w:tc>
              <w:tc>
                <w:tcPr>
                  <w:tcW w:w="1293"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噪声</w:t>
                  </w:r>
                </w:p>
              </w:tc>
              <w:tc>
                <w:tcPr>
                  <w:tcW w:w="6853" w:type="dxa"/>
                  <w:shd w:val="clear" w:color="auto" w:fill="auto"/>
                  <w:vAlign w:val="center"/>
                </w:tcPr>
                <w:p>
                  <w:pPr>
                    <w:ind w:firstLine="420" w:firstLineChars="200"/>
                    <w:jc w:val="left"/>
                    <w:rPr>
                      <w:rFonts w:ascii="Times New Roman" w:hAnsi="Times New Roman" w:eastAsia="宋体" w:cs="Times New Roman"/>
                      <w:color w:val="auto"/>
                    </w:rPr>
                  </w:pPr>
                  <w:r>
                    <w:rPr>
                      <w:rFonts w:ascii="Times New Roman" w:hAnsi="Times New Roman" w:eastAsia="宋体" w:cs="Times New Roman"/>
                      <w:color w:val="auto"/>
                      <w:szCs w:val="21"/>
                    </w:rPr>
                    <w:t xml:space="preserve">采用低噪声设备，设在专用设备房内，设备基础减震；风机进出口安装消声器。 </w:t>
                  </w:r>
                </w:p>
              </w:tc>
              <w:tc>
                <w:tcPr>
                  <w:tcW w:w="997"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w:t>
                  </w:r>
                </w:p>
              </w:tc>
              <w:tc>
                <w:tcPr>
                  <w:tcW w:w="1293"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31" w:type="dxa"/>
                  <w:vMerge w:val="restart"/>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固废</w:t>
                  </w:r>
                </w:p>
              </w:tc>
              <w:tc>
                <w:tcPr>
                  <w:tcW w:w="6853" w:type="dxa"/>
                  <w:shd w:val="clear" w:color="auto" w:fill="auto"/>
                  <w:vAlign w:val="center"/>
                </w:tcPr>
                <w:p>
                  <w:pPr>
                    <w:ind w:firstLine="420"/>
                    <w:jc w:val="left"/>
                    <w:rPr>
                      <w:rFonts w:ascii="Times New Roman" w:hAnsi="Times New Roman" w:eastAsia="宋体" w:cs="Times New Roman"/>
                      <w:color w:val="auto"/>
                    </w:rPr>
                  </w:pPr>
                  <w:r>
                    <w:rPr>
                      <w:rFonts w:ascii="Times New Roman" w:hAnsi="Times New Roman" w:eastAsia="宋体" w:cs="Times New Roman"/>
                      <w:b/>
                      <w:bCs/>
                      <w:color w:val="auto"/>
                      <w:szCs w:val="21"/>
                    </w:rPr>
                    <w:t>生活垃圾：</w:t>
                  </w:r>
                  <w:r>
                    <w:rPr>
                      <w:rFonts w:ascii="Times New Roman" w:hAnsi="Times New Roman" w:eastAsia="宋体" w:cs="Times New Roman"/>
                      <w:color w:val="auto"/>
                      <w:szCs w:val="21"/>
                    </w:rPr>
                    <w:t>设置若干个移动式垃圾桶集中收集；</w:t>
                  </w:r>
                </w:p>
              </w:tc>
              <w:tc>
                <w:tcPr>
                  <w:tcW w:w="997"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0.05</w:t>
                  </w:r>
                </w:p>
              </w:tc>
              <w:tc>
                <w:tcPr>
                  <w:tcW w:w="1293"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31" w:type="dxa"/>
                  <w:vMerge w:val="continue"/>
                  <w:shd w:val="clear" w:color="auto" w:fill="auto"/>
                  <w:vAlign w:val="center"/>
                </w:tcPr>
                <w:p>
                  <w:pPr>
                    <w:jc w:val="center"/>
                    <w:rPr>
                      <w:rFonts w:ascii="Times New Roman" w:hAnsi="Times New Roman" w:eastAsia="宋体" w:cs="Times New Roman"/>
                      <w:color w:val="auto"/>
                    </w:rPr>
                  </w:pPr>
                </w:p>
              </w:tc>
              <w:tc>
                <w:tcPr>
                  <w:tcW w:w="6853" w:type="dxa"/>
                  <w:shd w:val="clear" w:color="auto" w:fill="auto"/>
                  <w:vAlign w:val="center"/>
                </w:tcPr>
                <w:p>
                  <w:pPr>
                    <w:ind w:firstLine="422" w:firstLineChars="200"/>
                    <w:jc w:val="left"/>
                    <w:rPr>
                      <w:rFonts w:ascii="Times New Roman" w:hAnsi="Times New Roman" w:eastAsia="宋体" w:cs="Times New Roman"/>
                      <w:b/>
                      <w:bCs/>
                      <w:color w:val="auto"/>
                      <w:szCs w:val="21"/>
                    </w:rPr>
                  </w:pPr>
                  <w:r>
                    <w:rPr>
                      <w:rFonts w:ascii="Times New Roman" w:hAnsi="Times New Roman" w:eastAsia="宋体" w:cs="Times New Roman"/>
                      <w:b/>
                      <w:color w:val="auto"/>
                      <w:szCs w:val="21"/>
                    </w:rPr>
                    <w:t>一般固废：</w:t>
                  </w:r>
                  <w:r>
                    <w:rPr>
                      <w:rFonts w:ascii="Times New Roman" w:hAnsi="Times New Roman" w:eastAsia="宋体" w:cs="Times New Roman"/>
                      <w:bCs/>
                      <w:color w:val="auto"/>
                      <w:szCs w:val="21"/>
                    </w:rPr>
                    <w:t>设置1间固废收集间，建筑面积10.5m</w:t>
                  </w:r>
                  <w:r>
                    <w:rPr>
                      <w:rFonts w:ascii="Times New Roman" w:hAnsi="Times New Roman" w:eastAsia="宋体" w:cs="Times New Roman"/>
                      <w:bCs/>
                      <w:color w:val="auto"/>
                      <w:szCs w:val="21"/>
                      <w:vertAlign w:val="superscript"/>
                    </w:rPr>
                    <w:t>2</w:t>
                  </w:r>
                </w:p>
              </w:tc>
              <w:tc>
                <w:tcPr>
                  <w:tcW w:w="997"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w:t>
                  </w:r>
                </w:p>
              </w:tc>
              <w:tc>
                <w:tcPr>
                  <w:tcW w:w="1293"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31" w:type="dxa"/>
                  <w:vMerge w:val="continue"/>
                  <w:shd w:val="clear" w:color="auto" w:fill="auto"/>
                  <w:vAlign w:val="center"/>
                </w:tcPr>
                <w:p>
                  <w:pPr>
                    <w:jc w:val="center"/>
                    <w:rPr>
                      <w:rFonts w:ascii="Times New Roman" w:hAnsi="Times New Roman" w:eastAsia="宋体" w:cs="Times New Roman"/>
                      <w:color w:val="auto"/>
                    </w:rPr>
                  </w:pPr>
                </w:p>
              </w:tc>
              <w:tc>
                <w:tcPr>
                  <w:tcW w:w="6853" w:type="dxa"/>
                  <w:shd w:val="clear" w:color="auto" w:fill="auto"/>
                  <w:vAlign w:val="center"/>
                </w:tcPr>
                <w:p>
                  <w:pPr>
                    <w:ind w:firstLine="422" w:firstLineChars="200"/>
                    <w:rPr>
                      <w:rFonts w:ascii="Times New Roman" w:hAnsi="Times New Roman" w:eastAsia="宋体" w:cs="Times New Roman"/>
                      <w:color w:val="auto"/>
                      <w:szCs w:val="21"/>
                    </w:rPr>
                  </w:pPr>
                  <w:r>
                    <w:rPr>
                      <w:rFonts w:ascii="Times New Roman" w:hAnsi="Times New Roman" w:eastAsia="宋体" w:cs="Times New Roman"/>
                      <w:b/>
                      <w:bCs/>
                      <w:color w:val="auto"/>
                      <w:szCs w:val="21"/>
                    </w:rPr>
                    <w:t>危险废物：</w:t>
                  </w:r>
                  <w:r>
                    <w:rPr>
                      <w:rFonts w:ascii="Times New Roman" w:hAnsi="Times New Roman" w:eastAsia="宋体" w:cs="Times New Roman"/>
                      <w:color w:val="auto"/>
                      <w:szCs w:val="21"/>
                    </w:rPr>
                    <w:t>设置1个危废暂存间，建筑面积为33m</w:t>
                  </w:r>
                  <w:r>
                    <w:rPr>
                      <w:rFonts w:ascii="Times New Roman" w:hAnsi="Times New Roman" w:eastAsia="宋体" w:cs="Times New Roman"/>
                      <w:color w:val="auto"/>
                      <w:szCs w:val="21"/>
                      <w:vertAlign w:val="superscript"/>
                    </w:rPr>
                    <w:t>2</w:t>
                  </w:r>
                </w:p>
              </w:tc>
              <w:tc>
                <w:tcPr>
                  <w:tcW w:w="997"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1293"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4" w:type="dxa"/>
                  <w:gridSpan w:val="2"/>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共计</w:t>
                  </w:r>
                </w:p>
              </w:tc>
              <w:tc>
                <w:tcPr>
                  <w:tcW w:w="2290" w:type="dxa"/>
                  <w:gridSpan w:val="2"/>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14.05</w:t>
                  </w:r>
                </w:p>
              </w:tc>
            </w:tr>
          </w:tbl>
          <w:p>
            <w:pPr>
              <w:pStyle w:val="13"/>
              <w:spacing w:after="0" w:line="360" w:lineRule="auto"/>
              <w:ind w:firstLine="420" w:firstLineChars="200"/>
              <w:rPr>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9940" w:type="dxa"/>
            <w:gridSpan w:val="6"/>
            <w:tcBorders>
              <w:top w:val="single" w:color="auto" w:sz="6" w:space="0"/>
              <w:left w:val="single" w:color="auto" w:sz="6" w:space="0"/>
              <w:bottom w:val="single" w:color="auto" w:sz="6" w:space="0"/>
              <w:right w:val="single" w:color="auto" w:sz="6" w:space="0"/>
            </w:tcBorders>
          </w:tcPr>
          <w:p>
            <w:pPr>
              <w:pStyle w:val="79"/>
              <w:spacing w:line="360" w:lineRule="auto"/>
              <w:ind w:firstLine="562" w:firstLineChars="200"/>
              <w:rPr>
                <w:b/>
                <w:color w:val="auto"/>
                <w:sz w:val="28"/>
                <w:szCs w:val="28"/>
              </w:rPr>
            </w:pPr>
            <w:r>
              <w:rPr>
                <w:b/>
                <w:color w:val="auto"/>
                <w:sz w:val="28"/>
                <w:szCs w:val="28"/>
              </w:rPr>
              <w:t>与本项目有关的原有污染情况及主要环境问题：</w:t>
            </w:r>
          </w:p>
          <w:p>
            <w:pPr>
              <w:pStyle w:val="13"/>
              <w:spacing w:after="0" w:line="360" w:lineRule="auto"/>
              <w:ind w:firstLine="482" w:firstLineChars="200"/>
              <w:rPr>
                <w:b/>
                <w:color w:val="auto"/>
                <w:sz w:val="24"/>
              </w:rPr>
            </w:pPr>
            <w:r>
              <w:rPr>
                <w:rFonts w:hint="eastAsia"/>
                <w:b/>
                <w:color w:val="auto"/>
                <w:sz w:val="24"/>
              </w:rPr>
              <w:t>1、根据现场勘查以及资料查询，原修理厂存在以下问题：</w:t>
            </w:r>
          </w:p>
          <w:p>
            <w:pPr>
              <w:pStyle w:val="13"/>
              <w:spacing w:after="0" w:line="360" w:lineRule="auto"/>
              <w:ind w:firstLine="480" w:firstLineChars="200"/>
              <w:rPr>
                <w:color w:val="auto"/>
                <w:sz w:val="24"/>
              </w:rPr>
            </w:pPr>
            <w:r>
              <w:rPr>
                <w:rFonts w:hint="eastAsia"/>
                <w:color w:val="auto"/>
                <w:sz w:val="24"/>
              </w:rPr>
              <w:t>（1）项目因客户需要及管理不当，夜间加班，发出的噪声造成扰民；</w:t>
            </w:r>
          </w:p>
          <w:p>
            <w:pPr>
              <w:pStyle w:val="13"/>
              <w:spacing w:after="0" w:line="360" w:lineRule="auto"/>
              <w:ind w:firstLine="480" w:firstLineChars="200"/>
              <w:rPr>
                <w:color w:val="auto"/>
                <w:sz w:val="24"/>
              </w:rPr>
            </w:pPr>
            <w:r>
              <w:rPr>
                <w:rFonts w:hint="eastAsia"/>
                <w:color w:val="auto"/>
                <w:sz w:val="24"/>
              </w:rPr>
              <w:t>（2）打磨间门帘严重损坏，不能有效阻隔打磨粉尘扩散。</w:t>
            </w:r>
          </w:p>
          <w:p>
            <w:pPr>
              <w:pStyle w:val="13"/>
              <w:spacing w:after="0" w:line="360" w:lineRule="auto"/>
              <w:ind w:firstLine="480" w:firstLineChars="200"/>
              <w:rPr>
                <w:color w:val="auto"/>
                <w:sz w:val="24"/>
              </w:rPr>
            </w:pPr>
            <w:r>
              <w:rPr>
                <w:rFonts w:hint="eastAsia"/>
                <w:color w:val="auto"/>
                <w:sz w:val="24"/>
              </w:rPr>
              <w:t>（3）不同种类危险废物混合堆存，不规范，没有分类存放。</w:t>
            </w:r>
          </w:p>
          <w:p>
            <w:pPr>
              <w:pStyle w:val="13"/>
              <w:spacing w:after="0" w:line="360" w:lineRule="auto"/>
              <w:ind w:firstLine="482" w:firstLineChars="200"/>
              <w:rPr>
                <w:b/>
                <w:color w:val="auto"/>
                <w:sz w:val="24"/>
              </w:rPr>
            </w:pPr>
            <w:r>
              <w:rPr>
                <w:rFonts w:hint="eastAsia"/>
                <w:b/>
                <w:color w:val="auto"/>
                <w:sz w:val="24"/>
              </w:rPr>
              <w:t>2、本项目改进措施有：</w:t>
            </w:r>
          </w:p>
          <w:p>
            <w:pPr>
              <w:pStyle w:val="13"/>
              <w:spacing w:after="0" w:line="360" w:lineRule="auto"/>
              <w:ind w:firstLine="480" w:firstLineChars="200"/>
              <w:rPr>
                <w:color w:val="auto"/>
                <w:sz w:val="24"/>
              </w:rPr>
            </w:pPr>
            <w:r>
              <w:rPr>
                <w:rFonts w:hint="eastAsia"/>
                <w:color w:val="auto"/>
                <w:sz w:val="24"/>
              </w:rPr>
              <w:t>（1）加强管理，禁止夜间生产；</w:t>
            </w:r>
          </w:p>
          <w:p>
            <w:pPr>
              <w:pStyle w:val="13"/>
              <w:spacing w:after="0" w:line="360" w:lineRule="auto"/>
              <w:ind w:firstLine="480" w:firstLineChars="200"/>
              <w:rPr>
                <w:color w:val="auto"/>
                <w:sz w:val="24"/>
              </w:rPr>
            </w:pPr>
            <w:r>
              <w:rPr>
                <w:rFonts w:hint="eastAsia"/>
                <w:color w:val="auto"/>
                <w:sz w:val="24"/>
              </w:rPr>
              <w:t>（2）定期检查并更换破损设备。</w:t>
            </w:r>
          </w:p>
          <w:p>
            <w:pPr>
              <w:pStyle w:val="13"/>
              <w:spacing w:after="0" w:line="360" w:lineRule="auto"/>
              <w:ind w:firstLine="480" w:firstLineChars="200"/>
              <w:rPr>
                <w:color w:val="auto"/>
                <w:sz w:val="24"/>
              </w:rPr>
            </w:pPr>
            <w:r>
              <w:rPr>
                <w:rFonts w:hint="eastAsia"/>
                <w:color w:val="auto"/>
                <w:sz w:val="24"/>
              </w:rPr>
              <w:t>（3）规范危废暂存间，不同危险废物分类暂存，设置处置台账。</w:t>
            </w:r>
          </w:p>
          <w:p>
            <w:pPr>
              <w:pStyle w:val="13"/>
              <w:spacing w:after="0" w:line="360" w:lineRule="auto"/>
              <w:ind w:firstLine="480" w:firstLineChars="200"/>
              <w:rPr>
                <w:color w:val="auto"/>
                <w:sz w:val="24"/>
              </w:rPr>
            </w:pPr>
          </w:p>
          <w:p>
            <w:pPr>
              <w:pStyle w:val="79"/>
              <w:spacing w:line="360" w:lineRule="auto"/>
              <w:ind w:firstLine="482" w:firstLineChars="200"/>
              <w:jc w:val="left"/>
              <w:rPr>
                <w:b/>
                <w:color w:val="auto"/>
                <w:sz w:val="24"/>
              </w:rPr>
            </w:pPr>
          </w:p>
        </w:tc>
      </w:tr>
    </w:tbl>
    <w:p>
      <w:pPr>
        <w:rPr>
          <w:rFonts w:ascii="Times New Roman" w:hAnsi="Times New Roman" w:eastAsia="宋体" w:cs="Times New Roman"/>
          <w:color w:val="auto"/>
        </w:rPr>
      </w:pPr>
      <w:r>
        <w:rPr>
          <w:rFonts w:ascii="Times New Roman" w:hAnsi="Times New Roman" w:eastAsia="宋体" w:cs="Times New Roman"/>
          <w:color w:val="auto"/>
        </w:rPr>
        <w:br w:type="page"/>
      </w:r>
    </w:p>
    <w:p>
      <w:pPr>
        <w:keepNext/>
        <w:keepLines/>
        <w:pageBreakBefore/>
        <w:jc w:val="left"/>
        <w:outlineLvl w:val="0"/>
        <w:rPr>
          <w:rFonts w:ascii="Times New Roman" w:hAnsi="Times New Roman" w:eastAsia="宋体" w:cs="Times New Roman"/>
          <w:b/>
          <w:bCs/>
          <w:color w:val="auto"/>
          <w:kern w:val="44"/>
          <w:sz w:val="30"/>
          <w:szCs w:val="44"/>
          <w:lang w:val="zh-CN"/>
        </w:rPr>
      </w:pPr>
      <w:bookmarkStart w:id="1" w:name="_Toc47258238"/>
      <w:r>
        <w:rPr>
          <w:rFonts w:ascii="Times New Roman" w:hAnsi="Times New Roman" w:eastAsia="宋体" w:cs="Times New Roman"/>
          <w:b/>
          <w:bCs/>
          <w:color w:val="auto"/>
          <w:kern w:val="44"/>
          <w:sz w:val="30"/>
          <w:szCs w:val="44"/>
          <w:lang w:val="zh-CN"/>
        </w:rPr>
        <w:t>表二、建设项目所在地自然环境社会环境简况</w:t>
      </w:r>
      <w:bookmarkEnd w:id="1"/>
    </w:p>
    <w:tbl>
      <w:tblPr>
        <w:tblStyle w:val="39"/>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shd w:val="clear" w:color="auto" w:fill="auto"/>
          </w:tcPr>
          <w:p>
            <w:pPr>
              <w:spacing w:before="156" w:beforeLines="50" w:line="360" w:lineRule="auto"/>
              <w:jc w:val="left"/>
              <w:rPr>
                <w:rFonts w:ascii="Times New Roman" w:hAnsi="Times New Roman" w:eastAsia="宋体" w:cs="Times New Roman"/>
                <w:b/>
                <w:color w:val="auto"/>
                <w:sz w:val="28"/>
                <w:lang w:val="zh-CN"/>
              </w:rPr>
            </w:pPr>
            <w:r>
              <w:rPr>
                <w:rFonts w:ascii="Times New Roman" w:hAnsi="Times New Roman" w:eastAsia="宋体" w:cs="Times New Roman"/>
                <w:b/>
                <w:color w:val="auto"/>
                <w:sz w:val="28"/>
                <w:lang w:val="zh-CN"/>
              </w:rPr>
              <w:t>自然环境简况（地形、地貌、地质、气候、水文、植被、生物多样性等）</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1、地理位置及周边情况</w:t>
            </w:r>
          </w:p>
          <w:p>
            <w:pPr>
              <w:pStyle w:val="13"/>
              <w:spacing w:after="0" w:line="360" w:lineRule="auto"/>
              <w:ind w:firstLine="468" w:firstLineChars="200"/>
              <w:rPr>
                <w:color w:val="auto"/>
                <w:spacing w:val="-3"/>
                <w:sz w:val="24"/>
              </w:rPr>
            </w:pPr>
            <w:r>
              <w:rPr>
                <w:color w:val="auto"/>
                <w:spacing w:val="-3"/>
                <w:sz w:val="24"/>
              </w:rPr>
              <w:t>芒市为德宏州州府所在地，地处云南省西部，德宏州东南部，距昆明679km，位于东经98°01′~98°44′，北纬24°05′~24°39′区间。芒市是云南西边的窗口以及中缅文化交流的窗口和中缅经济效益的门户，是通往瑞丽、陇川、盈江、梁河，直到缅甸的交通枢纽和商贸物资集散地及边境口岸，东侧及东北侧接保山市龙陵县，西南连瑞丽市、畹町经济开发区，西侧及西北侧与梁河县、陇川县隔陇川江相望，南与缅甸交界，国境线长68.3km。</w:t>
            </w:r>
          </w:p>
          <w:p>
            <w:pPr>
              <w:pStyle w:val="13"/>
              <w:spacing w:after="0" w:line="360" w:lineRule="auto"/>
              <w:ind w:firstLine="468" w:firstLineChars="200"/>
              <w:rPr>
                <w:color w:val="auto"/>
                <w:spacing w:val="-3"/>
                <w:sz w:val="24"/>
              </w:rPr>
            </w:pPr>
            <w:r>
              <w:rPr>
                <w:color w:val="auto"/>
                <w:spacing w:val="-3"/>
                <w:sz w:val="24"/>
              </w:rPr>
              <w:t>本项目位于云南省德宏州芒市胞波路203号，中心地理坐标为：东经98°34'4.84"，北纬24°26'33.75"，海拔895m。项目地理位置图见附图1。</w:t>
            </w:r>
          </w:p>
          <w:p>
            <w:pPr>
              <w:pStyle w:val="13"/>
              <w:spacing w:after="0" w:line="360" w:lineRule="auto"/>
              <w:ind w:firstLine="468" w:firstLineChars="200"/>
              <w:rPr>
                <w:color w:val="auto"/>
                <w:spacing w:val="-3"/>
                <w:sz w:val="24"/>
              </w:rPr>
            </w:pPr>
            <w:r>
              <w:rPr>
                <w:color w:val="auto"/>
                <w:spacing w:val="-3"/>
                <w:sz w:val="24"/>
              </w:rPr>
              <w:t>项目区周边关系列表见表2-1。</w:t>
            </w:r>
          </w:p>
          <w:p>
            <w:pPr>
              <w:adjustRightInd w:val="0"/>
              <w:ind w:firstLine="482" w:firstLineChars="200"/>
              <w:jc w:val="center"/>
              <w:rPr>
                <w:rFonts w:ascii="Times New Roman" w:hAnsi="Times New Roman" w:eastAsia="宋体" w:cs="Times New Roman"/>
                <w:b/>
                <w:snapToGrid w:val="0"/>
                <w:color w:val="auto"/>
                <w:kern w:val="0"/>
                <w:sz w:val="24"/>
                <w:szCs w:val="20"/>
              </w:rPr>
            </w:pPr>
            <w:r>
              <w:rPr>
                <w:rFonts w:ascii="Times New Roman" w:hAnsi="Times New Roman" w:eastAsia="宋体" w:cs="Times New Roman"/>
                <w:b/>
                <w:snapToGrid w:val="0"/>
                <w:color w:val="auto"/>
                <w:kern w:val="0"/>
                <w:sz w:val="24"/>
                <w:szCs w:val="20"/>
              </w:rPr>
              <w:t>表2-1  项目区周边关系列表</w:t>
            </w:r>
          </w:p>
          <w:tbl>
            <w:tblPr>
              <w:tblStyle w:val="39"/>
              <w:tblW w:w="9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826"/>
              <w:gridCol w:w="3594"/>
              <w:gridCol w:w="2061"/>
              <w:gridCol w:w="1535"/>
              <w:gridCol w:w="15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
                      <w:color w:val="auto"/>
                      <w:spacing w:val="-2"/>
                      <w:kern w:val="0"/>
                      <w:szCs w:val="21"/>
                    </w:rPr>
                  </w:pPr>
                  <w:r>
                    <w:rPr>
                      <w:rFonts w:ascii="Times New Roman" w:hAnsi="Times New Roman" w:eastAsia="宋体" w:cs="Times New Roman"/>
                      <w:b/>
                      <w:color w:val="auto"/>
                      <w:spacing w:val="-2"/>
                      <w:kern w:val="0"/>
                      <w:szCs w:val="21"/>
                      <w:lang w:bidi="ar"/>
                    </w:rPr>
                    <w:t>序号</w:t>
                  </w:r>
                </w:p>
              </w:tc>
              <w:tc>
                <w:tcPr>
                  <w:tcW w:w="3594" w:type="dxa"/>
                  <w:vAlign w:val="center"/>
                </w:tcPr>
                <w:p>
                  <w:pPr>
                    <w:autoSpaceDE w:val="0"/>
                    <w:autoSpaceDN w:val="0"/>
                    <w:adjustRightInd w:val="0"/>
                    <w:jc w:val="center"/>
                    <w:rPr>
                      <w:rFonts w:ascii="Times New Roman" w:hAnsi="Times New Roman" w:eastAsia="宋体" w:cs="Times New Roman"/>
                      <w:b/>
                      <w:color w:val="auto"/>
                      <w:spacing w:val="-2"/>
                      <w:kern w:val="0"/>
                      <w:szCs w:val="21"/>
                    </w:rPr>
                  </w:pPr>
                  <w:r>
                    <w:rPr>
                      <w:rFonts w:ascii="Times New Roman" w:hAnsi="Times New Roman" w:eastAsia="宋体" w:cs="Times New Roman"/>
                      <w:b/>
                      <w:color w:val="auto"/>
                      <w:spacing w:val="-2"/>
                      <w:kern w:val="0"/>
                      <w:szCs w:val="21"/>
                      <w:lang w:bidi="ar"/>
                    </w:rPr>
                    <w:t>名称</w:t>
                  </w:r>
                </w:p>
              </w:tc>
              <w:tc>
                <w:tcPr>
                  <w:tcW w:w="2061" w:type="dxa"/>
                  <w:vAlign w:val="center"/>
                </w:tcPr>
                <w:p>
                  <w:pPr>
                    <w:autoSpaceDE w:val="0"/>
                    <w:autoSpaceDN w:val="0"/>
                    <w:adjustRightInd w:val="0"/>
                    <w:jc w:val="center"/>
                    <w:rPr>
                      <w:rFonts w:ascii="Times New Roman" w:hAnsi="Times New Roman" w:eastAsia="宋体" w:cs="Times New Roman"/>
                      <w:b/>
                      <w:color w:val="auto"/>
                      <w:spacing w:val="-2"/>
                      <w:kern w:val="0"/>
                      <w:szCs w:val="21"/>
                    </w:rPr>
                  </w:pPr>
                  <w:r>
                    <w:rPr>
                      <w:rFonts w:ascii="Times New Roman" w:hAnsi="Times New Roman" w:eastAsia="宋体" w:cs="Times New Roman"/>
                      <w:b/>
                      <w:color w:val="auto"/>
                      <w:spacing w:val="-2"/>
                      <w:kern w:val="0"/>
                      <w:szCs w:val="21"/>
                      <w:lang w:bidi="ar"/>
                    </w:rPr>
                    <w:t>与本项目的相对方位</w:t>
                  </w:r>
                </w:p>
              </w:tc>
              <w:tc>
                <w:tcPr>
                  <w:tcW w:w="1535" w:type="dxa"/>
                  <w:vAlign w:val="center"/>
                </w:tcPr>
                <w:p>
                  <w:pPr>
                    <w:autoSpaceDE w:val="0"/>
                    <w:autoSpaceDN w:val="0"/>
                    <w:adjustRightInd w:val="0"/>
                    <w:jc w:val="center"/>
                    <w:rPr>
                      <w:rFonts w:ascii="Times New Roman" w:hAnsi="Times New Roman" w:eastAsia="宋体" w:cs="Times New Roman"/>
                      <w:b/>
                      <w:color w:val="auto"/>
                      <w:spacing w:val="-2"/>
                      <w:kern w:val="0"/>
                      <w:szCs w:val="21"/>
                    </w:rPr>
                  </w:pPr>
                  <w:r>
                    <w:rPr>
                      <w:rFonts w:ascii="Times New Roman" w:hAnsi="Times New Roman" w:eastAsia="宋体" w:cs="Times New Roman"/>
                      <w:b/>
                      <w:color w:val="auto"/>
                      <w:spacing w:val="-2"/>
                      <w:kern w:val="0"/>
                      <w:szCs w:val="21"/>
                      <w:lang w:bidi="ar"/>
                    </w:rPr>
                    <w:t>距离（m）</w:t>
                  </w:r>
                </w:p>
              </w:tc>
              <w:tc>
                <w:tcPr>
                  <w:tcW w:w="1527" w:type="dxa"/>
                </w:tcPr>
                <w:p>
                  <w:pPr>
                    <w:autoSpaceDE w:val="0"/>
                    <w:autoSpaceDN w:val="0"/>
                    <w:adjustRightInd w:val="0"/>
                    <w:jc w:val="center"/>
                    <w:rPr>
                      <w:rFonts w:ascii="Times New Roman" w:hAnsi="Times New Roman" w:eastAsia="宋体" w:cs="Times New Roman"/>
                      <w:b/>
                      <w:color w:val="auto"/>
                      <w:spacing w:val="-2"/>
                      <w:kern w:val="0"/>
                      <w:szCs w:val="21"/>
                    </w:rPr>
                  </w:pPr>
                  <w:r>
                    <w:rPr>
                      <w:rFonts w:ascii="Times New Roman" w:hAnsi="Times New Roman" w:eastAsia="宋体" w:cs="Times New Roman"/>
                      <w:b/>
                      <w:color w:val="auto"/>
                      <w:spacing w:val="-2"/>
                      <w:kern w:val="0"/>
                      <w:szCs w:val="21"/>
                      <w:lang w:bidi="ar"/>
                    </w:rPr>
                    <w:t>属性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lang w:bidi="ar"/>
                    </w:rPr>
                    <w:t>1</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国家统计局德宏调查队</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5</w:t>
                  </w:r>
                  <w:r>
                    <w:rPr>
                      <w:rFonts w:ascii="Times New Roman" w:hAnsi="Times New Roman" w:eastAsia="宋体" w:cs="Times New Roman"/>
                      <w:bCs/>
                      <w:color w:val="auto"/>
                      <w:spacing w:val="-2"/>
                      <w:kern w:val="0"/>
                      <w:szCs w:val="21"/>
                      <w:lang w:bidi="ar"/>
                    </w:rPr>
                    <w:t>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行政单位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lang w:bidi="ar"/>
                    </w:rPr>
                    <w:t>2</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芒市人民政府发展和改革局</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1</w:t>
                  </w:r>
                  <w:r>
                    <w:rPr>
                      <w:rFonts w:ascii="Times New Roman" w:hAnsi="Times New Roman" w:eastAsia="宋体" w:cs="Times New Roman"/>
                      <w:bCs/>
                      <w:color w:val="auto"/>
                      <w:spacing w:val="-2"/>
                      <w:kern w:val="0"/>
                      <w:szCs w:val="21"/>
                      <w:lang w:bidi="ar"/>
                    </w:rPr>
                    <w:t>35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行政单位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lang w:bidi="ar"/>
                    </w:rPr>
                    <w:t>3</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榕树小区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8</w:t>
                  </w:r>
                  <w:r>
                    <w:rPr>
                      <w:rFonts w:ascii="Times New Roman" w:hAnsi="Times New Roman" w:eastAsia="宋体" w:cs="Times New Roman"/>
                      <w:bCs/>
                      <w:color w:val="auto"/>
                      <w:spacing w:val="-2"/>
                      <w:kern w:val="0"/>
                      <w:szCs w:val="21"/>
                    </w:rPr>
                    <w:t>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ascii="Times New Roman" w:hAnsi="Times New Roman" w:eastAsia="宋体" w:cs="Times New Roman"/>
                      <w:bCs/>
                      <w:color w:val="auto"/>
                      <w:spacing w:val="-2"/>
                      <w:kern w:val="0"/>
                      <w:szCs w:val="21"/>
                      <w:lang w:bidi="ar"/>
                    </w:rPr>
                    <w:t>4</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锦华路小区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东侧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4</w:t>
                  </w:r>
                  <w:r>
                    <w:rPr>
                      <w:rFonts w:ascii="Times New Roman" w:hAnsi="Times New Roman" w:eastAsia="宋体" w:cs="Times New Roman"/>
                      <w:bCs/>
                      <w:color w:val="auto"/>
                      <w:spacing w:val="-2"/>
                      <w:kern w:val="0"/>
                      <w:szCs w:val="21"/>
                    </w:rPr>
                    <w:t>95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rPr>
                    <w:t>5</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德宏州政务服务中心</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7</w:t>
                  </w:r>
                  <w:r>
                    <w:rPr>
                      <w:rFonts w:ascii="Times New Roman" w:hAnsi="Times New Roman" w:eastAsia="宋体" w:cs="Times New Roman"/>
                      <w:bCs/>
                      <w:color w:val="auto"/>
                      <w:spacing w:val="-2"/>
                      <w:kern w:val="0"/>
                      <w:szCs w:val="21"/>
                    </w:rPr>
                    <w:t>90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行政单位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rPr>
                    <w:t>6</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德宏州社会体育指导中心</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5</w:t>
                  </w:r>
                  <w:r>
                    <w:rPr>
                      <w:rFonts w:ascii="Times New Roman" w:hAnsi="Times New Roman" w:eastAsia="宋体" w:cs="Times New Roman"/>
                      <w:bCs/>
                      <w:color w:val="auto"/>
                      <w:spacing w:val="-2"/>
                      <w:kern w:val="0"/>
                      <w:szCs w:val="21"/>
                    </w:rPr>
                    <w:t>58</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社会组织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rPr>
                    <w:t>7</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德宏州房地产行业协会</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4</w:t>
                  </w:r>
                  <w:r>
                    <w:rPr>
                      <w:rFonts w:ascii="Times New Roman" w:hAnsi="Times New Roman" w:eastAsia="宋体" w:cs="Times New Roman"/>
                      <w:bCs/>
                      <w:color w:val="auto"/>
                      <w:spacing w:val="-2"/>
                      <w:kern w:val="0"/>
                      <w:szCs w:val="21"/>
                    </w:rPr>
                    <w:t>40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社会组织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rPr>
                    <w:t>8</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华江水岸星城</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15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rPr>
                    <w:t>9</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华丰紫园</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85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0</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珠宝小镇</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95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1</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等相</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ascii="Times New Roman" w:hAnsi="Times New Roman" w:eastAsia="宋体" w:cs="Times New Roman"/>
                      <w:bCs/>
                      <w:color w:val="auto"/>
                      <w:spacing w:val="-2"/>
                      <w:kern w:val="0"/>
                      <w:szCs w:val="21"/>
                      <w:lang w:bidi="ar"/>
                    </w:rPr>
                    <w:t>555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2</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翡翠小区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ascii="Times New Roman" w:hAnsi="Times New Roman" w:eastAsia="宋体" w:cs="Times New Roman"/>
                      <w:bCs/>
                      <w:color w:val="auto"/>
                      <w:spacing w:val="-2"/>
                      <w:kern w:val="0"/>
                      <w:szCs w:val="21"/>
                      <w:lang w:bidi="ar"/>
                    </w:rPr>
                    <w:t>65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3</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新华小区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20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4</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宏发小区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30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5</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禄苑小区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4</w:t>
                  </w:r>
                  <w:r>
                    <w:rPr>
                      <w:rFonts w:ascii="Times New Roman" w:hAnsi="Times New Roman" w:eastAsia="宋体" w:cs="Times New Roman"/>
                      <w:bCs/>
                      <w:color w:val="auto"/>
                      <w:spacing w:val="-2"/>
                      <w:kern w:val="0"/>
                      <w:szCs w:val="21"/>
                      <w:lang w:bidi="ar"/>
                    </w:rPr>
                    <w:t>80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6</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北面公务员小区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4</w:t>
                  </w:r>
                  <w:r>
                    <w:rPr>
                      <w:rFonts w:ascii="Times New Roman" w:hAnsi="Times New Roman" w:eastAsia="宋体" w:cs="Times New Roman"/>
                      <w:bCs/>
                      <w:color w:val="auto"/>
                      <w:spacing w:val="-2"/>
                      <w:kern w:val="0"/>
                      <w:szCs w:val="21"/>
                      <w:lang w:bidi="ar"/>
                    </w:rPr>
                    <w:t>90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7</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南面公务员小区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5</w:t>
                  </w:r>
                  <w:r>
                    <w:rPr>
                      <w:rFonts w:ascii="Times New Roman" w:hAnsi="Times New Roman" w:eastAsia="宋体" w:cs="Times New Roman"/>
                      <w:bCs/>
                      <w:color w:val="auto"/>
                      <w:spacing w:val="-2"/>
                      <w:kern w:val="0"/>
                      <w:szCs w:val="21"/>
                      <w:lang w:bidi="ar"/>
                    </w:rPr>
                    <w:t>30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8</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国税园区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7</w:t>
                  </w:r>
                  <w:r>
                    <w:rPr>
                      <w:rFonts w:ascii="Times New Roman" w:hAnsi="Times New Roman" w:eastAsia="宋体" w:cs="Times New Roman"/>
                      <w:bCs/>
                      <w:color w:val="auto"/>
                      <w:spacing w:val="-2"/>
                      <w:kern w:val="0"/>
                      <w:szCs w:val="21"/>
                      <w:lang w:bidi="ar"/>
                    </w:rPr>
                    <w:t>20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9</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芒市安监局</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8</w:t>
                  </w:r>
                  <w:r>
                    <w:rPr>
                      <w:rFonts w:ascii="Times New Roman" w:hAnsi="Times New Roman" w:eastAsia="宋体" w:cs="Times New Roman"/>
                      <w:bCs/>
                      <w:color w:val="auto"/>
                      <w:spacing w:val="-2"/>
                      <w:kern w:val="0"/>
                      <w:szCs w:val="21"/>
                      <w:lang w:bidi="ar"/>
                    </w:rPr>
                    <w:t>30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行政单位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2</w:t>
                  </w:r>
                  <w:r>
                    <w:rPr>
                      <w:rFonts w:ascii="Times New Roman" w:hAnsi="Times New Roman" w:eastAsia="宋体" w:cs="Times New Roman"/>
                      <w:bCs/>
                      <w:color w:val="auto"/>
                      <w:spacing w:val="-2"/>
                      <w:kern w:val="0"/>
                      <w:szCs w:val="21"/>
                    </w:rPr>
                    <w:t>0</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德宏州进口公司家属区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6</w:t>
                  </w:r>
                  <w:r>
                    <w:rPr>
                      <w:rFonts w:ascii="Times New Roman" w:hAnsi="Times New Roman" w:eastAsia="宋体" w:cs="Times New Roman"/>
                      <w:bCs/>
                      <w:color w:val="auto"/>
                      <w:spacing w:val="-2"/>
                      <w:kern w:val="0"/>
                      <w:szCs w:val="21"/>
                      <w:lang w:bidi="ar"/>
                    </w:rPr>
                    <w:t>55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bl>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2、地形、地貌</w:t>
            </w:r>
          </w:p>
          <w:p>
            <w:pPr>
              <w:pStyle w:val="13"/>
              <w:spacing w:after="0" w:line="360" w:lineRule="auto"/>
              <w:ind w:firstLine="468" w:firstLineChars="200"/>
              <w:rPr>
                <w:color w:val="auto"/>
                <w:spacing w:val="-3"/>
                <w:sz w:val="24"/>
              </w:rPr>
            </w:pPr>
            <w:r>
              <w:rPr>
                <w:color w:val="auto"/>
                <w:spacing w:val="-3"/>
                <w:sz w:val="24"/>
              </w:rPr>
              <w:t>芒市全境是以中、低山山地为主的低纬山原地区，最高海拔2377米（背阴山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pPr>
              <w:pStyle w:val="13"/>
              <w:spacing w:after="0" w:line="360" w:lineRule="auto"/>
              <w:ind w:firstLine="468" w:firstLineChars="200"/>
              <w:rPr>
                <w:color w:val="auto"/>
                <w:spacing w:val="-3"/>
                <w:sz w:val="24"/>
              </w:rPr>
            </w:pPr>
            <w:r>
              <w:rPr>
                <w:color w:val="auto"/>
                <w:spacing w:val="-3"/>
                <w:sz w:val="24"/>
              </w:rPr>
              <w:t>芒市海拔高差悬殊很大，山谷、河流、盆谷走向一致，并呈相间平行排列势态，展现了两山夹一峡谷、一条河、一个盆坝的地貌特征。以溶蚀槽谷、溶蚀洼地、漏斗、溶洞、落水洞、溶牙、溶峰等地貌较为显著。</w:t>
            </w:r>
          </w:p>
          <w:p>
            <w:pPr>
              <w:pStyle w:val="13"/>
              <w:spacing w:after="0" w:line="360" w:lineRule="auto"/>
              <w:ind w:firstLine="468" w:firstLineChars="200"/>
              <w:rPr>
                <w:color w:val="auto"/>
                <w:spacing w:val="-3"/>
                <w:sz w:val="24"/>
              </w:rPr>
            </w:pPr>
            <w:r>
              <w:rPr>
                <w:color w:val="auto"/>
                <w:spacing w:val="-3"/>
                <w:sz w:val="24"/>
              </w:rPr>
              <w:t>本项目位于云南省德宏州芒市胞波路203号，所在地块地势较为平坦</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3、气候、气象</w:t>
            </w:r>
          </w:p>
          <w:p>
            <w:pPr>
              <w:pStyle w:val="13"/>
              <w:spacing w:after="0" w:line="360" w:lineRule="auto"/>
              <w:ind w:firstLine="468" w:firstLineChars="200"/>
              <w:rPr>
                <w:color w:val="auto"/>
                <w:spacing w:val="-3"/>
                <w:sz w:val="24"/>
              </w:rPr>
            </w:pPr>
            <w:r>
              <w:rPr>
                <w:color w:val="auto"/>
                <w:spacing w:val="-3"/>
                <w:sz w:val="24"/>
              </w:rPr>
              <w:t>芒市地处低纬高原，热量丰富，</w:t>
            </w:r>
            <w:r>
              <w:rPr>
                <w:rFonts w:hint="eastAsia"/>
                <w:color w:val="auto"/>
                <w:spacing w:val="-3"/>
                <w:sz w:val="24"/>
                <w:lang w:eastAsia="zh-CN"/>
              </w:rPr>
              <w:t>气候</w:t>
            </w:r>
            <w:r>
              <w:rPr>
                <w:color w:val="auto"/>
                <w:spacing w:val="-3"/>
                <w:sz w:val="24"/>
              </w:rPr>
              <w:t>温和，属南亚热带季风气候，具有夏长冬短、干湿分明、冬无严寒、夏无酷暑，日照时间长、雨量充沛、冬季多雾等特点。年平均气温19.6℃，最热月（6月）平均气温24.1℃，最冷月（1月）平均气温12.3℃，极端最高气温36.2℃（1960年4月29日），极端最低气温-0.6℃（1963年1月5日），年平均降水量1654.6mm，年最多降水量2294.4mm（2001年），年最少降水量1177.3mm（2006年），雨季（5-10月）降水量占全年降水量的89%，年平均降雨日数170天，一日最大降水量158.3mm（2002年10月25日）。日照时数2252.9小时，蒸发量1723.6㎜，无霜期315天。</w:t>
            </w:r>
          </w:p>
          <w:p>
            <w:pPr>
              <w:pStyle w:val="13"/>
              <w:spacing w:after="0" w:line="360" w:lineRule="auto"/>
              <w:ind w:firstLine="468" w:firstLineChars="200"/>
              <w:rPr>
                <w:color w:val="auto"/>
                <w:spacing w:val="-3"/>
                <w:sz w:val="24"/>
              </w:rPr>
            </w:pPr>
            <w:r>
              <w:rPr>
                <w:color w:val="auto"/>
                <w:spacing w:val="-3"/>
                <w:sz w:val="24"/>
              </w:rPr>
              <w:t>经芒市气象站的历年统计资料，累年极端最高气温36.20℃，累年极端最低气温-0.60℃；累年平均气压909.90hPa，累年平均水汽压18.40hPa，累年平均相对湿度80％；累年平均风速为2.9m/s，累年最大风速为38.5m/s，主导风向为西南风；累年平均年雷暴日数76.9天，累年平均年冰雹日数0.4天，不见沙尘天气。</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4、河流水系</w:t>
            </w:r>
          </w:p>
          <w:p>
            <w:pPr>
              <w:pStyle w:val="13"/>
              <w:spacing w:after="0" w:line="360" w:lineRule="auto"/>
              <w:ind w:firstLine="468" w:firstLineChars="200"/>
              <w:rPr>
                <w:color w:val="auto"/>
                <w:spacing w:val="-3"/>
                <w:sz w:val="24"/>
              </w:rPr>
            </w:pPr>
            <w:r>
              <w:rPr>
                <w:color w:val="auto"/>
                <w:spacing w:val="-3"/>
                <w:sz w:val="24"/>
              </w:rPr>
              <w:t>芒市水系主要有“三江四河”。三江为：大盈江、瑞丽江（陇川江）、怒江；四河为：芒市河、南畹河、户撒河、芒东河（萝卜坝河）。芒市年平均总产水量31.8亿m</w:t>
            </w:r>
            <w:r>
              <w:rPr>
                <w:color w:val="auto"/>
                <w:spacing w:val="-3"/>
                <w:sz w:val="24"/>
                <w:vertAlign w:val="superscript"/>
              </w:rPr>
              <w:t>3</w:t>
            </w:r>
            <w:r>
              <w:rPr>
                <w:color w:val="auto"/>
                <w:spacing w:val="-3"/>
                <w:sz w:val="24"/>
              </w:rPr>
              <w:t>，其中地表水23.11亿m</w:t>
            </w:r>
            <w:r>
              <w:rPr>
                <w:color w:val="auto"/>
                <w:spacing w:val="-3"/>
                <w:sz w:val="24"/>
                <w:vertAlign w:val="superscript"/>
              </w:rPr>
              <w:t>3</w:t>
            </w:r>
            <w:r>
              <w:rPr>
                <w:color w:val="auto"/>
                <w:spacing w:val="-3"/>
                <w:sz w:val="24"/>
              </w:rPr>
              <w:t>，地下水8.69亿m</w:t>
            </w:r>
            <w:r>
              <w:rPr>
                <w:color w:val="auto"/>
                <w:spacing w:val="-3"/>
                <w:sz w:val="24"/>
                <w:vertAlign w:val="superscript"/>
              </w:rPr>
              <w:t>3</w:t>
            </w:r>
            <w:r>
              <w:rPr>
                <w:color w:val="auto"/>
                <w:spacing w:val="-3"/>
                <w:sz w:val="24"/>
              </w:rPr>
              <w:t>。</w:t>
            </w:r>
          </w:p>
          <w:p>
            <w:pPr>
              <w:pStyle w:val="13"/>
              <w:spacing w:after="0" w:line="360" w:lineRule="auto"/>
              <w:ind w:firstLine="468" w:firstLineChars="200"/>
              <w:rPr>
                <w:color w:val="auto"/>
                <w:spacing w:val="-3"/>
                <w:sz w:val="24"/>
              </w:rPr>
            </w:pPr>
            <w:r>
              <w:rPr>
                <w:color w:val="auto"/>
                <w:spacing w:val="-3"/>
                <w:sz w:val="24"/>
              </w:rPr>
              <w:t>本项目周边最近的地表水为项目</w:t>
            </w:r>
            <w:r>
              <w:rPr>
                <w:rFonts w:hint="eastAsia"/>
                <w:color w:val="auto"/>
                <w:spacing w:val="-3"/>
                <w:sz w:val="24"/>
              </w:rPr>
              <w:t>南侧紧邻的板过河，最终汇入</w:t>
            </w:r>
            <w:r>
              <w:rPr>
                <w:color w:val="auto"/>
                <w:spacing w:val="-3"/>
                <w:sz w:val="24"/>
              </w:rPr>
              <w:t>西侧1.5km的芒市大河。</w:t>
            </w:r>
          </w:p>
          <w:p>
            <w:pPr>
              <w:pStyle w:val="13"/>
              <w:spacing w:after="0" w:line="360" w:lineRule="auto"/>
              <w:ind w:firstLine="470" w:firstLineChars="200"/>
              <w:rPr>
                <w:color w:val="auto"/>
                <w:spacing w:val="-3"/>
                <w:sz w:val="24"/>
              </w:rPr>
            </w:pPr>
            <w:r>
              <w:rPr>
                <w:b/>
                <w:color w:val="auto"/>
                <w:spacing w:val="-3"/>
                <w:sz w:val="24"/>
              </w:rPr>
              <w:t>芒市大河</w:t>
            </w:r>
            <w:r>
              <w:rPr>
                <w:color w:val="auto"/>
                <w:spacing w:val="-3"/>
                <w:sz w:val="24"/>
              </w:rPr>
              <w:t>为瑞丽江一支流，属伊洛瓦底江水系，发源于龙陵县金竹村北部诸山溪，从大山田进入潞西市境内，入境海拔1300m，之帕连进入芒市盆底首部，沿北东至南西流经遮告、芒黑、弄相、风平、芒波、帕底、允门，纵穿芒市坝，而后进入三台山峡谷，至遮放镇芒里寨出谷进入遮放盆底，纵贯盆地内的团结、户信、芒瓦、东相、至南蚌西注入龙江，汇口海拔783 米。芒市河径流面积1830.5km</w:t>
            </w:r>
            <w:r>
              <w:rPr>
                <w:color w:val="auto"/>
                <w:spacing w:val="-3"/>
                <w:sz w:val="24"/>
                <w:vertAlign w:val="superscript"/>
              </w:rPr>
              <w:t>2</w:t>
            </w:r>
            <w:r>
              <w:rPr>
                <w:color w:val="auto"/>
                <w:spacing w:val="-3"/>
                <w:sz w:val="24"/>
              </w:rPr>
              <w:t>，主河长102.1km，河道平均坡度11‰，多年平均径流量20.6 亿m</w:t>
            </w:r>
            <w:r>
              <w:rPr>
                <w:color w:val="auto"/>
                <w:spacing w:val="-3"/>
                <w:sz w:val="24"/>
                <w:vertAlign w:val="superscript"/>
              </w:rPr>
              <w:t>3</w:t>
            </w:r>
            <w:r>
              <w:rPr>
                <w:color w:val="auto"/>
                <w:spacing w:val="-3"/>
                <w:sz w:val="24"/>
              </w:rPr>
              <w:t>，水能理论蕴藏量35.34万kw。</w:t>
            </w:r>
          </w:p>
          <w:p>
            <w:pPr>
              <w:pStyle w:val="13"/>
              <w:spacing w:after="0" w:line="360" w:lineRule="auto"/>
              <w:ind w:firstLine="468" w:firstLineChars="200"/>
              <w:rPr>
                <w:color w:val="auto"/>
                <w:spacing w:val="-3"/>
                <w:sz w:val="24"/>
              </w:rPr>
            </w:pPr>
            <w:r>
              <w:rPr>
                <w:color w:val="auto"/>
                <w:spacing w:val="-3"/>
                <w:sz w:val="24"/>
              </w:rPr>
              <w:t>项目区水系详见附图4。</w:t>
            </w:r>
          </w:p>
          <w:p>
            <w:pPr>
              <w:adjustRightInd w:val="0"/>
              <w:spacing w:line="360" w:lineRule="auto"/>
              <w:ind w:firstLine="482" w:firstLineChars="200"/>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5、土壤及生物多样性</w:t>
            </w:r>
          </w:p>
          <w:p>
            <w:pPr>
              <w:pStyle w:val="13"/>
              <w:spacing w:after="0" w:line="360" w:lineRule="auto"/>
              <w:ind w:firstLine="468" w:firstLineChars="200"/>
              <w:rPr>
                <w:color w:val="auto"/>
                <w:spacing w:val="-3"/>
                <w:sz w:val="24"/>
              </w:rPr>
            </w:pPr>
            <w:r>
              <w:rPr>
                <w:color w:val="auto"/>
                <w:spacing w:val="-3"/>
                <w:sz w:val="24"/>
              </w:rPr>
              <w:t>芒市土壤受纬度、海拔高度及特殊气候条件的影响，具有种类多，分布复杂的特点。项目区的土壤为砖红壤和红壤。</w:t>
            </w:r>
          </w:p>
          <w:p>
            <w:pPr>
              <w:pStyle w:val="13"/>
              <w:spacing w:after="0" w:line="360" w:lineRule="auto"/>
              <w:ind w:firstLine="468" w:firstLineChars="200"/>
              <w:rPr>
                <w:color w:val="auto"/>
                <w:spacing w:val="-3"/>
                <w:sz w:val="24"/>
              </w:rPr>
            </w:pPr>
            <w:r>
              <w:rPr>
                <w:color w:val="auto"/>
                <w:spacing w:val="-3"/>
                <w:sz w:val="24"/>
              </w:rPr>
              <w:t>芒市林业用地面积211300hm</w:t>
            </w:r>
            <w:r>
              <w:rPr>
                <w:color w:val="auto"/>
                <w:spacing w:val="-3"/>
                <w:sz w:val="24"/>
                <w:vertAlign w:val="superscript"/>
              </w:rPr>
              <w:t>2</w:t>
            </w:r>
            <w:r>
              <w:rPr>
                <w:color w:val="auto"/>
                <w:spacing w:val="-3"/>
                <w:sz w:val="24"/>
              </w:rPr>
              <w:t>，其中：有林地172700hm</w:t>
            </w:r>
            <w:r>
              <w:rPr>
                <w:color w:val="auto"/>
                <w:spacing w:val="-3"/>
                <w:sz w:val="24"/>
                <w:vertAlign w:val="superscript"/>
              </w:rPr>
              <w:t>2</w:t>
            </w:r>
            <w:r>
              <w:rPr>
                <w:color w:val="auto"/>
                <w:spacing w:val="-3"/>
                <w:sz w:val="24"/>
              </w:rPr>
              <w:t>，蔬林地1800hm</w:t>
            </w:r>
            <w:r>
              <w:rPr>
                <w:color w:val="auto"/>
                <w:spacing w:val="-3"/>
                <w:sz w:val="24"/>
                <w:vertAlign w:val="superscript"/>
              </w:rPr>
              <w:t>2</w:t>
            </w:r>
            <w:r>
              <w:rPr>
                <w:color w:val="auto"/>
                <w:spacing w:val="-3"/>
                <w:sz w:val="24"/>
              </w:rPr>
              <w:t>，灌木林地920hm</w:t>
            </w:r>
            <w:r>
              <w:rPr>
                <w:color w:val="auto"/>
                <w:spacing w:val="-3"/>
                <w:sz w:val="24"/>
                <w:vertAlign w:val="superscript"/>
              </w:rPr>
              <w:t>2</w:t>
            </w:r>
            <w:r>
              <w:rPr>
                <w:color w:val="auto"/>
                <w:spacing w:val="-3"/>
                <w:sz w:val="24"/>
              </w:rPr>
              <w:t>，未成林造林地6500hm</w:t>
            </w:r>
            <w:r>
              <w:rPr>
                <w:color w:val="auto"/>
                <w:spacing w:val="-3"/>
                <w:sz w:val="24"/>
                <w:vertAlign w:val="superscript"/>
              </w:rPr>
              <w:t>2</w:t>
            </w:r>
            <w:r>
              <w:rPr>
                <w:color w:val="auto"/>
                <w:spacing w:val="-3"/>
                <w:sz w:val="24"/>
              </w:rPr>
              <w:t>，无立木林地1900hm</w:t>
            </w:r>
            <w:r>
              <w:rPr>
                <w:color w:val="auto"/>
                <w:spacing w:val="-3"/>
                <w:sz w:val="24"/>
                <w:vertAlign w:val="superscript"/>
              </w:rPr>
              <w:t>2</w:t>
            </w:r>
            <w:r>
              <w:rPr>
                <w:color w:val="auto"/>
                <w:spacing w:val="-3"/>
                <w:sz w:val="24"/>
              </w:rPr>
              <w:t>，宜林荒山荒地1920hm</w:t>
            </w:r>
            <w:r>
              <w:rPr>
                <w:color w:val="auto"/>
                <w:spacing w:val="-3"/>
                <w:sz w:val="24"/>
                <w:vertAlign w:val="superscript"/>
              </w:rPr>
              <w:t>2</w:t>
            </w:r>
            <w:r>
              <w:rPr>
                <w:color w:val="auto"/>
                <w:spacing w:val="-3"/>
                <w:sz w:val="24"/>
              </w:rPr>
              <w:t>，森林覆盖率61.2%。活立木总蓄1707.07万m</w:t>
            </w:r>
            <w:r>
              <w:rPr>
                <w:color w:val="auto"/>
                <w:spacing w:val="-3"/>
                <w:sz w:val="24"/>
                <w:vertAlign w:val="superscript"/>
              </w:rPr>
              <w:t>3</w:t>
            </w:r>
            <w:r>
              <w:rPr>
                <w:color w:val="auto"/>
                <w:spacing w:val="-3"/>
                <w:sz w:val="24"/>
              </w:rPr>
              <w:t>（不包括经济林橡胶），其中：有林地蓄积1600.2万m</w:t>
            </w:r>
            <w:r>
              <w:rPr>
                <w:color w:val="auto"/>
                <w:spacing w:val="-3"/>
                <w:sz w:val="24"/>
                <w:vertAlign w:val="superscript"/>
              </w:rPr>
              <w:t>3</w:t>
            </w:r>
            <w:r>
              <w:rPr>
                <w:color w:val="auto"/>
                <w:spacing w:val="-3"/>
                <w:sz w:val="24"/>
              </w:rPr>
              <w:t>，蔬林地蓄积3.7万m</w:t>
            </w:r>
            <w:r>
              <w:rPr>
                <w:color w:val="auto"/>
                <w:spacing w:val="-3"/>
                <w:sz w:val="24"/>
                <w:vertAlign w:val="superscript"/>
              </w:rPr>
              <w:t>3</w:t>
            </w:r>
            <w:r>
              <w:rPr>
                <w:color w:val="auto"/>
                <w:spacing w:val="-3"/>
                <w:sz w:val="24"/>
              </w:rPr>
              <w:t>，散生木蓄积84.44万m</w:t>
            </w:r>
            <w:r>
              <w:rPr>
                <w:color w:val="auto"/>
                <w:spacing w:val="-3"/>
                <w:sz w:val="24"/>
                <w:vertAlign w:val="superscript"/>
              </w:rPr>
              <w:t>3</w:t>
            </w:r>
            <w:r>
              <w:rPr>
                <w:color w:val="auto"/>
                <w:spacing w:val="-3"/>
                <w:sz w:val="24"/>
              </w:rPr>
              <w:t>，四旁树蓄积18.41万m</w:t>
            </w:r>
            <w:r>
              <w:rPr>
                <w:color w:val="auto"/>
                <w:spacing w:val="-3"/>
                <w:sz w:val="24"/>
                <w:vertAlign w:val="superscript"/>
              </w:rPr>
              <w:t>3</w:t>
            </w:r>
            <w:r>
              <w:rPr>
                <w:color w:val="auto"/>
                <w:spacing w:val="-3"/>
                <w:sz w:val="24"/>
              </w:rPr>
              <w:t>。市境内有高等植物257科，2564种，主要优势树种为思茅松、西南桦、旱冬瓜、木荷、栎类。</w:t>
            </w:r>
          </w:p>
          <w:p>
            <w:pPr>
              <w:pStyle w:val="13"/>
              <w:spacing w:after="0" w:line="360" w:lineRule="auto"/>
              <w:ind w:firstLine="468" w:firstLineChars="200"/>
              <w:rPr>
                <w:color w:val="auto"/>
                <w:spacing w:val="-3"/>
                <w:sz w:val="24"/>
              </w:rPr>
            </w:pPr>
            <w:r>
              <w:rPr>
                <w:color w:val="auto"/>
                <w:spacing w:val="-3"/>
                <w:sz w:val="24"/>
              </w:rPr>
              <w:t>芒市地处亚热带地区，终年丰富的热量和充沛的降雨量形成了复杂的植被类型。据1999年高等植物调查统计，全市高等植物257科，2564种。属国家级重点保护植物39种，其中国家I级保护植物4种，国家II级保护植物17种，国家III级保护植物18种。主要是：南方红豆杉、银杏、云南苏铁、长蕊木兰、水青树、云南石梓、荔枝、杜仲、红椿、桫椤、滇桐、云南梧桐、云南樟、铁力木、合果木、董棕、普洱茶、金毛狗、翠柏、云南拟单性木兰、干果榄仁、林生芒果、云南七叶树、龙眼、顶果木、云南菠萝蜜、琴叶风吹楠、红花木莲、蒟蒻薯、假山龙眼、瑞丽山龙眼、盈江龙脑香、龙血树、锥头麻、天麻、火麻、光叶天科木、短穗竹、岩棕。其中，红豆杉主要分布在风平镇的平河等高寒山区；合果木主要分布在中山乡；芒海镇帕压山有一片桫椤树群，占地约400亩，平均树高4m以上，平均胸径约10cm以上，是潞西比较重要的桫椤树群。</w:t>
            </w:r>
          </w:p>
          <w:p>
            <w:pPr>
              <w:pStyle w:val="13"/>
              <w:spacing w:after="0" w:line="360" w:lineRule="auto"/>
              <w:ind w:firstLine="468" w:firstLineChars="200"/>
              <w:rPr>
                <w:color w:val="auto"/>
                <w:spacing w:val="-3"/>
                <w:sz w:val="24"/>
              </w:rPr>
            </w:pPr>
            <w:r>
              <w:rPr>
                <w:color w:val="auto"/>
                <w:spacing w:val="-3"/>
                <w:sz w:val="24"/>
              </w:rPr>
              <w:t>省级重点保护植物19种，其中省Ⅱ级保护植物5种，省Ⅲ保护植物14种，包括：常春木、大叶崖角藤、云南核桃茶、沧江新樟、冬樱桃、细毛润楠、长柄油丹、云南萝芙木、小花使君子、大萼葵、勐腊新木姜子、云南崖摩、镰叶扁担杆、毛尖树、大花大角，潞西小龙眼、厚果鸡血藤、紫铆树、萝芙木等。</w:t>
            </w:r>
          </w:p>
          <w:p>
            <w:pPr>
              <w:pStyle w:val="13"/>
              <w:spacing w:after="0" w:line="360" w:lineRule="auto"/>
              <w:ind w:firstLine="468" w:firstLineChars="200"/>
              <w:rPr>
                <w:color w:val="auto"/>
                <w:spacing w:val="-3"/>
                <w:sz w:val="24"/>
              </w:rPr>
            </w:pPr>
            <w:r>
              <w:rPr>
                <w:color w:val="auto"/>
                <w:spacing w:val="-3"/>
                <w:sz w:val="24"/>
              </w:rPr>
              <w:t>根据现场调查，建设项目所在地区域内无省级、国家级保护的动植物。</w:t>
            </w:r>
          </w:p>
          <w:p>
            <w:pPr>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6、动物资源</w:t>
            </w:r>
          </w:p>
          <w:p>
            <w:pPr>
              <w:pStyle w:val="13"/>
              <w:spacing w:after="0" w:line="360" w:lineRule="auto"/>
              <w:ind w:firstLine="468" w:firstLineChars="200"/>
              <w:rPr>
                <w:color w:val="auto"/>
                <w:spacing w:val="-3"/>
                <w:sz w:val="24"/>
              </w:rPr>
            </w:pPr>
            <w:r>
              <w:rPr>
                <w:color w:val="auto"/>
                <w:spacing w:val="-3"/>
                <w:sz w:val="24"/>
              </w:rPr>
              <w:t>根据实地调查和对植被、生境条件、文献数据及动物分布特征分析，随着城镇建设的不断扩大，生产、生活方式发生了较大的变化，在评价范围内野生动物栖息地基本遭到破坏，已无栖身之地，一些野生动物多迁徙异地，远离人为活动区。区域内无大型兽类、鸟类的隐蔽地、栖息地和生活场所。因此，可以排除评价范围内有大型野生动物。</w:t>
            </w:r>
          </w:p>
          <w:p>
            <w:pPr>
              <w:spacing w:line="360" w:lineRule="auto"/>
              <w:ind w:firstLine="468" w:firstLineChars="200"/>
              <w:rPr>
                <w:rFonts w:ascii="Times New Roman" w:hAnsi="Times New Roman" w:eastAsia="宋体" w:cs="Times New Roman"/>
                <w:color w:val="auto"/>
                <w:spacing w:val="-3"/>
                <w:sz w:val="24"/>
              </w:rPr>
            </w:pPr>
            <w:r>
              <w:rPr>
                <w:rFonts w:ascii="Times New Roman" w:hAnsi="Times New Roman" w:eastAsia="宋体" w:cs="Times New Roman"/>
                <w:color w:val="auto"/>
                <w:spacing w:val="-3"/>
                <w:sz w:val="24"/>
              </w:rPr>
              <w:t>区域内只有一些常见的田鼠、山雀、蛇、家燕等种类。项目所在地受人类活动影响，原生植被已经不复存在，以人工植被为主，动物主要为家鼠等，项目区范围内未发现珍稀濒危保护动物和地方特有种。</w:t>
            </w:r>
          </w:p>
          <w:p>
            <w:pPr>
              <w:pStyle w:val="2"/>
              <w:rPr>
                <w:rFonts w:ascii="Times New Roman" w:hAnsi="Times New Roman"/>
                <w:color w:val="auto"/>
              </w:rPr>
            </w:pPr>
          </w:p>
        </w:tc>
      </w:tr>
    </w:tbl>
    <w:p>
      <w:pPr>
        <w:keepNext/>
        <w:keepLines/>
        <w:pageBreakBefore/>
        <w:jc w:val="left"/>
        <w:outlineLvl w:val="0"/>
        <w:rPr>
          <w:rFonts w:ascii="Times New Roman" w:hAnsi="Times New Roman" w:eastAsia="宋体" w:cs="Times New Roman"/>
          <w:b/>
          <w:bCs/>
          <w:color w:val="auto"/>
          <w:kern w:val="44"/>
          <w:sz w:val="30"/>
          <w:szCs w:val="44"/>
          <w:lang w:val="zh-CN"/>
        </w:rPr>
      </w:pPr>
      <w:bookmarkStart w:id="2" w:name="_Toc47258239"/>
      <w:r>
        <w:rPr>
          <w:rFonts w:ascii="Times New Roman" w:hAnsi="Times New Roman" w:eastAsia="宋体" w:cs="Times New Roman"/>
          <w:b/>
          <w:bCs/>
          <w:color w:val="auto"/>
          <w:kern w:val="44"/>
          <w:sz w:val="30"/>
          <w:szCs w:val="44"/>
          <w:lang w:val="zh-CN"/>
        </w:rPr>
        <w:t>表三、环境质量状况</w:t>
      </w:r>
      <w:bookmarkEnd w:id="2"/>
    </w:p>
    <w:tbl>
      <w:tblPr>
        <w:tblStyle w:val="39"/>
        <w:tblW w:w="9925" w:type="dxa"/>
        <w:tblInd w:w="-7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1" w:hRule="atLeast"/>
        </w:trPr>
        <w:tc>
          <w:tcPr>
            <w:tcW w:w="9925" w:type="dxa"/>
            <w:tcBorders>
              <w:left w:val="single" w:color="000000" w:sz="4" w:space="0"/>
            </w:tcBorders>
          </w:tcPr>
          <w:p>
            <w:pPr>
              <w:spacing w:before="156" w:beforeLines="50" w:line="276" w:lineRule="auto"/>
              <w:jc w:val="left"/>
              <w:rPr>
                <w:rFonts w:ascii="Times New Roman" w:hAnsi="Times New Roman" w:eastAsia="宋体" w:cs="Times New Roman"/>
                <w:b/>
                <w:color w:val="auto"/>
                <w:sz w:val="28"/>
                <w:lang w:val="zh-CN"/>
              </w:rPr>
            </w:pPr>
            <w:r>
              <w:rPr>
                <w:rFonts w:ascii="Times New Roman" w:hAnsi="Times New Roman" w:eastAsia="宋体" w:cs="Times New Roman"/>
                <w:b/>
                <w:color w:val="auto"/>
                <w:sz w:val="28"/>
                <w:lang w:val="zh-CN"/>
              </w:rPr>
              <w:t>建设项目所在区域环境质量现状及主要环境问题（环境空气、地表水、地下水、声环境、生态环境等）</w:t>
            </w:r>
          </w:p>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1、环境空气质量现状</w:t>
            </w:r>
          </w:p>
          <w:p>
            <w:pPr>
              <w:adjustRightInd w:val="0"/>
              <w:spacing w:line="360" w:lineRule="auto"/>
              <w:ind w:firstLine="468" w:firstLineChars="200"/>
              <w:rPr>
                <w:rFonts w:ascii="Times New Roman" w:hAnsi="Times New Roman" w:eastAsia="宋体" w:cs="Times New Roman"/>
                <w:snapToGrid w:val="0"/>
                <w:color w:val="auto"/>
                <w:kern w:val="0"/>
                <w:sz w:val="24"/>
              </w:rPr>
            </w:pPr>
            <w:r>
              <w:rPr>
                <w:rFonts w:ascii="Times New Roman" w:hAnsi="Times New Roman" w:eastAsia="宋体" w:cs="Times New Roman"/>
                <w:color w:val="auto"/>
                <w:spacing w:val="-3"/>
                <w:sz w:val="24"/>
              </w:rPr>
              <w:t>本项目位于云南省德宏州芒市胞波路203号，环境空气质量功能区划为二类区，执行《环境空气质量标准》（GB3095-2012）二级标准</w:t>
            </w:r>
            <w:r>
              <w:rPr>
                <w:rFonts w:ascii="Times New Roman" w:hAnsi="Times New Roman" w:eastAsia="宋体" w:cs="Times New Roman"/>
                <w:snapToGrid w:val="0"/>
                <w:color w:val="auto"/>
                <w:kern w:val="0"/>
                <w:sz w:val="24"/>
              </w:rPr>
              <w:t>及修改单。</w:t>
            </w:r>
          </w:p>
          <w:p>
            <w:pPr>
              <w:pStyle w:val="182"/>
              <w:ind w:firstLine="482"/>
              <w:rPr>
                <w:b/>
                <w:color w:val="auto"/>
              </w:rPr>
            </w:pPr>
            <w:r>
              <w:rPr>
                <w:b/>
                <w:color w:val="auto"/>
              </w:rPr>
              <w:t>（1）空气质量达标区判定</w:t>
            </w:r>
          </w:p>
          <w:p>
            <w:pPr>
              <w:pStyle w:val="182"/>
              <w:ind w:firstLine="480"/>
              <w:rPr>
                <w:color w:val="auto"/>
              </w:rPr>
            </w:pPr>
            <w:r>
              <w:rPr>
                <w:color w:val="auto"/>
              </w:rPr>
              <w:t>根据《德宏州2019年环境质量状况公报》，有效监测天数361天，优216天，比2018年多37天；良145天，比2018年少14天；全年无超标天数。按空气质量指数（AQI）评价，优良率为100%，与2018年相比上升6.1%。首要污染物为可吸入颗粒物、细颗粒物和臭氧。年度综合评价，芒市环境空气质量达二级标准。各指标监测数据如下表所示。</w:t>
            </w:r>
          </w:p>
          <w:p>
            <w:pPr>
              <w:widowControl/>
              <w:ind w:firstLine="482"/>
              <w:jc w:val="center"/>
              <w:rPr>
                <w:rFonts w:ascii="Times New Roman" w:hAnsi="Times New Roman" w:eastAsia="宋体" w:cs="Times New Roman"/>
                <w:b/>
                <w:bCs/>
                <w:snapToGrid w:val="0"/>
                <w:color w:val="auto"/>
                <w:kern w:val="0"/>
                <w:sz w:val="24"/>
              </w:rPr>
            </w:pPr>
            <w:r>
              <w:rPr>
                <w:rFonts w:ascii="Times New Roman" w:hAnsi="Times New Roman" w:eastAsia="宋体" w:cs="Times New Roman"/>
                <w:b/>
                <w:bCs/>
                <w:snapToGrid w:val="0"/>
                <w:color w:val="auto"/>
                <w:kern w:val="0"/>
                <w:sz w:val="24"/>
              </w:rPr>
              <w:t>表3-1  2019年芒市</w:t>
            </w:r>
            <w:r>
              <w:rPr>
                <w:rFonts w:ascii="Times New Roman" w:hAnsi="Times New Roman" w:eastAsia="宋体" w:cs="Times New Roman"/>
                <w:b/>
                <w:bCs/>
                <w:color w:val="auto"/>
                <w:sz w:val="24"/>
              </w:rPr>
              <w:t>环境空气质量监测指标达标情况</w:t>
            </w:r>
          </w:p>
          <w:tbl>
            <w:tblPr>
              <w:tblStyle w:val="39"/>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0"/>
              <w:gridCol w:w="2648"/>
              <w:gridCol w:w="2648"/>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b/>
                      <w:bCs/>
                      <w:snapToGrid w:val="0"/>
                      <w:color w:val="auto"/>
                      <w:kern w:val="0"/>
                      <w:szCs w:val="21"/>
                    </w:rPr>
                    <w:t>监测指标</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b/>
                      <w:bCs/>
                      <w:snapToGrid w:val="0"/>
                      <w:color w:val="auto"/>
                      <w:kern w:val="0"/>
                      <w:szCs w:val="21"/>
                    </w:rPr>
                    <w:t>年均浓度（μg/m³）</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b/>
                      <w:bCs/>
                      <w:snapToGrid w:val="0"/>
                      <w:color w:val="auto"/>
                      <w:kern w:val="0"/>
                      <w:szCs w:val="21"/>
                    </w:rPr>
                    <w:t>二级标准（μg/m³）</w:t>
                  </w:r>
                </w:p>
              </w:tc>
              <w:tc>
                <w:tcPr>
                  <w:tcW w:w="13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b/>
                      <w:bCs/>
                      <w:snapToGrid w:val="0"/>
                      <w:color w:val="auto"/>
                      <w:kern w:val="0"/>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二氧化硫（</w:t>
                  </w:r>
                  <w:r>
                    <w:rPr>
                      <w:rFonts w:ascii="Times New Roman" w:hAnsi="Times New Roman" w:eastAsia="宋体" w:cs="Times New Roman"/>
                      <w:color w:val="auto"/>
                      <w:szCs w:val="21"/>
                    </w:rPr>
                    <w:t>SO</w:t>
                  </w:r>
                  <w:r>
                    <w:rPr>
                      <w:rFonts w:ascii="Times New Roman" w:hAnsi="Times New Roman" w:eastAsia="宋体" w:cs="Times New Roman"/>
                      <w:color w:val="auto"/>
                      <w:szCs w:val="21"/>
                      <w:vertAlign w:val="subscript"/>
                    </w:rPr>
                    <w:t>2</w:t>
                  </w:r>
                  <w:r>
                    <w:rPr>
                      <w:rFonts w:ascii="Times New Roman" w:hAnsi="Times New Roman" w:eastAsia="宋体" w:cs="Times New Roman"/>
                      <w:color w:val="auto"/>
                      <w:szCs w:val="21"/>
                    </w:rPr>
                    <w:t>）</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12</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60</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二氧化氮（</w:t>
                  </w:r>
                  <w:r>
                    <w:rPr>
                      <w:rFonts w:ascii="Times New Roman" w:hAnsi="Times New Roman" w:eastAsia="宋体" w:cs="Times New Roman"/>
                      <w:color w:val="auto"/>
                      <w:szCs w:val="21"/>
                    </w:rPr>
                    <w:t>NO</w:t>
                  </w:r>
                  <w:r>
                    <w:rPr>
                      <w:rFonts w:ascii="Times New Roman" w:hAnsi="Times New Roman" w:eastAsia="宋体" w:cs="Times New Roman"/>
                      <w:color w:val="auto"/>
                      <w:szCs w:val="21"/>
                      <w:vertAlign w:val="subscript"/>
                    </w:rPr>
                    <w:t>2</w:t>
                  </w:r>
                  <w:r>
                    <w:rPr>
                      <w:rFonts w:ascii="Times New Roman" w:hAnsi="Times New Roman" w:eastAsia="宋体" w:cs="Times New Roman"/>
                      <w:snapToGrid w:val="0"/>
                      <w:color w:val="auto"/>
                      <w:kern w:val="0"/>
                      <w:szCs w:val="21"/>
                    </w:rPr>
                    <w:t>）</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18</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40</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可吸入颗粒物（PM</w:t>
                  </w:r>
                  <w:r>
                    <w:rPr>
                      <w:rFonts w:ascii="Times New Roman" w:hAnsi="Times New Roman" w:eastAsia="宋体" w:cs="Times New Roman"/>
                      <w:snapToGrid w:val="0"/>
                      <w:color w:val="auto"/>
                      <w:kern w:val="0"/>
                      <w:szCs w:val="21"/>
                      <w:vertAlign w:val="subscript"/>
                    </w:rPr>
                    <w:t>10</w:t>
                  </w:r>
                  <w:r>
                    <w:rPr>
                      <w:rFonts w:ascii="Times New Roman" w:hAnsi="Times New Roman" w:eastAsia="宋体" w:cs="Times New Roman"/>
                      <w:snapToGrid w:val="0"/>
                      <w:color w:val="auto"/>
                      <w:kern w:val="0"/>
                      <w:szCs w:val="21"/>
                    </w:rPr>
                    <w:t>）</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44</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70</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细颗粒物（PM</w:t>
                  </w:r>
                  <w:r>
                    <w:rPr>
                      <w:rFonts w:ascii="Times New Roman" w:hAnsi="Times New Roman" w:eastAsia="宋体" w:cs="Times New Roman"/>
                      <w:snapToGrid w:val="0"/>
                      <w:color w:val="auto"/>
                      <w:kern w:val="0"/>
                      <w:szCs w:val="21"/>
                      <w:vertAlign w:val="subscript"/>
                    </w:rPr>
                    <w:t>2.5</w:t>
                  </w:r>
                  <w:r>
                    <w:rPr>
                      <w:rFonts w:ascii="Times New Roman" w:hAnsi="Times New Roman" w:eastAsia="宋体" w:cs="Times New Roman"/>
                      <w:snapToGrid w:val="0"/>
                      <w:color w:val="auto"/>
                      <w:kern w:val="0"/>
                      <w:szCs w:val="21"/>
                    </w:rPr>
                    <w:t>）</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23</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35</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CO</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0.8mg/m³</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4mg/m³</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O</w:t>
                  </w:r>
                  <w:r>
                    <w:rPr>
                      <w:rFonts w:ascii="Times New Roman" w:hAnsi="Times New Roman" w:eastAsia="宋体" w:cs="Times New Roman"/>
                      <w:snapToGrid w:val="0"/>
                      <w:color w:val="auto"/>
                      <w:kern w:val="0"/>
                      <w:szCs w:val="21"/>
                      <w:vertAlign w:val="subscript"/>
                    </w:rPr>
                    <w:t>3</w:t>
                  </w:r>
                  <w:r>
                    <w:rPr>
                      <w:rFonts w:ascii="Times New Roman" w:hAnsi="Times New Roman" w:eastAsia="宋体" w:cs="Times New Roman"/>
                      <w:snapToGrid w:val="0"/>
                      <w:color w:val="auto"/>
                      <w:kern w:val="0"/>
                      <w:szCs w:val="21"/>
                    </w:rPr>
                    <w:t>-8</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77</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160</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达标</w:t>
                  </w:r>
                </w:p>
              </w:tc>
            </w:tr>
          </w:tbl>
          <w:p>
            <w:pPr>
              <w:pStyle w:val="182"/>
              <w:ind w:firstLine="480"/>
              <w:rPr>
                <w:color w:val="auto"/>
              </w:rPr>
            </w:pPr>
            <w:r>
              <w:rPr>
                <w:snapToGrid w:val="0"/>
                <w:color w:val="auto"/>
                <w:szCs w:val="20"/>
              </w:rPr>
              <w:t>由上表可知：各指标浓度满足《环境空气质量标准》（GB3095-2012）中二级标准的要求，项目区区域范围内环境空气质量良好，属于达标区。</w:t>
            </w:r>
          </w:p>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2、地表水质量现状</w:t>
            </w:r>
          </w:p>
          <w:p>
            <w:pPr>
              <w:adjustRightInd w:val="0"/>
              <w:spacing w:line="360" w:lineRule="auto"/>
              <w:ind w:firstLine="480" w:firstLineChars="200"/>
              <w:jc w:val="left"/>
              <w:rPr>
                <w:rFonts w:ascii="Times New Roman" w:hAnsi="Times New Roman" w:eastAsia="宋体" w:cs="Times New Roman"/>
                <w:snapToGrid w:val="0"/>
                <w:color w:val="auto"/>
                <w:kern w:val="0"/>
                <w:sz w:val="24"/>
                <w:szCs w:val="20"/>
                <w:lang w:val="zh-CN"/>
              </w:rPr>
            </w:pPr>
            <w:r>
              <w:rPr>
                <w:rFonts w:ascii="Times New Roman" w:hAnsi="Times New Roman" w:eastAsia="宋体" w:cs="Times New Roman"/>
                <w:snapToGrid w:val="0"/>
                <w:color w:val="auto"/>
                <w:kern w:val="0"/>
                <w:sz w:val="24"/>
                <w:szCs w:val="20"/>
                <w:lang w:val="zh-CN"/>
              </w:rPr>
              <w:t>根据现场勘查，距项目区最近的地表水体为项目区</w:t>
            </w:r>
            <w:r>
              <w:rPr>
                <w:rFonts w:hint="eastAsia" w:ascii="Times New Roman" w:hAnsi="Times New Roman" w:eastAsia="宋体" w:cs="Times New Roman"/>
                <w:snapToGrid w:val="0"/>
                <w:color w:val="auto"/>
                <w:kern w:val="0"/>
                <w:sz w:val="24"/>
                <w:szCs w:val="20"/>
                <w:lang w:val="zh-CN"/>
              </w:rPr>
              <w:t>南侧紧邻的板过河，最终汇入</w:t>
            </w:r>
            <w:r>
              <w:rPr>
                <w:rFonts w:ascii="Times New Roman" w:hAnsi="Times New Roman" w:eastAsia="宋体" w:cs="Times New Roman"/>
                <w:snapToGrid w:val="0"/>
                <w:color w:val="auto"/>
                <w:kern w:val="0"/>
                <w:sz w:val="24"/>
                <w:szCs w:val="20"/>
                <w:lang w:val="zh-CN"/>
              </w:rPr>
              <w:t>西侧1.5km的芒市大河。</w:t>
            </w:r>
          </w:p>
          <w:p>
            <w:pPr>
              <w:adjustRightInd w:val="0"/>
              <w:spacing w:line="360" w:lineRule="auto"/>
              <w:ind w:firstLine="480" w:firstLineChars="200"/>
              <w:jc w:val="left"/>
              <w:rPr>
                <w:rFonts w:ascii="Times New Roman" w:hAnsi="Times New Roman" w:eastAsia="宋体" w:cs="Times New Roman"/>
                <w:snapToGrid w:val="0"/>
                <w:color w:val="auto"/>
                <w:kern w:val="0"/>
                <w:sz w:val="24"/>
                <w:szCs w:val="20"/>
                <w:lang w:val="zh-CN"/>
              </w:rPr>
            </w:pPr>
            <w:r>
              <w:rPr>
                <w:rFonts w:ascii="Times New Roman" w:hAnsi="Times New Roman" w:eastAsia="宋体" w:cs="Times New Roman"/>
                <w:snapToGrid w:val="0"/>
                <w:color w:val="auto"/>
                <w:kern w:val="0"/>
                <w:sz w:val="24"/>
                <w:szCs w:val="20"/>
                <w:lang w:val="zh-CN"/>
              </w:rPr>
              <w:t>根据《云南省地表水水环境功能区划（2010~2020）》，芒市大河“木康断面——入瑞丽江口”水环境功能为农业用水、工业用水，水质类别为Ⅲ类，地表水环境执行GB3838-2002《地表水环境质量标准》Ⅲ类要求。</w:t>
            </w:r>
          </w:p>
          <w:p>
            <w:pPr>
              <w:adjustRightInd w:val="0"/>
              <w:spacing w:line="360" w:lineRule="auto"/>
              <w:ind w:firstLine="480" w:firstLineChars="200"/>
              <w:jc w:val="left"/>
              <w:rPr>
                <w:rFonts w:ascii="Times New Roman" w:hAnsi="Times New Roman" w:eastAsia="宋体" w:cs="Times New Roman"/>
                <w:snapToGrid w:val="0"/>
                <w:color w:val="auto"/>
                <w:kern w:val="0"/>
                <w:sz w:val="24"/>
                <w:szCs w:val="20"/>
                <w:lang w:val="zh-CN"/>
              </w:rPr>
            </w:pPr>
            <w:r>
              <w:rPr>
                <w:rFonts w:ascii="Times New Roman" w:hAnsi="Times New Roman" w:eastAsia="宋体" w:cs="Times New Roman"/>
                <w:snapToGrid w:val="0"/>
                <w:color w:val="auto"/>
                <w:kern w:val="0"/>
                <w:sz w:val="24"/>
                <w:szCs w:val="20"/>
                <w:lang w:val="zh-CN"/>
              </w:rPr>
              <w:t>根据《德宏州2019年环境质量公报》，2019年芒市大河木康断面满足区划要求，年均评价为Ⅲ类水质，属于达标区。</w:t>
            </w:r>
          </w:p>
          <w:p>
            <w:pPr>
              <w:adjustRightInd w:val="0"/>
              <w:spacing w:line="360" w:lineRule="auto"/>
              <w:ind w:firstLine="480" w:firstLineChars="200"/>
              <w:jc w:val="left"/>
              <w:rPr>
                <w:rFonts w:ascii="Times New Roman" w:hAnsi="Times New Roman" w:eastAsia="宋体" w:cs="Times New Roman"/>
                <w:snapToGrid w:val="0"/>
                <w:color w:val="auto"/>
                <w:kern w:val="0"/>
                <w:sz w:val="24"/>
                <w:szCs w:val="20"/>
                <w:lang w:val="zh-CN"/>
              </w:rPr>
            </w:pPr>
            <w:r>
              <w:rPr>
                <w:rFonts w:ascii="Times New Roman" w:hAnsi="Times New Roman" w:eastAsia="宋体" w:cs="Times New Roman"/>
                <w:snapToGrid w:val="0"/>
                <w:color w:val="auto"/>
                <w:kern w:val="0"/>
                <w:sz w:val="24"/>
                <w:szCs w:val="20"/>
                <w:lang w:val="zh-CN"/>
              </w:rPr>
              <w:t>项目区河段水环境功能良好，能满足《地表水环境质量标准》（GB3838-2002）中Ⅲ类水质要求。</w:t>
            </w:r>
          </w:p>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3、声环境质量现状</w:t>
            </w:r>
          </w:p>
          <w:p>
            <w:pPr>
              <w:adjustRightInd w:val="0"/>
              <w:spacing w:line="360" w:lineRule="auto"/>
              <w:ind w:firstLine="480" w:firstLineChars="200"/>
              <w:rPr>
                <w:rFonts w:ascii="Times New Roman" w:hAnsi="Times New Roman" w:eastAsia="宋体" w:cs="Times New Roman"/>
                <w:bCs/>
                <w:snapToGrid w:val="0"/>
                <w:color w:val="auto"/>
                <w:kern w:val="0"/>
                <w:sz w:val="24"/>
                <w:szCs w:val="20"/>
              </w:rPr>
            </w:pPr>
            <w:r>
              <w:rPr>
                <w:rFonts w:ascii="Times New Roman" w:hAnsi="Times New Roman" w:eastAsia="宋体" w:cs="Times New Roman"/>
                <w:bCs/>
                <w:snapToGrid w:val="0"/>
                <w:color w:val="auto"/>
                <w:kern w:val="0"/>
                <w:sz w:val="24"/>
                <w:szCs w:val="20"/>
              </w:rPr>
              <w:t>本项目位于</w:t>
            </w:r>
            <w:r>
              <w:rPr>
                <w:rFonts w:ascii="Times New Roman" w:hAnsi="Times New Roman" w:eastAsia="宋体" w:cs="Times New Roman"/>
                <w:color w:val="auto"/>
                <w:spacing w:val="-3"/>
                <w:sz w:val="24"/>
              </w:rPr>
              <w:t>云南省德宏州芒市胞波路203号</w:t>
            </w:r>
            <w:r>
              <w:rPr>
                <w:rFonts w:ascii="Times New Roman" w:hAnsi="Times New Roman" w:eastAsia="宋体" w:cs="Times New Roman"/>
                <w:bCs/>
                <w:snapToGrid w:val="0"/>
                <w:color w:val="auto"/>
                <w:kern w:val="0"/>
                <w:sz w:val="24"/>
                <w:szCs w:val="20"/>
              </w:rPr>
              <w:t>，根据《声环境质量标准》（GB3096-2008）声环境功能区分类，属2类声环境功能区，声环境执行《声环境质量标准》（GB3096-2008）2类标准。</w:t>
            </w:r>
          </w:p>
          <w:p>
            <w:pPr>
              <w:adjustRightInd w:val="0"/>
              <w:spacing w:line="360" w:lineRule="auto"/>
              <w:ind w:firstLine="480" w:firstLineChars="200"/>
              <w:rPr>
                <w:rFonts w:ascii="Times New Roman" w:hAnsi="Times New Roman" w:eastAsia="宋体" w:cs="Times New Roman"/>
                <w:bCs/>
                <w:snapToGrid w:val="0"/>
                <w:color w:val="auto"/>
                <w:kern w:val="0"/>
                <w:sz w:val="24"/>
                <w:szCs w:val="20"/>
              </w:rPr>
            </w:pPr>
            <w:r>
              <w:rPr>
                <w:rFonts w:ascii="Times New Roman" w:hAnsi="Times New Roman" w:eastAsia="宋体" w:cs="Times New Roman"/>
                <w:bCs/>
                <w:snapToGrid w:val="0"/>
                <w:color w:val="auto"/>
                <w:kern w:val="0"/>
                <w:sz w:val="24"/>
                <w:szCs w:val="20"/>
              </w:rPr>
              <w:t>根据</w:t>
            </w:r>
            <w:r>
              <w:rPr>
                <w:rFonts w:ascii="Times New Roman" w:hAnsi="Times New Roman" w:eastAsia="宋体" w:cs="Times New Roman"/>
                <w:snapToGrid w:val="0"/>
                <w:color w:val="auto"/>
                <w:kern w:val="0"/>
                <w:sz w:val="24"/>
                <w:szCs w:val="20"/>
                <w:lang w:val="zh-CN"/>
              </w:rPr>
              <w:t>《德宏州2019年环境质量公报》以及</w:t>
            </w:r>
            <w:r>
              <w:rPr>
                <w:rFonts w:ascii="Times New Roman" w:hAnsi="Times New Roman" w:eastAsia="宋体" w:cs="Times New Roman"/>
                <w:bCs/>
                <w:snapToGrid w:val="0"/>
                <w:color w:val="auto"/>
                <w:kern w:val="0"/>
                <w:sz w:val="24"/>
                <w:szCs w:val="20"/>
              </w:rPr>
              <w:t>现场踏勘，项目区域声环境质量现状良好，可达GB3096-2008《声环境质量标准》2类区标准。</w:t>
            </w:r>
          </w:p>
          <w:p>
            <w:pPr>
              <w:adjustRightInd w:val="0"/>
              <w:spacing w:line="360" w:lineRule="auto"/>
              <w:ind w:firstLine="482" w:firstLineChars="200"/>
              <w:rPr>
                <w:rFonts w:ascii="Times New Roman" w:hAnsi="Times New Roman" w:eastAsia="宋体" w:cs="Times New Roman"/>
                <w:b/>
                <w:bCs/>
                <w:snapToGrid w:val="0"/>
                <w:color w:val="auto"/>
                <w:kern w:val="0"/>
                <w:sz w:val="24"/>
                <w:szCs w:val="20"/>
              </w:rPr>
            </w:pPr>
            <w:r>
              <w:rPr>
                <w:rFonts w:ascii="Times New Roman" w:hAnsi="Times New Roman" w:eastAsia="宋体" w:cs="Times New Roman"/>
                <w:b/>
                <w:bCs/>
                <w:snapToGrid w:val="0"/>
                <w:color w:val="auto"/>
                <w:kern w:val="0"/>
                <w:sz w:val="24"/>
                <w:szCs w:val="20"/>
              </w:rPr>
              <w:t>4、生态环境现状</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项目区处于城市建成区，区域内已无原生植被，主要为道路绿化植被，无国家级、云南省级保护植物物种以及地方狭域植物种类分布。</w:t>
            </w:r>
          </w:p>
          <w:p>
            <w:pPr>
              <w:keepNext/>
              <w:keepLines/>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评价区人类活动频繁，野生动物主要为当地常见种，缺乏大型兽类及鸟类，评价范围内以小型哺乳动物、常见鸟类、爬行动物为主，小型哺乳动物主要为啮齿类动物，如松鼠、家鼠等，鸟类主要有麻雀、燕子等。经调查，项目区内野生动物的种类和数量均不丰富，均为常见种，评价区范围内未发现珍稀濒危保护动物和地方特有种。</w:t>
            </w:r>
          </w:p>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主要环境保护目标（列出名单及保护级别）：</w:t>
            </w:r>
          </w:p>
          <w:p>
            <w:pPr>
              <w:adjustRightInd w:val="0"/>
              <w:spacing w:line="360" w:lineRule="auto"/>
              <w:ind w:firstLine="480" w:firstLineChars="200"/>
              <w:rPr>
                <w:rFonts w:ascii="Times New Roman" w:hAnsi="Times New Roman" w:eastAsia="宋体" w:cs="Times New Roman"/>
                <w:snapToGrid w:val="0"/>
                <w:color w:val="auto"/>
                <w:kern w:val="0"/>
                <w:sz w:val="24"/>
                <w:szCs w:val="20"/>
              </w:rPr>
            </w:pPr>
            <w:r>
              <w:rPr>
                <w:rFonts w:ascii="Times New Roman" w:hAnsi="Times New Roman" w:eastAsia="宋体" w:cs="Times New Roman"/>
                <w:snapToGrid w:val="0"/>
                <w:color w:val="auto"/>
                <w:kern w:val="0"/>
                <w:sz w:val="24"/>
                <w:szCs w:val="20"/>
              </w:rPr>
              <w:t>项目评价范围内无自然保护区、风景旅游点、文物古迹等需要特殊保护的环境敏感对象。</w:t>
            </w:r>
          </w:p>
          <w:p>
            <w:pPr>
              <w:adjustRightInd w:val="0"/>
              <w:spacing w:line="360" w:lineRule="auto"/>
              <w:ind w:firstLine="480" w:firstLineChars="200"/>
              <w:rPr>
                <w:rFonts w:ascii="Times New Roman" w:hAnsi="Times New Roman" w:eastAsia="宋体" w:cs="Times New Roman"/>
                <w:snapToGrid w:val="0"/>
                <w:color w:val="auto"/>
                <w:kern w:val="0"/>
                <w:sz w:val="24"/>
                <w:szCs w:val="20"/>
              </w:rPr>
            </w:pPr>
            <w:r>
              <w:rPr>
                <w:rFonts w:ascii="Times New Roman" w:hAnsi="Times New Roman" w:eastAsia="宋体" w:cs="Times New Roman"/>
                <w:snapToGrid w:val="0"/>
                <w:color w:val="auto"/>
                <w:kern w:val="0"/>
                <w:sz w:val="24"/>
                <w:szCs w:val="20"/>
              </w:rPr>
              <w:t>主要的环境保护目标为区域周边的居住区等敏感目标，执行《环境空气质量标准》（GB3095-2012）二级标准，《声环境质量标准》（GB3096-2008）2类区标准。本项目声环境保护目标为东南侧40m翡翠小区、东侧50m锦华小区和西北侧140m华丰紫园。</w:t>
            </w:r>
          </w:p>
          <w:p>
            <w:pPr>
              <w:adjustRightInd w:val="0"/>
              <w:spacing w:line="360" w:lineRule="auto"/>
              <w:ind w:firstLine="480" w:firstLineChars="200"/>
              <w:rPr>
                <w:rFonts w:ascii="Times New Roman" w:hAnsi="Times New Roman" w:eastAsia="宋体" w:cs="Times New Roman"/>
                <w:b/>
                <w:snapToGrid w:val="0"/>
                <w:color w:val="auto"/>
                <w:kern w:val="0"/>
                <w:sz w:val="24"/>
                <w:lang w:val="zh-CN"/>
              </w:rPr>
            </w:pPr>
            <w:r>
              <w:rPr>
                <w:rFonts w:ascii="Times New Roman" w:hAnsi="Times New Roman" w:eastAsia="宋体" w:cs="Times New Roman"/>
                <w:snapToGrid w:val="0"/>
                <w:color w:val="auto"/>
                <w:kern w:val="0"/>
                <w:sz w:val="24"/>
                <w:szCs w:val="20"/>
              </w:rPr>
              <w:t>环境保护目标分布见附图2，表3-2。</w:t>
            </w:r>
          </w:p>
          <w:p>
            <w:pPr>
              <w:widowControl/>
              <w:snapToGrid w:val="0"/>
              <w:jc w:val="center"/>
              <w:rPr>
                <w:rFonts w:ascii="Times New Roman" w:hAnsi="Times New Roman" w:eastAsia="宋体" w:cs="Times New Roman"/>
                <w:b/>
                <w:snapToGrid w:val="0"/>
                <w:color w:val="auto"/>
                <w:kern w:val="0"/>
                <w:sz w:val="24"/>
                <w:lang w:val="zh-CN"/>
              </w:rPr>
            </w:pPr>
            <w:r>
              <w:rPr>
                <w:rFonts w:ascii="Times New Roman" w:hAnsi="Times New Roman" w:eastAsia="宋体" w:cs="Times New Roman"/>
                <w:b/>
                <w:snapToGrid w:val="0"/>
                <w:color w:val="auto"/>
                <w:kern w:val="0"/>
                <w:sz w:val="24"/>
                <w:lang w:val="zh-CN"/>
              </w:rPr>
              <w:t>表3-2  主要环境保护目标及保护级别一览表</w:t>
            </w:r>
          </w:p>
          <w:tbl>
            <w:tblPr>
              <w:tblStyle w:val="39"/>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549"/>
              <w:gridCol w:w="1333"/>
              <w:gridCol w:w="1333"/>
              <w:gridCol w:w="1117"/>
              <w:gridCol w:w="1862"/>
              <w:gridCol w:w="1022"/>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restart"/>
                  <w:vAlign w:val="center"/>
                </w:tcPr>
                <w:p>
                  <w:pPr>
                    <w:autoSpaceDE w:val="0"/>
                    <w:autoSpaceDN w:val="0"/>
                    <w:adjustRightInd w:val="0"/>
                    <w:jc w:val="center"/>
                    <w:rPr>
                      <w:rFonts w:ascii="Times New Roman" w:hAnsi="Times New Roman" w:eastAsia="宋体" w:cs="Times New Roman"/>
                      <w:b/>
                      <w:color w:val="auto"/>
                      <w:szCs w:val="21"/>
                    </w:rPr>
                  </w:pPr>
                  <w:r>
                    <w:rPr>
                      <w:rFonts w:ascii="Times New Roman" w:hAnsi="Times New Roman" w:eastAsia="宋体" w:cs="Times New Roman"/>
                      <w:b/>
                      <w:color w:val="auto"/>
                      <w:spacing w:val="-10"/>
                      <w:szCs w:val="21"/>
                    </w:rPr>
                    <w:t>类别</w:t>
                  </w:r>
                </w:p>
              </w:tc>
              <w:tc>
                <w:tcPr>
                  <w:tcW w:w="1549" w:type="dxa"/>
                  <w:vMerge w:val="restart"/>
                  <w:vAlign w:val="center"/>
                </w:tcPr>
                <w:p>
                  <w:pPr>
                    <w:autoSpaceDE w:val="0"/>
                    <w:autoSpaceDN w:val="0"/>
                    <w:adjustRightInd w:val="0"/>
                    <w:jc w:val="center"/>
                    <w:rPr>
                      <w:rFonts w:ascii="Times New Roman" w:hAnsi="Times New Roman" w:eastAsia="宋体" w:cs="Times New Roman"/>
                      <w:b/>
                      <w:color w:val="auto"/>
                      <w:szCs w:val="21"/>
                    </w:rPr>
                  </w:pPr>
                  <w:r>
                    <w:rPr>
                      <w:rFonts w:ascii="Times New Roman" w:hAnsi="Times New Roman" w:eastAsia="宋体" w:cs="Times New Roman"/>
                      <w:b/>
                      <w:color w:val="auto"/>
                      <w:spacing w:val="-10"/>
                      <w:szCs w:val="21"/>
                    </w:rPr>
                    <w:t>保护目标</w:t>
                  </w:r>
                </w:p>
              </w:tc>
              <w:tc>
                <w:tcPr>
                  <w:tcW w:w="2666" w:type="dxa"/>
                  <w:gridSpan w:val="2"/>
                  <w:vAlign w:val="center"/>
                </w:tcPr>
                <w:p>
                  <w:pPr>
                    <w:autoSpaceDE w:val="0"/>
                    <w:autoSpaceDN w:val="0"/>
                    <w:adjustRightInd w:val="0"/>
                    <w:jc w:val="center"/>
                    <w:rPr>
                      <w:rFonts w:ascii="Times New Roman" w:hAnsi="Times New Roman" w:eastAsia="宋体" w:cs="Times New Roman"/>
                      <w:b/>
                      <w:color w:val="auto"/>
                      <w:spacing w:val="-10"/>
                      <w:szCs w:val="21"/>
                    </w:rPr>
                  </w:pPr>
                  <w:r>
                    <w:rPr>
                      <w:rFonts w:ascii="Times New Roman" w:hAnsi="Times New Roman" w:eastAsia="宋体" w:cs="Times New Roman"/>
                      <w:b/>
                      <w:color w:val="auto"/>
                      <w:spacing w:val="-10"/>
                      <w:szCs w:val="21"/>
                    </w:rPr>
                    <w:t>坐标</w:t>
                  </w:r>
                </w:p>
              </w:tc>
              <w:tc>
                <w:tcPr>
                  <w:tcW w:w="1117" w:type="dxa"/>
                  <w:vMerge w:val="restart"/>
                  <w:vAlign w:val="center"/>
                </w:tcPr>
                <w:p>
                  <w:pPr>
                    <w:autoSpaceDE w:val="0"/>
                    <w:autoSpaceDN w:val="0"/>
                    <w:adjustRightInd w:val="0"/>
                    <w:jc w:val="center"/>
                    <w:rPr>
                      <w:rFonts w:ascii="Times New Roman" w:hAnsi="Times New Roman" w:eastAsia="宋体" w:cs="Times New Roman"/>
                      <w:b/>
                      <w:color w:val="auto"/>
                      <w:szCs w:val="21"/>
                    </w:rPr>
                  </w:pPr>
                  <w:r>
                    <w:rPr>
                      <w:rFonts w:ascii="Times New Roman" w:hAnsi="Times New Roman" w:eastAsia="宋体" w:cs="Times New Roman"/>
                      <w:b/>
                      <w:bCs/>
                      <w:color w:val="auto"/>
                      <w:szCs w:val="21"/>
                    </w:rPr>
                    <w:t>保护对象</w:t>
                  </w:r>
                </w:p>
              </w:tc>
              <w:tc>
                <w:tcPr>
                  <w:tcW w:w="1862" w:type="dxa"/>
                  <w:vMerge w:val="restart"/>
                  <w:vAlign w:val="center"/>
                </w:tcPr>
                <w:p>
                  <w:pPr>
                    <w:autoSpaceDE w:val="0"/>
                    <w:autoSpaceDN w:val="0"/>
                    <w:adjustRightInd w:val="0"/>
                    <w:jc w:val="center"/>
                    <w:rPr>
                      <w:rFonts w:ascii="Times New Roman" w:hAnsi="Times New Roman" w:eastAsia="宋体" w:cs="Times New Roman"/>
                      <w:b/>
                      <w:color w:val="auto"/>
                      <w:szCs w:val="21"/>
                    </w:rPr>
                  </w:pPr>
                  <w:r>
                    <w:rPr>
                      <w:rFonts w:ascii="Times New Roman" w:hAnsi="Times New Roman" w:eastAsia="宋体" w:cs="Times New Roman"/>
                      <w:b/>
                      <w:color w:val="auto"/>
                      <w:spacing w:val="-10"/>
                      <w:szCs w:val="21"/>
                    </w:rPr>
                    <w:t>保护级别</w:t>
                  </w:r>
                </w:p>
              </w:tc>
              <w:tc>
                <w:tcPr>
                  <w:tcW w:w="1022" w:type="dxa"/>
                  <w:vMerge w:val="restart"/>
                  <w:vAlign w:val="center"/>
                </w:tcPr>
                <w:p>
                  <w:pPr>
                    <w:autoSpaceDE w:val="0"/>
                    <w:autoSpaceDN w:val="0"/>
                    <w:adjustRightInd w:val="0"/>
                    <w:jc w:val="center"/>
                    <w:rPr>
                      <w:rFonts w:ascii="Times New Roman" w:hAnsi="Times New Roman" w:eastAsia="宋体" w:cs="Times New Roman"/>
                      <w:b/>
                      <w:color w:val="auto"/>
                      <w:spacing w:val="-10"/>
                      <w:szCs w:val="21"/>
                    </w:rPr>
                  </w:pPr>
                  <w:r>
                    <w:rPr>
                      <w:rFonts w:ascii="Times New Roman" w:hAnsi="Times New Roman" w:eastAsia="宋体" w:cs="Times New Roman"/>
                      <w:b/>
                      <w:color w:val="auto"/>
                      <w:spacing w:val="-10"/>
                      <w:szCs w:val="21"/>
                    </w:rPr>
                    <w:t>相对厂址方向</w:t>
                  </w:r>
                </w:p>
              </w:tc>
              <w:tc>
                <w:tcPr>
                  <w:tcW w:w="964" w:type="dxa"/>
                  <w:vMerge w:val="restart"/>
                  <w:vAlign w:val="center"/>
                </w:tcPr>
                <w:p>
                  <w:pPr>
                    <w:autoSpaceDE w:val="0"/>
                    <w:autoSpaceDN w:val="0"/>
                    <w:adjustRightInd w:val="0"/>
                    <w:jc w:val="center"/>
                    <w:rPr>
                      <w:rFonts w:ascii="Times New Roman" w:hAnsi="Times New Roman" w:eastAsia="宋体" w:cs="Times New Roman"/>
                      <w:b/>
                      <w:color w:val="auto"/>
                      <w:spacing w:val="-10"/>
                      <w:szCs w:val="21"/>
                    </w:rPr>
                  </w:pPr>
                  <w:r>
                    <w:rPr>
                      <w:rFonts w:ascii="Times New Roman" w:hAnsi="Times New Roman" w:eastAsia="宋体" w:cs="Times New Roman"/>
                      <w:b/>
                      <w:color w:val="auto"/>
                      <w:spacing w:val="-10"/>
                      <w:szCs w:val="21"/>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zCs w:val="21"/>
                    </w:rPr>
                  </w:pPr>
                </w:p>
              </w:tc>
              <w:tc>
                <w:tcPr>
                  <w:tcW w:w="1549" w:type="dxa"/>
                  <w:vMerge w:val="continue"/>
                  <w:vAlign w:val="center"/>
                </w:tcPr>
                <w:p>
                  <w:pPr>
                    <w:autoSpaceDE w:val="0"/>
                    <w:autoSpaceDN w:val="0"/>
                    <w:adjustRightInd w:val="0"/>
                    <w:jc w:val="center"/>
                    <w:rPr>
                      <w:rFonts w:ascii="Times New Roman" w:hAnsi="Times New Roman" w:eastAsia="宋体" w:cs="Times New Roman"/>
                      <w:color w:val="auto"/>
                      <w:szCs w:val="21"/>
                    </w:rPr>
                  </w:pPr>
                </w:p>
              </w:tc>
              <w:tc>
                <w:tcPr>
                  <w:tcW w:w="1333" w:type="dxa"/>
                  <w:vAlign w:val="center"/>
                </w:tcPr>
                <w:p>
                  <w:pPr>
                    <w:autoSpaceDE w:val="0"/>
                    <w:autoSpaceDN w:val="0"/>
                    <w:adjustRightInd w:val="0"/>
                    <w:jc w:val="center"/>
                    <w:rPr>
                      <w:rFonts w:ascii="Times New Roman" w:hAnsi="Times New Roman" w:eastAsia="宋体" w:cs="Times New Roman"/>
                      <w:iCs/>
                      <w:color w:val="auto"/>
                      <w:spacing w:val="-10"/>
                      <w:szCs w:val="21"/>
                    </w:rPr>
                  </w:pPr>
                  <w:r>
                    <w:rPr>
                      <w:rFonts w:ascii="Times New Roman" w:hAnsi="Times New Roman" w:eastAsia="宋体" w:cs="Times New Roman"/>
                      <w:iCs/>
                      <w:color w:val="auto"/>
                      <w:spacing w:val="-10"/>
                      <w:szCs w:val="21"/>
                    </w:rPr>
                    <w:t>X</w:t>
                  </w:r>
                </w:p>
              </w:tc>
              <w:tc>
                <w:tcPr>
                  <w:tcW w:w="1333" w:type="dxa"/>
                  <w:vAlign w:val="center"/>
                </w:tcPr>
                <w:p>
                  <w:pPr>
                    <w:autoSpaceDE w:val="0"/>
                    <w:autoSpaceDN w:val="0"/>
                    <w:adjustRightInd w:val="0"/>
                    <w:jc w:val="center"/>
                    <w:rPr>
                      <w:rFonts w:ascii="Times New Roman" w:hAnsi="Times New Roman" w:eastAsia="宋体" w:cs="Times New Roman"/>
                      <w:iCs/>
                      <w:color w:val="auto"/>
                      <w:spacing w:val="-10"/>
                      <w:szCs w:val="21"/>
                    </w:rPr>
                  </w:pPr>
                  <w:r>
                    <w:rPr>
                      <w:rFonts w:ascii="Times New Roman" w:hAnsi="Times New Roman" w:eastAsia="宋体" w:cs="Times New Roman"/>
                      <w:iCs/>
                      <w:color w:val="auto"/>
                      <w:spacing w:val="-10"/>
                      <w:szCs w:val="21"/>
                    </w:rPr>
                    <w:t>Y</w:t>
                  </w:r>
                </w:p>
              </w:tc>
              <w:tc>
                <w:tcPr>
                  <w:tcW w:w="1117"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862"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022"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964"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restart"/>
                  <w:vAlign w:val="center"/>
                </w:tcPr>
                <w:p>
                  <w:pPr>
                    <w:autoSpaceDE w:val="0"/>
                    <w:autoSpaceDN w:val="0"/>
                    <w:adjustRightInd w:val="0"/>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大气环境</w:t>
                  </w: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国家统计局德宏调查队</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98°34'09.0"</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24°26'21.9"</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行政单位</w:t>
                  </w:r>
                </w:p>
              </w:tc>
              <w:tc>
                <w:tcPr>
                  <w:tcW w:w="1862" w:type="dxa"/>
                  <w:vMerge w:val="restart"/>
                  <w:vAlign w:val="center"/>
                </w:tcPr>
                <w:p>
                  <w:pPr>
                    <w:tabs>
                      <w:tab w:val="center" w:pos="4153"/>
                      <w:tab w:val="right" w:pos="8306"/>
                    </w:tabs>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《环境空气质量标准》（GB3095-2012）二级标准限值</w:t>
                  </w: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5</w:t>
                  </w:r>
                  <w:r>
                    <w:rPr>
                      <w:rFonts w:ascii="Times New Roman" w:hAnsi="Times New Roman" w:eastAsia="宋体" w:cs="Times New Roman"/>
                      <w:bCs/>
                      <w:color w:val="auto"/>
                      <w:spacing w:val="-2"/>
                      <w:kern w:val="0"/>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芒市人民政府发展和改革局</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98°34'10.2"</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24°26'25.5"</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行政单位</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1</w:t>
                  </w:r>
                  <w:r>
                    <w:rPr>
                      <w:rFonts w:ascii="Times New Roman" w:hAnsi="Times New Roman" w:eastAsia="宋体" w:cs="Times New Roman"/>
                      <w:bCs/>
                      <w:color w:val="auto"/>
                      <w:spacing w:val="-2"/>
                      <w:kern w:val="0"/>
                      <w:szCs w:val="21"/>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榕树小区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98°34'15.1"</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24°26'27.4"</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8</w:t>
                  </w:r>
                  <w:r>
                    <w:rPr>
                      <w:rFonts w:ascii="Times New Roman" w:hAnsi="Times New Roman" w:eastAsia="宋体" w:cs="Times New Roman"/>
                      <w:bCs/>
                      <w:color w:val="auto"/>
                      <w:spacing w:val="-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锦华路小区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98°34'31.0"</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24°26'19.2"</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东侧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4</w:t>
                  </w:r>
                  <w:r>
                    <w:rPr>
                      <w:rFonts w:ascii="Times New Roman" w:hAnsi="Times New Roman" w:eastAsia="宋体" w:cs="Times New Roman"/>
                      <w:bCs/>
                      <w:color w:val="auto"/>
                      <w:spacing w:val="-2"/>
                      <w:kern w:val="0"/>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德宏州政务服务中心</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98°34'35.6"</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24°26'28.9"</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行政单位</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7</w:t>
                  </w:r>
                  <w:r>
                    <w:rPr>
                      <w:rFonts w:ascii="Times New Roman" w:hAnsi="Times New Roman" w:eastAsia="宋体" w:cs="Times New Roman"/>
                      <w:bCs/>
                      <w:color w:val="auto"/>
                      <w:spacing w:val="-2"/>
                      <w:kern w:val="0"/>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德宏州社会体育指导中心</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98°34'25.0"</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24°26'31.7"</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社会组织</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5</w:t>
                  </w:r>
                  <w:r>
                    <w:rPr>
                      <w:rFonts w:ascii="Times New Roman" w:hAnsi="Times New Roman" w:eastAsia="宋体" w:cs="Times New Roman"/>
                      <w:bCs/>
                      <w:color w:val="auto"/>
                      <w:spacing w:val="-2"/>
                      <w:kern w:val="0"/>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德宏州房地产行业协会</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98°34'14.0"</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24°26'37.4"</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社会组织</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4</w:t>
                  </w:r>
                  <w:r>
                    <w:rPr>
                      <w:rFonts w:ascii="Times New Roman" w:hAnsi="Times New Roman" w:eastAsia="宋体" w:cs="Times New Roman"/>
                      <w:bCs/>
                      <w:color w:val="auto"/>
                      <w:spacing w:val="-2"/>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华江水岸星城</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98°33'56.4"</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24°26'36.9"</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华丰紫园</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98°33'44.7"</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24°26'26.3"</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珠宝小镇</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98°33'51.9"</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24°26'16.8"</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等相</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98°33'41.5"</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24°26'08.0"</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ascii="Times New Roman" w:hAnsi="Times New Roman" w:eastAsia="宋体" w:cs="Times New Roman"/>
                      <w:bCs/>
                      <w:color w:val="auto"/>
                      <w:spacing w:val="-2"/>
                      <w:kern w:val="0"/>
                      <w:szCs w:val="21"/>
                      <w:lang w:bidi="ar"/>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翡翠小区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98°34'8.93"</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24°26'27.96"</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ascii="Times New Roman" w:hAnsi="Times New Roman" w:eastAsia="宋体" w:cs="Times New Roman"/>
                      <w:bCs/>
                      <w:color w:val="auto"/>
                      <w:spacing w:val="-2"/>
                      <w:kern w:val="0"/>
                      <w:szCs w:val="21"/>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新华小区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98°34'02.2"</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24°26'13.7"</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宏发小区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98°34'17.6"</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24°26'10.5"</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禄苑小区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98°34'03.7"</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24°26'01.9"</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4</w:t>
                  </w:r>
                  <w:r>
                    <w:rPr>
                      <w:rFonts w:ascii="Times New Roman" w:hAnsi="Times New Roman" w:eastAsia="宋体" w:cs="Times New Roman"/>
                      <w:bCs/>
                      <w:color w:val="auto"/>
                      <w:spacing w:val="-2"/>
                      <w:kern w:val="0"/>
                      <w:szCs w:val="21"/>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北面公务员小区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98°34'23.7"</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24°26'12.2"</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4</w:t>
                  </w:r>
                  <w:r>
                    <w:rPr>
                      <w:rFonts w:ascii="Times New Roman" w:hAnsi="Times New Roman" w:eastAsia="宋体" w:cs="Times New Roman"/>
                      <w:bCs/>
                      <w:color w:val="auto"/>
                      <w:spacing w:val="-2"/>
                      <w:kern w:val="0"/>
                      <w:szCs w:val="21"/>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南面公务员小区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98°34'19.9"</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24°26'06.2"</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5</w:t>
                  </w:r>
                  <w:r>
                    <w:rPr>
                      <w:rFonts w:ascii="Times New Roman" w:hAnsi="Times New Roman" w:eastAsia="宋体" w:cs="Times New Roman"/>
                      <w:bCs/>
                      <w:color w:val="auto"/>
                      <w:spacing w:val="-2"/>
                      <w:kern w:val="0"/>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国税园区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98°34'28.3"</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24°26'07.2"</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7</w:t>
                  </w:r>
                  <w:r>
                    <w:rPr>
                      <w:rFonts w:ascii="Times New Roman" w:hAnsi="Times New Roman" w:eastAsia="宋体" w:cs="Times New Roman"/>
                      <w:bCs/>
                      <w:color w:val="auto"/>
                      <w:spacing w:val="-2"/>
                      <w:kern w:val="0"/>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芒市安监局</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98°34'27.0"</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24°26'01.7"</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行政单位</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8</w:t>
                  </w:r>
                  <w:r>
                    <w:rPr>
                      <w:rFonts w:ascii="Times New Roman" w:hAnsi="Times New Roman" w:eastAsia="宋体" w:cs="Times New Roman"/>
                      <w:bCs/>
                      <w:color w:val="auto"/>
                      <w:spacing w:val="-2"/>
                      <w:kern w:val="0"/>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德宏州进口公司家属区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98°34'16.8"</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24°25'58.9"</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6</w:t>
                  </w:r>
                  <w:r>
                    <w:rPr>
                      <w:rFonts w:ascii="Times New Roman" w:hAnsi="Times New Roman" w:eastAsia="宋体" w:cs="Times New Roman"/>
                      <w:bCs/>
                      <w:color w:val="auto"/>
                      <w:spacing w:val="-2"/>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restart"/>
                  <w:vAlign w:val="center"/>
                </w:tcPr>
                <w:p>
                  <w:pPr>
                    <w:autoSpaceDE w:val="0"/>
                    <w:autoSpaceDN w:val="0"/>
                    <w:adjustRightInd w:val="0"/>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声环境</w:t>
                  </w: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国家统计局德宏调查队</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98°34'09.0"</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24°26'21.9"</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行政单位</w:t>
                  </w:r>
                </w:p>
              </w:tc>
              <w:tc>
                <w:tcPr>
                  <w:tcW w:w="1862" w:type="dxa"/>
                  <w:vMerge w:val="restart"/>
                  <w:vAlign w:val="center"/>
                </w:tcPr>
                <w:p>
                  <w:pPr>
                    <w:tabs>
                      <w:tab w:val="center" w:pos="4153"/>
                      <w:tab w:val="right" w:pos="8306"/>
                    </w:tabs>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《声环境质量标准》（GB3096-2008）2 类区标准</w:t>
                  </w: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5</w:t>
                  </w:r>
                  <w:r>
                    <w:rPr>
                      <w:rFonts w:ascii="Times New Roman" w:hAnsi="Times New Roman" w:eastAsia="宋体" w:cs="Times New Roman"/>
                      <w:bCs/>
                      <w:color w:val="auto"/>
                      <w:spacing w:val="-2"/>
                      <w:kern w:val="0"/>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芒市人民政府发展和改革局</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98°34'10.2"</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24°26'25.5"</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行政单位</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1</w:t>
                  </w:r>
                  <w:r>
                    <w:rPr>
                      <w:rFonts w:ascii="Times New Roman" w:hAnsi="Times New Roman" w:eastAsia="宋体" w:cs="Times New Roman"/>
                      <w:bCs/>
                      <w:color w:val="auto"/>
                      <w:spacing w:val="-2"/>
                      <w:kern w:val="0"/>
                      <w:szCs w:val="21"/>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rPr>
                    <w:t>榕树小区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98°34'15.1"</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24°26'27.4"</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8</w:t>
                  </w:r>
                  <w:r>
                    <w:rPr>
                      <w:rFonts w:ascii="Times New Roman" w:hAnsi="Times New Roman" w:eastAsia="宋体" w:cs="Times New Roman"/>
                      <w:bCs/>
                      <w:color w:val="auto"/>
                      <w:spacing w:val="-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翡翠小区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98°34'8.93"</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24°26'27.96"</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ascii="Times New Roman" w:hAnsi="Times New Roman" w:eastAsia="宋体" w:cs="Times New Roman"/>
                      <w:bCs/>
                      <w:color w:val="auto"/>
                      <w:spacing w:val="-2"/>
                      <w:kern w:val="0"/>
                      <w:szCs w:val="21"/>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restart"/>
                  <w:vAlign w:val="center"/>
                </w:tcPr>
                <w:p>
                  <w:pPr>
                    <w:autoSpaceDE w:val="0"/>
                    <w:autoSpaceDN w:val="0"/>
                    <w:adjustRightInd w:val="0"/>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地表水</w:t>
                  </w:r>
                </w:p>
              </w:tc>
              <w:tc>
                <w:tcPr>
                  <w:tcW w:w="154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板过河</w:t>
                  </w:r>
                </w:p>
              </w:tc>
              <w:tc>
                <w:tcPr>
                  <w:tcW w:w="1333"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333"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117"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河流</w:t>
                  </w:r>
                </w:p>
              </w:tc>
              <w:tc>
                <w:tcPr>
                  <w:tcW w:w="1862" w:type="dxa"/>
                  <w:vMerge w:val="restart"/>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《地表水环境质量标准》（GB3838-2002）III类</w:t>
                  </w:r>
                </w:p>
              </w:tc>
              <w:tc>
                <w:tcPr>
                  <w:tcW w:w="1022" w:type="dxa"/>
                  <w:vAlign w:val="center"/>
                </w:tcPr>
                <w:p>
                  <w:pPr>
                    <w:autoSpaceDE w:val="0"/>
                    <w:autoSpaceDN w:val="0"/>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南侧</w:t>
                  </w:r>
                </w:p>
              </w:tc>
              <w:tc>
                <w:tcPr>
                  <w:tcW w:w="964" w:type="dxa"/>
                  <w:vAlign w:val="center"/>
                </w:tcPr>
                <w:p>
                  <w:pPr>
                    <w:autoSpaceDE w:val="0"/>
                    <w:autoSpaceDN w:val="0"/>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紧邻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芒市大河</w:t>
                  </w:r>
                </w:p>
              </w:tc>
              <w:tc>
                <w:tcPr>
                  <w:tcW w:w="133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33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1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河流</w:t>
                  </w:r>
                </w:p>
              </w:tc>
              <w:tc>
                <w:tcPr>
                  <w:tcW w:w="1862" w:type="dxa"/>
                  <w:vMerge w:val="continue"/>
                  <w:vAlign w:val="center"/>
                </w:tcPr>
                <w:p>
                  <w:pPr>
                    <w:autoSpaceDE w:val="0"/>
                    <w:autoSpaceDN w:val="0"/>
                    <w:adjustRightIn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西侧</w:t>
                  </w:r>
                </w:p>
              </w:tc>
              <w:tc>
                <w:tcPr>
                  <w:tcW w:w="964"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1500</w:t>
                  </w:r>
                </w:p>
              </w:tc>
            </w:tr>
          </w:tbl>
          <w:p>
            <w:pPr>
              <w:pStyle w:val="2"/>
              <w:rPr>
                <w:color w:val="auto"/>
                <w:lang w:val="zh-CN"/>
              </w:rPr>
            </w:pPr>
          </w:p>
          <w:p>
            <w:pPr>
              <w:rPr>
                <w:color w:val="auto"/>
                <w:lang w:val="zh-CN"/>
              </w:rPr>
            </w:pPr>
          </w:p>
          <w:p>
            <w:pPr>
              <w:jc w:val="center"/>
              <w:rPr>
                <w:rFonts w:ascii="Times New Roman" w:hAnsi="Times New Roman" w:eastAsia="宋体" w:cs="Times New Roman"/>
                <w:color w:val="auto"/>
              </w:rPr>
            </w:pPr>
          </w:p>
        </w:tc>
      </w:tr>
    </w:tbl>
    <w:p>
      <w:pPr>
        <w:keepNext/>
        <w:keepLines/>
        <w:pageBreakBefore/>
        <w:jc w:val="left"/>
        <w:outlineLvl w:val="0"/>
        <w:rPr>
          <w:rFonts w:ascii="Times New Roman" w:hAnsi="Times New Roman" w:eastAsia="宋体" w:cs="Times New Roman"/>
          <w:b/>
          <w:bCs/>
          <w:color w:val="auto"/>
          <w:kern w:val="44"/>
          <w:sz w:val="30"/>
          <w:szCs w:val="44"/>
          <w:lang w:val="zh-CN"/>
        </w:rPr>
      </w:pPr>
      <w:bookmarkStart w:id="3" w:name="_Toc47258240"/>
      <w:bookmarkStart w:id="4" w:name="_Toc339549163"/>
      <w:r>
        <w:rPr>
          <w:rFonts w:ascii="Times New Roman" w:hAnsi="Times New Roman" w:eastAsia="宋体" w:cs="Times New Roman"/>
          <w:b/>
          <w:bCs/>
          <w:color w:val="auto"/>
          <w:kern w:val="44"/>
          <w:sz w:val="30"/>
          <w:szCs w:val="44"/>
          <w:lang w:val="zh-CN"/>
        </w:rPr>
        <w:t>表四、评价适用标准</w:t>
      </w:r>
      <w:bookmarkEnd w:id="3"/>
      <w:bookmarkEnd w:id="4"/>
    </w:p>
    <w:tbl>
      <w:tblPr>
        <w:tblStyle w:val="3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457" w:type="dxa"/>
            <w:vAlign w:val="center"/>
          </w:tcPr>
          <w:p>
            <w:pPr>
              <w:adjustRightInd w:val="0"/>
              <w:snapToGrid w:val="0"/>
              <w:spacing w:line="360" w:lineRule="auto"/>
              <w:rPr>
                <w:rFonts w:ascii="Times New Roman" w:hAnsi="Times New Roman" w:eastAsia="宋体" w:cs="Times New Roman"/>
                <w:b/>
                <w:color w:val="auto"/>
                <w:sz w:val="24"/>
                <w:szCs w:val="20"/>
              </w:rPr>
            </w:pPr>
            <w:bookmarkStart w:id="5" w:name="_Toc267557335"/>
            <w:r>
              <w:rPr>
                <w:rFonts w:ascii="Times New Roman" w:hAnsi="Times New Roman" w:eastAsia="宋体" w:cs="Times New Roman"/>
                <w:b/>
                <w:color w:val="auto"/>
                <w:sz w:val="24"/>
                <w:szCs w:val="20"/>
              </w:rPr>
              <w:t>环境质量标准</w:t>
            </w:r>
          </w:p>
        </w:tc>
        <w:tc>
          <w:tcPr>
            <w:tcW w:w="9171" w:type="dxa"/>
          </w:tcPr>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1、环境空气质量</w:t>
            </w:r>
          </w:p>
          <w:p>
            <w:pPr>
              <w:tabs>
                <w:tab w:val="left" w:pos="2395"/>
              </w:tab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位于云南省德宏州芒市风平镇帕底村委会帕底村民小组，属于二类环境空气质量功能区，环境空气质量执行GB3095-2012《环境空气质量标准》二级标准；标准值见下表；项目运营期产生二甲苯、VOCs和漆雾参考VOCS标准限值，VOCS参考《环境影响评价技术导则大气环境》（HJ2.2-2018）中附录D其他污染物空气质量浓度参考限值。标准值见下表4-1。</w:t>
            </w:r>
          </w:p>
          <w:p>
            <w:pPr>
              <w:pStyle w:val="185"/>
              <w:rPr>
                <w:color w:val="auto"/>
              </w:rPr>
            </w:pPr>
            <w:r>
              <w:rPr>
                <w:color w:val="auto"/>
              </w:rPr>
              <w:t xml:space="preserve">表4-1 </w:t>
            </w:r>
            <w:r>
              <w:rPr>
                <w:color w:val="auto"/>
                <w:lang w:val="en-US"/>
              </w:rPr>
              <w:t xml:space="preserve"> </w:t>
            </w:r>
            <w:r>
              <w:rPr>
                <w:color w:val="auto"/>
              </w:rPr>
              <w:t xml:space="preserve">环境空气质量标准限值 </w:t>
            </w:r>
          </w:p>
          <w:tbl>
            <w:tblPr>
              <w:tblStyle w:val="39"/>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2081"/>
              <w:gridCol w:w="3841"/>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Align w:val="center"/>
                </w:tcPr>
                <w:p>
                  <w:pPr>
                    <w:autoSpaceDE w:val="0"/>
                    <w:autoSpaceDN w:val="0"/>
                    <w:adjustRightInd w:val="0"/>
                    <w:jc w:val="center"/>
                    <w:textAlignment w:val="baseline"/>
                    <w:rPr>
                      <w:rFonts w:ascii="Times New Roman" w:hAnsi="Times New Roman" w:eastAsia="宋体" w:cs="Times New Roman"/>
                      <w:b/>
                      <w:color w:val="auto"/>
                      <w:szCs w:val="21"/>
                    </w:rPr>
                  </w:pPr>
                  <w:r>
                    <w:rPr>
                      <w:rFonts w:ascii="Times New Roman" w:hAnsi="Times New Roman" w:eastAsia="宋体" w:cs="Times New Roman"/>
                      <w:b/>
                      <w:color w:val="auto"/>
                      <w:szCs w:val="21"/>
                    </w:rPr>
                    <w:t>污染物名称</w:t>
                  </w:r>
                </w:p>
              </w:tc>
              <w:tc>
                <w:tcPr>
                  <w:tcW w:w="2081" w:type="dxa"/>
                  <w:vAlign w:val="center"/>
                </w:tcPr>
                <w:p>
                  <w:pPr>
                    <w:autoSpaceDE w:val="0"/>
                    <w:autoSpaceDN w:val="0"/>
                    <w:adjustRightInd w:val="0"/>
                    <w:jc w:val="center"/>
                    <w:textAlignment w:val="baseline"/>
                    <w:rPr>
                      <w:rFonts w:ascii="Times New Roman" w:hAnsi="Times New Roman" w:eastAsia="宋体" w:cs="Times New Roman"/>
                      <w:b/>
                      <w:color w:val="auto"/>
                      <w:szCs w:val="21"/>
                    </w:rPr>
                  </w:pPr>
                  <w:r>
                    <w:rPr>
                      <w:rFonts w:ascii="Times New Roman" w:hAnsi="Times New Roman" w:eastAsia="宋体" w:cs="Times New Roman"/>
                      <w:b/>
                      <w:color w:val="auto"/>
                      <w:szCs w:val="21"/>
                    </w:rPr>
                    <w:t>取值时间</w:t>
                  </w:r>
                </w:p>
              </w:tc>
              <w:tc>
                <w:tcPr>
                  <w:tcW w:w="3841" w:type="dxa"/>
                  <w:vAlign w:val="center"/>
                </w:tcPr>
                <w:p>
                  <w:pPr>
                    <w:autoSpaceDE w:val="0"/>
                    <w:autoSpaceDN w:val="0"/>
                    <w:adjustRightInd w:val="0"/>
                    <w:jc w:val="center"/>
                    <w:textAlignment w:val="baseline"/>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《环境空气质量标准》（GB3095-2012）二级标准浓度限值</w:t>
                  </w:r>
                </w:p>
              </w:tc>
              <w:tc>
                <w:tcPr>
                  <w:tcW w:w="1050" w:type="dxa"/>
                  <w:vAlign w:val="center"/>
                </w:tcPr>
                <w:p>
                  <w:pPr>
                    <w:autoSpaceDE w:val="0"/>
                    <w:autoSpaceDN w:val="0"/>
                    <w:adjustRightInd w:val="0"/>
                    <w:jc w:val="center"/>
                    <w:textAlignment w:val="baseline"/>
                    <w:rPr>
                      <w:rFonts w:ascii="Times New Roman" w:hAnsi="Times New Roman" w:eastAsia="宋体" w:cs="Times New Roman"/>
                      <w:b/>
                      <w:color w:val="auto"/>
                      <w:szCs w:val="21"/>
                    </w:rPr>
                  </w:pPr>
                  <w:r>
                    <w:rPr>
                      <w:rFonts w:ascii="Times New Roman" w:hAnsi="Times New Roman" w:eastAsia="宋体" w:cs="Times New Roman"/>
                      <w:b/>
                      <w:color w:val="auto"/>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总悬浮颗粒物(TSP)</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年平均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200 </w:t>
                  </w:r>
                </w:p>
              </w:tc>
              <w:tc>
                <w:tcPr>
                  <w:tcW w:w="1050"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ug/m</w:t>
                  </w:r>
                  <w:r>
                    <w:rPr>
                      <w:rFonts w:ascii="Times New Roman" w:hAnsi="Times New Roman" w:eastAsia="宋体" w:cs="Times New Roman"/>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300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颗粒物(PM</w:t>
                  </w:r>
                  <w:r>
                    <w:rPr>
                      <w:rFonts w:ascii="Times New Roman" w:hAnsi="Times New Roman" w:eastAsia="宋体" w:cs="Times New Roman"/>
                      <w:color w:val="auto"/>
                      <w:szCs w:val="21"/>
                      <w:vertAlign w:val="subscript"/>
                    </w:rPr>
                    <w:t>10</w:t>
                  </w:r>
                  <w:r>
                    <w:rPr>
                      <w:rFonts w:ascii="Times New Roman" w:hAnsi="Times New Roman" w:eastAsia="宋体" w:cs="Times New Roman"/>
                      <w:color w:val="auto"/>
                      <w:szCs w:val="21"/>
                    </w:rPr>
                    <w:t>)</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年平均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70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150</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颗粒物（PM</w:t>
                  </w:r>
                  <w:r>
                    <w:rPr>
                      <w:rFonts w:ascii="Times New Roman" w:hAnsi="Times New Roman" w:eastAsia="宋体" w:cs="Times New Roman"/>
                      <w:color w:val="auto"/>
                      <w:szCs w:val="21"/>
                      <w:vertAlign w:val="subscript"/>
                    </w:rPr>
                    <w:t>2.5</w:t>
                  </w:r>
                  <w:r>
                    <w:rPr>
                      <w:rFonts w:ascii="Times New Roman" w:hAnsi="Times New Roman" w:eastAsia="宋体" w:cs="Times New Roman"/>
                      <w:color w:val="auto"/>
                      <w:szCs w:val="21"/>
                    </w:rPr>
                    <w:t>）</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年平均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35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75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二氧化硫(SO</w:t>
                  </w:r>
                  <w:r>
                    <w:rPr>
                      <w:rFonts w:ascii="Times New Roman" w:hAnsi="Times New Roman" w:eastAsia="宋体" w:cs="Times New Roman"/>
                      <w:color w:val="auto"/>
                      <w:szCs w:val="21"/>
                      <w:vertAlign w:val="subscript"/>
                    </w:rPr>
                    <w:t>2</w:t>
                  </w:r>
                  <w:r>
                    <w:rPr>
                      <w:rFonts w:ascii="Times New Roman" w:hAnsi="Times New Roman" w:eastAsia="宋体" w:cs="Times New Roman"/>
                      <w:color w:val="auto"/>
                      <w:szCs w:val="21"/>
                    </w:rPr>
                    <w:t>)</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年平均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60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150</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500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二氧化氮(NO</w:t>
                  </w:r>
                  <w:r>
                    <w:rPr>
                      <w:rFonts w:ascii="Times New Roman" w:hAnsi="Times New Roman" w:eastAsia="宋体" w:cs="Times New Roman"/>
                      <w:color w:val="auto"/>
                      <w:szCs w:val="21"/>
                      <w:vertAlign w:val="subscript"/>
                    </w:rPr>
                    <w:t>2</w:t>
                  </w:r>
                  <w:r>
                    <w:rPr>
                      <w:rFonts w:ascii="Times New Roman" w:hAnsi="Times New Roman" w:eastAsia="宋体" w:cs="Times New Roman"/>
                      <w:color w:val="auto"/>
                      <w:szCs w:val="21"/>
                    </w:rPr>
                    <w:t>)</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年平均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40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80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200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一氧化碳（CO）</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4 </w:t>
                  </w:r>
                </w:p>
              </w:tc>
              <w:tc>
                <w:tcPr>
                  <w:tcW w:w="1050"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mg/m</w:t>
                  </w:r>
                  <w:r>
                    <w:rPr>
                      <w:rFonts w:ascii="Times New Roman" w:hAnsi="Times New Roman" w:eastAsia="宋体" w:cs="Times New Roman"/>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10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臭氧（O</w:t>
                  </w:r>
                  <w:r>
                    <w:rPr>
                      <w:rFonts w:ascii="Times New Roman" w:hAnsi="Times New Roman" w:eastAsia="宋体" w:cs="Times New Roman"/>
                      <w:color w:val="auto"/>
                      <w:szCs w:val="21"/>
                      <w:vertAlign w:val="subscript"/>
                    </w:rPr>
                    <w:t>3</w:t>
                  </w:r>
                  <w:r>
                    <w:rPr>
                      <w:rFonts w:ascii="Times New Roman" w:hAnsi="Times New Roman" w:eastAsia="宋体" w:cs="Times New Roman"/>
                      <w:color w:val="auto"/>
                      <w:szCs w:val="21"/>
                    </w:rPr>
                    <w:t>）</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日最大8小时平均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160 </w:t>
                  </w:r>
                </w:p>
              </w:tc>
              <w:tc>
                <w:tcPr>
                  <w:tcW w:w="1050"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ug/m</w:t>
                  </w:r>
                  <w:r>
                    <w:rPr>
                      <w:rFonts w:ascii="Times New Roman" w:hAnsi="Times New Roman" w:eastAsia="宋体" w:cs="Times New Roman"/>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b/>
                      <w:color w:val="auto"/>
                      <w:szCs w:val="21"/>
                    </w:rPr>
                    <w:t>污染物名称</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b/>
                      <w:color w:val="auto"/>
                      <w:szCs w:val="21"/>
                    </w:rPr>
                    <w:t>取值时间</w:t>
                  </w:r>
                </w:p>
              </w:tc>
              <w:tc>
                <w:tcPr>
                  <w:tcW w:w="3841" w:type="dxa"/>
                  <w:vAlign w:val="center"/>
                </w:tcPr>
                <w:p>
                  <w:pPr>
                    <w:autoSpaceDE w:val="0"/>
                    <w:autoSpaceDN w:val="0"/>
                    <w:adjustRightInd w:val="0"/>
                    <w:jc w:val="center"/>
                    <w:textAlignment w:val="baseline"/>
                    <w:rPr>
                      <w:rFonts w:ascii="Times New Roman" w:hAnsi="Times New Roman" w:eastAsia="宋体" w:cs="Times New Roman"/>
                      <w:b/>
                      <w:color w:val="auto"/>
                      <w:szCs w:val="21"/>
                    </w:rPr>
                  </w:pPr>
                  <w:r>
                    <w:rPr>
                      <w:rFonts w:ascii="Times New Roman" w:hAnsi="Times New Roman" w:eastAsia="宋体" w:cs="Times New Roman"/>
                      <w:b/>
                      <w:color w:val="auto"/>
                      <w:szCs w:val="21"/>
                    </w:rPr>
                    <w:t>《环境影响评价技术导则 大气环境》（HJ2.2-2018）附录D</w:t>
                  </w:r>
                </w:p>
              </w:tc>
              <w:tc>
                <w:tcPr>
                  <w:tcW w:w="1050"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b/>
                      <w:color w:val="auto"/>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208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384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w:t>
                  </w:r>
                </w:p>
              </w:tc>
              <w:tc>
                <w:tcPr>
                  <w:tcW w:w="1050"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ug/m</w:t>
                  </w:r>
                  <w:r>
                    <w:rPr>
                      <w:rFonts w:ascii="Times New Roman" w:hAnsi="Times New Roman" w:eastAsia="宋体" w:cs="Times New Roman"/>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hint="eastAsia" w:ascii="Times New Roman" w:hAnsi="Times New Roman" w:eastAsia="宋体" w:cs="Times New Roman"/>
                      <w:color w:val="auto"/>
                      <w:szCs w:val="21"/>
                    </w:rPr>
                    <w:t>T</w:t>
                  </w:r>
                  <w:r>
                    <w:rPr>
                      <w:rFonts w:ascii="Times New Roman" w:hAnsi="Times New Roman" w:eastAsia="宋体" w:cs="Times New Roman"/>
                      <w:color w:val="auto"/>
                      <w:szCs w:val="21"/>
                    </w:rPr>
                    <w:t>VOC</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8小时平均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600</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bl>
          <w:p>
            <w:pPr>
              <w:keepNext/>
              <w:keepLines/>
              <w:spacing w:before="156" w:beforeLines="50" w:line="360" w:lineRule="auto"/>
              <w:ind w:firstLine="482" w:firstLineChars="200"/>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2、地表水环境</w:t>
            </w:r>
          </w:p>
          <w:p>
            <w:pPr>
              <w:keepNext/>
              <w:keepLines/>
              <w:adjustRightInd w:val="0"/>
              <w:snapToGrid w:val="0"/>
              <w:spacing w:line="360" w:lineRule="auto"/>
              <w:ind w:firstLine="480" w:firstLineChars="200"/>
              <w:rPr>
                <w:rFonts w:ascii="Times New Roman" w:hAnsi="Times New Roman" w:eastAsia="宋体" w:cs="Times New Roman"/>
                <w:snapToGrid w:val="0"/>
                <w:color w:val="auto"/>
                <w:kern w:val="0"/>
                <w:sz w:val="24"/>
                <w:szCs w:val="20"/>
              </w:rPr>
            </w:pPr>
            <w:r>
              <w:rPr>
                <w:rFonts w:ascii="Times New Roman" w:hAnsi="Times New Roman" w:eastAsia="宋体" w:cs="Times New Roman"/>
                <w:snapToGrid w:val="0"/>
                <w:color w:val="auto"/>
                <w:kern w:val="0"/>
                <w:sz w:val="24"/>
                <w:szCs w:val="20"/>
              </w:rPr>
              <w:t>根据现场勘查，距项目区最近的地表水体为项目区西侧1.5km的芒市大河。</w:t>
            </w:r>
          </w:p>
          <w:p>
            <w:pPr>
              <w:keepNext/>
              <w:keepLines/>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snapToGrid w:val="0"/>
                <w:color w:val="auto"/>
                <w:kern w:val="0"/>
                <w:sz w:val="24"/>
                <w:szCs w:val="20"/>
              </w:rPr>
              <w:t>根据《云南省地表水水环境功能区划（2010~2020）》，芒市大河“木康断面——入瑞丽江口”水环境功能为农业用水、工业用水，水质类别为Ⅲ类，地表水环境执行GB3838-2002《地表水环境质量标准》Ⅲ类要求。</w:t>
            </w:r>
            <w:r>
              <w:rPr>
                <w:rFonts w:ascii="Times New Roman" w:hAnsi="Times New Roman" w:eastAsia="宋体" w:cs="Times New Roman"/>
                <w:snapToGrid w:val="0"/>
                <w:color w:val="auto"/>
                <w:kern w:val="0"/>
                <w:sz w:val="24"/>
              </w:rPr>
              <w:t>标准值见表4-2。</w:t>
            </w:r>
          </w:p>
          <w:p>
            <w:pPr>
              <w:pStyle w:val="185"/>
              <w:rPr>
                <w:color w:val="auto"/>
              </w:rPr>
            </w:pPr>
            <w:r>
              <w:rPr>
                <w:color w:val="auto"/>
              </w:rPr>
              <w:t xml:space="preserve">表4-2 </w:t>
            </w:r>
            <w:r>
              <w:rPr>
                <w:color w:val="auto"/>
                <w:lang w:val="en-US"/>
              </w:rPr>
              <w:t xml:space="preserve"> </w:t>
            </w:r>
            <w:r>
              <w:rPr>
                <w:color w:val="auto"/>
              </w:rPr>
              <w:t>地表水环境质量标准  单位：mg/L</w:t>
            </w:r>
          </w:p>
          <w:tbl>
            <w:tblPr>
              <w:tblStyle w:val="39"/>
              <w:tblW w:w="89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6"/>
              <w:gridCol w:w="952"/>
              <w:gridCol w:w="952"/>
              <w:gridCol w:w="952"/>
              <w:gridCol w:w="952"/>
              <w:gridCol w:w="952"/>
              <w:gridCol w:w="951"/>
              <w:gridCol w:w="951"/>
              <w:gridCol w:w="11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86" w:type="dxa"/>
                  <w:vAlign w:val="center"/>
                </w:tcPr>
                <w:p>
                  <w:pPr>
                    <w:pStyle w:val="140"/>
                    <w:rPr>
                      <w:b/>
                      <w:bCs/>
                      <w:color w:val="auto"/>
                    </w:rPr>
                  </w:pPr>
                  <w:r>
                    <w:rPr>
                      <w:b/>
                      <w:bCs/>
                      <w:color w:val="auto"/>
                    </w:rPr>
                    <w:t>项目</w:t>
                  </w:r>
                </w:p>
              </w:tc>
              <w:tc>
                <w:tcPr>
                  <w:tcW w:w="952" w:type="dxa"/>
                  <w:vAlign w:val="center"/>
                </w:tcPr>
                <w:p>
                  <w:pPr>
                    <w:pStyle w:val="140"/>
                    <w:rPr>
                      <w:b/>
                      <w:bCs/>
                      <w:color w:val="auto"/>
                    </w:rPr>
                  </w:pPr>
                  <w:r>
                    <w:rPr>
                      <w:b/>
                      <w:bCs/>
                      <w:color w:val="auto"/>
                    </w:rPr>
                    <w:t>PH</w:t>
                  </w:r>
                </w:p>
              </w:tc>
              <w:tc>
                <w:tcPr>
                  <w:tcW w:w="952" w:type="dxa"/>
                  <w:vAlign w:val="center"/>
                </w:tcPr>
                <w:p>
                  <w:pPr>
                    <w:pStyle w:val="140"/>
                    <w:rPr>
                      <w:b/>
                      <w:bCs/>
                      <w:color w:val="auto"/>
                    </w:rPr>
                  </w:pPr>
                  <w:r>
                    <w:rPr>
                      <w:b/>
                      <w:bCs/>
                      <w:color w:val="auto"/>
                    </w:rPr>
                    <w:t>COD</w:t>
                  </w:r>
                </w:p>
              </w:tc>
              <w:tc>
                <w:tcPr>
                  <w:tcW w:w="952" w:type="dxa"/>
                  <w:vAlign w:val="center"/>
                </w:tcPr>
                <w:p>
                  <w:pPr>
                    <w:pStyle w:val="140"/>
                    <w:rPr>
                      <w:b/>
                      <w:bCs/>
                      <w:color w:val="auto"/>
                    </w:rPr>
                  </w:pPr>
                  <w:r>
                    <w:rPr>
                      <w:b/>
                      <w:bCs/>
                      <w:color w:val="auto"/>
                    </w:rPr>
                    <w:t>BOD</w:t>
                  </w:r>
                  <w:r>
                    <w:rPr>
                      <w:b/>
                      <w:bCs/>
                      <w:color w:val="auto"/>
                      <w:vertAlign w:val="subscript"/>
                    </w:rPr>
                    <w:t>5</w:t>
                  </w:r>
                </w:p>
              </w:tc>
              <w:tc>
                <w:tcPr>
                  <w:tcW w:w="952" w:type="dxa"/>
                  <w:vAlign w:val="center"/>
                </w:tcPr>
                <w:p>
                  <w:pPr>
                    <w:pStyle w:val="140"/>
                    <w:rPr>
                      <w:b/>
                      <w:bCs/>
                      <w:color w:val="auto"/>
                    </w:rPr>
                  </w:pPr>
                  <w:r>
                    <w:rPr>
                      <w:b/>
                      <w:bCs/>
                      <w:color w:val="auto"/>
                    </w:rPr>
                    <w:t>氨氮</w:t>
                  </w:r>
                </w:p>
              </w:tc>
              <w:tc>
                <w:tcPr>
                  <w:tcW w:w="952" w:type="dxa"/>
                  <w:vAlign w:val="center"/>
                </w:tcPr>
                <w:p>
                  <w:pPr>
                    <w:pStyle w:val="140"/>
                    <w:rPr>
                      <w:b/>
                      <w:bCs/>
                      <w:color w:val="auto"/>
                    </w:rPr>
                  </w:pPr>
                  <w:r>
                    <w:rPr>
                      <w:b/>
                      <w:bCs/>
                      <w:color w:val="auto"/>
                    </w:rPr>
                    <w:t>总氮</w:t>
                  </w:r>
                </w:p>
              </w:tc>
              <w:tc>
                <w:tcPr>
                  <w:tcW w:w="951" w:type="dxa"/>
                  <w:vAlign w:val="center"/>
                </w:tcPr>
                <w:p>
                  <w:pPr>
                    <w:pStyle w:val="140"/>
                    <w:rPr>
                      <w:b/>
                      <w:bCs/>
                      <w:color w:val="auto"/>
                    </w:rPr>
                  </w:pPr>
                  <w:r>
                    <w:rPr>
                      <w:b/>
                      <w:bCs/>
                      <w:color w:val="auto"/>
                    </w:rPr>
                    <w:t>总磷</w:t>
                  </w:r>
                </w:p>
              </w:tc>
              <w:tc>
                <w:tcPr>
                  <w:tcW w:w="951" w:type="dxa"/>
                  <w:vAlign w:val="center"/>
                </w:tcPr>
                <w:p>
                  <w:pPr>
                    <w:pStyle w:val="140"/>
                    <w:rPr>
                      <w:b/>
                      <w:bCs/>
                      <w:color w:val="auto"/>
                    </w:rPr>
                  </w:pPr>
                  <w:r>
                    <w:rPr>
                      <w:b/>
                      <w:bCs/>
                      <w:color w:val="auto"/>
                    </w:rPr>
                    <w:t>石油类</w:t>
                  </w:r>
                </w:p>
              </w:tc>
              <w:tc>
                <w:tcPr>
                  <w:tcW w:w="1191" w:type="dxa"/>
                  <w:vAlign w:val="center"/>
                </w:tcPr>
                <w:p>
                  <w:pPr>
                    <w:pStyle w:val="140"/>
                    <w:rPr>
                      <w:b/>
                      <w:bCs/>
                      <w:color w:val="auto"/>
                    </w:rPr>
                  </w:pPr>
                  <w:r>
                    <w:rPr>
                      <w:b/>
                      <w:bCs/>
                      <w:color w:val="auto"/>
                    </w:rPr>
                    <w:t>粪大肠菌群（个/L）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86" w:type="dxa"/>
                  <w:vAlign w:val="center"/>
                </w:tcPr>
                <w:p>
                  <w:pPr>
                    <w:pStyle w:val="140"/>
                    <w:rPr>
                      <w:color w:val="auto"/>
                    </w:rPr>
                  </w:pPr>
                  <w:r>
                    <w:rPr>
                      <w:color w:val="auto"/>
                    </w:rPr>
                    <w:t>Ⅲ类标准</w:t>
                  </w:r>
                </w:p>
              </w:tc>
              <w:tc>
                <w:tcPr>
                  <w:tcW w:w="952" w:type="dxa"/>
                  <w:vAlign w:val="center"/>
                </w:tcPr>
                <w:p>
                  <w:pPr>
                    <w:pStyle w:val="140"/>
                    <w:rPr>
                      <w:color w:val="auto"/>
                    </w:rPr>
                  </w:pPr>
                  <w:r>
                    <w:rPr>
                      <w:color w:val="auto"/>
                    </w:rPr>
                    <w:t>6-9</w:t>
                  </w:r>
                </w:p>
              </w:tc>
              <w:tc>
                <w:tcPr>
                  <w:tcW w:w="952" w:type="dxa"/>
                  <w:vAlign w:val="center"/>
                </w:tcPr>
                <w:p>
                  <w:pPr>
                    <w:pStyle w:val="140"/>
                    <w:rPr>
                      <w:color w:val="auto"/>
                    </w:rPr>
                  </w:pPr>
                  <w:r>
                    <w:rPr>
                      <w:color w:val="auto"/>
                    </w:rPr>
                    <w:t>≤20</w:t>
                  </w:r>
                </w:p>
              </w:tc>
              <w:tc>
                <w:tcPr>
                  <w:tcW w:w="952" w:type="dxa"/>
                  <w:vAlign w:val="center"/>
                </w:tcPr>
                <w:p>
                  <w:pPr>
                    <w:pStyle w:val="140"/>
                    <w:rPr>
                      <w:color w:val="auto"/>
                    </w:rPr>
                  </w:pPr>
                  <w:r>
                    <w:rPr>
                      <w:color w:val="auto"/>
                    </w:rPr>
                    <w:t>≤4</w:t>
                  </w:r>
                </w:p>
              </w:tc>
              <w:tc>
                <w:tcPr>
                  <w:tcW w:w="952" w:type="dxa"/>
                  <w:vAlign w:val="center"/>
                </w:tcPr>
                <w:p>
                  <w:pPr>
                    <w:pStyle w:val="140"/>
                    <w:rPr>
                      <w:color w:val="auto"/>
                    </w:rPr>
                  </w:pPr>
                  <w:r>
                    <w:rPr>
                      <w:color w:val="auto"/>
                    </w:rPr>
                    <w:t>≤1.0</w:t>
                  </w:r>
                </w:p>
              </w:tc>
              <w:tc>
                <w:tcPr>
                  <w:tcW w:w="952" w:type="dxa"/>
                  <w:vAlign w:val="center"/>
                </w:tcPr>
                <w:p>
                  <w:pPr>
                    <w:pStyle w:val="140"/>
                    <w:rPr>
                      <w:color w:val="auto"/>
                    </w:rPr>
                  </w:pPr>
                  <w:r>
                    <w:rPr>
                      <w:color w:val="auto"/>
                    </w:rPr>
                    <w:t>≤1.0</w:t>
                  </w:r>
                </w:p>
              </w:tc>
              <w:tc>
                <w:tcPr>
                  <w:tcW w:w="951" w:type="dxa"/>
                  <w:vAlign w:val="center"/>
                </w:tcPr>
                <w:p>
                  <w:pPr>
                    <w:pStyle w:val="140"/>
                    <w:rPr>
                      <w:color w:val="auto"/>
                    </w:rPr>
                  </w:pPr>
                  <w:r>
                    <w:rPr>
                      <w:color w:val="auto"/>
                    </w:rPr>
                    <w:t>≤0.2</w:t>
                  </w:r>
                </w:p>
              </w:tc>
              <w:tc>
                <w:tcPr>
                  <w:tcW w:w="951" w:type="dxa"/>
                  <w:vAlign w:val="center"/>
                </w:tcPr>
                <w:p>
                  <w:pPr>
                    <w:pStyle w:val="140"/>
                    <w:rPr>
                      <w:color w:val="auto"/>
                    </w:rPr>
                  </w:pPr>
                  <w:r>
                    <w:rPr>
                      <w:color w:val="auto"/>
                    </w:rPr>
                    <w:t>≤0.05</w:t>
                  </w:r>
                </w:p>
              </w:tc>
              <w:tc>
                <w:tcPr>
                  <w:tcW w:w="1191" w:type="dxa"/>
                  <w:vAlign w:val="center"/>
                </w:tcPr>
                <w:p>
                  <w:pPr>
                    <w:pStyle w:val="140"/>
                    <w:rPr>
                      <w:color w:val="auto"/>
                    </w:rPr>
                  </w:pPr>
                  <w:r>
                    <w:rPr>
                      <w:color w:val="auto"/>
                    </w:rPr>
                    <w:t>10000</w:t>
                  </w:r>
                </w:p>
              </w:tc>
            </w:tr>
          </w:tbl>
          <w:p>
            <w:pPr>
              <w:keepNext/>
              <w:keepLines/>
              <w:spacing w:before="156" w:beforeLines="50" w:line="360" w:lineRule="auto"/>
              <w:ind w:firstLine="482" w:firstLineChars="200"/>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3、声环境质量标准</w:t>
            </w:r>
          </w:p>
          <w:p>
            <w:pPr>
              <w:adjustRightInd w:val="0"/>
              <w:spacing w:line="360" w:lineRule="auto"/>
              <w:ind w:firstLine="468" w:firstLineChars="200"/>
              <w:rPr>
                <w:rFonts w:ascii="Times New Roman" w:hAnsi="Times New Roman" w:eastAsia="宋体" w:cs="Times New Roman"/>
                <w:snapToGrid w:val="0"/>
                <w:color w:val="auto"/>
                <w:kern w:val="0"/>
                <w:sz w:val="24"/>
                <w:szCs w:val="20"/>
              </w:rPr>
            </w:pPr>
            <w:r>
              <w:rPr>
                <w:rFonts w:ascii="Times New Roman" w:hAnsi="Times New Roman" w:eastAsia="宋体" w:cs="Times New Roman"/>
                <w:color w:val="auto"/>
                <w:spacing w:val="-3"/>
                <w:sz w:val="24"/>
              </w:rPr>
              <w:t>项目位于云南省德宏州芒市胞波路203号</w:t>
            </w:r>
            <w:r>
              <w:rPr>
                <w:rFonts w:ascii="Times New Roman" w:hAnsi="Times New Roman" w:eastAsia="宋体" w:cs="Times New Roman"/>
                <w:bCs/>
                <w:color w:val="auto"/>
                <w:sz w:val="24"/>
              </w:rPr>
              <w:t>，位于城市建成区，属于商业、交通、居住混合区，属于2类、4a类声环境功能区，项目区东面、南面、西面执行《声环境质量标准》（GB3096-2008）中2类标准。北面</w:t>
            </w:r>
            <w:r>
              <w:rPr>
                <w:rFonts w:hint="eastAsia" w:ascii="Times New Roman" w:hAnsi="Times New Roman" w:eastAsia="宋体" w:cs="Times New Roman"/>
                <w:bCs/>
                <w:color w:val="auto"/>
                <w:sz w:val="24"/>
              </w:rPr>
              <w:t>距</w:t>
            </w:r>
            <w:r>
              <w:rPr>
                <w:rFonts w:ascii="Times New Roman" w:hAnsi="Times New Roman" w:eastAsia="宋体" w:cs="Times New Roman"/>
                <w:bCs/>
                <w:color w:val="auto"/>
                <w:sz w:val="24"/>
              </w:rPr>
              <w:t>胞波路</w:t>
            </w:r>
            <w:r>
              <w:rPr>
                <w:rFonts w:hint="eastAsia" w:ascii="Times New Roman" w:hAnsi="Times New Roman" w:eastAsia="宋体" w:cs="Times New Roman"/>
                <w:bCs/>
                <w:color w:val="auto"/>
                <w:sz w:val="24"/>
              </w:rPr>
              <w:t>约2</w:t>
            </w:r>
            <w:r>
              <w:rPr>
                <w:rFonts w:ascii="Times New Roman" w:hAnsi="Times New Roman" w:eastAsia="宋体" w:cs="Times New Roman"/>
                <w:bCs/>
                <w:color w:val="auto"/>
                <w:sz w:val="24"/>
              </w:rPr>
              <w:t>0</w:t>
            </w:r>
            <w:r>
              <w:rPr>
                <w:rFonts w:hint="eastAsia" w:ascii="Times New Roman" w:hAnsi="Times New Roman" w:eastAsia="宋体" w:cs="Times New Roman"/>
                <w:bCs/>
                <w:color w:val="auto"/>
                <w:sz w:val="24"/>
              </w:rPr>
              <w:t>m，</w:t>
            </w:r>
            <w:r>
              <w:rPr>
                <w:rFonts w:ascii="Times New Roman" w:hAnsi="Times New Roman" w:eastAsia="宋体" w:cs="Times New Roman"/>
                <w:bCs/>
                <w:color w:val="auto"/>
                <w:sz w:val="24"/>
              </w:rPr>
              <w:t>胞波路一侧35</w:t>
            </w:r>
            <w:r>
              <w:rPr>
                <w:rFonts w:hint="eastAsia" w:ascii="Times New Roman" w:hAnsi="Times New Roman" w:eastAsia="宋体" w:cs="Times New Roman"/>
                <w:bCs/>
                <w:color w:val="auto"/>
                <w:sz w:val="24"/>
              </w:rPr>
              <w:t>±</w:t>
            </w:r>
            <w:r>
              <w:rPr>
                <w:rFonts w:ascii="Times New Roman" w:hAnsi="Times New Roman" w:eastAsia="宋体" w:cs="Times New Roman"/>
                <w:bCs/>
                <w:color w:val="auto"/>
                <w:sz w:val="24"/>
              </w:rPr>
              <w:t>5m范围内执行《声环境质量标准》（GB3096-2008）4a 类标准。</w:t>
            </w:r>
            <w:r>
              <w:rPr>
                <w:rFonts w:ascii="Times New Roman" w:hAnsi="Times New Roman" w:eastAsia="宋体" w:cs="Times New Roman"/>
                <w:snapToGrid w:val="0"/>
                <w:color w:val="auto"/>
                <w:kern w:val="0"/>
                <w:sz w:val="24"/>
                <w:szCs w:val="20"/>
              </w:rPr>
              <w:t>标准值见表4-3。</w:t>
            </w:r>
          </w:p>
          <w:p>
            <w:pPr>
              <w:jc w:val="center"/>
              <w:rPr>
                <w:rFonts w:ascii="Times New Roman" w:hAnsi="Times New Roman" w:eastAsia="宋体" w:cs="Times New Roman"/>
                <w:b/>
                <w:color w:val="auto"/>
                <w:sz w:val="24"/>
                <w:szCs w:val="21"/>
                <w:lang w:val="zh-CN"/>
              </w:rPr>
            </w:pPr>
            <w:r>
              <w:rPr>
                <w:rFonts w:ascii="Times New Roman" w:hAnsi="Times New Roman" w:eastAsia="宋体" w:cs="Times New Roman"/>
                <w:b/>
                <w:color w:val="auto"/>
                <w:sz w:val="24"/>
                <w:lang w:val="zh-CN"/>
              </w:rPr>
              <w:t xml:space="preserve">表4-3  声环境质量标准限值  </w:t>
            </w:r>
            <w:r>
              <w:rPr>
                <w:rFonts w:ascii="Times New Roman" w:hAnsi="Times New Roman" w:eastAsia="宋体" w:cs="Times New Roman"/>
                <w:b/>
                <w:color w:val="auto"/>
                <w:sz w:val="24"/>
                <w:szCs w:val="21"/>
                <w:lang w:val="zh-CN"/>
              </w:rPr>
              <w:t>单位：dB(A)</w:t>
            </w:r>
          </w:p>
          <w:tbl>
            <w:tblPr>
              <w:tblStyle w:val="39"/>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5"/>
              <w:gridCol w:w="3011"/>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5" w:type="dxa"/>
                  <w:vMerge w:val="restart"/>
                  <w:vAlign w:val="center"/>
                </w:tcPr>
                <w:p>
                  <w:pPr>
                    <w:jc w:val="center"/>
                    <w:rPr>
                      <w:rFonts w:ascii="Times New Roman" w:hAnsi="Times New Roman" w:eastAsia="宋体" w:cs="Times New Roman"/>
                      <w:b/>
                      <w:color w:val="auto"/>
                      <w:szCs w:val="22"/>
                      <w:lang w:val="zh-CN"/>
                    </w:rPr>
                  </w:pPr>
                  <w:r>
                    <w:rPr>
                      <w:rFonts w:ascii="Times New Roman" w:hAnsi="Times New Roman" w:eastAsia="宋体" w:cs="Times New Roman"/>
                      <w:b/>
                      <w:color w:val="auto"/>
                      <w:szCs w:val="22"/>
                      <w:lang w:val="zh-CN"/>
                    </w:rPr>
                    <w:t>声环境功能区类</w:t>
                  </w:r>
                </w:p>
              </w:tc>
              <w:tc>
                <w:tcPr>
                  <w:tcW w:w="5890" w:type="dxa"/>
                  <w:gridSpan w:val="2"/>
                  <w:vAlign w:val="center"/>
                </w:tcPr>
                <w:p>
                  <w:pPr>
                    <w:jc w:val="center"/>
                    <w:rPr>
                      <w:rFonts w:ascii="Times New Roman" w:hAnsi="Times New Roman" w:eastAsia="宋体" w:cs="Times New Roman"/>
                      <w:b/>
                      <w:color w:val="auto"/>
                      <w:szCs w:val="22"/>
                      <w:lang w:val="zh-CN"/>
                    </w:rPr>
                  </w:pPr>
                  <w:r>
                    <w:rPr>
                      <w:rFonts w:ascii="Times New Roman" w:hAnsi="Times New Roman" w:eastAsia="宋体" w:cs="Times New Roman"/>
                      <w:b/>
                      <w:color w:val="auto"/>
                      <w:szCs w:val="22"/>
                      <w:lang w:val="zh-CN"/>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5" w:type="dxa"/>
                  <w:vMerge w:val="continue"/>
                  <w:vAlign w:val="center"/>
                </w:tcPr>
                <w:p>
                  <w:pPr>
                    <w:jc w:val="center"/>
                    <w:rPr>
                      <w:rFonts w:ascii="Times New Roman" w:hAnsi="Times New Roman" w:eastAsia="宋体" w:cs="Times New Roman"/>
                      <w:b/>
                      <w:color w:val="auto"/>
                      <w:szCs w:val="22"/>
                      <w:lang w:val="zh-CN"/>
                    </w:rPr>
                  </w:pPr>
                </w:p>
              </w:tc>
              <w:tc>
                <w:tcPr>
                  <w:tcW w:w="3011" w:type="dxa"/>
                  <w:vAlign w:val="center"/>
                </w:tcPr>
                <w:p>
                  <w:pPr>
                    <w:jc w:val="center"/>
                    <w:rPr>
                      <w:rFonts w:ascii="Times New Roman" w:hAnsi="Times New Roman" w:eastAsia="宋体" w:cs="Times New Roman"/>
                      <w:color w:val="auto"/>
                      <w:szCs w:val="22"/>
                      <w:lang w:val="zh-CN"/>
                    </w:rPr>
                  </w:pPr>
                  <w:r>
                    <w:rPr>
                      <w:rFonts w:ascii="Times New Roman" w:hAnsi="Times New Roman" w:eastAsia="宋体" w:cs="Times New Roman"/>
                      <w:color w:val="auto"/>
                      <w:szCs w:val="22"/>
                      <w:lang w:val="zh-CN"/>
                    </w:rPr>
                    <w:t>昼间</w:t>
                  </w:r>
                </w:p>
              </w:tc>
              <w:tc>
                <w:tcPr>
                  <w:tcW w:w="2879" w:type="dxa"/>
                  <w:vAlign w:val="center"/>
                </w:tcPr>
                <w:p>
                  <w:pPr>
                    <w:jc w:val="center"/>
                    <w:rPr>
                      <w:rFonts w:ascii="Times New Roman" w:hAnsi="Times New Roman" w:eastAsia="宋体" w:cs="Times New Roman"/>
                      <w:color w:val="auto"/>
                      <w:szCs w:val="22"/>
                      <w:lang w:val="zh-CN"/>
                    </w:rPr>
                  </w:pPr>
                  <w:r>
                    <w:rPr>
                      <w:rFonts w:ascii="Times New Roman" w:hAnsi="Times New Roman" w:eastAsia="宋体" w:cs="Times New Roman"/>
                      <w:color w:val="auto"/>
                      <w:szCs w:val="22"/>
                      <w:lang w:val="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5" w:type="dxa"/>
                  <w:vAlign w:val="center"/>
                </w:tcPr>
                <w:p>
                  <w:pPr>
                    <w:jc w:val="center"/>
                    <w:rPr>
                      <w:rFonts w:ascii="Times New Roman" w:hAnsi="Times New Roman" w:eastAsia="宋体" w:cs="Times New Roman"/>
                      <w:color w:val="auto"/>
                      <w:szCs w:val="18"/>
                      <w:lang w:val="zh-CN"/>
                    </w:rPr>
                  </w:pPr>
                  <w:r>
                    <w:rPr>
                      <w:rFonts w:ascii="Times New Roman" w:hAnsi="Times New Roman" w:eastAsia="宋体" w:cs="Times New Roman"/>
                      <w:color w:val="auto"/>
                      <w:szCs w:val="18"/>
                    </w:rPr>
                    <w:t>2</w:t>
                  </w:r>
                  <w:r>
                    <w:rPr>
                      <w:rFonts w:ascii="Times New Roman" w:hAnsi="Times New Roman" w:eastAsia="宋体" w:cs="Times New Roman"/>
                      <w:color w:val="auto"/>
                      <w:szCs w:val="18"/>
                      <w:lang w:val="zh-CN"/>
                    </w:rPr>
                    <w:t>类</w:t>
                  </w:r>
                </w:p>
              </w:tc>
              <w:tc>
                <w:tcPr>
                  <w:tcW w:w="3011" w:type="dxa"/>
                  <w:vAlign w:val="center"/>
                </w:tcPr>
                <w:p>
                  <w:pPr>
                    <w:jc w:val="center"/>
                    <w:rPr>
                      <w:rFonts w:ascii="Times New Roman" w:hAnsi="Times New Roman" w:eastAsia="宋体" w:cs="Times New Roman"/>
                      <w:color w:val="auto"/>
                      <w:szCs w:val="18"/>
                      <w:lang w:val="zh-CN"/>
                    </w:rPr>
                  </w:pPr>
                  <w:r>
                    <w:rPr>
                      <w:rFonts w:ascii="Times New Roman" w:hAnsi="Times New Roman" w:eastAsia="宋体" w:cs="Times New Roman"/>
                      <w:color w:val="auto"/>
                      <w:szCs w:val="18"/>
                      <w:lang w:val="zh-CN"/>
                    </w:rPr>
                    <w:t>60</w:t>
                  </w:r>
                </w:p>
              </w:tc>
              <w:tc>
                <w:tcPr>
                  <w:tcW w:w="2879" w:type="dxa"/>
                  <w:vAlign w:val="center"/>
                </w:tcPr>
                <w:p>
                  <w:pPr>
                    <w:jc w:val="center"/>
                    <w:rPr>
                      <w:rFonts w:ascii="Times New Roman" w:hAnsi="Times New Roman" w:eastAsia="宋体" w:cs="Times New Roman"/>
                      <w:color w:val="auto"/>
                      <w:szCs w:val="18"/>
                      <w:lang w:val="zh-CN"/>
                    </w:rPr>
                  </w:pPr>
                  <w:r>
                    <w:rPr>
                      <w:rFonts w:ascii="Times New Roman" w:hAnsi="Times New Roman" w:eastAsia="宋体" w:cs="Times New Roman"/>
                      <w:color w:val="auto"/>
                      <w:szCs w:val="18"/>
                      <w:lang w:val="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5" w:type="dxa"/>
                  <w:vAlign w:val="center"/>
                </w:tcPr>
                <w:p>
                  <w:pPr>
                    <w:jc w:val="center"/>
                    <w:rPr>
                      <w:rFonts w:ascii="Times New Roman" w:hAnsi="Times New Roman" w:eastAsia="宋体" w:cs="Times New Roman"/>
                      <w:color w:val="auto"/>
                      <w:szCs w:val="18"/>
                    </w:rPr>
                  </w:pPr>
                  <w:r>
                    <w:rPr>
                      <w:rFonts w:ascii="Times New Roman" w:hAnsi="Times New Roman" w:eastAsia="宋体" w:cs="Times New Roman"/>
                      <w:color w:val="auto"/>
                      <w:szCs w:val="18"/>
                    </w:rPr>
                    <w:t>4a类</w:t>
                  </w:r>
                </w:p>
              </w:tc>
              <w:tc>
                <w:tcPr>
                  <w:tcW w:w="3011" w:type="dxa"/>
                  <w:vAlign w:val="center"/>
                </w:tcPr>
                <w:p>
                  <w:pPr>
                    <w:jc w:val="center"/>
                    <w:rPr>
                      <w:rFonts w:ascii="Times New Roman" w:hAnsi="Times New Roman" w:eastAsia="宋体" w:cs="Times New Roman"/>
                      <w:color w:val="auto"/>
                      <w:szCs w:val="18"/>
                      <w:lang w:val="zh-CN"/>
                    </w:rPr>
                  </w:pPr>
                  <w:r>
                    <w:rPr>
                      <w:rFonts w:ascii="Times New Roman" w:hAnsi="Times New Roman" w:eastAsia="宋体" w:cs="Times New Roman"/>
                      <w:color w:val="auto"/>
                      <w:szCs w:val="18"/>
                      <w:lang w:val="zh-CN"/>
                    </w:rPr>
                    <w:t>70</w:t>
                  </w:r>
                </w:p>
              </w:tc>
              <w:tc>
                <w:tcPr>
                  <w:tcW w:w="2879" w:type="dxa"/>
                  <w:vAlign w:val="center"/>
                </w:tcPr>
                <w:p>
                  <w:pPr>
                    <w:jc w:val="center"/>
                    <w:rPr>
                      <w:rFonts w:ascii="Times New Roman" w:hAnsi="Times New Roman" w:eastAsia="宋体" w:cs="Times New Roman"/>
                      <w:color w:val="auto"/>
                      <w:szCs w:val="18"/>
                      <w:lang w:val="zh-CN"/>
                    </w:rPr>
                  </w:pPr>
                  <w:r>
                    <w:rPr>
                      <w:rFonts w:ascii="Times New Roman" w:hAnsi="Times New Roman" w:eastAsia="宋体" w:cs="Times New Roman"/>
                      <w:color w:val="auto"/>
                      <w:szCs w:val="18"/>
                      <w:lang w:val="zh-CN"/>
                    </w:rPr>
                    <w:t>55</w:t>
                  </w:r>
                </w:p>
              </w:tc>
            </w:tr>
          </w:tbl>
          <w:p>
            <w:pPr>
              <w:pStyle w:val="2"/>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imes New Roman" w:hAnsi="Times New Roman" w:eastAsia="宋体" w:cs="Times New Roman"/>
                <w:b/>
                <w:color w:val="auto"/>
                <w:sz w:val="24"/>
                <w:szCs w:val="20"/>
              </w:rPr>
            </w:pPr>
            <w:bookmarkStart w:id="6" w:name="_Toc339549164"/>
            <w:r>
              <w:rPr>
                <w:rFonts w:ascii="Times New Roman" w:hAnsi="Times New Roman" w:eastAsia="宋体" w:cs="Times New Roman"/>
                <w:b/>
                <w:color w:val="auto"/>
                <w:sz w:val="24"/>
                <w:szCs w:val="20"/>
              </w:rPr>
              <w:t>污染物排放标准</w:t>
            </w:r>
          </w:p>
        </w:tc>
        <w:tc>
          <w:tcPr>
            <w:tcW w:w="9171" w:type="dxa"/>
            <w:tcBorders>
              <w:top w:val="single" w:color="auto" w:sz="4" w:space="0"/>
              <w:left w:val="single" w:color="auto" w:sz="4" w:space="0"/>
              <w:bottom w:val="single" w:color="auto" w:sz="4" w:space="0"/>
              <w:right w:val="single" w:color="auto" w:sz="4" w:space="0"/>
            </w:tcBorders>
          </w:tcPr>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1、废气</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（1）焊接烟尘、打磨粉尘排放执行GB16297-1996《大气污染物综合排放标准》表2二级标准。无组织排放浓度限值≤1.0mg/m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w:t>
            </w:r>
          </w:p>
          <w:p>
            <w:pPr>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（2）喷烤漆房废气</w:t>
            </w:r>
          </w:p>
          <w:p>
            <w:pPr>
              <w:spacing w:line="360" w:lineRule="auto"/>
              <w:ind w:firstLine="480" w:firstLineChars="200"/>
              <w:rPr>
                <w:rFonts w:ascii="Times New Roman" w:hAnsi="Times New Roman" w:eastAsia="宋体" w:cs="Times New Roman"/>
                <w:color w:val="auto"/>
                <w:sz w:val="24"/>
                <w:szCs w:val="30"/>
              </w:rPr>
            </w:pPr>
            <w:r>
              <w:rPr>
                <w:rFonts w:ascii="Times New Roman" w:hAnsi="Times New Roman" w:eastAsia="宋体" w:cs="Times New Roman"/>
                <w:color w:val="auto"/>
                <w:sz w:val="24"/>
              </w:rPr>
              <w:t>喷烤漆房位于项目区西南侧，共1间，喷烤漆房安装有废气抽排净化系统，喷漆和烤漆过程中产生的废气通过</w:t>
            </w:r>
            <w:r>
              <w:rPr>
                <w:rFonts w:ascii="Times New Roman" w:hAnsi="Times New Roman" w:eastAsia="宋体" w:cs="Times New Roman"/>
                <w:b/>
                <w:color w:val="auto"/>
                <w:sz w:val="24"/>
              </w:rPr>
              <w:t>过滤棉+UV光氧催化+活性炭吸收</w:t>
            </w:r>
            <w:r>
              <w:rPr>
                <w:rFonts w:ascii="Times New Roman" w:hAnsi="Times New Roman" w:eastAsia="宋体" w:cs="Times New Roman"/>
                <w:color w:val="auto"/>
                <w:sz w:val="24"/>
              </w:rPr>
              <w:t>处理后通过15m高的排气筒排放。喷烤漆房在喷漆和烤漆过程中产生的废气主要为损失的油漆形成的漆雾和挥发的有机废气，有机废气中主要的有害成分为二甲苯、VOC</w:t>
            </w:r>
            <w:r>
              <w:rPr>
                <w:rFonts w:hint="eastAsia" w:ascii="Times New Roman" w:hAnsi="Times New Roman" w:eastAsia="宋体" w:cs="Times New Roman"/>
                <w:color w:val="auto"/>
                <w:sz w:val="24"/>
              </w:rPr>
              <w:t>s</w:t>
            </w:r>
            <w:r>
              <w:rPr>
                <w:rFonts w:ascii="Times New Roman" w:hAnsi="Times New Roman" w:eastAsia="宋体" w:cs="Times New Roman"/>
                <w:color w:val="auto"/>
                <w:sz w:val="24"/>
              </w:rPr>
              <w:t>。漆雾（颗粒物）、二甲苯</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VOCs排放执行</w:t>
            </w:r>
            <w:r>
              <w:rPr>
                <w:rFonts w:ascii="Times New Roman" w:hAnsi="Times New Roman" w:eastAsia="宋体" w:cs="Times New Roman"/>
                <w:color w:val="auto"/>
                <w:sz w:val="24"/>
                <w:lang w:bidi="ar"/>
              </w:rPr>
              <w:t>《大气污染物综合排放标准》（GB16297-1996）表2中新污染源</w:t>
            </w:r>
            <w:commentRangeStart w:id="1"/>
            <w:r>
              <w:rPr>
                <w:rFonts w:ascii="Times New Roman" w:hAnsi="Times New Roman" w:eastAsia="宋体" w:cs="Times New Roman"/>
                <w:color w:val="auto"/>
                <w:sz w:val="24"/>
                <w:lang w:bidi="ar"/>
              </w:rPr>
              <w:t>二级标准限值</w:t>
            </w:r>
            <w:commentRangeEnd w:id="1"/>
            <w:r>
              <w:rPr>
                <w:color w:val="auto"/>
              </w:rPr>
              <w:commentReference w:id="1"/>
            </w:r>
            <w:r>
              <w:rPr>
                <w:rFonts w:ascii="Times New Roman" w:hAnsi="Times New Roman" w:eastAsia="宋体" w:cs="Times New Roman"/>
                <w:color w:val="auto"/>
                <w:sz w:val="24"/>
                <w:szCs w:val="30"/>
              </w:rPr>
              <w:t>。</w:t>
            </w:r>
          </w:p>
          <w:p>
            <w:pPr>
              <w:spacing w:line="360" w:lineRule="auto"/>
              <w:ind w:firstLine="480" w:firstLineChars="200"/>
              <w:rPr>
                <w:rFonts w:ascii="Times New Roman" w:hAnsi="Times New Roman" w:eastAsia="宋体" w:cs="Times New Roman"/>
                <w:color w:val="auto"/>
                <w:sz w:val="24"/>
                <w:szCs w:val="30"/>
              </w:rPr>
            </w:pPr>
            <w:r>
              <w:rPr>
                <w:rFonts w:ascii="Times New Roman" w:hAnsi="Times New Roman" w:eastAsia="宋体" w:cs="Times New Roman"/>
                <w:color w:val="auto"/>
                <w:sz w:val="24"/>
              </w:rPr>
              <w:t>本项目排气筒高度为15m，详细标准值见表4-4。</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表4-4  项目有组织排放监测限值</w:t>
            </w:r>
          </w:p>
          <w:tbl>
            <w:tblPr>
              <w:tblStyle w:val="39"/>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51"/>
              <w:gridCol w:w="2383"/>
              <w:gridCol w:w="2385"/>
              <w:gridCol w:w="948"/>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8"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b/>
                      <w:color w:val="auto"/>
                      <w:sz w:val="21"/>
                      <w:szCs w:val="21"/>
                    </w:rPr>
                  </w:pPr>
                  <w:r>
                    <w:rPr>
                      <w:b/>
                      <w:color w:val="auto"/>
                      <w:sz w:val="21"/>
                      <w:szCs w:val="21"/>
                    </w:rPr>
                    <w:t>有组织排放监测限值</w:t>
                  </w:r>
                </w:p>
              </w:tc>
              <w:tc>
                <w:tcPr>
                  <w:tcW w:w="2382" w:type="dxa"/>
                  <w:gridSpan w:val="2"/>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b/>
                      <w:color w:val="auto"/>
                      <w:sz w:val="21"/>
                      <w:szCs w:val="21"/>
                    </w:rPr>
                  </w:pPr>
                  <w:r>
                    <w:rPr>
                      <w:b/>
                      <w:color w:val="auto"/>
                      <w:sz w:val="21"/>
                      <w:szCs w:val="21"/>
                    </w:rPr>
                    <w:t>无组织排放监测限值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污染物</w:t>
                  </w:r>
                </w:p>
              </w:tc>
              <w:tc>
                <w:tcPr>
                  <w:tcW w:w="105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最高允许排放浓度（mg/m</w:t>
                  </w:r>
                  <w:r>
                    <w:rPr>
                      <w:color w:val="auto"/>
                      <w:sz w:val="21"/>
                      <w:szCs w:val="21"/>
                      <w:vertAlign w:val="superscript"/>
                    </w:rPr>
                    <w:t>3</w:t>
                  </w:r>
                  <w:r>
                    <w:rPr>
                      <w:color w:val="auto"/>
                      <w:sz w:val="21"/>
                      <w:szCs w:val="21"/>
                    </w:rPr>
                    <w:t>）</w:t>
                  </w:r>
                </w:p>
              </w:tc>
              <w:tc>
                <w:tcPr>
                  <w:tcW w:w="476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最高允许排放速率（kg/h）</w:t>
                  </w:r>
                </w:p>
              </w:tc>
              <w:tc>
                <w:tcPr>
                  <w:tcW w:w="2382" w:type="dxa"/>
                  <w:gridSpan w:val="2"/>
                  <w:vMerge w:val="continue"/>
                  <w:tcBorders>
                    <w:left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9" w:type="dxa"/>
                  <w:vMerge w:val="continue"/>
                  <w:tcBorders>
                    <w:left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p>
              </w:tc>
              <w:tc>
                <w:tcPr>
                  <w:tcW w:w="1051" w:type="dxa"/>
                  <w:vMerge w:val="continue"/>
                  <w:tcBorders>
                    <w:left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p>
              </w:tc>
              <w:tc>
                <w:tcPr>
                  <w:tcW w:w="476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标准限值</w:t>
                  </w:r>
                </w:p>
              </w:tc>
              <w:tc>
                <w:tcPr>
                  <w:tcW w:w="2382" w:type="dxa"/>
                  <w:gridSpan w:val="2"/>
                  <w:vMerge w:val="continue"/>
                  <w:tcBorders>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p>
              </w:tc>
              <w:tc>
                <w:tcPr>
                  <w:tcW w:w="105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p>
              </w:tc>
              <w:tc>
                <w:tcPr>
                  <w:tcW w:w="23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排气筒高度（m）</w:t>
                  </w:r>
                </w:p>
              </w:tc>
              <w:tc>
                <w:tcPr>
                  <w:tcW w:w="23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二级</w:t>
                  </w:r>
                </w:p>
              </w:tc>
              <w:tc>
                <w:tcPr>
                  <w:tcW w:w="94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lang w:val="en-US"/>
                    </w:rPr>
                    <w:t>监控点</w:t>
                  </w:r>
                </w:p>
              </w:tc>
              <w:tc>
                <w:tcPr>
                  <w:tcW w:w="14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浓度（mg/m</w:t>
                  </w:r>
                  <w:r>
                    <w:rPr>
                      <w:color w:val="auto"/>
                      <w:sz w:val="21"/>
                      <w:szCs w:val="21"/>
                      <w:vertAlign w:val="superscript"/>
                    </w:rPr>
                    <w:t>3</w:t>
                  </w: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颗粒物</w:t>
                  </w:r>
                </w:p>
              </w:tc>
              <w:tc>
                <w:tcPr>
                  <w:tcW w:w="105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120</w:t>
                  </w:r>
                </w:p>
              </w:tc>
              <w:tc>
                <w:tcPr>
                  <w:tcW w:w="23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15</w:t>
                  </w:r>
                </w:p>
              </w:tc>
              <w:tc>
                <w:tcPr>
                  <w:tcW w:w="23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3.5</w:t>
                  </w:r>
                </w:p>
              </w:tc>
              <w:tc>
                <w:tcPr>
                  <w:tcW w:w="948"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lang w:val="en-US"/>
                    </w:rPr>
                    <w:t>周界外浓度最高点</w:t>
                  </w:r>
                </w:p>
              </w:tc>
              <w:tc>
                <w:tcPr>
                  <w:tcW w:w="14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lang w:val="en-US"/>
                    </w:rPr>
                  </w:pPr>
                  <w:r>
                    <w:rPr>
                      <w:color w:val="auto"/>
                      <w:sz w:val="21"/>
                      <w:szCs w:val="21"/>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二甲苯</w:t>
                  </w:r>
                </w:p>
              </w:tc>
              <w:tc>
                <w:tcPr>
                  <w:tcW w:w="105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70</w:t>
                  </w:r>
                </w:p>
              </w:tc>
              <w:tc>
                <w:tcPr>
                  <w:tcW w:w="23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15</w:t>
                  </w:r>
                </w:p>
              </w:tc>
              <w:tc>
                <w:tcPr>
                  <w:tcW w:w="23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bCs/>
                      <w:color w:val="auto"/>
                      <w:sz w:val="21"/>
                      <w:szCs w:val="21"/>
                    </w:rPr>
                  </w:pPr>
                  <w:r>
                    <w:rPr>
                      <w:color w:val="auto"/>
                      <w:sz w:val="21"/>
                      <w:szCs w:val="21"/>
                    </w:rPr>
                    <w:t>1.0</w:t>
                  </w:r>
                </w:p>
              </w:tc>
              <w:tc>
                <w:tcPr>
                  <w:tcW w:w="948" w:type="dxa"/>
                  <w:vMerge w:val="continue"/>
                  <w:tcBorders>
                    <w:left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lang w:val="en-US"/>
                    </w:rPr>
                  </w:pPr>
                </w:p>
              </w:tc>
              <w:tc>
                <w:tcPr>
                  <w:tcW w:w="14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VOC</w:t>
                  </w:r>
                  <w:r>
                    <w:rPr>
                      <w:rFonts w:hint="eastAsia"/>
                      <w:color w:val="auto"/>
                      <w:sz w:val="21"/>
                      <w:szCs w:val="21"/>
                    </w:rPr>
                    <w:t>s</w:t>
                  </w:r>
                </w:p>
              </w:tc>
              <w:tc>
                <w:tcPr>
                  <w:tcW w:w="1051" w:type="dxa"/>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120</w:t>
                  </w:r>
                </w:p>
              </w:tc>
              <w:tc>
                <w:tcPr>
                  <w:tcW w:w="2383" w:type="dxa"/>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15</w:t>
                  </w:r>
                </w:p>
              </w:tc>
              <w:tc>
                <w:tcPr>
                  <w:tcW w:w="2385" w:type="dxa"/>
                  <w:tcBorders>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10</w:t>
                  </w:r>
                </w:p>
              </w:tc>
              <w:tc>
                <w:tcPr>
                  <w:tcW w:w="948" w:type="dxa"/>
                  <w:vMerge w:val="continue"/>
                  <w:tcBorders>
                    <w:left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420"/>
                    <w:rPr>
                      <w:color w:val="auto"/>
                      <w:sz w:val="21"/>
                      <w:szCs w:val="21"/>
                      <w:lang w:val="en-US"/>
                    </w:rPr>
                  </w:pPr>
                </w:p>
              </w:tc>
              <w:tc>
                <w:tcPr>
                  <w:tcW w:w="1434" w:type="dxa"/>
                  <w:tcBorders>
                    <w:lef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lang w:val="en-US"/>
                    </w:rPr>
                  </w:pPr>
                  <w:r>
                    <w:rPr>
                      <w:color w:val="auto"/>
                      <w:sz w:val="21"/>
                      <w:szCs w:val="21"/>
                      <w:lang w:val="en-US"/>
                    </w:rPr>
                    <w:t>4.0</w:t>
                  </w:r>
                </w:p>
              </w:tc>
            </w:tr>
          </w:tbl>
          <w:p>
            <w:pPr>
              <w:pStyle w:val="136"/>
              <w:adjustRightInd w:val="0"/>
              <w:spacing w:before="156" w:beforeLines="50"/>
              <w:ind w:firstLine="496" w:firstLineChars="200"/>
              <w:jc w:val="both"/>
              <w:textAlignment w:val="baseline"/>
              <w:rPr>
                <w:rFonts w:ascii="Times New Roman" w:hAnsi="Times New Roman" w:eastAsia="宋体" w:cs="Times New Roman"/>
                <w:color w:val="auto"/>
                <w:sz w:val="24"/>
              </w:rPr>
            </w:pPr>
            <w:r>
              <w:rPr>
                <w:rFonts w:ascii="Times New Roman" w:hAnsi="Times New Roman" w:eastAsia="宋体" w:cs="Times New Roman"/>
                <w:color w:val="auto"/>
                <w:kern w:val="2"/>
                <w:sz w:val="24"/>
                <w:szCs w:val="30"/>
              </w:rPr>
              <w:t>厂区内NMHC无组织排放执行《挥发性有机污染物无组织排放标准》（GB 37822-2019）表A.1中的无组织排放监控浓度限值要求。</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 xml:space="preserve">表4-5  </w:t>
            </w:r>
            <w:r>
              <w:rPr>
                <w:rFonts w:ascii="Times New Roman" w:hAnsi="Times New Roman" w:eastAsia="宋体" w:cs="Times New Roman"/>
                <w:b/>
                <w:bCs/>
                <w:color w:val="auto"/>
                <w:sz w:val="24"/>
                <w:szCs w:val="30"/>
              </w:rPr>
              <w:t>挥发性有机污染物无组织排放标准  单位：mg/m</w:t>
            </w:r>
            <w:r>
              <w:rPr>
                <w:rFonts w:ascii="Times New Roman" w:hAnsi="Times New Roman" w:eastAsia="宋体" w:cs="Times New Roman"/>
                <w:b/>
                <w:bCs/>
                <w:color w:val="auto"/>
                <w:sz w:val="24"/>
                <w:szCs w:val="30"/>
                <w:vertAlign w:val="superscript"/>
              </w:rPr>
              <w:t>3</w:t>
            </w:r>
          </w:p>
          <w:tbl>
            <w:tblPr>
              <w:tblStyle w:val="40"/>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710"/>
              <w:gridCol w:w="2595"/>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污染物项目</w:t>
                  </w:r>
                </w:p>
              </w:tc>
              <w:tc>
                <w:tcPr>
                  <w:tcW w:w="1710"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排放限值</w:t>
                  </w:r>
                </w:p>
              </w:tc>
              <w:tc>
                <w:tcPr>
                  <w:tcW w:w="2595"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限值含义</w:t>
                  </w:r>
                </w:p>
              </w:tc>
              <w:tc>
                <w:tcPr>
                  <w:tcW w:w="2728"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restart"/>
                  <w:vAlign w:val="center"/>
                </w:tcPr>
                <w:p>
                  <w:pPr>
                    <w:adjustRightInd w:val="0"/>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NMHC</w:t>
                  </w:r>
                </w:p>
              </w:tc>
              <w:tc>
                <w:tcPr>
                  <w:tcW w:w="1710" w:type="dxa"/>
                  <w:vAlign w:val="center"/>
                </w:tcPr>
                <w:p>
                  <w:pPr>
                    <w:adjustRightInd w:val="0"/>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10</w:t>
                  </w:r>
                </w:p>
              </w:tc>
              <w:tc>
                <w:tcPr>
                  <w:tcW w:w="2595" w:type="dxa"/>
                  <w:vAlign w:val="center"/>
                </w:tcPr>
                <w:p>
                  <w:pPr>
                    <w:adjustRightInd w:val="0"/>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监控点处1h平均浓度值</w:t>
                  </w:r>
                </w:p>
              </w:tc>
              <w:tc>
                <w:tcPr>
                  <w:tcW w:w="2728" w:type="dxa"/>
                  <w:vMerge w:val="restart"/>
                  <w:vAlign w:val="center"/>
                </w:tcPr>
                <w:p>
                  <w:pPr>
                    <w:adjustRightInd w:val="0"/>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adjustRightInd w:val="0"/>
                    <w:snapToGrid w:val="0"/>
                    <w:jc w:val="center"/>
                    <w:rPr>
                      <w:rFonts w:ascii="Times New Roman" w:hAnsi="Times New Roman" w:eastAsia="宋体" w:cs="Times New Roman"/>
                      <w:bCs/>
                      <w:color w:val="auto"/>
                      <w:szCs w:val="21"/>
                    </w:rPr>
                  </w:pPr>
                </w:p>
              </w:tc>
              <w:tc>
                <w:tcPr>
                  <w:tcW w:w="1710" w:type="dxa"/>
                  <w:vAlign w:val="center"/>
                </w:tcPr>
                <w:p>
                  <w:pPr>
                    <w:adjustRightInd w:val="0"/>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30</w:t>
                  </w:r>
                </w:p>
              </w:tc>
              <w:tc>
                <w:tcPr>
                  <w:tcW w:w="2595" w:type="dxa"/>
                  <w:vAlign w:val="center"/>
                </w:tcPr>
                <w:p>
                  <w:pPr>
                    <w:adjustRightInd w:val="0"/>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监控点处任意一次浓度值</w:t>
                  </w:r>
                </w:p>
              </w:tc>
              <w:tc>
                <w:tcPr>
                  <w:tcW w:w="2728" w:type="dxa"/>
                  <w:vMerge w:val="continue"/>
                  <w:vAlign w:val="center"/>
                </w:tcPr>
                <w:p>
                  <w:pPr>
                    <w:adjustRightInd w:val="0"/>
                    <w:snapToGrid w:val="0"/>
                    <w:jc w:val="center"/>
                    <w:rPr>
                      <w:rFonts w:ascii="Times New Roman" w:hAnsi="Times New Roman" w:eastAsia="宋体" w:cs="Times New Roman"/>
                      <w:bCs/>
                      <w:color w:val="auto"/>
                      <w:szCs w:val="21"/>
                    </w:rPr>
                  </w:pPr>
                </w:p>
              </w:tc>
            </w:tr>
          </w:tbl>
          <w:p>
            <w:pPr>
              <w:pStyle w:val="196"/>
              <w:spacing w:before="156"/>
              <w:ind w:firstLine="482"/>
              <w:jc w:val="both"/>
              <w:rPr>
                <w:bCs/>
                <w:color w:val="auto"/>
              </w:rPr>
            </w:pPr>
            <w:r>
              <w:rPr>
                <w:bCs/>
                <w:color w:val="auto"/>
              </w:rPr>
              <w:t>2、废水污染物排放标准</w:t>
            </w:r>
          </w:p>
          <w:p>
            <w:pPr>
              <w:pStyle w:val="196"/>
              <w:spacing w:before="0" w:beforeLines="0"/>
              <w:ind w:firstLine="480"/>
              <w:jc w:val="both"/>
              <w:rPr>
                <w:b w:val="0"/>
                <w:color w:val="auto"/>
              </w:rPr>
            </w:pPr>
            <w:r>
              <w:rPr>
                <w:b w:val="0"/>
                <w:bCs/>
                <w:color w:val="auto"/>
              </w:rPr>
              <w:t>本项目</w:t>
            </w:r>
            <w:r>
              <w:rPr>
                <w:rFonts w:hint="eastAsia"/>
                <w:b w:val="0"/>
                <w:bCs/>
                <w:color w:val="auto"/>
              </w:rPr>
              <w:t>不涉及洗车服务，无生产废水产生；生活废水经化粪池处理后定期委托环卫部门清运，不外排。故不设排放标准。</w:t>
            </w:r>
          </w:p>
          <w:p>
            <w:pPr>
              <w:pStyle w:val="196"/>
              <w:spacing w:before="0" w:beforeLines="0"/>
              <w:ind w:firstLine="482"/>
              <w:jc w:val="both"/>
              <w:rPr>
                <w:bCs/>
                <w:color w:val="auto"/>
              </w:rPr>
            </w:pPr>
            <w:r>
              <w:rPr>
                <w:bCs/>
                <w:color w:val="auto"/>
              </w:rPr>
              <w:t>3、噪声</w:t>
            </w:r>
          </w:p>
          <w:p>
            <w:pPr>
              <w:pStyle w:val="35"/>
              <w:spacing w:before="0" w:after="0" w:line="360" w:lineRule="auto"/>
              <w:ind w:firstLine="480" w:firstLineChars="200"/>
              <w:jc w:val="both"/>
              <w:outlineLvl w:val="9"/>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项目北侧靠胞波路，邻路一侧35±5m范围内执行GB12348-2008《工业企业厂界环境噪声排放标准》4类标准，其他侧厂界执行GB12348-2008《工业企业厂界环境噪声排放标准》2类标准，标准值见下表4-6。</w:t>
            </w:r>
          </w:p>
          <w:p>
            <w:pPr>
              <w:ind w:firstLine="482"/>
              <w:jc w:val="center"/>
              <w:rPr>
                <w:rFonts w:ascii="Times New Roman" w:hAnsi="Times New Roman" w:eastAsia="宋体" w:cs="Times New Roman"/>
                <w:b/>
                <w:color w:val="auto"/>
              </w:rPr>
            </w:pPr>
            <w:r>
              <w:rPr>
                <w:rFonts w:ascii="Times New Roman" w:hAnsi="Times New Roman" w:eastAsia="宋体" w:cs="Times New Roman"/>
                <w:b/>
                <w:color w:val="auto"/>
                <w:sz w:val="24"/>
              </w:rPr>
              <w:t>表4-6  工业企业厂界环境噪声排放标准  单位：dB(A)</w:t>
            </w:r>
          </w:p>
          <w:tbl>
            <w:tblPr>
              <w:tblStyle w:val="39"/>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1"/>
              <w:gridCol w:w="1793"/>
              <w:gridCol w:w="2107"/>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 w:hRule="atLeast"/>
                <w:jc w:val="center"/>
              </w:trPr>
              <w:tc>
                <w:tcPr>
                  <w:tcW w:w="4041"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区域名称</w:t>
                  </w:r>
                </w:p>
              </w:tc>
              <w:tc>
                <w:tcPr>
                  <w:tcW w:w="179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类别</w:t>
                  </w:r>
                </w:p>
              </w:tc>
              <w:tc>
                <w:tcPr>
                  <w:tcW w:w="2107"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昼间</w:t>
                  </w:r>
                </w:p>
              </w:tc>
              <w:tc>
                <w:tcPr>
                  <w:tcW w:w="1004"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 w:hRule="atLeast"/>
                <w:jc w:val="center"/>
              </w:trPr>
              <w:tc>
                <w:tcPr>
                  <w:tcW w:w="404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厂界东、南、西</w:t>
                  </w:r>
                </w:p>
              </w:tc>
              <w:tc>
                <w:tcPr>
                  <w:tcW w:w="17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2类</w:t>
                  </w:r>
                </w:p>
              </w:tc>
              <w:tc>
                <w:tcPr>
                  <w:tcW w:w="210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00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 w:hRule="atLeast"/>
                <w:jc w:val="center"/>
              </w:trPr>
              <w:tc>
                <w:tcPr>
                  <w:tcW w:w="404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厂界北</w:t>
                  </w:r>
                </w:p>
              </w:tc>
              <w:tc>
                <w:tcPr>
                  <w:tcW w:w="17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4类</w:t>
                  </w:r>
                </w:p>
              </w:tc>
              <w:tc>
                <w:tcPr>
                  <w:tcW w:w="210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100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55</w:t>
                  </w:r>
                </w:p>
              </w:tc>
            </w:tr>
          </w:tbl>
          <w:p>
            <w:pPr>
              <w:pStyle w:val="196"/>
              <w:spacing w:before="156"/>
              <w:ind w:firstLine="482"/>
              <w:jc w:val="both"/>
              <w:rPr>
                <w:bCs/>
                <w:color w:val="auto"/>
              </w:rPr>
            </w:pPr>
            <w:r>
              <w:rPr>
                <w:bCs/>
                <w:color w:val="auto"/>
              </w:rPr>
              <w:t>4、固体废弃物</w:t>
            </w:r>
          </w:p>
          <w:p>
            <w:pPr>
              <w:pStyle w:val="196"/>
              <w:spacing w:before="0" w:beforeLines="0"/>
              <w:ind w:firstLine="482"/>
              <w:jc w:val="both"/>
              <w:rPr>
                <w:b w:val="0"/>
                <w:color w:val="auto"/>
              </w:rPr>
            </w:pPr>
            <w:r>
              <w:rPr>
                <w:bCs/>
                <w:color w:val="auto"/>
              </w:rPr>
              <w:t>（</w:t>
            </w:r>
            <w:r>
              <w:rPr>
                <w:bCs/>
                <w:color w:val="auto"/>
                <w:lang w:val="en-US"/>
              </w:rPr>
              <w:t>1</w:t>
            </w:r>
            <w:r>
              <w:rPr>
                <w:bCs/>
                <w:color w:val="auto"/>
              </w:rPr>
              <w:t>）</w:t>
            </w:r>
            <w:r>
              <w:rPr>
                <w:bCs/>
                <w:color w:val="auto"/>
                <w:lang w:val="en-US"/>
              </w:rPr>
              <w:t>一般固体废物：</w:t>
            </w:r>
            <w:r>
              <w:rPr>
                <w:b w:val="0"/>
                <w:color w:val="auto"/>
              </w:rPr>
              <w:t>项目运营过程中所产生的一般固体废物存放执行《一般工业固体废弃物贮存、处置场污染物控制标准》（GB18599-2001）及国家环保部[2013]第36号关于该标准的修改单。</w:t>
            </w:r>
          </w:p>
          <w:p>
            <w:pPr>
              <w:pStyle w:val="196"/>
              <w:spacing w:before="0" w:beforeLines="0"/>
              <w:ind w:firstLine="482"/>
              <w:jc w:val="both"/>
              <w:rPr>
                <w:b w:val="0"/>
                <w:color w:val="auto"/>
              </w:rPr>
            </w:pPr>
            <w:r>
              <w:rPr>
                <w:bCs/>
                <w:color w:val="auto"/>
              </w:rPr>
              <w:t>（</w:t>
            </w:r>
            <w:r>
              <w:rPr>
                <w:bCs/>
                <w:color w:val="auto"/>
                <w:lang w:val="en-US"/>
              </w:rPr>
              <w:t>2</w:t>
            </w:r>
            <w:r>
              <w:rPr>
                <w:bCs/>
                <w:color w:val="auto"/>
              </w:rPr>
              <w:t>）</w:t>
            </w:r>
            <w:r>
              <w:rPr>
                <w:bCs/>
                <w:color w:val="auto"/>
                <w:lang w:val="en-US"/>
              </w:rPr>
              <w:t>危险废物：</w:t>
            </w:r>
            <w:r>
              <w:rPr>
                <w:b w:val="0"/>
                <w:color w:val="auto"/>
              </w:rPr>
              <w:t>项目生产过程产生的危险废物，在项目内集中收集、临时贮存执行《危险废物贮存污染控制标准》（GB18597-2001）及其修改单相关规定。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imes New Roman" w:hAnsi="Times New Roman" w:eastAsia="宋体" w:cs="Times New Roman"/>
                <w:b/>
                <w:color w:val="auto"/>
                <w:sz w:val="24"/>
                <w:szCs w:val="20"/>
              </w:rPr>
            </w:pPr>
            <w:r>
              <w:rPr>
                <w:rFonts w:ascii="Times New Roman" w:hAnsi="Times New Roman" w:eastAsia="宋体" w:cs="Times New Roman"/>
                <w:b/>
                <w:color w:val="auto"/>
                <w:sz w:val="24"/>
                <w:szCs w:val="20"/>
              </w:rPr>
              <w:t>总量控制指标</w:t>
            </w:r>
          </w:p>
        </w:tc>
        <w:tc>
          <w:tcPr>
            <w:tcW w:w="917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firstLineChars="200"/>
              <w:jc w:val="left"/>
              <w:rPr>
                <w:rFonts w:ascii="Times New Roman" w:hAnsi="Times New Roman" w:eastAsia="宋体" w:cs="Times New Roman"/>
                <w:color w:val="auto"/>
                <w:sz w:val="24"/>
                <w:szCs w:val="20"/>
              </w:rPr>
            </w:pPr>
            <w:r>
              <w:rPr>
                <w:rFonts w:ascii="Times New Roman" w:hAnsi="Times New Roman" w:eastAsia="宋体" w:cs="Times New Roman"/>
                <w:color w:val="auto"/>
                <w:sz w:val="24"/>
                <w:szCs w:val="20"/>
              </w:rPr>
              <w:t>污染物总量控制是我国目前环境管理的重点工作，也是建设项目的管理及环境影响评价的一项主要内容。在国家下达的总量指标中，本项目涉及的主要为运营期产生的废水、固废，项目总量控制建议指标如下：</w:t>
            </w:r>
          </w:p>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1、废气</w:t>
            </w:r>
          </w:p>
          <w:p>
            <w:pPr>
              <w:keepNext/>
              <w:keepLines/>
              <w:spacing w:line="360" w:lineRule="auto"/>
              <w:ind w:firstLine="480" w:firstLineChars="200"/>
              <w:jc w:val="left"/>
              <w:rPr>
                <w:rFonts w:ascii="Times New Roman" w:hAnsi="Times New Roman" w:eastAsia="宋体" w:cs="Times New Roman"/>
                <w:color w:val="auto"/>
                <w:sz w:val="24"/>
                <w:szCs w:val="32"/>
              </w:rPr>
            </w:pPr>
            <w:r>
              <w:rPr>
                <w:rFonts w:ascii="Times New Roman" w:hAnsi="Times New Roman" w:eastAsia="宋体" w:cs="Times New Roman"/>
                <w:color w:val="auto"/>
                <w:sz w:val="24"/>
                <w:szCs w:val="32"/>
              </w:rPr>
              <w:t>废气量：900万Nm</w:t>
            </w:r>
            <w:r>
              <w:rPr>
                <w:rFonts w:ascii="Times New Roman" w:hAnsi="Times New Roman" w:eastAsia="宋体" w:cs="Times New Roman"/>
                <w:color w:val="auto"/>
                <w:sz w:val="24"/>
                <w:szCs w:val="32"/>
                <w:vertAlign w:val="superscript"/>
              </w:rPr>
              <w:t>3</w:t>
            </w:r>
            <w:r>
              <w:rPr>
                <w:rFonts w:ascii="Times New Roman" w:hAnsi="Times New Roman" w:eastAsia="宋体" w:cs="Times New Roman"/>
                <w:color w:val="auto"/>
                <w:sz w:val="24"/>
                <w:szCs w:val="32"/>
              </w:rPr>
              <w:t>/a，二甲苯0.015t/a，VOC</w:t>
            </w:r>
            <w:r>
              <w:rPr>
                <w:rFonts w:hint="eastAsia" w:ascii="Times New Roman" w:hAnsi="Times New Roman" w:eastAsia="宋体" w:cs="Times New Roman"/>
                <w:color w:val="auto"/>
                <w:sz w:val="24"/>
                <w:szCs w:val="32"/>
              </w:rPr>
              <w:t>s</w:t>
            </w:r>
            <w:r>
              <w:rPr>
                <w:rFonts w:ascii="Times New Roman" w:hAnsi="Times New Roman" w:eastAsia="宋体" w:cs="Times New Roman"/>
                <w:color w:val="auto"/>
                <w:sz w:val="24"/>
                <w:szCs w:val="32"/>
                <w:vertAlign w:val="subscript"/>
              </w:rPr>
              <w:t xml:space="preserve"> </w:t>
            </w:r>
            <w:r>
              <w:rPr>
                <w:rFonts w:ascii="Times New Roman" w:hAnsi="Times New Roman" w:eastAsia="宋体" w:cs="Times New Roman"/>
                <w:color w:val="auto"/>
                <w:sz w:val="24"/>
                <w:szCs w:val="32"/>
              </w:rPr>
              <w:t>：0.0461t/a，颗粒物0.013916t/a。</w:t>
            </w:r>
          </w:p>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2、废水</w:t>
            </w:r>
          </w:p>
          <w:p>
            <w:pPr>
              <w:keepNext/>
              <w:keepLines/>
              <w:spacing w:line="360" w:lineRule="auto"/>
              <w:ind w:firstLine="480" w:firstLineChars="200"/>
              <w:jc w:val="left"/>
              <w:rPr>
                <w:rFonts w:ascii="Times New Roman" w:hAnsi="Times New Roman" w:eastAsia="宋体" w:cs="Times New Roman"/>
                <w:color w:val="auto"/>
                <w:sz w:val="24"/>
                <w:szCs w:val="32"/>
              </w:rPr>
            </w:pPr>
            <w:r>
              <w:rPr>
                <w:rFonts w:hint="eastAsia" w:ascii="Times New Roman" w:hAnsi="Times New Roman" w:eastAsia="宋体" w:cs="Times New Roman"/>
                <w:color w:val="auto"/>
                <w:sz w:val="24"/>
                <w:szCs w:val="32"/>
              </w:rPr>
              <w:t>本项目废水不外排，故不设总量</w:t>
            </w:r>
            <w:r>
              <w:rPr>
                <w:rFonts w:ascii="Times New Roman" w:hAnsi="Times New Roman" w:eastAsia="宋体" w:cs="Times New Roman"/>
                <w:color w:val="auto"/>
                <w:sz w:val="24"/>
                <w:szCs w:val="32"/>
              </w:rPr>
              <w:t>。</w:t>
            </w:r>
          </w:p>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3、固废</w:t>
            </w:r>
          </w:p>
          <w:p>
            <w:pPr>
              <w:adjustRightInd w:val="0"/>
              <w:snapToGrid w:val="0"/>
              <w:spacing w:line="360" w:lineRule="auto"/>
              <w:ind w:firstLine="480" w:firstLineChars="200"/>
              <w:jc w:val="left"/>
              <w:rPr>
                <w:rFonts w:ascii="Times New Roman" w:hAnsi="Times New Roman" w:eastAsia="宋体" w:cs="Times New Roman"/>
                <w:b/>
                <w:color w:val="auto"/>
                <w:sz w:val="24"/>
                <w:szCs w:val="20"/>
              </w:rPr>
            </w:pPr>
            <w:r>
              <w:rPr>
                <w:rFonts w:ascii="Times New Roman" w:hAnsi="Times New Roman" w:eastAsia="宋体" w:cs="Times New Roman"/>
                <w:color w:val="auto"/>
                <w:sz w:val="24"/>
                <w:szCs w:val="32"/>
              </w:rPr>
              <w:t>固废处置率为100%。</w:t>
            </w:r>
          </w:p>
        </w:tc>
      </w:tr>
      <w:bookmarkEnd w:id="5"/>
      <w:bookmarkEnd w:id="6"/>
    </w:tbl>
    <w:p>
      <w:pPr>
        <w:pStyle w:val="4"/>
        <w:spacing w:before="0" w:after="0" w:line="240" w:lineRule="auto"/>
        <w:rPr>
          <w:rFonts w:ascii="Times New Roman" w:hAnsi="Times New Roman" w:eastAsia="宋体" w:cs="Times New Roman"/>
          <w:color w:val="auto"/>
          <w:sz w:val="30"/>
          <w:szCs w:val="30"/>
        </w:rPr>
      </w:pPr>
      <w:bookmarkStart w:id="7" w:name="_Toc47258241"/>
      <w:r>
        <w:rPr>
          <w:rFonts w:ascii="Times New Roman" w:hAnsi="Times New Roman" w:eastAsia="宋体" w:cs="Times New Roman"/>
          <w:color w:val="auto"/>
          <w:sz w:val="30"/>
          <w:szCs w:val="30"/>
        </w:rPr>
        <w:t>表五、建设项目工程分析及工艺流程简述</w:t>
      </w:r>
      <w:bookmarkEnd w:id="7"/>
    </w:p>
    <w:tbl>
      <w:tblPr>
        <w:tblStyle w:val="39"/>
        <w:tblW w:w="978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9782" w:type="dxa"/>
          </w:tcPr>
          <w:p>
            <w:pPr>
              <w:spacing w:line="336" w:lineRule="auto"/>
              <w:rPr>
                <w:rFonts w:ascii="Times New Roman" w:hAnsi="Times New Roman" w:eastAsia="宋体" w:cs="Times New Roman"/>
                <w:b/>
                <w:color w:val="auto"/>
                <w:sz w:val="24"/>
              </w:rPr>
            </w:pPr>
            <w:r>
              <w:rPr>
                <w:rFonts w:ascii="Times New Roman" w:hAnsi="Times New Roman" w:eastAsia="宋体" w:cs="Times New Roman"/>
                <w:b/>
                <w:color w:val="auto"/>
                <w:sz w:val="24"/>
              </w:rPr>
              <w:t>工艺流程简述</w:t>
            </w:r>
          </w:p>
          <w:p>
            <w:pPr>
              <w:widowControl/>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一、施工期</w:t>
            </w:r>
          </w:p>
          <w:p>
            <w:pPr>
              <w:spacing w:line="360" w:lineRule="auto"/>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项目利用现有厂区作为生产场所，没有施工期，因此本环评不做施工期工程分析。</w:t>
            </w:r>
          </w:p>
          <w:p>
            <w:pPr>
              <w:pStyle w:val="190"/>
              <w:numPr>
                <w:ilvl w:val="0"/>
                <w:numId w:val="2"/>
              </w:numPr>
              <w:spacing w:beforeLines="0"/>
              <w:ind w:firstLine="482" w:firstLineChars="200"/>
              <w:rPr>
                <w:color w:val="auto"/>
                <w:sz w:val="24"/>
                <w:szCs w:val="24"/>
                <w:lang w:val="en-US"/>
              </w:rPr>
            </w:pPr>
            <w:r>
              <w:rPr>
                <w:color w:val="auto"/>
                <w:sz w:val="24"/>
                <w:szCs w:val="24"/>
                <w:lang w:val="en-US"/>
              </w:rPr>
              <w:t>运营期</w:t>
            </w:r>
          </w:p>
          <w:p>
            <w:pPr>
              <w:pStyle w:val="190"/>
              <w:spacing w:beforeLines="0"/>
              <w:ind w:firstLine="482" w:firstLineChars="200"/>
              <w:rPr>
                <w:color w:val="auto"/>
                <w:sz w:val="24"/>
                <w:szCs w:val="24"/>
                <w:lang w:val="en-US"/>
              </w:rPr>
            </w:pPr>
            <w:r>
              <w:rPr>
                <w:color w:val="auto"/>
                <w:sz w:val="24"/>
                <w:szCs w:val="24"/>
                <w:lang w:val="en-US"/>
              </w:rPr>
              <w:t>1、工艺流程</w:t>
            </w:r>
          </w:p>
          <w:p>
            <w:pPr>
              <w:pStyle w:val="6"/>
              <w:spacing w:line="360" w:lineRule="auto"/>
              <w:rPr>
                <w:rFonts w:ascii="Times New Roman" w:hAnsi="Times New Roman" w:eastAsia="宋体"/>
                <w:b w:val="0"/>
                <w:bCs/>
                <w:color w:val="auto"/>
                <w:szCs w:val="24"/>
              </w:rPr>
            </w:pPr>
            <w:r>
              <w:rPr>
                <w:rFonts w:ascii="Times New Roman" w:hAnsi="Times New Roman" w:eastAsia="宋体"/>
                <w:b w:val="0"/>
                <w:bCs/>
                <w:color w:val="auto"/>
                <w:szCs w:val="24"/>
              </w:rPr>
              <w:t>本项目运营期工艺及产污环节分析如下：</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1.1机修工艺</w:t>
            </w:r>
          </w:p>
          <w:p>
            <w:pPr>
              <w:pStyle w:val="38"/>
              <w:ind w:left="840" w:leftChars="400" w:firstLine="0" w:firstLineChars="0"/>
              <w:rPr>
                <w:color w:val="auto"/>
              </w:rPr>
            </w:pPr>
            <w:r>
              <w:rPr>
                <w:b/>
                <w:bCs/>
                <w:color w:val="auto"/>
                <w:szCs w:val="21"/>
              </w:rPr>
              <w:object>
                <v:shape id="_x0000_i1025" o:spt="75" type="#_x0000_t75" style="height:295.5pt;width:409.5pt;" o:ole="t" filled="f" o:preferrelative="t" stroked="f" coordsize="21600,21600">
                  <v:path/>
                  <v:fill on="f" focussize="0,0"/>
                  <v:stroke on="f" joinstyle="miter"/>
                  <v:imagedata r:id="rId9" o:title=""/>
                  <o:lock v:ext="edit" aspectratio="f"/>
                  <w10:wrap type="none"/>
                  <w10:anchorlock/>
                </v:shape>
                <o:OLEObject Type="Embed" ProgID="Visio.Drawing.11" ShapeID="_x0000_i1025" DrawAspect="Content" ObjectID="_1468075725" r:id="rId8">
                  <o:LockedField>false</o:LockedField>
                </o:OLEObject>
              </w:object>
            </w:r>
          </w:p>
          <w:p>
            <w:pPr>
              <w:pStyle w:val="6"/>
              <w:spacing w:line="360" w:lineRule="auto"/>
              <w:ind w:firstLine="482"/>
              <w:jc w:val="center"/>
              <w:rPr>
                <w:rFonts w:ascii="Times New Roman" w:hAnsi="Times New Roman" w:eastAsia="宋体"/>
                <w:color w:val="auto"/>
                <w:szCs w:val="24"/>
              </w:rPr>
            </w:pPr>
            <w:r>
              <w:rPr>
                <w:rFonts w:ascii="Times New Roman" w:hAnsi="Times New Roman" w:eastAsia="宋体"/>
                <w:color w:val="auto"/>
                <w:szCs w:val="24"/>
              </w:rPr>
              <w:t>图5-1  机修工艺流程及产污环节图</w:t>
            </w:r>
          </w:p>
          <w:p>
            <w:pPr>
              <w:pStyle w:val="6"/>
              <w:spacing w:line="360" w:lineRule="auto"/>
              <w:ind w:firstLine="482"/>
              <w:rPr>
                <w:rFonts w:ascii="Times New Roman" w:hAnsi="Times New Roman" w:eastAsia="宋体"/>
                <w:color w:val="auto"/>
                <w:szCs w:val="24"/>
              </w:rPr>
            </w:pPr>
            <w:r>
              <w:rPr>
                <w:rFonts w:ascii="Times New Roman" w:hAnsi="Times New Roman" w:eastAsia="宋体"/>
                <w:color w:val="auto"/>
                <w:szCs w:val="24"/>
              </w:rPr>
              <w:t>（1）机修工艺简述：</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①</w:t>
            </w:r>
            <w:r>
              <w:rPr>
                <w:rFonts w:ascii="Times New Roman" w:hAnsi="Times New Roman" w:eastAsia="宋体" w:cs="Times New Roman"/>
                <w:color w:val="auto"/>
                <w:sz w:val="24"/>
              </w:rPr>
              <w:t>汽车零件拆卸：使用专用工具，将汽车零件拆卸后按顺序排放整齐。</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②</w:t>
            </w:r>
            <w:r>
              <w:rPr>
                <w:rFonts w:ascii="Times New Roman" w:hAnsi="Times New Roman" w:eastAsia="宋体" w:cs="Times New Roman"/>
                <w:color w:val="auto"/>
                <w:sz w:val="24"/>
              </w:rPr>
              <w:t>电气设备和仪表修理：包括对汽车上各种照明灯具、灯光、音响信号、电流表、水温表、油压表、燃油表、冷媒等的检查和维修。</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③</w:t>
            </w:r>
            <w:r>
              <w:rPr>
                <w:rFonts w:ascii="Times New Roman" w:hAnsi="Times New Roman" w:eastAsia="宋体" w:cs="Times New Roman"/>
                <w:color w:val="auto"/>
                <w:sz w:val="24"/>
              </w:rPr>
              <w:t>零件检验和分类：可根据外观、几何尺寸测量、零件位置公差测量及零件的内部组织缺陷等方法对拆卸后的零件进行检验，并将全部零件分为需修零件、可用零件、不可用零件三类。</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④</w:t>
            </w:r>
            <w:r>
              <w:rPr>
                <w:rFonts w:ascii="Times New Roman" w:hAnsi="Times New Roman" w:eastAsia="宋体" w:cs="Times New Roman"/>
                <w:color w:val="auto"/>
                <w:sz w:val="24"/>
              </w:rPr>
              <w:t>总成装配：对需修零件进行修理、不可用零件进行更换后，严格按顺序重新装配各部件。</w:t>
            </w:r>
          </w:p>
          <w:p>
            <w:pPr>
              <w:widowControl/>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⑤</w:t>
            </w:r>
            <w:r>
              <w:rPr>
                <w:rFonts w:ascii="Times New Roman" w:hAnsi="Times New Roman" w:eastAsia="宋体" w:cs="Times New Roman"/>
                <w:bCs/>
                <w:color w:val="auto"/>
                <w:sz w:val="24"/>
              </w:rPr>
              <w:t>机修完成后，经磨合试验，确保无误后将车辆交付用户。</w:t>
            </w:r>
          </w:p>
          <w:p>
            <w:pPr>
              <w:pStyle w:val="6"/>
              <w:spacing w:line="360" w:lineRule="auto"/>
              <w:ind w:firstLine="482"/>
              <w:rPr>
                <w:rFonts w:ascii="Times New Roman" w:hAnsi="Times New Roman" w:eastAsia="宋体"/>
                <w:color w:val="auto"/>
                <w:szCs w:val="24"/>
              </w:rPr>
            </w:pPr>
            <w:r>
              <w:rPr>
                <w:rFonts w:ascii="Times New Roman" w:hAnsi="Times New Roman" w:eastAsia="宋体"/>
                <w:color w:val="auto"/>
                <w:szCs w:val="24"/>
              </w:rPr>
              <w:t>（2）主要污染工序;</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①</w:t>
            </w:r>
            <w:r>
              <w:rPr>
                <w:rFonts w:ascii="Times New Roman" w:hAnsi="Times New Roman" w:eastAsia="宋体" w:cs="Times New Roman"/>
                <w:color w:val="auto"/>
                <w:sz w:val="24"/>
              </w:rPr>
              <w:t>G</w:t>
            </w:r>
            <w:r>
              <w:rPr>
                <w:rFonts w:ascii="Times New Roman" w:hAnsi="Times New Roman" w:eastAsia="宋体" w:cs="Times New Roman"/>
                <w:color w:val="auto"/>
                <w:sz w:val="24"/>
                <w:vertAlign w:val="subscript"/>
              </w:rPr>
              <w:t>1</w:t>
            </w:r>
            <w:r>
              <w:rPr>
                <w:rFonts w:ascii="Times New Roman" w:hAnsi="Times New Roman" w:eastAsia="宋体" w:cs="Times New Roman"/>
                <w:color w:val="auto"/>
                <w:sz w:val="24"/>
              </w:rPr>
              <w:t>：送检车辆实验与调整过程产生汽车尾气。</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②</w:t>
            </w:r>
            <w:r>
              <w:rPr>
                <w:rFonts w:ascii="Times New Roman" w:hAnsi="Times New Roman" w:eastAsia="宋体" w:cs="Times New Roman"/>
                <w:color w:val="auto"/>
                <w:sz w:val="24"/>
              </w:rPr>
              <w:t>S</w:t>
            </w:r>
            <w:r>
              <w:rPr>
                <w:rFonts w:ascii="Times New Roman" w:hAnsi="Times New Roman" w:eastAsia="宋体" w:cs="Times New Roman"/>
                <w:color w:val="auto"/>
                <w:sz w:val="24"/>
                <w:vertAlign w:val="subscript"/>
              </w:rPr>
              <w:t>1</w:t>
            </w:r>
            <w:r>
              <w:rPr>
                <w:rFonts w:ascii="Times New Roman" w:hAnsi="Times New Roman" w:eastAsia="宋体" w:cs="Times New Roman"/>
                <w:color w:val="auto"/>
                <w:sz w:val="24"/>
              </w:rPr>
              <w:t>：机修过程产生的汽车报废零部件、S</w:t>
            </w:r>
            <w:r>
              <w:rPr>
                <w:rFonts w:ascii="Times New Roman" w:hAnsi="Times New Roman" w:eastAsia="宋体" w:cs="Times New Roman"/>
                <w:color w:val="auto"/>
                <w:sz w:val="24"/>
                <w:vertAlign w:val="subscript"/>
              </w:rPr>
              <w:t>2</w:t>
            </w:r>
            <w:r>
              <w:rPr>
                <w:rFonts w:ascii="Times New Roman" w:hAnsi="Times New Roman" w:eastAsia="宋体" w:cs="Times New Roman"/>
                <w:color w:val="auto"/>
                <w:sz w:val="24"/>
              </w:rPr>
              <w:t>：废机油、废机油桶、含油废棉纱、废手套等废物。</w:t>
            </w:r>
          </w:p>
          <w:p>
            <w:pPr>
              <w:pStyle w:val="38"/>
              <w:spacing w:after="0" w:line="360" w:lineRule="auto"/>
              <w:ind w:left="0" w:leftChars="0" w:firstLine="480"/>
              <w:rPr>
                <w:color w:val="auto"/>
              </w:rPr>
            </w:pPr>
            <w:r>
              <w:rPr>
                <w:rFonts w:hint="eastAsia" w:ascii="宋体" w:hAnsi="宋体" w:cs="宋体"/>
                <w:color w:val="auto"/>
                <w:sz w:val="24"/>
              </w:rPr>
              <w:t>③</w:t>
            </w:r>
            <w:r>
              <w:rPr>
                <w:color w:val="auto"/>
                <w:sz w:val="24"/>
              </w:rPr>
              <w:t>N</w:t>
            </w:r>
            <w:r>
              <w:rPr>
                <w:color w:val="auto"/>
                <w:sz w:val="24"/>
                <w:vertAlign w:val="subscript"/>
              </w:rPr>
              <w:t>1</w:t>
            </w:r>
            <w:r>
              <w:rPr>
                <w:color w:val="auto"/>
                <w:sz w:val="24"/>
              </w:rPr>
              <w:t>：汽车零件拆卸过程产生的噪声、N</w:t>
            </w:r>
            <w:r>
              <w:rPr>
                <w:color w:val="auto"/>
                <w:sz w:val="24"/>
                <w:vertAlign w:val="subscript"/>
              </w:rPr>
              <w:t>2</w:t>
            </w:r>
            <w:r>
              <w:rPr>
                <w:color w:val="auto"/>
                <w:sz w:val="24"/>
              </w:rPr>
              <w:t>：电气设备和仪表修理过程产生的噪声、N</w:t>
            </w:r>
            <w:r>
              <w:rPr>
                <w:color w:val="auto"/>
                <w:sz w:val="24"/>
                <w:vertAlign w:val="subscript"/>
              </w:rPr>
              <w:t>3</w:t>
            </w:r>
            <w:r>
              <w:rPr>
                <w:color w:val="auto"/>
                <w:sz w:val="24"/>
              </w:rPr>
              <w:t>：送检车辆实验与调整过程产生的噪声、N</w:t>
            </w:r>
            <w:r>
              <w:rPr>
                <w:color w:val="auto"/>
                <w:sz w:val="24"/>
                <w:vertAlign w:val="subscript"/>
              </w:rPr>
              <w:t>4</w:t>
            </w:r>
            <w:r>
              <w:rPr>
                <w:color w:val="auto"/>
                <w:sz w:val="24"/>
              </w:rPr>
              <w:t>：总成装配过程产生的噪声。</w:t>
            </w:r>
          </w:p>
          <w:p>
            <w:pPr>
              <w:pStyle w:val="6"/>
              <w:spacing w:line="360" w:lineRule="auto"/>
              <w:ind w:firstLine="482"/>
              <w:rPr>
                <w:rFonts w:ascii="Times New Roman" w:hAnsi="Times New Roman" w:eastAsia="宋体"/>
                <w:color w:val="auto"/>
                <w:szCs w:val="24"/>
              </w:rPr>
            </w:pPr>
            <w:r>
              <w:rPr>
                <w:rFonts w:ascii="Times New Roman" w:hAnsi="Times New Roman" w:eastAsia="宋体"/>
                <w:color w:val="auto"/>
                <w:szCs w:val="24"/>
              </w:rPr>
              <w:t>1.2钣金工艺</w:t>
            </w:r>
          </w:p>
          <w:p>
            <w:pPr>
              <w:jc w:val="center"/>
              <w:rPr>
                <w:rFonts w:ascii="Times New Roman" w:hAnsi="Times New Roman" w:eastAsia="宋体" w:cs="Times New Roman"/>
                <w:color w:val="auto"/>
                <w:sz w:val="24"/>
              </w:rPr>
            </w:pPr>
            <w:r>
              <w:rPr>
                <w:rFonts w:ascii="Times New Roman" w:hAnsi="Times New Roman" w:eastAsia="宋体" w:cs="Times New Roman"/>
                <w:b/>
                <w:bCs/>
                <w:color w:val="auto"/>
                <w:szCs w:val="21"/>
              </w:rPr>
              <w:object>
                <v:shape id="_x0000_i1026" o:spt="75" type="#_x0000_t75" style="height:239.25pt;width:371.25pt;" o:ole="t" filled="f" o:preferrelative="t" stroked="f" coordsize="21600,21600">
                  <v:path/>
                  <v:fill on="f" focussize="0,0"/>
                  <v:stroke on="f" joinstyle="miter"/>
                  <v:imagedata r:id="rId11" o:title=""/>
                  <o:lock v:ext="edit" aspectratio="f"/>
                  <w10:wrap type="none"/>
                  <w10:anchorlock/>
                </v:shape>
                <o:OLEObject Type="Embed" ProgID="Visio.Drawing.11" ShapeID="_x0000_i1026" DrawAspect="Content" ObjectID="_1468075726" r:id="rId10">
                  <o:LockedField>false</o:LockedField>
                </o:OLEObject>
              </w:object>
            </w:r>
          </w:p>
          <w:p>
            <w:pPr>
              <w:widowControl/>
              <w:ind w:firstLine="422"/>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图5-2  钣金工艺流程及产污环节图</w:t>
            </w:r>
          </w:p>
          <w:p>
            <w:pPr>
              <w:widowControl/>
              <w:spacing w:line="360" w:lineRule="auto"/>
              <w:ind w:firstLine="482"/>
              <w:rPr>
                <w:rFonts w:ascii="Times New Roman" w:hAnsi="Times New Roman" w:eastAsia="宋体" w:cs="Times New Roman"/>
                <w:b/>
                <w:bCs/>
                <w:color w:val="auto"/>
                <w:sz w:val="24"/>
              </w:rPr>
            </w:pPr>
            <w:r>
              <w:rPr>
                <w:rFonts w:ascii="Times New Roman" w:hAnsi="Times New Roman" w:eastAsia="宋体" w:cs="Times New Roman"/>
                <w:color w:val="auto"/>
                <w:sz w:val="24"/>
              </w:rPr>
              <w:t>（1）</w:t>
            </w:r>
            <w:r>
              <w:rPr>
                <w:rFonts w:ascii="Times New Roman" w:hAnsi="Times New Roman" w:eastAsia="宋体" w:cs="Times New Roman"/>
                <w:b/>
                <w:bCs/>
                <w:color w:val="auto"/>
                <w:sz w:val="24"/>
              </w:rPr>
              <w:t>钣金工艺简述：</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①</w:t>
            </w:r>
            <w:r>
              <w:rPr>
                <w:rFonts w:ascii="Times New Roman" w:hAnsi="Times New Roman" w:eastAsia="宋体" w:cs="Times New Roman"/>
                <w:color w:val="auto"/>
                <w:sz w:val="24"/>
              </w:rPr>
              <w:t>对送修车辆进行检查，确定其车身结构类型，然后根据受损部位的情况确定修复方式，按要求对不同的部位安排合理的修理工艺。</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②</w:t>
            </w:r>
            <w:r>
              <w:rPr>
                <w:rFonts w:ascii="Times New Roman" w:hAnsi="Times New Roman" w:eastAsia="宋体" w:cs="Times New Roman"/>
                <w:color w:val="auto"/>
                <w:sz w:val="24"/>
              </w:rPr>
              <w:t>对于车身的拔拉索引校正，必须保证车身固定，否则，在拉力作用下会产生整体位移，达不到索引校正的目的。</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③</w:t>
            </w:r>
            <w:r>
              <w:rPr>
                <w:rFonts w:ascii="Times New Roman" w:hAnsi="Times New Roman" w:eastAsia="宋体" w:cs="Times New Roman"/>
                <w:color w:val="auto"/>
                <w:sz w:val="24"/>
              </w:rPr>
              <w:t>小范围局部凸起的整形，用垫铁贴紧凸起的反面，手锤敲击凸起部位，使凸起</w:t>
            </w:r>
            <w:r>
              <w:rPr>
                <w:rFonts w:hint="eastAsia" w:ascii="Times New Roman" w:hAnsi="Times New Roman" w:eastAsia="宋体" w:cs="Times New Roman"/>
                <w:color w:val="auto"/>
                <w:sz w:val="24"/>
                <w:lang w:eastAsia="zh-CN"/>
              </w:rPr>
              <w:t>部分</w:t>
            </w:r>
            <w:r>
              <w:rPr>
                <w:rFonts w:ascii="Times New Roman" w:hAnsi="Times New Roman" w:eastAsia="宋体" w:cs="Times New Roman"/>
                <w:color w:val="auto"/>
                <w:sz w:val="24"/>
              </w:rPr>
              <w:t>被压缩到原来形状。局部凹陷的整形，则与凸起的修整不同的是，捶击点不在垫铁顶面上方，而是在铁皮的凸起部位。将垫铁贴紧最低处，用铁锤敲击附近凸起处即可撬起凹陷，利用修平刀修整凹陷，车门表面某处有凹陷，将修平刀作垫铁用，采用捶击表面凸起部位的办法，可将凹陷修复。</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④</w:t>
            </w:r>
            <w:r>
              <w:rPr>
                <w:rFonts w:ascii="Times New Roman" w:hAnsi="Times New Roman" w:eastAsia="宋体" w:cs="Times New Roman"/>
                <w:color w:val="auto"/>
                <w:sz w:val="24"/>
              </w:rPr>
              <w:t>对于金属板上变形部位的收缩，用焊炬火焰将最凸或最凹点（伸张中心）加热无樱红色。加热后急速敲击红晕区域的周围，并逐渐向加热点的中心包围，使金属组织紧缩。敲击时，要用垫铁在部件背部，用木锤敲击，冷却后再用铁锤轻轻敲击整平。</w:t>
            </w:r>
          </w:p>
          <w:p>
            <w:pPr>
              <w:widowControl/>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如果收缩一点不能达到整平的目的，可用同样方法在该点周围适当位置进行多点收缩，但此时加热范围要小一些，所有收缩点冷却之后，进行一次全面敲平。</w:t>
            </w:r>
          </w:p>
          <w:p>
            <w:pPr>
              <w:widowControl/>
              <w:ind w:firstLine="482"/>
              <w:rPr>
                <w:rFonts w:ascii="Times New Roman" w:hAnsi="Times New Roman" w:eastAsia="宋体" w:cs="Times New Roman"/>
                <w:b/>
                <w:bCs/>
                <w:color w:val="auto"/>
                <w:sz w:val="24"/>
              </w:rPr>
            </w:pPr>
            <w:r>
              <w:rPr>
                <w:rFonts w:ascii="Times New Roman" w:hAnsi="Times New Roman" w:eastAsia="宋体" w:cs="Times New Roman"/>
                <w:b/>
                <w:bCs/>
                <w:color w:val="auto"/>
                <w:sz w:val="24"/>
              </w:rPr>
              <w:t>（2）主要污染工序：</w:t>
            </w:r>
          </w:p>
          <w:p>
            <w:pPr>
              <w:widowControl/>
              <w:spacing w:line="360" w:lineRule="auto"/>
              <w:ind w:firstLine="480" w:firstLineChars="200"/>
              <w:rPr>
                <w:rFonts w:ascii="Times New Roman" w:hAnsi="Times New Roman" w:eastAsia="宋体" w:cs="Times New Roman"/>
                <w:color w:val="auto"/>
                <w:sz w:val="24"/>
              </w:rPr>
            </w:pPr>
            <w:bookmarkStart w:id="8" w:name="OLE_LINK3"/>
            <w:r>
              <w:rPr>
                <w:rFonts w:ascii="Times New Roman" w:hAnsi="Times New Roman" w:eastAsia="宋体" w:cs="Times New Roman"/>
                <w:bCs/>
                <w:color w:val="auto"/>
                <w:sz w:val="24"/>
              </w:rPr>
              <w:t>N</w:t>
            </w:r>
            <w:r>
              <w:rPr>
                <w:rFonts w:ascii="Times New Roman" w:hAnsi="Times New Roman" w:eastAsia="宋体" w:cs="Times New Roman"/>
                <w:bCs/>
                <w:color w:val="auto"/>
                <w:sz w:val="24"/>
                <w:vertAlign w:val="subscript"/>
              </w:rPr>
              <w:t>5</w:t>
            </w:r>
            <w:bookmarkEnd w:id="8"/>
            <w:r>
              <w:rPr>
                <w:rFonts w:ascii="Times New Roman" w:hAnsi="Times New Roman" w:eastAsia="宋体" w:cs="Times New Roman"/>
                <w:bCs/>
                <w:color w:val="auto"/>
                <w:sz w:val="24"/>
              </w:rPr>
              <w:t>：噪声</w:t>
            </w:r>
            <w:r>
              <w:rPr>
                <w:rFonts w:ascii="Times New Roman" w:hAnsi="Times New Roman" w:eastAsia="宋体" w:cs="Times New Roman"/>
                <w:color w:val="auto"/>
                <w:sz w:val="24"/>
              </w:rPr>
              <w:t>设备校正、整形产生的噪声。</w:t>
            </w:r>
          </w:p>
          <w:p>
            <w:pPr>
              <w:tabs>
                <w:tab w:val="left" w:pos="6195"/>
              </w:tabs>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1.3焊接工艺</w:t>
            </w:r>
          </w:p>
          <w:p>
            <w:pPr>
              <w:tabs>
                <w:tab w:val="left" w:pos="61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（1）焊接工艺流程简述</w:t>
            </w:r>
          </w:p>
          <w:p>
            <w:pPr>
              <w:tabs>
                <w:tab w:val="left" w:pos="6195"/>
              </w:tabs>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焊接主要针对车身损坏后，不能采用更换的方式修复的部位进行焊接，本项目焊接采用二氧化碳保护焊的方式，使用合金焊丝作为焊条。</w:t>
            </w:r>
          </w:p>
          <w:p>
            <w:pPr>
              <w:tabs>
                <w:tab w:val="left" w:pos="61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（2）主要污染工序</w:t>
            </w:r>
          </w:p>
          <w:p>
            <w:pPr>
              <w:tabs>
                <w:tab w:val="left" w:pos="6195"/>
              </w:tabs>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焊接过程中会有焊接烟气产生，呈无组织排放。</w:t>
            </w:r>
          </w:p>
          <w:p>
            <w:pPr>
              <w:pStyle w:val="6"/>
              <w:spacing w:line="360" w:lineRule="auto"/>
              <w:ind w:firstLine="482"/>
              <w:rPr>
                <w:rFonts w:ascii="Times New Roman" w:hAnsi="Times New Roman" w:eastAsia="宋体"/>
                <w:color w:val="auto"/>
                <w:szCs w:val="24"/>
              </w:rPr>
            </w:pPr>
            <w:r>
              <w:rPr>
                <w:rFonts w:ascii="Times New Roman" w:hAnsi="Times New Roman" w:eastAsia="宋体"/>
                <w:color w:val="auto"/>
                <w:szCs w:val="24"/>
              </w:rPr>
              <w:t>1.4打磨、喷漆烤漆工艺</w:t>
            </w:r>
          </w:p>
          <w:p>
            <w:pPr>
              <w:jc w:val="center"/>
              <w:rPr>
                <w:rFonts w:ascii="Times New Roman" w:hAnsi="Times New Roman" w:eastAsia="宋体" w:cs="Times New Roman"/>
                <w:color w:val="auto"/>
              </w:rPr>
            </w:pPr>
            <w:r>
              <w:rPr>
                <w:color w:val="auto"/>
              </w:rPr>
              <w:object>
                <v:shape id="_x0000_i1027" o:spt="75" type="#_x0000_t75" style="height:241.5pt;width:467.25pt;" o:ole="t" filled="f" o:preferrelative="t" stroked="f" coordsize="21600,21600">
                  <v:path/>
                  <v:fill on="f" focussize="0,0"/>
                  <v:stroke on="f" joinstyle="miter"/>
                  <v:imagedata r:id="rId13" o:title=""/>
                  <o:lock v:ext="edit" aspectratio="t"/>
                  <w10:wrap type="none"/>
                  <w10:anchorlock/>
                </v:shape>
                <o:OLEObject Type="Embed" ProgID="Visio.Drawing.15" ShapeID="_x0000_i1027" DrawAspect="Content" ObjectID="_1468075727" r:id="rId12">
                  <o:LockedField>false</o:LockedField>
                </o:OLEObject>
              </w:object>
            </w:r>
          </w:p>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图5-3  打磨、喷漆烤漆工艺流程及产污节点图</w:t>
            </w:r>
          </w:p>
          <w:p>
            <w:pPr>
              <w:tabs>
                <w:tab w:val="left" w:pos="61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（1）打磨、喷漆烤漆工艺简述：</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①</w:t>
            </w:r>
            <w:r>
              <w:rPr>
                <w:rFonts w:ascii="Times New Roman" w:hAnsi="Times New Roman" w:eastAsia="宋体" w:cs="Times New Roman"/>
                <w:bCs/>
                <w:color w:val="auto"/>
                <w:sz w:val="24"/>
              </w:rPr>
              <w:t>用除油脂清洁剂或者除油剂清洁车身钢板部分杂物、污渍、油渍；</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②</w:t>
            </w:r>
            <w:r>
              <w:rPr>
                <w:rFonts w:ascii="Times New Roman" w:hAnsi="Times New Roman" w:eastAsia="宋体" w:cs="Times New Roman"/>
                <w:bCs/>
                <w:color w:val="auto"/>
                <w:sz w:val="24"/>
              </w:rPr>
              <w:t>用干磨机或者手工打磨需填充腻子的位置，直到接口及斜边打</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③</w:t>
            </w:r>
            <w:r>
              <w:rPr>
                <w:rFonts w:ascii="Times New Roman" w:hAnsi="Times New Roman" w:eastAsia="宋体" w:cs="Times New Roman"/>
                <w:bCs/>
                <w:color w:val="auto"/>
                <w:sz w:val="24"/>
              </w:rPr>
              <w:t>用空气压缩机吹干净工件表面灰尘及水渍，并用除油剂磨成羽状型，并用除油剂擦拭；清洁一次后进行底漆喷涂；</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④</w:t>
            </w:r>
            <w:r>
              <w:rPr>
                <w:rFonts w:ascii="Times New Roman" w:hAnsi="Times New Roman" w:eastAsia="宋体" w:cs="Times New Roman"/>
                <w:bCs/>
                <w:color w:val="auto"/>
                <w:sz w:val="24"/>
              </w:rPr>
              <w:t>用原子灰填补工件表面凹坑；</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⑤</w:t>
            </w:r>
            <w:r>
              <w:rPr>
                <w:rFonts w:ascii="Times New Roman" w:hAnsi="Times New Roman" w:eastAsia="宋体" w:cs="Times New Roman"/>
                <w:bCs/>
                <w:color w:val="auto"/>
                <w:sz w:val="24"/>
              </w:rPr>
              <w:t>待原子灰彻底干燥冷却后进行打磨，根据工件表面情况选择用干磨机打磨或用砂纸进行手工打磨；</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⑥</w:t>
            </w:r>
            <w:r>
              <w:rPr>
                <w:rFonts w:ascii="Times New Roman" w:hAnsi="Times New Roman" w:eastAsia="宋体" w:cs="Times New Roman"/>
                <w:bCs/>
                <w:color w:val="auto"/>
                <w:sz w:val="24"/>
              </w:rPr>
              <w:t>原子灰在干固的过程中由于溶剂的挥发会产生气孔，为了提高油漆附着力，在涂喷之前要检查是否有针眼，若有针眼用风干原子灰进行小面积填充；</w:t>
            </w:r>
          </w:p>
          <w:p>
            <w:pPr>
              <w:pStyle w:val="134"/>
              <w:adjustRightInd/>
              <w:snapToGrid/>
              <w:ind w:firstLine="470"/>
              <w:jc w:val="both"/>
              <w:rPr>
                <w:color w:val="auto"/>
                <w:sz w:val="24"/>
                <w:szCs w:val="24"/>
              </w:rPr>
            </w:pPr>
            <w:r>
              <w:rPr>
                <w:rFonts w:hint="eastAsia" w:ascii="宋体" w:hAnsi="宋体" w:cs="宋体"/>
                <w:color w:val="auto"/>
                <w:sz w:val="24"/>
                <w:szCs w:val="24"/>
              </w:rPr>
              <w:t>⑦</w:t>
            </w:r>
            <w:r>
              <w:rPr>
                <w:color w:val="auto"/>
                <w:sz w:val="24"/>
                <w:szCs w:val="24"/>
              </w:rPr>
              <w:t>对不需要喷涂的部位（包括驾驶室、工作灯、门锁、锁眼、标牌、仪表、胶管、轮胎、橡胶制品等）进行贴护、遮蔽；</w:t>
            </w:r>
          </w:p>
          <w:p>
            <w:pPr>
              <w:pStyle w:val="136"/>
              <w:snapToGrid/>
              <w:rPr>
                <w:rFonts w:ascii="Times New Roman" w:hAnsi="Times New Roman" w:eastAsia="宋体" w:cs="Times New Roman"/>
                <w:color w:val="auto"/>
                <w:lang w:val="en-US"/>
              </w:rPr>
            </w:pPr>
            <w:r>
              <w:rPr>
                <w:rFonts w:hint="eastAsia" w:ascii="宋体" w:hAnsi="宋体" w:eastAsia="宋体" w:cs="宋体"/>
                <w:bCs/>
                <w:color w:val="auto"/>
                <w:sz w:val="24"/>
                <w:lang w:val="en-US"/>
              </w:rPr>
              <w:t>⑧</w:t>
            </w:r>
            <w:r>
              <w:rPr>
                <w:rFonts w:ascii="Times New Roman" w:hAnsi="Times New Roman" w:eastAsia="宋体" w:cs="Times New Roman"/>
                <w:bCs/>
                <w:color w:val="auto"/>
                <w:sz w:val="24"/>
                <w:lang w:val="en-US"/>
              </w:rPr>
              <w:t>用空气压缩机吹干净工件表面灰尘及水渍，并用除油剂清洁一次后进行面漆喷涂；</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⑨</w:t>
            </w:r>
            <w:r>
              <w:rPr>
                <w:rFonts w:ascii="Times New Roman" w:hAnsi="Times New Roman" w:eastAsia="宋体" w:cs="Times New Roman"/>
                <w:bCs/>
                <w:color w:val="auto"/>
                <w:sz w:val="24"/>
              </w:rPr>
              <w:t>喷漆完成后，经红外线烤灯烘烤干，烘干后用腊抛光</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⑩</w:t>
            </w:r>
            <w:r>
              <w:rPr>
                <w:rFonts w:ascii="Times New Roman" w:hAnsi="Times New Roman" w:eastAsia="宋体" w:cs="Times New Roman"/>
                <w:bCs/>
                <w:color w:val="auto"/>
                <w:sz w:val="24"/>
              </w:rPr>
              <w:t>完工检验，合格交车。</w:t>
            </w:r>
          </w:p>
          <w:p>
            <w:pPr>
              <w:tabs>
                <w:tab w:val="left" w:pos="61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（2）主要污染工序：</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①</w:t>
            </w:r>
            <w:r>
              <w:rPr>
                <w:rFonts w:ascii="Times New Roman" w:hAnsi="Times New Roman" w:eastAsia="宋体" w:cs="Times New Roman"/>
                <w:bCs/>
                <w:color w:val="auto"/>
                <w:sz w:val="24"/>
              </w:rPr>
              <w:t>G</w:t>
            </w:r>
            <w:r>
              <w:rPr>
                <w:rFonts w:ascii="Times New Roman" w:hAnsi="Times New Roman" w:eastAsia="宋体" w:cs="Times New Roman"/>
                <w:bCs/>
                <w:color w:val="auto"/>
                <w:sz w:val="24"/>
                <w:vertAlign w:val="subscript"/>
              </w:rPr>
              <w:t>2</w:t>
            </w:r>
            <w:r>
              <w:rPr>
                <w:rFonts w:ascii="Times New Roman" w:hAnsi="Times New Roman" w:eastAsia="宋体" w:cs="Times New Roman"/>
                <w:bCs/>
                <w:color w:val="auto"/>
                <w:sz w:val="24"/>
              </w:rPr>
              <w:t>：车辆旧漆打磨、打磨过程产生的打磨粉尘、G</w:t>
            </w:r>
            <w:r>
              <w:rPr>
                <w:rFonts w:ascii="Times New Roman" w:hAnsi="Times New Roman" w:eastAsia="宋体" w:cs="Times New Roman"/>
                <w:bCs/>
                <w:color w:val="auto"/>
                <w:sz w:val="24"/>
                <w:vertAlign w:val="subscript"/>
              </w:rPr>
              <w:t>3</w:t>
            </w:r>
            <w:r>
              <w:rPr>
                <w:rFonts w:ascii="Times New Roman" w:hAnsi="Times New Roman" w:eastAsia="宋体" w:cs="Times New Roman"/>
                <w:bCs/>
                <w:color w:val="auto"/>
                <w:sz w:val="24"/>
              </w:rPr>
              <w:t>：烤漆、喷漆过程产生的喷漆废气。</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②</w:t>
            </w:r>
            <w:r>
              <w:rPr>
                <w:rFonts w:ascii="Times New Roman" w:hAnsi="Times New Roman" w:eastAsia="宋体" w:cs="Times New Roman"/>
                <w:bCs/>
                <w:color w:val="auto"/>
                <w:sz w:val="24"/>
              </w:rPr>
              <w:t>S</w:t>
            </w:r>
            <w:r>
              <w:rPr>
                <w:rFonts w:ascii="Times New Roman" w:hAnsi="Times New Roman" w:eastAsia="宋体" w:cs="Times New Roman"/>
                <w:bCs/>
                <w:color w:val="auto"/>
                <w:sz w:val="24"/>
                <w:vertAlign w:val="subscript"/>
              </w:rPr>
              <w:t>3</w:t>
            </w:r>
            <w:r>
              <w:rPr>
                <w:rFonts w:ascii="Times New Roman" w:hAnsi="Times New Roman" w:eastAsia="宋体" w:cs="Times New Roman"/>
                <w:bCs/>
                <w:color w:val="auto"/>
                <w:sz w:val="24"/>
              </w:rPr>
              <w:t>：打磨、喷漆烤漆过程产生废油抹布、废磨砂纸、废手套、S</w:t>
            </w:r>
            <w:r>
              <w:rPr>
                <w:rFonts w:ascii="Times New Roman" w:hAnsi="Times New Roman" w:eastAsia="宋体" w:cs="Times New Roman"/>
                <w:bCs/>
                <w:color w:val="auto"/>
                <w:sz w:val="24"/>
                <w:vertAlign w:val="subscript"/>
              </w:rPr>
              <w:t>4</w:t>
            </w:r>
            <w:r>
              <w:rPr>
                <w:rFonts w:ascii="Times New Roman" w:hAnsi="Times New Roman" w:eastAsia="宋体" w:cs="Times New Roman"/>
                <w:bCs/>
                <w:color w:val="auto"/>
                <w:sz w:val="24"/>
              </w:rPr>
              <w:t>：喷漆烤漆过程产生的废油漆桶。</w:t>
            </w:r>
          </w:p>
          <w:p>
            <w:pPr>
              <w:pStyle w:val="38"/>
              <w:spacing w:after="0" w:line="360" w:lineRule="auto"/>
              <w:ind w:left="0" w:leftChars="0" w:firstLine="480"/>
              <w:rPr>
                <w:color w:val="auto"/>
              </w:rPr>
            </w:pPr>
            <w:r>
              <w:rPr>
                <w:rFonts w:hint="eastAsia" w:ascii="宋体" w:hAnsi="宋体" w:cs="宋体"/>
                <w:bCs/>
                <w:color w:val="auto"/>
                <w:sz w:val="24"/>
              </w:rPr>
              <w:t>③</w:t>
            </w:r>
            <w:r>
              <w:rPr>
                <w:color w:val="auto"/>
                <w:sz w:val="24"/>
              </w:rPr>
              <w:t>N</w:t>
            </w:r>
            <w:r>
              <w:rPr>
                <w:color w:val="auto"/>
                <w:sz w:val="24"/>
                <w:vertAlign w:val="subscript"/>
              </w:rPr>
              <w:t>6</w:t>
            </w:r>
            <w:r>
              <w:rPr>
                <w:color w:val="auto"/>
                <w:sz w:val="24"/>
              </w:rPr>
              <w:t>：</w:t>
            </w:r>
            <w:r>
              <w:rPr>
                <w:bCs/>
                <w:color w:val="auto"/>
                <w:sz w:val="24"/>
              </w:rPr>
              <w:t>旧漆打磨、打磨过程产生的噪声、</w:t>
            </w:r>
            <w:r>
              <w:rPr>
                <w:color w:val="auto"/>
                <w:sz w:val="24"/>
              </w:rPr>
              <w:t>N</w:t>
            </w:r>
            <w:r>
              <w:rPr>
                <w:color w:val="auto"/>
                <w:sz w:val="24"/>
                <w:vertAlign w:val="subscript"/>
              </w:rPr>
              <w:t>7</w:t>
            </w:r>
            <w:r>
              <w:rPr>
                <w:color w:val="auto"/>
                <w:sz w:val="24"/>
              </w:rPr>
              <w:t>：</w:t>
            </w:r>
            <w:r>
              <w:rPr>
                <w:bCs/>
                <w:color w:val="auto"/>
                <w:sz w:val="24"/>
              </w:rPr>
              <w:t>喷漆、烤漆过程产生的噪声。</w:t>
            </w:r>
          </w:p>
          <w:p>
            <w:pPr>
              <w:pStyle w:val="6"/>
              <w:spacing w:line="360" w:lineRule="auto"/>
              <w:ind w:firstLine="482"/>
              <w:rPr>
                <w:rFonts w:ascii="Times New Roman" w:hAnsi="Times New Roman" w:eastAsia="宋体"/>
                <w:color w:val="auto"/>
                <w:szCs w:val="24"/>
              </w:rPr>
            </w:pPr>
            <w:r>
              <w:rPr>
                <w:rFonts w:ascii="Times New Roman" w:hAnsi="Times New Roman" w:eastAsia="宋体"/>
                <w:color w:val="auto"/>
                <w:szCs w:val="24"/>
              </w:rPr>
              <w:t>2、运营期主要污染物产排情况分析</w:t>
            </w:r>
          </w:p>
          <w:p>
            <w:pPr>
              <w:snapToGrid w:val="0"/>
              <w:spacing w:line="360" w:lineRule="auto"/>
              <w:ind w:firstLine="480"/>
              <w:rPr>
                <w:rFonts w:ascii="Times New Roman" w:hAnsi="Times New Roman" w:eastAsia="宋体" w:cs="Times New Roman"/>
                <w:bCs/>
                <w:color w:val="auto"/>
                <w:sz w:val="24"/>
                <w:szCs w:val="28"/>
              </w:rPr>
            </w:pPr>
            <w:r>
              <w:rPr>
                <w:rFonts w:ascii="Times New Roman" w:hAnsi="Times New Roman" w:eastAsia="宋体" w:cs="Times New Roman"/>
                <w:bCs/>
                <w:color w:val="auto"/>
                <w:sz w:val="24"/>
                <w:szCs w:val="28"/>
              </w:rPr>
              <w:t>本项目维修保养车辆</w:t>
            </w:r>
            <w:r>
              <w:rPr>
                <w:rFonts w:ascii="Times New Roman" w:hAnsi="Times New Roman" w:eastAsia="宋体" w:cs="Times New Roman"/>
                <w:color w:val="auto"/>
                <w:sz w:val="24"/>
              </w:rPr>
              <w:t>1800</w:t>
            </w:r>
            <w:r>
              <w:rPr>
                <w:rFonts w:ascii="Times New Roman" w:hAnsi="Times New Roman" w:eastAsia="宋体" w:cs="Times New Roman"/>
                <w:color w:val="auto"/>
                <w:kern w:val="0"/>
                <w:sz w:val="24"/>
              </w:rPr>
              <w:t>台</w:t>
            </w:r>
            <w:r>
              <w:rPr>
                <w:rFonts w:ascii="Times New Roman" w:hAnsi="Times New Roman" w:eastAsia="宋体" w:cs="Times New Roman"/>
                <w:color w:val="auto"/>
                <w:sz w:val="24"/>
              </w:rPr>
              <w:t>/a，其中喷漆450</w:t>
            </w:r>
            <w:r>
              <w:rPr>
                <w:rFonts w:ascii="Times New Roman" w:hAnsi="Times New Roman" w:eastAsia="宋体" w:cs="Times New Roman"/>
                <w:color w:val="auto"/>
                <w:kern w:val="0"/>
                <w:sz w:val="24"/>
              </w:rPr>
              <w:t>台</w:t>
            </w:r>
            <w:r>
              <w:rPr>
                <w:rFonts w:ascii="Times New Roman" w:hAnsi="Times New Roman" w:eastAsia="宋体" w:cs="Times New Roman"/>
                <w:color w:val="auto"/>
                <w:sz w:val="24"/>
              </w:rPr>
              <w:t>/a，</w:t>
            </w:r>
            <w:r>
              <w:rPr>
                <w:rFonts w:hint="eastAsia" w:ascii="Times New Roman" w:hAnsi="Times New Roman" w:eastAsia="宋体" w:cs="Times New Roman"/>
                <w:color w:val="auto"/>
                <w:sz w:val="24"/>
              </w:rPr>
              <w:t>不涉及洗车服务</w:t>
            </w:r>
            <w:r>
              <w:rPr>
                <w:rFonts w:ascii="Times New Roman" w:hAnsi="Times New Roman" w:eastAsia="宋体" w:cs="Times New Roman"/>
                <w:color w:val="auto"/>
                <w:sz w:val="24"/>
              </w:rPr>
              <w:t>。</w:t>
            </w:r>
            <w:r>
              <w:rPr>
                <w:rFonts w:ascii="Times New Roman" w:hAnsi="Times New Roman" w:eastAsia="宋体" w:cs="Times New Roman"/>
                <w:bCs/>
                <w:color w:val="auto"/>
                <w:sz w:val="24"/>
                <w:szCs w:val="28"/>
              </w:rPr>
              <w:t>项目运营过程中产生的污染物主要有废气、</w:t>
            </w:r>
            <w:r>
              <w:rPr>
                <w:rFonts w:hint="eastAsia" w:ascii="Times New Roman" w:hAnsi="Times New Roman" w:eastAsia="宋体" w:cs="Times New Roman"/>
                <w:bCs/>
                <w:color w:val="auto"/>
                <w:sz w:val="24"/>
                <w:szCs w:val="28"/>
              </w:rPr>
              <w:t>生活</w:t>
            </w:r>
            <w:r>
              <w:rPr>
                <w:rFonts w:ascii="Times New Roman" w:hAnsi="Times New Roman" w:eastAsia="宋体" w:cs="Times New Roman"/>
                <w:bCs/>
                <w:color w:val="auto"/>
                <w:sz w:val="24"/>
                <w:szCs w:val="28"/>
              </w:rPr>
              <w:t>废水、固废和社会生活噪声。</w:t>
            </w:r>
          </w:p>
          <w:p>
            <w:pPr>
              <w:snapToGrid w:val="0"/>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2.1废气污染物产排核算</w:t>
            </w:r>
          </w:p>
          <w:p>
            <w:pPr>
              <w:snapToGrid w:val="0"/>
              <w:spacing w:line="360" w:lineRule="auto"/>
              <w:ind w:firstLine="480" w:firstLineChars="200"/>
              <w:rPr>
                <w:rFonts w:ascii="Times New Roman" w:hAnsi="Times New Roman" w:eastAsia="宋体" w:cs="Times New Roman"/>
                <w:color w:val="auto"/>
                <w:position w:val="2"/>
                <w:sz w:val="24"/>
              </w:rPr>
            </w:pPr>
            <w:r>
              <w:rPr>
                <w:rFonts w:ascii="Times New Roman" w:hAnsi="Times New Roman" w:eastAsia="宋体" w:cs="Times New Roman"/>
                <w:color w:val="auto"/>
                <w:sz w:val="24"/>
              </w:rPr>
              <w:t>项目运营期产生废气主要为打磨粉尘、喷烤漆房废气、焊接时产生的焊接烟尘、汽车在进出厂和调试过程中排放的汽车尾气。</w:t>
            </w:r>
          </w:p>
          <w:p>
            <w:pPr>
              <w:spacing w:line="360" w:lineRule="auto"/>
              <w:ind w:firstLine="482" w:firstLineChars="200"/>
              <w:textAlignment w:val="baseline"/>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（1）打磨粉尘</w:t>
            </w:r>
          </w:p>
          <w:p>
            <w:pPr>
              <w:spacing w:line="360" w:lineRule="auto"/>
              <w:ind w:right="105" w:rightChars="50" w:firstLine="480"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color w:val="auto"/>
                <w:position w:val="2"/>
                <w:sz w:val="24"/>
              </w:rPr>
              <w:t>车辆维修过程中对损坏部位进行敲打平整，为保证车身光滑，便于补漆，会使用车辆专用干式打磨机进行打磨，过程中会产生少量粉尘，项目维修的车辆为中、小型轿车，打磨主要是使维修处平整，为喷漆做准备。</w:t>
            </w:r>
          </w:p>
          <w:p>
            <w:pPr>
              <w:spacing w:line="360" w:lineRule="auto"/>
              <w:ind w:right="105" w:rightChars="50"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产生量：</w:t>
            </w:r>
            <w:r>
              <w:rPr>
                <w:rFonts w:ascii="Times New Roman" w:hAnsi="Times New Roman" w:eastAsia="宋体" w:cs="Times New Roman"/>
                <w:color w:val="auto"/>
                <w:position w:val="2"/>
                <w:sz w:val="24"/>
              </w:rPr>
              <w:t>项目在原子灰打磨过程中有少量粉尘产生。项目原子灰用量约为150kg/a，类比同类型项目，由于项目采用干式打磨，粉尘产生量约为原子灰使用量的30%计算，则粉尘产生量为45kg/a。</w:t>
            </w:r>
          </w:p>
          <w:p>
            <w:pPr>
              <w:spacing w:line="360" w:lineRule="auto"/>
              <w:ind w:right="105" w:rightChars="50"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处置措施：</w:t>
            </w:r>
            <w:r>
              <w:rPr>
                <w:rFonts w:ascii="Times New Roman" w:hAnsi="Times New Roman" w:eastAsia="宋体" w:cs="Times New Roman"/>
                <w:color w:val="auto"/>
                <w:position w:val="2"/>
                <w:sz w:val="24"/>
              </w:rPr>
              <w:t>打磨设备自带收尘设施（收尘效率为80%），则收集量为36kg/a，收集粉尘进入布袋，收集后暂存危废暂存间，定期交由有资质单位处置。其余未经收集的20%以无组织的形式排放。</w:t>
            </w:r>
          </w:p>
          <w:p>
            <w:pPr>
              <w:spacing w:line="360" w:lineRule="auto"/>
              <w:ind w:right="105" w:rightChars="50"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排放量：</w:t>
            </w:r>
            <w:r>
              <w:rPr>
                <w:rFonts w:ascii="Times New Roman" w:hAnsi="Times New Roman" w:eastAsia="宋体" w:cs="Times New Roman"/>
                <w:color w:val="auto"/>
                <w:position w:val="2"/>
                <w:sz w:val="24"/>
              </w:rPr>
              <w:t>经上述措施后，打磨粉尘无组织排放量为0.0009t/a，排放速率为0.0038kg/h。</w:t>
            </w:r>
          </w:p>
          <w:p>
            <w:pPr>
              <w:spacing w:line="360" w:lineRule="auto"/>
              <w:ind w:right="105" w:rightChars="50" w:firstLine="482" w:firstLineChars="200"/>
              <w:textAlignment w:val="baseline"/>
              <w:rPr>
                <w:rFonts w:ascii="Times New Roman" w:hAnsi="Times New Roman" w:eastAsia="宋体" w:cs="Times New Roman"/>
                <w:b/>
                <w:bCs/>
                <w:color w:val="auto"/>
                <w:position w:val="2"/>
                <w:sz w:val="24"/>
              </w:rPr>
            </w:pPr>
            <w:r>
              <w:rPr>
                <w:rFonts w:ascii="Times New Roman" w:hAnsi="Times New Roman" w:eastAsia="宋体" w:cs="Times New Roman"/>
                <w:b/>
                <w:bCs/>
                <w:color w:val="auto"/>
                <w:position w:val="2"/>
                <w:sz w:val="24"/>
              </w:rPr>
              <w:t>（2）喷烤漆房废气</w:t>
            </w:r>
          </w:p>
          <w:p>
            <w:pPr>
              <w:spacing w:line="360" w:lineRule="auto"/>
              <w:ind w:right="105" w:rightChars="50" w:firstLine="482" w:firstLineChars="200"/>
              <w:textAlignment w:val="baseline"/>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产生及处置情况</w:t>
            </w:r>
          </w:p>
          <w:p>
            <w:pPr>
              <w:spacing w:line="360" w:lineRule="auto"/>
              <w:ind w:right="105" w:rightChars="50" w:firstLine="480"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color w:val="auto"/>
                <w:position w:val="2"/>
                <w:sz w:val="24"/>
              </w:rPr>
              <w:t>项目底漆、色漆和清漆喷漆及调漆均在密闭喷喷烤漆房进行，喷漆后在喷喷烤漆房内晾干。本项目在喷喷烤漆房内采用人工喷漆，喷漆后在喷烤漆室内进行烘干，烘干为电灯管加热烘干， 喷喷烤漆房内采用负压吸气方式对喷喷烤漆房内空气进行收集，参考同类型项目报告及相关设备厂商经验数据，该项目集气装置收集效率约为98%，然后通过去除效率为90%的废气处理系统（设有过滤棉+UV光氧催化+活性炭吸附等装置，处理效率参考《资源节约与环保》期刊2016年第5期中《UV光解净化设备去除三苯类废气的研究》得出）处理，处理后经15m高的排气筒排出，其余2%的油漆废气为无组织排放。</w:t>
            </w:r>
          </w:p>
          <w:p>
            <w:pPr>
              <w:spacing w:line="360" w:lineRule="auto"/>
              <w:ind w:right="105" w:rightChars="50" w:firstLine="482" w:firstLineChars="200"/>
              <w:textAlignment w:val="baseline"/>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A、漆雾颗粒</w:t>
            </w:r>
          </w:p>
          <w:p>
            <w:pPr>
              <w:spacing w:line="360" w:lineRule="auto"/>
              <w:ind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产生量：</w:t>
            </w:r>
            <w:r>
              <w:rPr>
                <w:rFonts w:ascii="Times New Roman" w:hAnsi="Times New Roman" w:eastAsia="宋体" w:cs="Times New Roman"/>
                <w:color w:val="auto"/>
                <w:position w:val="2"/>
                <w:sz w:val="24"/>
              </w:rPr>
              <w:t>根据建设单位提供的资料，项目汽车修理喷漆采用空气喷涂法，项目主要使用底漆、色漆和清漆，其中底漆的使用量为0.12t/a，固分含量为0.06t/a，色漆的使用量为0.38 t/a， 固分含量为0.19t/a，清漆的使用量为0.45 t/a，固分含量为0.30t/a。根据《喷漆工序有机废气源强的估算比较》（中国环境科学学会.中国环境科学学会学术年会优秀论文集下卷2015.5梁栋），一般空气喷涂的涂装效率约为40%~80%，本次环评取70%计，因此固分中约有30% 会形成漆雾，则项目漆雾颗粒的产生量为0.165t/a，0.11kg/h。</w:t>
            </w:r>
          </w:p>
          <w:p>
            <w:pPr>
              <w:spacing w:line="360" w:lineRule="auto"/>
              <w:ind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排放量：</w:t>
            </w:r>
            <w:r>
              <w:rPr>
                <w:rFonts w:ascii="Times New Roman" w:hAnsi="Times New Roman" w:eastAsia="宋体" w:cs="Times New Roman"/>
                <w:color w:val="auto"/>
                <w:position w:val="2"/>
                <w:sz w:val="24"/>
              </w:rPr>
              <w:t>项目喷喷烤漆房平均每天工作5小时，风机风量为6000m</w:t>
            </w:r>
            <w:r>
              <w:rPr>
                <w:rFonts w:ascii="Times New Roman" w:hAnsi="Times New Roman" w:eastAsia="宋体" w:cs="Times New Roman"/>
                <w:color w:val="auto"/>
                <w:position w:val="2"/>
                <w:sz w:val="24"/>
                <w:vertAlign w:val="superscript"/>
              </w:rPr>
              <w:t>3</w:t>
            </w:r>
            <w:r>
              <w:rPr>
                <w:rFonts w:ascii="Times New Roman" w:hAnsi="Times New Roman" w:eastAsia="宋体" w:cs="Times New Roman"/>
                <w:color w:val="auto"/>
                <w:position w:val="2"/>
                <w:sz w:val="24"/>
              </w:rPr>
              <w:t>/h，去除效率为90%，则漆雾颗粒的排放量为0.0162t/a，0.0108kg/h，产生浓度为1.80mg/m</w:t>
            </w:r>
            <w:r>
              <w:rPr>
                <w:rFonts w:ascii="Times New Roman" w:hAnsi="Times New Roman" w:eastAsia="宋体" w:cs="Times New Roman"/>
                <w:color w:val="auto"/>
                <w:position w:val="2"/>
                <w:sz w:val="24"/>
                <w:vertAlign w:val="superscript"/>
              </w:rPr>
              <w:t>3</w:t>
            </w:r>
            <w:r>
              <w:rPr>
                <w:rFonts w:ascii="Times New Roman" w:hAnsi="Times New Roman" w:eastAsia="宋体" w:cs="Times New Roman"/>
                <w:color w:val="auto"/>
                <w:position w:val="2"/>
                <w:sz w:val="24"/>
              </w:rPr>
              <w:t>。</w:t>
            </w:r>
          </w:p>
          <w:p>
            <w:pPr>
              <w:spacing w:line="360" w:lineRule="auto"/>
              <w:ind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无组织漆雾颗粒排放量</w:t>
            </w:r>
            <w:r>
              <w:rPr>
                <w:rFonts w:ascii="Times New Roman" w:hAnsi="Times New Roman" w:eastAsia="宋体" w:cs="Times New Roman"/>
                <w:color w:val="auto"/>
                <w:position w:val="2"/>
                <w:sz w:val="24"/>
              </w:rPr>
              <w:t>为0.0033t/a，0.0022kg/h。</w:t>
            </w:r>
          </w:p>
          <w:p>
            <w:pPr>
              <w:spacing w:line="360" w:lineRule="auto"/>
              <w:ind w:right="105" w:rightChars="50" w:firstLine="482" w:firstLineChars="200"/>
              <w:textAlignment w:val="baseline"/>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B、喷喷烤漆房产生的有机废气</w:t>
            </w:r>
          </w:p>
          <w:p>
            <w:pPr>
              <w:spacing w:line="360" w:lineRule="auto"/>
              <w:ind w:right="105" w:rightChars="50"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产生量：</w:t>
            </w:r>
            <w:r>
              <w:rPr>
                <w:rFonts w:ascii="Times New Roman" w:hAnsi="Times New Roman" w:eastAsia="宋体" w:cs="Times New Roman"/>
                <w:color w:val="auto"/>
                <w:position w:val="2"/>
                <w:sz w:val="24"/>
              </w:rPr>
              <w:t>本项目喷喷烤漆房为干式喷喷烤漆房，调漆、喷漆及烘干（晾干）均在喷喷烤漆房内进行，根据建设单位提供的底漆、清漆、色漆、稀释剂和固化剂的用量及成分，按照各原料中挥发分全部挥发考虑，本项目调漆、喷漆和烘干（晾干）过程有机废气挥发产生的有机废气情况如下表所示。</w:t>
            </w:r>
          </w:p>
          <w:p>
            <w:pPr>
              <w:pStyle w:val="38"/>
              <w:spacing w:after="0"/>
              <w:ind w:left="0" w:leftChars="0" w:firstLine="482"/>
              <w:jc w:val="center"/>
              <w:rPr>
                <w:b/>
                <w:bCs/>
                <w:color w:val="auto"/>
                <w:position w:val="2"/>
                <w:sz w:val="24"/>
              </w:rPr>
            </w:pPr>
            <w:r>
              <w:rPr>
                <w:b/>
                <w:bCs/>
                <w:color w:val="auto"/>
                <w:position w:val="2"/>
                <w:sz w:val="24"/>
              </w:rPr>
              <w:t>表5-1  项目喷漆过程有机废气的产生情况</w:t>
            </w:r>
          </w:p>
          <w:tbl>
            <w:tblPr>
              <w:tblStyle w:val="226"/>
              <w:tblW w:w="9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1674"/>
              <w:gridCol w:w="2400"/>
              <w:gridCol w:w="1317"/>
              <w:gridCol w:w="1487"/>
              <w:gridCol w:w="1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412" w:type="dxa"/>
                  <w:gridSpan w:val="2"/>
                  <w:vAlign w:val="center"/>
                </w:tcPr>
                <w:p>
                  <w:pPr>
                    <w:autoSpaceDE/>
                    <w:autoSpaceDN/>
                    <w:jc w:val="center"/>
                    <w:textAlignment w:val="baseline"/>
                    <w:rPr>
                      <w:rFonts w:ascii="Times New Roman" w:hAnsi="Times New Roman" w:eastAsia="宋体" w:cs="Times New Roman"/>
                      <w:b/>
                      <w:color w:val="auto"/>
                      <w:position w:val="2"/>
                      <w:szCs w:val="21"/>
                      <w:lang w:eastAsia="en-US"/>
                    </w:rPr>
                  </w:pPr>
                  <w:r>
                    <w:rPr>
                      <w:rFonts w:ascii="Times New Roman" w:hAnsi="Times New Roman" w:eastAsia="宋体" w:cs="Times New Roman"/>
                      <w:b/>
                      <w:color w:val="auto"/>
                      <w:position w:val="2"/>
                      <w:szCs w:val="21"/>
                      <w:lang w:eastAsia="en-US"/>
                    </w:rPr>
                    <w:t>油漆种类</w:t>
                  </w:r>
                </w:p>
              </w:tc>
              <w:tc>
                <w:tcPr>
                  <w:tcW w:w="3717" w:type="dxa"/>
                  <w:gridSpan w:val="2"/>
                  <w:vAlign w:val="center"/>
                </w:tcPr>
                <w:p>
                  <w:pPr>
                    <w:autoSpaceDE/>
                    <w:autoSpaceDN/>
                    <w:jc w:val="center"/>
                    <w:textAlignment w:val="baseline"/>
                    <w:rPr>
                      <w:rFonts w:ascii="Times New Roman" w:hAnsi="Times New Roman" w:eastAsia="宋体" w:cs="Times New Roman"/>
                      <w:b/>
                      <w:color w:val="auto"/>
                      <w:position w:val="2"/>
                      <w:szCs w:val="21"/>
                      <w:lang w:eastAsia="en-US"/>
                    </w:rPr>
                  </w:pPr>
                  <w:r>
                    <w:rPr>
                      <w:rFonts w:ascii="Times New Roman" w:hAnsi="Times New Roman" w:eastAsia="宋体" w:cs="Times New Roman"/>
                      <w:b/>
                      <w:color w:val="auto"/>
                      <w:position w:val="2"/>
                      <w:szCs w:val="21"/>
                      <w:lang w:eastAsia="en-US"/>
                    </w:rPr>
                    <w:t>挥发分（%）</w:t>
                  </w:r>
                </w:p>
              </w:tc>
              <w:tc>
                <w:tcPr>
                  <w:tcW w:w="1487" w:type="dxa"/>
                  <w:vAlign w:val="center"/>
                </w:tcPr>
                <w:p>
                  <w:pPr>
                    <w:autoSpaceDE/>
                    <w:autoSpaceDN/>
                    <w:jc w:val="center"/>
                    <w:textAlignment w:val="baseline"/>
                    <w:rPr>
                      <w:rFonts w:ascii="Times New Roman" w:hAnsi="Times New Roman" w:eastAsia="宋体" w:cs="Times New Roman"/>
                      <w:b/>
                      <w:color w:val="auto"/>
                      <w:position w:val="2"/>
                      <w:szCs w:val="21"/>
                      <w:lang w:eastAsia="en-US"/>
                    </w:rPr>
                  </w:pPr>
                  <w:r>
                    <w:rPr>
                      <w:rFonts w:ascii="Times New Roman" w:hAnsi="Times New Roman" w:eastAsia="宋体" w:cs="Times New Roman"/>
                      <w:b/>
                      <w:color w:val="auto"/>
                      <w:position w:val="2"/>
                      <w:szCs w:val="21"/>
                      <w:lang w:eastAsia="en-US"/>
                    </w:rPr>
                    <w:t>用量t/a</w:t>
                  </w:r>
                </w:p>
              </w:tc>
              <w:tc>
                <w:tcPr>
                  <w:tcW w:w="1940" w:type="dxa"/>
                  <w:vAlign w:val="center"/>
                </w:tcPr>
                <w:p>
                  <w:pPr>
                    <w:autoSpaceDE/>
                    <w:autoSpaceDN/>
                    <w:jc w:val="center"/>
                    <w:textAlignment w:val="baseline"/>
                    <w:rPr>
                      <w:rFonts w:ascii="Times New Roman" w:hAnsi="Times New Roman" w:eastAsia="宋体" w:cs="Times New Roman"/>
                      <w:b/>
                      <w:color w:val="auto"/>
                      <w:position w:val="2"/>
                      <w:szCs w:val="21"/>
                      <w:lang w:eastAsia="zh-CN"/>
                    </w:rPr>
                  </w:pPr>
                  <w:r>
                    <w:rPr>
                      <w:rFonts w:ascii="Times New Roman" w:hAnsi="Times New Roman" w:eastAsia="宋体" w:cs="Times New Roman"/>
                      <w:b/>
                      <w:color w:val="auto"/>
                      <w:position w:val="2"/>
                      <w:szCs w:val="21"/>
                      <w:lang w:eastAsia="zh-CN"/>
                    </w:rPr>
                    <w:t>调漆、喷漆和</w:t>
                  </w:r>
                </w:p>
                <w:p>
                  <w:pPr>
                    <w:autoSpaceDE/>
                    <w:autoSpaceDN/>
                    <w:jc w:val="center"/>
                    <w:textAlignment w:val="baseline"/>
                    <w:rPr>
                      <w:rFonts w:ascii="Times New Roman" w:hAnsi="Times New Roman" w:eastAsia="宋体" w:cs="Times New Roman"/>
                      <w:b/>
                      <w:color w:val="auto"/>
                      <w:position w:val="2"/>
                      <w:szCs w:val="21"/>
                      <w:lang w:eastAsia="zh-CN"/>
                    </w:rPr>
                  </w:pPr>
                  <w:r>
                    <w:rPr>
                      <w:rFonts w:ascii="Times New Roman" w:hAnsi="Times New Roman" w:eastAsia="宋体" w:cs="Times New Roman"/>
                      <w:b/>
                      <w:color w:val="auto"/>
                      <w:position w:val="2"/>
                      <w:szCs w:val="21"/>
                      <w:lang w:eastAsia="zh-CN"/>
                    </w:rPr>
                    <w:t>烘干（晾干） 过程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喷喷烤漆房</w:t>
                  </w:r>
                </w:p>
              </w:tc>
              <w:tc>
                <w:tcPr>
                  <w:tcW w:w="1674"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底漆</w:t>
                  </w:r>
                </w:p>
              </w:tc>
              <w:tc>
                <w:tcPr>
                  <w:tcW w:w="2400" w:type="dxa"/>
                  <w:vAlign w:val="center"/>
                </w:tcPr>
                <w:p>
                  <w:pPr>
                    <w:pStyle w:val="218"/>
                    <w:autoSpaceDE/>
                    <w:autoSpaceDN/>
                    <w:spacing w:line="262" w:lineRule="exact"/>
                    <w:ind w:left="19" w:right="2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二甲苯</w:t>
                  </w:r>
                </w:p>
              </w:tc>
              <w:tc>
                <w:tcPr>
                  <w:tcW w:w="1317" w:type="dxa"/>
                  <w:vAlign w:val="center"/>
                </w:tcPr>
                <w:p>
                  <w:pPr>
                    <w:pStyle w:val="218"/>
                    <w:autoSpaceDE/>
                    <w:autoSpaceDN/>
                    <w:spacing w:before="36"/>
                    <w:ind w:left="548" w:right="548"/>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10</w:t>
                  </w:r>
                </w:p>
              </w:tc>
              <w:tc>
                <w:tcPr>
                  <w:tcW w:w="1487" w:type="dxa"/>
                  <w:vMerge w:val="restart"/>
                  <w:vAlign w:val="center"/>
                </w:tcPr>
                <w:p>
                  <w:pPr>
                    <w:autoSpaceDE/>
                    <w:autoSpaceDN/>
                    <w:jc w:val="center"/>
                    <w:textAlignment w:val="baseline"/>
                    <w:rPr>
                      <w:rFonts w:ascii="Times New Roman" w:hAnsi="Times New Roman" w:eastAsia="宋体" w:cs="Times New Roman"/>
                      <w:color w:val="auto"/>
                      <w:position w:val="2"/>
                      <w:szCs w:val="21"/>
                      <w:lang w:eastAsia="zh-CN"/>
                    </w:rPr>
                  </w:pPr>
                  <w:r>
                    <w:rPr>
                      <w:rFonts w:ascii="Times New Roman" w:hAnsi="Times New Roman" w:eastAsia="宋体" w:cs="Times New Roman"/>
                      <w:color w:val="auto"/>
                      <w:position w:val="2"/>
                      <w:szCs w:val="21"/>
                      <w:lang w:eastAsia="zh-CN"/>
                    </w:rPr>
                    <w:t>0.12</w:t>
                  </w:r>
                </w:p>
              </w:tc>
              <w:tc>
                <w:tcPr>
                  <w:tcW w:w="1940" w:type="dxa"/>
                  <w:vAlign w:val="center"/>
                </w:tcPr>
                <w:p>
                  <w:pPr>
                    <w:pStyle w:val="218"/>
                    <w:autoSpaceDE/>
                    <w:autoSpaceDN/>
                    <w:spacing w:before="36"/>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2400" w:type="dxa"/>
                  <w:vAlign w:val="center"/>
                </w:tcPr>
                <w:p>
                  <w:pPr>
                    <w:pStyle w:val="218"/>
                    <w:autoSpaceDE/>
                    <w:autoSpaceDN/>
                    <w:spacing w:line="262" w:lineRule="exact"/>
                    <w:ind w:left="19" w:right="2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其他（以VOCS计）</w:t>
                  </w:r>
                </w:p>
              </w:tc>
              <w:tc>
                <w:tcPr>
                  <w:tcW w:w="1317" w:type="dxa"/>
                  <w:vAlign w:val="center"/>
                </w:tcPr>
                <w:p>
                  <w:pPr>
                    <w:pStyle w:val="218"/>
                    <w:autoSpaceDE/>
                    <w:autoSpaceDN/>
                    <w:spacing w:before="36"/>
                    <w:ind w:left="548" w:right="548"/>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30</w:t>
                  </w:r>
                </w:p>
              </w:tc>
              <w:tc>
                <w:tcPr>
                  <w:tcW w:w="1487" w:type="dxa"/>
                  <w:vMerge w:val="continue"/>
                  <w:vAlign w:val="center"/>
                </w:tcPr>
                <w:p>
                  <w:pPr>
                    <w:autoSpaceDE/>
                    <w:autoSpaceDN/>
                    <w:jc w:val="center"/>
                    <w:textAlignment w:val="baseline"/>
                    <w:rPr>
                      <w:rFonts w:ascii="Times New Roman" w:hAnsi="Times New Roman" w:eastAsia="宋体" w:cs="Times New Roman"/>
                      <w:color w:val="auto"/>
                      <w:position w:val="2"/>
                      <w:szCs w:val="21"/>
                      <w:lang w:eastAsia="en-US"/>
                    </w:rPr>
                  </w:pPr>
                </w:p>
              </w:tc>
              <w:tc>
                <w:tcPr>
                  <w:tcW w:w="1940" w:type="dxa"/>
                  <w:vAlign w:val="center"/>
                </w:tcPr>
                <w:p>
                  <w:pPr>
                    <w:pStyle w:val="218"/>
                    <w:autoSpaceDE/>
                    <w:autoSpaceDN/>
                    <w:spacing w:before="36"/>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色漆</w:t>
                  </w:r>
                </w:p>
              </w:tc>
              <w:tc>
                <w:tcPr>
                  <w:tcW w:w="2400" w:type="dxa"/>
                  <w:vAlign w:val="center"/>
                </w:tcPr>
                <w:p>
                  <w:pPr>
                    <w:pStyle w:val="218"/>
                    <w:autoSpaceDE/>
                    <w:autoSpaceDN/>
                    <w:spacing w:line="261" w:lineRule="exact"/>
                    <w:ind w:left="19" w:right="2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二甲苯</w:t>
                  </w:r>
                </w:p>
              </w:tc>
              <w:tc>
                <w:tcPr>
                  <w:tcW w:w="1317" w:type="dxa"/>
                  <w:vAlign w:val="center"/>
                </w:tcPr>
                <w:p>
                  <w:pPr>
                    <w:pStyle w:val="218"/>
                    <w:autoSpaceDE/>
                    <w:autoSpaceDN/>
                    <w:spacing w:before="35"/>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8</w:t>
                  </w:r>
                </w:p>
              </w:tc>
              <w:tc>
                <w:tcPr>
                  <w:tcW w:w="1487" w:type="dxa"/>
                  <w:vMerge w:val="restart"/>
                  <w:vAlign w:val="center"/>
                </w:tcPr>
                <w:p>
                  <w:pPr>
                    <w:pStyle w:val="218"/>
                    <w:autoSpaceDE/>
                    <w:autoSpaceDN/>
                    <w:ind w:left="509" w:right="508"/>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0.38</w:t>
                  </w:r>
                </w:p>
              </w:tc>
              <w:tc>
                <w:tcPr>
                  <w:tcW w:w="1940" w:type="dxa"/>
                  <w:vAlign w:val="center"/>
                </w:tcPr>
                <w:p>
                  <w:pPr>
                    <w:pStyle w:val="218"/>
                    <w:autoSpaceDE/>
                    <w:autoSpaceDN/>
                    <w:spacing w:before="35"/>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2400" w:type="dxa"/>
                  <w:vAlign w:val="center"/>
                </w:tcPr>
                <w:p>
                  <w:pPr>
                    <w:pStyle w:val="218"/>
                    <w:autoSpaceDE/>
                    <w:autoSpaceDN/>
                    <w:spacing w:line="277" w:lineRule="exact"/>
                    <w:ind w:left="21" w:right="2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其他（以VOCS计）</w:t>
                  </w:r>
                </w:p>
              </w:tc>
              <w:tc>
                <w:tcPr>
                  <w:tcW w:w="1317" w:type="dxa"/>
                  <w:vAlign w:val="center"/>
                </w:tcPr>
                <w:p>
                  <w:pPr>
                    <w:pStyle w:val="218"/>
                    <w:autoSpaceDE/>
                    <w:autoSpaceDN/>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52</w:t>
                  </w:r>
                </w:p>
              </w:tc>
              <w:tc>
                <w:tcPr>
                  <w:tcW w:w="1487" w:type="dxa"/>
                  <w:vMerge w:val="continue"/>
                  <w:vAlign w:val="center"/>
                </w:tcPr>
                <w:p>
                  <w:pPr>
                    <w:autoSpaceDE/>
                    <w:autoSpaceDN/>
                    <w:jc w:val="center"/>
                    <w:textAlignment w:val="baseline"/>
                    <w:rPr>
                      <w:rFonts w:ascii="Times New Roman" w:hAnsi="Times New Roman" w:eastAsia="宋体" w:cs="Times New Roman"/>
                      <w:color w:val="auto"/>
                      <w:position w:val="2"/>
                      <w:szCs w:val="21"/>
                      <w:lang w:eastAsia="en-US"/>
                    </w:rPr>
                  </w:pPr>
                </w:p>
              </w:tc>
              <w:tc>
                <w:tcPr>
                  <w:tcW w:w="1940" w:type="dxa"/>
                  <w:vAlign w:val="center"/>
                </w:tcPr>
                <w:p>
                  <w:pPr>
                    <w:pStyle w:val="218"/>
                    <w:autoSpaceDE/>
                    <w:autoSpaceDN/>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0.1976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清漆</w:t>
                  </w:r>
                </w:p>
              </w:tc>
              <w:tc>
                <w:tcPr>
                  <w:tcW w:w="2400" w:type="dxa"/>
                  <w:vAlign w:val="center"/>
                </w:tcPr>
                <w:p>
                  <w:pPr>
                    <w:pStyle w:val="218"/>
                    <w:autoSpaceDE/>
                    <w:autoSpaceDN/>
                    <w:spacing w:line="260" w:lineRule="exact"/>
                    <w:ind w:left="19" w:right="2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二甲苯</w:t>
                  </w:r>
                </w:p>
              </w:tc>
              <w:tc>
                <w:tcPr>
                  <w:tcW w:w="1317" w:type="dxa"/>
                  <w:vAlign w:val="center"/>
                </w:tcPr>
                <w:p>
                  <w:pPr>
                    <w:pStyle w:val="218"/>
                    <w:autoSpaceDE/>
                    <w:autoSpaceDN/>
                    <w:spacing w:before="34"/>
                    <w:ind w:left="548" w:right="548"/>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20</w:t>
                  </w:r>
                </w:p>
              </w:tc>
              <w:tc>
                <w:tcPr>
                  <w:tcW w:w="1487" w:type="dxa"/>
                  <w:vMerge w:val="restart"/>
                  <w:vAlign w:val="center"/>
                </w:tcPr>
                <w:p>
                  <w:pPr>
                    <w:pStyle w:val="218"/>
                    <w:autoSpaceDE/>
                    <w:autoSpaceDN/>
                    <w:ind w:left="509" w:right="508"/>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0.45</w:t>
                  </w:r>
                </w:p>
              </w:tc>
              <w:tc>
                <w:tcPr>
                  <w:tcW w:w="1940" w:type="dxa"/>
                  <w:vAlign w:val="center"/>
                </w:tcPr>
                <w:p>
                  <w:pPr>
                    <w:pStyle w:val="218"/>
                    <w:autoSpaceDE/>
                    <w:autoSpaceDN/>
                    <w:spacing w:before="34"/>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2400" w:type="dxa"/>
                  <w:vAlign w:val="center"/>
                </w:tcPr>
                <w:p>
                  <w:pPr>
                    <w:pStyle w:val="218"/>
                    <w:autoSpaceDE/>
                    <w:autoSpaceDN/>
                    <w:spacing w:line="278" w:lineRule="exact"/>
                    <w:ind w:left="21" w:right="2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其他（以VOCS计）</w:t>
                  </w:r>
                </w:p>
              </w:tc>
              <w:tc>
                <w:tcPr>
                  <w:tcW w:w="1317" w:type="dxa"/>
                  <w:vAlign w:val="center"/>
                </w:tcPr>
                <w:p>
                  <w:pPr>
                    <w:pStyle w:val="218"/>
                    <w:autoSpaceDE/>
                    <w:autoSpaceDN/>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30</w:t>
                  </w:r>
                </w:p>
              </w:tc>
              <w:tc>
                <w:tcPr>
                  <w:tcW w:w="1487" w:type="dxa"/>
                  <w:vMerge w:val="continue"/>
                  <w:vAlign w:val="center"/>
                </w:tcPr>
                <w:p>
                  <w:pPr>
                    <w:autoSpaceDE/>
                    <w:autoSpaceDN/>
                    <w:jc w:val="center"/>
                    <w:textAlignment w:val="baseline"/>
                    <w:rPr>
                      <w:rFonts w:ascii="Times New Roman" w:hAnsi="Times New Roman" w:eastAsia="宋体" w:cs="Times New Roman"/>
                      <w:color w:val="auto"/>
                      <w:position w:val="2"/>
                      <w:szCs w:val="21"/>
                      <w:lang w:eastAsia="en-US"/>
                    </w:rPr>
                  </w:pPr>
                </w:p>
              </w:tc>
              <w:tc>
                <w:tcPr>
                  <w:tcW w:w="1940" w:type="dxa"/>
                  <w:vAlign w:val="center"/>
                </w:tcPr>
                <w:p>
                  <w:pPr>
                    <w:pStyle w:val="218"/>
                    <w:autoSpaceDE/>
                    <w:autoSpaceDN/>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稀释剂</w:t>
                  </w:r>
                </w:p>
              </w:tc>
              <w:tc>
                <w:tcPr>
                  <w:tcW w:w="2400" w:type="dxa"/>
                  <w:vAlign w:val="center"/>
                </w:tcPr>
                <w:p>
                  <w:pPr>
                    <w:pStyle w:val="218"/>
                    <w:autoSpaceDE/>
                    <w:autoSpaceDN/>
                    <w:spacing w:line="261" w:lineRule="exact"/>
                    <w:ind w:left="19" w:right="2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二甲苯</w:t>
                  </w:r>
                </w:p>
              </w:tc>
              <w:tc>
                <w:tcPr>
                  <w:tcW w:w="1317" w:type="dxa"/>
                  <w:vAlign w:val="center"/>
                </w:tcPr>
                <w:p>
                  <w:pPr>
                    <w:pStyle w:val="218"/>
                    <w:autoSpaceDE/>
                    <w:autoSpaceDN/>
                    <w:spacing w:before="35"/>
                    <w:ind w:left="548" w:right="548"/>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25</w:t>
                  </w:r>
                </w:p>
              </w:tc>
              <w:tc>
                <w:tcPr>
                  <w:tcW w:w="1487" w:type="dxa"/>
                  <w:vMerge w:val="restart"/>
                  <w:vAlign w:val="center"/>
                </w:tcPr>
                <w:p>
                  <w:pPr>
                    <w:autoSpaceDE/>
                    <w:autoSpaceDN/>
                    <w:jc w:val="center"/>
                    <w:textAlignment w:val="baseline"/>
                    <w:rPr>
                      <w:rFonts w:ascii="Times New Roman" w:hAnsi="Times New Roman" w:eastAsia="宋体" w:cs="Times New Roman"/>
                      <w:color w:val="auto"/>
                      <w:position w:val="2"/>
                      <w:szCs w:val="21"/>
                      <w:lang w:eastAsia="zh-CN"/>
                    </w:rPr>
                  </w:pPr>
                  <w:r>
                    <w:rPr>
                      <w:rFonts w:ascii="Times New Roman" w:hAnsi="Times New Roman" w:eastAsia="宋体" w:cs="Times New Roman"/>
                      <w:color w:val="auto"/>
                      <w:position w:val="2"/>
                      <w:szCs w:val="21"/>
                      <w:lang w:eastAsia="zh-CN"/>
                    </w:rPr>
                    <w:t>0.05</w:t>
                  </w:r>
                </w:p>
              </w:tc>
              <w:tc>
                <w:tcPr>
                  <w:tcW w:w="1940" w:type="dxa"/>
                  <w:vAlign w:val="center"/>
                </w:tcPr>
                <w:p>
                  <w:pPr>
                    <w:pStyle w:val="218"/>
                    <w:autoSpaceDE/>
                    <w:autoSpaceDN/>
                    <w:spacing w:before="35"/>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2400" w:type="dxa"/>
                  <w:vAlign w:val="center"/>
                </w:tcPr>
                <w:p>
                  <w:pPr>
                    <w:pStyle w:val="218"/>
                    <w:autoSpaceDE/>
                    <w:autoSpaceDN/>
                    <w:spacing w:line="261" w:lineRule="exact"/>
                    <w:ind w:left="19" w:right="2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其他（以VOCS计）</w:t>
                  </w:r>
                </w:p>
              </w:tc>
              <w:tc>
                <w:tcPr>
                  <w:tcW w:w="1317" w:type="dxa"/>
                  <w:vAlign w:val="center"/>
                </w:tcPr>
                <w:p>
                  <w:pPr>
                    <w:pStyle w:val="218"/>
                    <w:autoSpaceDE/>
                    <w:autoSpaceDN/>
                    <w:spacing w:before="35"/>
                    <w:ind w:left="548" w:right="548"/>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74</w:t>
                  </w:r>
                </w:p>
              </w:tc>
              <w:tc>
                <w:tcPr>
                  <w:tcW w:w="1487" w:type="dxa"/>
                  <w:vMerge w:val="continue"/>
                  <w:vAlign w:val="center"/>
                </w:tcPr>
                <w:p>
                  <w:pPr>
                    <w:autoSpaceDE/>
                    <w:autoSpaceDN/>
                    <w:jc w:val="center"/>
                    <w:textAlignment w:val="baseline"/>
                    <w:rPr>
                      <w:rFonts w:ascii="Times New Roman" w:hAnsi="Times New Roman" w:eastAsia="宋体" w:cs="Times New Roman"/>
                      <w:color w:val="auto"/>
                      <w:position w:val="2"/>
                      <w:szCs w:val="21"/>
                      <w:lang w:eastAsia="en-US"/>
                    </w:rPr>
                  </w:pPr>
                </w:p>
              </w:tc>
              <w:tc>
                <w:tcPr>
                  <w:tcW w:w="1940" w:type="dxa"/>
                  <w:vAlign w:val="center"/>
                </w:tcPr>
                <w:p>
                  <w:pPr>
                    <w:pStyle w:val="218"/>
                    <w:autoSpaceDE/>
                    <w:autoSpaceDN/>
                    <w:spacing w:before="35"/>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固化剂</w:t>
                  </w:r>
                </w:p>
              </w:tc>
              <w:tc>
                <w:tcPr>
                  <w:tcW w:w="2400" w:type="dxa"/>
                  <w:vAlign w:val="center"/>
                </w:tcPr>
                <w:p>
                  <w:pPr>
                    <w:pStyle w:val="218"/>
                    <w:autoSpaceDE/>
                    <w:autoSpaceDN/>
                    <w:spacing w:line="260" w:lineRule="exact"/>
                    <w:ind w:left="19" w:right="2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二甲苯</w:t>
                  </w:r>
                </w:p>
              </w:tc>
              <w:tc>
                <w:tcPr>
                  <w:tcW w:w="1317" w:type="dxa"/>
                  <w:vAlign w:val="center"/>
                </w:tcPr>
                <w:p>
                  <w:pPr>
                    <w:pStyle w:val="218"/>
                    <w:autoSpaceDE/>
                    <w:autoSpaceDN/>
                    <w:spacing w:before="34"/>
                    <w:ind w:left="548" w:right="548"/>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20</w:t>
                  </w:r>
                </w:p>
              </w:tc>
              <w:tc>
                <w:tcPr>
                  <w:tcW w:w="1487" w:type="dxa"/>
                  <w:vMerge w:val="restart"/>
                  <w:vAlign w:val="center"/>
                </w:tcPr>
                <w:p>
                  <w:pPr>
                    <w:autoSpaceDE/>
                    <w:autoSpaceDN/>
                    <w:jc w:val="center"/>
                    <w:textAlignment w:val="baseline"/>
                    <w:rPr>
                      <w:rFonts w:ascii="Times New Roman" w:hAnsi="Times New Roman" w:eastAsia="宋体" w:cs="Times New Roman"/>
                      <w:color w:val="auto"/>
                      <w:position w:val="2"/>
                      <w:szCs w:val="21"/>
                      <w:lang w:eastAsia="zh-CN"/>
                    </w:rPr>
                  </w:pPr>
                  <w:r>
                    <w:rPr>
                      <w:rFonts w:ascii="Times New Roman" w:hAnsi="Times New Roman" w:eastAsia="宋体" w:cs="Times New Roman"/>
                      <w:color w:val="auto"/>
                      <w:position w:val="2"/>
                      <w:szCs w:val="21"/>
                      <w:lang w:eastAsia="zh-CN"/>
                    </w:rPr>
                    <w:t>0.23</w:t>
                  </w:r>
                </w:p>
              </w:tc>
              <w:tc>
                <w:tcPr>
                  <w:tcW w:w="1940" w:type="dxa"/>
                  <w:vAlign w:val="center"/>
                </w:tcPr>
                <w:p>
                  <w:pPr>
                    <w:pStyle w:val="218"/>
                    <w:autoSpaceDE/>
                    <w:autoSpaceDN/>
                    <w:spacing w:before="34"/>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autoSpaceDE/>
                    <w:autoSpaceDN/>
                    <w:jc w:val="center"/>
                    <w:textAlignment w:val="baseline"/>
                    <w:rPr>
                      <w:rFonts w:ascii="Times New Roman" w:hAnsi="Times New Roman" w:eastAsia="宋体" w:cs="Times New Roman"/>
                      <w:color w:val="auto"/>
                      <w:position w:val="2"/>
                      <w:szCs w:val="21"/>
                      <w:lang w:eastAsia="en-US"/>
                    </w:rPr>
                  </w:pPr>
                </w:p>
              </w:tc>
              <w:tc>
                <w:tcPr>
                  <w:tcW w:w="1674" w:type="dxa"/>
                  <w:vMerge w:val="continue"/>
                  <w:vAlign w:val="center"/>
                </w:tcPr>
                <w:p>
                  <w:pPr>
                    <w:autoSpaceDE/>
                    <w:autoSpaceDN/>
                    <w:jc w:val="center"/>
                    <w:textAlignment w:val="baseline"/>
                    <w:rPr>
                      <w:rFonts w:ascii="Times New Roman" w:hAnsi="Times New Roman" w:eastAsia="宋体" w:cs="Times New Roman"/>
                      <w:color w:val="auto"/>
                      <w:position w:val="2"/>
                      <w:szCs w:val="21"/>
                      <w:lang w:eastAsia="en-US"/>
                    </w:rPr>
                  </w:pPr>
                </w:p>
              </w:tc>
              <w:tc>
                <w:tcPr>
                  <w:tcW w:w="2400" w:type="dxa"/>
                  <w:vAlign w:val="center"/>
                </w:tcPr>
                <w:p>
                  <w:pPr>
                    <w:pStyle w:val="218"/>
                    <w:autoSpaceDE/>
                    <w:autoSpaceDN/>
                    <w:spacing w:line="260" w:lineRule="exact"/>
                    <w:ind w:left="19" w:right="2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其他（以VOCS计）</w:t>
                  </w:r>
                </w:p>
              </w:tc>
              <w:tc>
                <w:tcPr>
                  <w:tcW w:w="1317" w:type="dxa"/>
                  <w:vAlign w:val="center"/>
                </w:tcPr>
                <w:p>
                  <w:pPr>
                    <w:pStyle w:val="218"/>
                    <w:autoSpaceDE/>
                    <w:autoSpaceDN/>
                    <w:spacing w:before="34"/>
                    <w:ind w:left="548" w:right="548"/>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79</w:t>
                  </w:r>
                </w:p>
              </w:tc>
              <w:tc>
                <w:tcPr>
                  <w:tcW w:w="1487" w:type="dxa"/>
                  <w:vMerge w:val="continue"/>
                  <w:vAlign w:val="center"/>
                </w:tcPr>
                <w:p>
                  <w:pPr>
                    <w:autoSpaceDE/>
                    <w:autoSpaceDN/>
                    <w:jc w:val="center"/>
                    <w:textAlignment w:val="baseline"/>
                    <w:rPr>
                      <w:rFonts w:ascii="Times New Roman" w:hAnsi="Times New Roman" w:eastAsia="宋体" w:cs="Times New Roman"/>
                      <w:color w:val="auto"/>
                      <w:position w:val="2"/>
                      <w:szCs w:val="21"/>
                      <w:lang w:eastAsia="zh-CN"/>
                    </w:rPr>
                  </w:pPr>
                </w:p>
              </w:tc>
              <w:tc>
                <w:tcPr>
                  <w:tcW w:w="1940" w:type="dxa"/>
                  <w:vAlign w:val="center"/>
                </w:tcPr>
                <w:p>
                  <w:pPr>
                    <w:pStyle w:val="218"/>
                    <w:autoSpaceDE/>
                    <w:autoSpaceDN/>
                    <w:spacing w:before="34"/>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0.1817</w:t>
                  </w:r>
                </w:p>
              </w:tc>
            </w:tr>
          </w:tbl>
          <w:p>
            <w:pPr>
              <w:spacing w:line="360" w:lineRule="auto"/>
              <w:ind w:firstLine="480"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color w:val="auto"/>
                <w:position w:val="2"/>
                <w:sz w:val="24"/>
              </w:rPr>
              <w:t xml:space="preserve">项目调漆、喷漆及烘干（晾干）均在密闭组合式喷喷烤漆房中进行，根据表5-1，项目调漆、喷漆及烘干（晾干）过程中二甲苯的产生量为0.1909t/a，0.1272kg/h，VOCS（其他有机废气以VOCS计）的产生量为0.5873t/a，0.3248kg/h。 </w:t>
            </w:r>
          </w:p>
          <w:p>
            <w:pPr>
              <w:spacing w:line="360" w:lineRule="auto"/>
              <w:ind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排放量：</w:t>
            </w:r>
            <w:r>
              <w:rPr>
                <w:rFonts w:ascii="Times New Roman" w:hAnsi="Times New Roman" w:eastAsia="宋体" w:cs="Times New Roman"/>
                <w:color w:val="auto"/>
                <w:position w:val="2"/>
                <w:sz w:val="24"/>
              </w:rPr>
              <w:t>项目喷喷烤漆房平均每天工作5小时，风机风量为6000m</w:t>
            </w:r>
            <w:r>
              <w:rPr>
                <w:rFonts w:ascii="Times New Roman" w:hAnsi="Times New Roman" w:eastAsia="宋体" w:cs="Times New Roman"/>
                <w:color w:val="auto"/>
                <w:position w:val="2"/>
                <w:sz w:val="24"/>
                <w:vertAlign w:val="superscript"/>
              </w:rPr>
              <w:t>3</w:t>
            </w:r>
            <w:r>
              <w:rPr>
                <w:rFonts w:ascii="Times New Roman" w:hAnsi="Times New Roman" w:eastAsia="宋体" w:cs="Times New Roman"/>
                <w:color w:val="auto"/>
                <w:position w:val="2"/>
                <w:sz w:val="24"/>
              </w:rPr>
              <w:t>/h，则二甲苯的排放量为0.0187t/a，0.0125kg/h，产生浓度为2.0833mg/m</w:t>
            </w:r>
            <w:r>
              <w:rPr>
                <w:rFonts w:ascii="Times New Roman" w:hAnsi="Times New Roman" w:eastAsia="宋体" w:cs="Times New Roman"/>
                <w:color w:val="auto"/>
                <w:position w:val="2"/>
                <w:sz w:val="24"/>
                <w:vertAlign w:val="superscript"/>
              </w:rPr>
              <w:t>3</w:t>
            </w:r>
            <w:r>
              <w:rPr>
                <w:rFonts w:ascii="Times New Roman" w:hAnsi="Times New Roman" w:eastAsia="宋体" w:cs="Times New Roman"/>
                <w:color w:val="auto"/>
                <w:position w:val="2"/>
                <w:sz w:val="24"/>
              </w:rPr>
              <w:t>；VOCS（ 其他有机废气以VOCS计） 的排放量为0.0575t/a，0.0383kg/h，产生浓度为6.3833mg/m</w:t>
            </w:r>
            <w:r>
              <w:rPr>
                <w:rFonts w:ascii="Times New Roman" w:hAnsi="Times New Roman" w:eastAsia="宋体" w:cs="Times New Roman"/>
                <w:color w:val="auto"/>
                <w:position w:val="2"/>
                <w:sz w:val="24"/>
                <w:vertAlign w:val="superscript"/>
              </w:rPr>
              <w:t>3</w:t>
            </w:r>
            <w:r>
              <w:rPr>
                <w:rFonts w:ascii="Times New Roman" w:hAnsi="Times New Roman" w:eastAsia="宋体" w:cs="Times New Roman"/>
                <w:color w:val="auto"/>
                <w:position w:val="2"/>
                <w:sz w:val="24"/>
              </w:rPr>
              <w:t>。</w:t>
            </w:r>
          </w:p>
          <w:p>
            <w:pPr>
              <w:spacing w:line="360" w:lineRule="auto"/>
              <w:ind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无组织有机废气排放量：</w:t>
            </w:r>
            <w:r>
              <w:rPr>
                <w:rFonts w:ascii="Times New Roman" w:hAnsi="Times New Roman" w:eastAsia="宋体" w:cs="Times New Roman"/>
                <w:color w:val="auto"/>
                <w:position w:val="2"/>
                <w:sz w:val="24"/>
              </w:rPr>
              <w:t xml:space="preserve"> 二甲苯的排放量为0.0038t/a，0.0020kg/h；VOCS（ 其他有机废气以VOCS计） 的排放量为0.0117t/a，0.0078kg/h。</w:t>
            </w:r>
          </w:p>
          <w:p>
            <w:pPr>
              <w:spacing w:line="360" w:lineRule="auto"/>
              <w:ind w:right="105" w:rightChars="50" w:firstLine="480"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color w:val="auto"/>
                <w:position w:val="2"/>
                <w:sz w:val="24"/>
              </w:rPr>
              <w:t>综上喷漆废气的最终排放情况见表5-2。</w:t>
            </w:r>
          </w:p>
          <w:p>
            <w:pPr>
              <w:pStyle w:val="38"/>
              <w:spacing w:after="0"/>
              <w:ind w:left="0" w:leftChars="0" w:firstLine="482"/>
              <w:jc w:val="center"/>
              <w:rPr>
                <w:b/>
                <w:bCs/>
                <w:color w:val="auto"/>
                <w:position w:val="2"/>
                <w:sz w:val="24"/>
              </w:rPr>
            </w:pPr>
            <w:r>
              <w:rPr>
                <w:b/>
                <w:bCs/>
                <w:color w:val="auto"/>
                <w:position w:val="2"/>
                <w:sz w:val="24"/>
              </w:rPr>
              <w:t>表5-2  喷漆废气污染物产生及排放情况</w:t>
            </w:r>
          </w:p>
          <w:tbl>
            <w:tblPr>
              <w:tblStyle w:val="22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5"/>
              <w:gridCol w:w="2620"/>
              <w:gridCol w:w="1993"/>
              <w:gridCol w:w="1993"/>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75" w:type="dxa"/>
                  <w:gridSpan w:val="2"/>
                  <w:vAlign w:val="center"/>
                </w:tcPr>
                <w:p>
                  <w:pPr>
                    <w:pStyle w:val="218"/>
                    <w:autoSpaceDE w:val="0"/>
                    <w:autoSpaceDN w:val="0"/>
                    <w:textAlignment w:val="baseline"/>
                    <w:rPr>
                      <w:rFonts w:hint="default" w:ascii="Times New Roman" w:hAnsi="Times New Roman" w:eastAsia="宋体" w:cs="Times New Roman"/>
                      <w:b/>
                      <w:color w:val="auto"/>
                      <w:position w:val="2"/>
                      <w:sz w:val="21"/>
                      <w:szCs w:val="21"/>
                      <w:lang w:eastAsia="en-US"/>
                    </w:rPr>
                  </w:pPr>
                  <w:r>
                    <w:rPr>
                      <w:rFonts w:hint="default" w:ascii="Times New Roman" w:hAnsi="Times New Roman" w:eastAsia="宋体" w:cs="Times New Roman"/>
                      <w:b/>
                      <w:color w:val="auto"/>
                      <w:position w:val="2"/>
                      <w:sz w:val="21"/>
                      <w:szCs w:val="21"/>
                      <w:lang w:eastAsia="en-US"/>
                    </w:rPr>
                    <w:t>污染物名称</w:t>
                  </w:r>
                </w:p>
              </w:tc>
              <w:tc>
                <w:tcPr>
                  <w:tcW w:w="1993" w:type="dxa"/>
                  <w:vAlign w:val="center"/>
                </w:tcPr>
                <w:p>
                  <w:pPr>
                    <w:pStyle w:val="218"/>
                    <w:autoSpaceDE w:val="0"/>
                    <w:autoSpaceDN w:val="0"/>
                    <w:ind w:right="214"/>
                    <w:textAlignment w:val="baseline"/>
                    <w:rPr>
                      <w:rFonts w:hint="default" w:ascii="Times New Roman" w:hAnsi="Times New Roman" w:eastAsia="宋体" w:cs="Times New Roman"/>
                      <w:b/>
                      <w:color w:val="auto"/>
                      <w:position w:val="2"/>
                      <w:sz w:val="21"/>
                      <w:szCs w:val="21"/>
                      <w:lang w:eastAsia="en-US"/>
                    </w:rPr>
                  </w:pPr>
                  <w:r>
                    <w:rPr>
                      <w:rFonts w:hint="default" w:ascii="Times New Roman" w:hAnsi="Times New Roman" w:eastAsia="宋体" w:cs="Times New Roman"/>
                      <w:b/>
                      <w:color w:val="auto"/>
                      <w:position w:val="2"/>
                      <w:sz w:val="21"/>
                      <w:szCs w:val="21"/>
                      <w:lang w:eastAsia="en-US"/>
                    </w:rPr>
                    <w:t>漆雾（</w:t>
                  </w:r>
                  <w:r>
                    <w:rPr>
                      <w:rFonts w:ascii="Times New Roman" w:hAnsi="Times New Roman" w:eastAsia="宋体" w:cs="Times New Roman"/>
                      <w:b/>
                      <w:color w:val="auto"/>
                      <w:position w:val="2"/>
                      <w:sz w:val="21"/>
                      <w:szCs w:val="21"/>
                      <w:lang w:eastAsia="zh-CN"/>
                    </w:rPr>
                    <w:t>颗粒物</w:t>
                  </w:r>
                  <w:r>
                    <w:rPr>
                      <w:rFonts w:hint="default" w:ascii="Times New Roman" w:hAnsi="Times New Roman" w:eastAsia="宋体" w:cs="Times New Roman"/>
                      <w:b/>
                      <w:color w:val="auto"/>
                      <w:position w:val="2"/>
                      <w:sz w:val="21"/>
                      <w:szCs w:val="21"/>
                      <w:lang w:eastAsia="en-US"/>
                    </w:rPr>
                    <w:t>）</w:t>
                  </w:r>
                </w:p>
              </w:tc>
              <w:tc>
                <w:tcPr>
                  <w:tcW w:w="1993" w:type="dxa"/>
                  <w:vAlign w:val="center"/>
                </w:tcPr>
                <w:p>
                  <w:pPr>
                    <w:pStyle w:val="218"/>
                    <w:autoSpaceDE w:val="0"/>
                    <w:autoSpaceDN w:val="0"/>
                    <w:textAlignment w:val="baseline"/>
                    <w:rPr>
                      <w:rFonts w:hint="default" w:ascii="Times New Roman" w:hAnsi="Times New Roman" w:eastAsia="宋体" w:cs="Times New Roman"/>
                      <w:b/>
                      <w:color w:val="auto"/>
                      <w:position w:val="2"/>
                      <w:sz w:val="21"/>
                      <w:szCs w:val="21"/>
                      <w:lang w:eastAsia="en-US"/>
                    </w:rPr>
                  </w:pPr>
                  <w:r>
                    <w:rPr>
                      <w:rFonts w:hint="default" w:ascii="Times New Roman" w:hAnsi="Times New Roman" w:eastAsia="宋体" w:cs="Times New Roman"/>
                      <w:b/>
                      <w:color w:val="auto"/>
                      <w:position w:val="2"/>
                      <w:sz w:val="21"/>
                      <w:szCs w:val="21"/>
                      <w:lang w:eastAsia="en-US"/>
                    </w:rPr>
                    <w:t>二甲苯</w:t>
                  </w:r>
                </w:p>
              </w:tc>
              <w:tc>
                <w:tcPr>
                  <w:tcW w:w="1995" w:type="dxa"/>
                  <w:vAlign w:val="center"/>
                </w:tcPr>
                <w:p>
                  <w:pPr>
                    <w:pStyle w:val="218"/>
                    <w:autoSpaceDE w:val="0"/>
                    <w:autoSpaceDN w:val="0"/>
                    <w:ind w:right="406"/>
                    <w:textAlignment w:val="baseline"/>
                    <w:rPr>
                      <w:rFonts w:hint="default" w:ascii="Times New Roman" w:hAnsi="Times New Roman" w:eastAsia="宋体" w:cs="Times New Roman"/>
                      <w:b/>
                      <w:color w:val="auto"/>
                      <w:position w:val="2"/>
                      <w:sz w:val="21"/>
                      <w:szCs w:val="21"/>
                      <w:lang w:eastAsia="en-US"/>
                    </w:rPr>
                  </w:pPr>
                  <w:r>
                    <w:rPr>
                      <w:rFonts w:hint="default" w:ascii="Times New Roman" w:hAnsi="Times New Roman" w:eastAsia="宋体" w:cs="Times New Roman"/>
                      <w:b/>
                      <w:color w:val="auto"/>
                      <w:position w:val="2"/>
                      <w:sz w:val="21"/>
                      <w:szCs w:val="21"/>
                      <w:lang w:eastAsia="en-US"/>
                    </w:rPr>
                    <w:t>VOC</w:t>
                  </w:r>
                  <w:r>
                    <w:rPr>
                      <w:rFonts w:ascii="Times New Roman" w:hAnsi="Times New Roman" w:eastAsia="宋体" w:cs="Times New Roman"/>
                      <w:b/>
                      <w:color w:val="auto"/>
                      <w:position w:val="2"/>
                      <w:sz w:val="21"/>
                      <w:szCs w:val="21"/>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75" w:type="dxa"/>
                  <w:gridSpan w:val="2"/>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废气量（万m</w:t>
                  </w:r>
                  <w:r>
                    <w:rPr>
                      <w:rFonts w:hint="default" w:ascii="Times New Roman" w:hAnsi="Times New Roman" w:eastAsia="宋体" w:cs="Times New Roman"/>
                      <w:color w:val="auto"/>
                      <w:position w:val="2"/>
                      <w:sz w:val="21"/>
                      <w:szCs w:val="21"/>
                      <w:vertAlign w:val="superscript"/>
                      <w:lang w:eastAsia="en-US"/>
                    </w:rPr>
                    <w:t>3</w:t>
                  </w:r>
                  <w:r>
                    <w:rPr>
                      <w:rFonts w:hint="default" w:ascii="Times New Roman" w:hAnsi="Times New Roman" w:eastAsia="宋体" w:cs="Times New Roman"/>
                      <w:color w:val="auto"/>
                      <w:position w:val="2"/>
                      <w:sz w:val="21"/>
                      <w:szCs w:val="21"/>
                      <w:lang w:eastAsia="en-US"/>
                    </w:rPr>
                    <w:t>/a）</w:t>
                  </w:r>
                </w:p>
              </w:tc>
              <w:tc>
                <w:tcPr>
                  <w:tcW w:w="5981" w:type="dxa"/>
                  <w:gridSpan w:val="3"/>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75" w:type="dxa"/>
                  <w:gridSpan w:val="2"/>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产生量（t/a）</w:t>
                  </w:r>
                </w:p>
              </w:tc>
              <w:tc>
                <w:tcPr>
                  <w:tcW w:w="1993" w:type="dxa"/>
                  <w:vAlign w:val="center"/>
                </w:tcPr>
                <w:p>
                  <w:pPr>
                    <w:pStyle w:val="218"/>
                    <w:autoSpaceDE w:val="0"/>
                    <w:autoSpaceDN w:val="0"/>
                    <w:ind w:right="214"/>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0.165</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0.1909</w:t>
                  </w:r>
                </w:p>
              </w:tc>
              <w:tc>
                <w:tcPr>
                  <w:tcW w:w="1995" w:type="dxa"/>
                  <w:vAlign w:val="center"/>
                </w:tcPr>
                <w:p>
                  <w:pPr>
                    <w:pStyle w:val="218"/>
                    <w:autoSpaceDE w:val="0"/>
                    <w:autoSpaceDN w:val="0"/>
                    <w:ind w:right="406"/>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0.5873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75" w:type="dxa"/>
                  <w:gridSpan w:val="2"/>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产生速率（kg/h）</w:t>
                  </w:r>
                </w:p>
              </w:tc>
              <w:tc>
                <w:tcPr>
                  <w:tcW w:w="1993" w:type="dxa"/>
                  <w:vAlign w:val="center"/>
                </w:tcPr>
                <w:p>
                  <w:pPr>
                    <w:pStyle w:val="218"/>
                    <w:autoSpaceDE w:val="0"/>
                    <w:autoSpaceDN w:val="0"/>
                    <w:ind w:right="214"/>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0.11</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0.1272</w:t>
                  </w:r>
                </w:p>
              </w:tc>
              <w:tc>
                <w:tcPr>
                  <w:tcW w:w="1995" w:type="dxa"/>
                  <w:vAlign w:val="center"/>
                </w:tcPr>
                <w:p>
                  <w:pPr>
                    <w:pStyle w:val="218"/>
                    <w:autoSpaceDE w:val="0"/>
                    <w:autoSpaceDN w:val="0"/>
                    <w:ind w:right="406"/>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0.3248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75" w:type="dxa"/>
                  <w:gridSpan w:val="2"/>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产生浓度（mg/m</w:t>
                  </w:r>
                  <w:r>
                    <w:rPr>
                      <w:rFonts w:hint="default" w:ascii="Times New Roman" w:hAnsi="Times New Roman" w:eastAsia="宋体" w:cs="Times New Roman"/>
                      <w:color w:val="auto"/>
                      <w:position w:val="2"/>
                      <w:sz w:val="21"/>
                      <w:szCs w:val="21"/>
                      <w:vertAlign w:val="superscript"/>
                      <w:lang w:eastAsia="en-US"/>
                    </w:rPr>
                    <w:t>3</w:t>
                  </w:r>
                  <w:r>
                    <w:rPr>
                      <w:rFonts w:hint="default" w:ascii="Times New Roman" w:hAnsi="Times New Roman" w:eastAsia="宋体" w:cs="Times New Roman"/>
                      <w:color w:val="auto"/>
                      <w:position w:val="2"/>
                      <w:sz w:val="21"/>
                      <w:szCs w:val="21"/>
                      <w:lang w:eastAsia="en-US"/>
                    </w:rPr>
                    <w:t>）</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75" w:type="dxa"/>
                  <w:gridSpan w:val="2"/>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处理方法</w:t>
                  </w:r>
                </w:p>
              </w:tc>
              <w:tc>
                <w:tcPr>
                  <w:tcW w:w="5981" w:type="dxa"/>
                  <w:gridSpan w:val="3"/>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收集效率98%，处理效率90%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有组织</w:t>
                  </w:r>
                </w:p>
              </w:tc>
              <w:tc>
                <w:tcPr>
                  <w:tcW w:w="2620" w:type="dxa"/>
                  <w:vAlign w:val="center"/>
                </w:tcPr>
                <w:p>
                  <w:pPr>
                    <w:pStyle w:val="218"/>
                    <w:autoSpaceDE w:val="0"/>
                    <w:autoSpaceDN w:val="0"/>
                    <w:spacing w:before="33"/>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排放速率（kg/h）</w:t>
                  </w:r>
                </w:p>
              </w:tc>
              <w:tc>
                <w:tcPr>
                  <w:tcW w:w="1993" w:type="dxa"/>
                  <w:vAlign w:val="center"/>
                </w:tcPr>
                <w:p>
                  <w:pPr>
                    <w:pStyle w:val="218"/>
                    <w:autoSpaceDE w:val="0"/>
                    <w:autoSpaceDN w:val="0"/>
                    <w:spacing w:before="33"/>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0.0108</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0.0125</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2620"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排放浓度（mg/m</w:t>
                  </w:r>
                  <w:r>
                    <w:rPr>
                      <w:rFonts w:hint="default" w:ascii="Times New Roman" w:hAnsi="Times New Roman" w:eastAsia="宋体" w:cs="Times New Roman"/>
                      <w:color w:val="auto"/>
                      <w:position w:val="2"/>
                      <w:sz w:val="21"/>
                      <w:szCs w:val="21"/>
                      <w:vertAlign w:val="superscript"/>
                      <w:lang w:eastAsia="en-US"/>
                    </w:rPr>
                    <w:t>3</w:t>
                  </w:r>
                  <w:r>
                    <w:rPr>
                      <w:rFonts w:hint="default" w:ascii="Times New Roman" w:hAnsi="Times New Roman" w:eastAsia="宋体" w:cs="Times New Roman"/>
                      <w:color w:val="auto"/>
                      <w:position w:val="2"/>
                      <w:sz w:val="21"/>
                      <w:szCs w:val="21"/>
                      <w:lang w:eastAsia="en-US"/>
                    </w:rPr>
                    <w:t>）</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1.80</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2.0833</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6.3833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2620"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最高允许排放速率</w:t>
                  </w:r>
                </w:p>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（kg/h）</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1.75</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0.5</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p>
              </w:tc>
              <w:tc>
                <w:tcPr>
                  <w:tcW w:w="2620"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最高允许排放浓度（mg/m</w:t>
                  </w:r>
                  <w:r>
                    <w:rPr>
                      <w:rFonts w:hint="default" w:ascii="Times New Roman" w:hAnsi="Times New Roman" w:eastAsia="宋体" w:cs="Times New Roman"/>
                      <w:color w:val="auto"/>
                      <w:position w:val="2"/>
                      <w:sz w:val="21"/>
                      <w:szCs w:val="21"/>
                      <w:vertAlign w:val="superscript"/>
                      <w:lang w:eastAsia="zh-CN"/>
                    </w:rPr>
                    <w:t>3</w:t>
                  </w:r>
                  <w:r>
                    <w:rPr>
                      <w:rFonts w:hint="default" w:ascii="Times New Roman" w:hAnsi="Times New Roman" w:eastAsia="宋体" w:cs="Times New Roman"/>
                      <w:color w:val="auto"/>
                      <w:position w:val="2"/>
                      <w:sz w:val="21"/>
                      <w:szCs w:val="21"/>
                      <w:lang w:eastAsia="zh-CN"/>
                    </w:rPr>
                    <w:t>）</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120</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70</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p>
              </w:tc>
              <w:tc>
                <w:tcPr>
                  <w:tcW w:w="2620"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排放量（t/a）</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0.0162</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0.0187</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p>
              </w:tc>
              <w:tc>
                <w:tcPr>
                  <w:tcW w:w="2620"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达标情况</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达标</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达标</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无组织</w:t>
                  </w:r>
                </w:p>
              </w:tc>
              <w:tc>
                <w:tcPr>
                  <w:tcW w:w="2620"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排放量（t/a）</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0.0033</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0.0038</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p>
              </w:tc>
              <w:tc>
                <w:tcPr>
                  <w:tcW w:w="2620"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排放速率（kg/h）</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0.0022</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0.0025</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0.0078</w:t>
                  </w:r>
                </w:p>
              </w:tc>
            </w:tr>
          </w:tbl>
          <w:p>
            <w:pPr>
              <w:spacing w:before="156" w:beforeLines="50" w:line="360" w:lineRule="auto"/>
              <w:ind w:firstLine="482" w:firstLineChars="200"/>
              <w:textAlignment w:val="baseline"/>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非正常排放分析</w:t>
            </w:r>
          </w:p>
          <w:p>
            <w:pPr>
              <w:spacing w:line="360" w:lineRule="auto"/>
              <w:ind w:firstLine="480"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color w:val="auto"/>
                <w:position w:val="2"/>
                <w:sz w:val="24"/>
              </w:rPr>
              <w:t>项目运营过程中非正常工况主要为项目喷喷烤漆房配套的“过滤棉+活性炭+UV光氧催化系统”故障或过滤棉和活性炭失效时，会导致漆雾颗粒和有机废气的净化效率下降，造成排放到空气中的漆雾颗粒和有机废气浓度超标。</w:t>
            </w:r>
          </w:p>
          <w:p>
            <w:pPr>
              <w:spacing w:line="360" w:lineRule="auto"/>
              <w:ind w:firstLine="480"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color w:val="auto"/>
                <w:position w:val="2"/>
                <w:sz w:val="24"/>
              </w:rPr>
              <w:t>因此，本次环评对漆雾颗粒和有机废气在非正常排放情况下的浓度进行分析。非正常排放情况假设“过滤棉+活性炭+UV 光氧催化系统”的处理效率仅达50%。设计的非正常排放情况见下表。</w:t>
            </w:r>
          </w:p>
          <w:p>
            <w:pPr>
              <w:adjustRightInd w:val="0"/>
              <w:snapToGrid w:val="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表5-3  废气非正常排放情况</w:t>
            </w:r>
          </w:p>
          <w:tbl>
            <w:tblPr>
              <w:tblStyle w:val="226"/>
              <w:tblW w:w="9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3"/>
              <w:gridCol w:w="1431"/>
              <w:gridCol w:w="1850"/>
              <w:gridCol w:w="1850"/>
              <w:gridCol w:w="2175"/>
              <w:gridCol w:w="1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23" w:type="dxa"/>
                  <w:vAlign w:val="center"/>
                </w:tcPr>
                <w:p>
                  <w:pPr>
                    <w:autoSpaceDE w:val="0"/>
                    <w:autoSpaceDN w:val="0"/>
                    <w:adjustRightInd w:val="0"/>
                    <w:snapToGrid w:val="0"/>
                    <w:jc w:val="center"/>
                    <w:rPr>
                      <w:rFonts w:ascii="Times New Roman" w:hAnsi="Times New Roman" w:eastAsia="宋体" w:cs="Times New Roman"/>
                      <w:b/>
                      <w:color w:val="auto"/>
                      <w:szCs w:val="21"/>
                      <w:lang w:eastAsia="zh-CN"/>
                    </w:rPr>
                  </w:pPr>
                  <w:r>
                    <w:rPr>
                      <w:rFonts w:ascii="Times New Roman" w:hAnsi="Times New Roman" w:eastAsia="宋体" w:cs="Times New Roman"/>
                      <w:b/>
                      <w:color w:val="auto"/>
                      <w:szCs w:val="21"/>
                      <w:lang w:eastAsia="zh-CN"/>
                    </w:rPr>
                    <w:t>排放点</w:t>
                  </w:r>
                </w:p>
              </w:tc>
              <w:tc>
                <w:tcPr>
                  <w:tcW w:w="3281" w:type="dxa"/>
                  <w:gridSpan w:val="2"/>
                  <w:vAlign w:val="center"/>
                </w:tcPr>
                <w:p>
                  <w:pPr>
                    <w:autoSpaceDE w:val="0"/>
                    <w:autoSpaceDN w:val="0"/>
                    <w:adjustRightInd w:val="0"/>
                    <w:snapToGrid w:val="0"/>
                    <w:jc w:val="center"/>
                    <w:rPr>
                      <w:rFonts w:ascii="Times New Roman" w:hAnsi="Times New Roman" w:eastAsia="宋体" w:cs="Times New Roman"/>
                      <w:b/>
                      <w:color w:val="auto"/>
                      <w:szCs w:val="21"/>
                      <w:lang w:eastAsia="zh-CN"/>
                    </w:rPr>
                  </w:pPr>
                  <w:r>
                    <w:rPr>
                      <w:rFonts w:ascii="Times New Roman" w:hAnsi="Times New Roman" w:eastAsia="宋体" w:cs="Times New Roman"/>
                      <w:b/>
                      <w:color w:val="auto"/>
                      <w:szCs w:val="21"/>
                      <w:lang w:eastAsia="zh-CN"/>
                    </w:rPr>
                    <w:t>污染物</w:t>
                  </w:r>
                </w:p>
              </w:tc>
              <w:tc>
                <w:tcPr>
                  <w:tcW w:w="1850" w:type="dxa"/>
                  <w:vAlign w:val="center"/>
                </w:tcPr>
                <w:p>
                  <w:pPr>
                    <w:autoSpaceDE w:val="0"/>
                    <w:autoSpaceDN w:val="0"/>
                    <w:adjustRightInd w:val="0"/>
                    <w:snapToGrid w:val="0"/>
                    <w:jc w:val="center"/>
                    <w:rPr>
                      <w:rFonts w:ascii="Times New Roman" w:hAnsi="Times New Roman" w:eastAsia="宋体" w:cs="Times New Roman"/>
                      <w:b/>
                      <w:color w:val="auto"/>
                      <w:szCs w:val="21"/>
                      <w:lang w:eastAsia="zh-CN"/>
                    </w:rPr>
                  </w:pPr>
                  <w:r>
                    <w:rPr>
                      <w:rFonts w:ascii="Times New Roman" w:hAnsi="Times New Roman" w:eastAsia="宋体" w:cs="Times New Roman"/>
                      <w:b/>
                      <w:color w:val="auto"/>
                      <w:szCs w:val="21"/>
                      <w:lang w:eastAsia="zh-CN"/>
                    </w:rPr>
                    <w:t>排放量t/a</w:t>
                  </w:r>
                </w:p>
              </w:tc>
              <w:tc>
                <w:tcPr>
                  <w:tcW w:w="2175" w:type="dxa"/>
                  <w:vAlign w:val="center"/>
                </w:tcPr>
                <w:p>
                  <w:pPr>
                    <w:autoSpaceDE w:val="0"/>
                    <w:autoSpaceDN w:val="0"/>
                    <w:adjustRightInd w:val="0"/>
                    <w:snapToGrid w:val="0"/>
                    <w:jc w:val="center"/>
                    <w:rPr>
                      <w:rFonts w:ascii="Times New Roman" w:hAnsi="Times New Roman" w:eastAsia="宋体" w:cs="Times New Roman"/>
                      <w:b/>
                      <w:color w:val="auto"/>
                      <w:szCs w:val="21"/>
                      <w:lang w:eastAsia="zh-CN"/>
                    </w:rPr>
                  </w:pPr>
                  <w:r>
                    <w:rPr>
                      <w:rFonts w:ascii="Times New Roman" w:hAnsi="Times New Roman" w:eastAsia="宋体" w:cs="Times New Roman"/>
                      <w:b/>
                      <w:color w:val="auto"/>
                      <w:szCs w:val="21"/>
                      <w:lang w:eastAsia="zh-CN"/>
                    </w:rPr>
                    <w:t>排放速率kg/h</w:t>
                  </w:r>
                </w:p>
              </w:tc>
              <w:tc>
                <w:tcPr>
                  <w:tcW w:w="1227" w:type="dxa"/>
                  <w:vAlign w:val="center"/>
                </w:tcPr>
                <w:p>
                  <w:pPr>
                    <w:autoSpaceDE w:val="0"/>
                    <w:autoSpaceDN w:val="0"/>
                    <w:adjustRightInd w:val="0"/>
                    <w:snapToGrid w:val="0"/>
                    <w:jc w:val="center"/>
                    <w:rPr>
                      <w:rFonts w:ascii="Times New Roman" w:hAnsi="Times New Roman" w:eastAsia="宋体" w:cs="Times New Roman"/>
                      <w:b/>
                      <w:color w:val="auto"/>
                      <w:szCs w:val="21"/>
                      <w:lang w:eastAsia="zh-CN"/>
                    </w:rPr>
                  </w:pPr>
                  <w:r>
                    <w:rPr>
                      <w:rFonts w:ascii="Times New Roman" w:hAnsi="Times New Roman" w:eastAsia="宋体" w:cs="Times New Roman"/>
                      <w:b/>
                      <w:color w:val="auto"/>
                      <w:szCs w:val="21"/>
                      <w:lang w:eastAsia="zh-CN"/>
                    </w:rPr>
                    <w:t>持续时间min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23" w:type="dxa"/>
                  <w:vMerge w:val="restart"/>
                  <w:vAlign w:val="center"/>
                </w:tcPr>
                <w:p>
                  <w:pPr>
                    <w:autoSpaceDE w:val="0"/>
                    <w:autoSpaceDN w:val="0"/>
                    <w:adjustRightInd w:val="0"/>
                    <w:snapToGrid w:val="0"/>
                    <w:jc w:val="center"/>
                    <w:rPr>
                      <w:rFonts w:ascii="Times New Roman" w:hAnsi="Times New Roman" w:eastAsia="宋体" w:cs="Times New Roman"/>
                      <w:color w:val="auto"/>
                      <w:szCs w:val="21"/>
                      <w:lang w:eastAsia="zh-CN"/>
                    </w:rPr>
                  </w:pPr>
                  <w:r>
                    <w:rPr>
                      <w:rFonts w:ascii="Times New Roman" w:hAnsi="Times New Roman" w:eastAsia="宋体" w:cs="Times New Roman"/>
                      <w:color w:val="auto"/>
                      <w:szCs w:val="21"/>
                      <w:lang w:eastAsia="zh-CN"/>
                    </w:rPr>
                    <w:t>排气筒</w:t>
                  </w:r>
                </w:p>
              </w:tc>
              <w:tc>
                <w:tcPr>
                  <w:tcW w:w="1431" w:type="dxa"/>
                  <w:vMerge w:val="restart"/>
                  <w:vAlign w:val="center"/>
                </w:tcPr>
                <w:p>
                  <w:pPr>
                    <w:autoSpaceDE w:val="0"/>
                    <w:autoSpaceDN w:val="0"/>
                    <w:adjustRightInd w:val="0"/>
                    <w:snapToGrid w:val="0"/>
                    <w:jc w:val="center"/>
                    <w:rPr>
                      <w:rFonts w:ascii="Times New Roman" w:hAnsi="Times New Roman" w:eastAsia="宋体" w:cs="Times New Roman"/>
                      <w:color w:val="auto"/>
                      <w:szCs w:val="21"/>
                      <w:lang w:eastAsia="zh-CN"/>
                    </w:rPr>
                  </w:pPr>
                  <w:r>
                    <w:rPr>
                      <w:rFonts w:ascii="Times New Roman" w:hAnsi="Times New Roman" w:eastAsia="宋体" w:cs="Times New Roman"/>
                      <w:color w:val="auto"/>
                      <w:szCs w:val="21"/>
                      <w:lang w:eastAsia="zh-CN"/>
                    </w:rPr>
                    <w:t>收集效率98%，处理效率50%</w:t>
                  </w:r>
                </w:p>
              </w:tc>
              <w:tc>
                <w:tcPr>
                  <w:tcW w:w="1850" w:type="dxa"/>
                  <w:vAlign w:val="center"/>
                </w:tcPr>
                <w:p>
                  <w:pPr>
                    <w:autoSpaceDE w:val="0"/>
                    <w:autoSpaceDN w:val="0"/>
                    <w:adjustRightInd w:val="0"/>
                    <w:snapToGrid w:val="0"/>
                    <w:jc w:val="center"/>
                    <w:rPr>
                      <w:rFonts w:ascii="Times New Roman" w:hAnsi="Times New Roman" w:eastAsia="宋体" w:cs="Times New Roman"/>
                      <w:color w:val="auto"/>
                      <w:szCs w:val="21"/>
                      <w:lang w:eastAsia="zh-CN"/>
                    </w:rPr>
                  </w:pPr>
                  <w:r>
                    <w:rPr>
                      <w:rFonts w:ascii="Times New Roman" w:hAnsi="Times New Roman" w:eastAsia="宋体" w:cs="Times New Roman"/>
                      <w:color w:val="auto"/>
                      <w:szCs w:val="21"/>
                      <w:lang w:eastAsia="zh-CN"/>
                    </w:rPr>
                    <w:t>漆雾颗粒</w:t>
                  </w:r>
                </w:p>
              </w:tc>
              <w:tc>
                <w:tcPr>
                  <w:tcW w:w="1850" w:type="dxa"/>
                  <w:vAlign w:val="center"/>
                </w:tcPr>
                <w:p>
                  <w:pPr>
                    <w:autoSpaceDE w:val="0"/>
                    <w:autoSpaceDN w:val="0"/>
                    <w:adjustRightInd w:val="0"/>
                    <w:snapToGrid w:val="0"/>
                    <w:jc w:val="center"/>
                    <w:rPr>
                      <w:rFonts w:ascii="Times New Roman" w:hAnsi="Times New Roman" w:eastAsia="宋体" w:cs="Times New Roman"/>
                      <w:color w:val="auto"/>
                      <w:szCs w:val="21"/>
                      <w:lang w:eastAsia="zh-CN"/>
                    </w:rPr>
                  </w:pPr>
                  <w:r>
                    <w:rPr>
                      <w:rFonts w:ascii="Times New Roman" w:hAnsi="Times New Roman" w:eastAsia="宋体" w:cs="Times New Roman"/>
                      <w:color w:val="auto"/>
                      <w:szCs w:val="21"/>
                      <w:lang w:eastAsia="zh-CN"/>
                    </w:rPr>
                    <w:t>0.0809</w:t>
                  </w:r>
                </w:p>
              </w:tc>
              <w:tc>
                <w:tcPr>
                  <w:tcW w:w="2175" w:type="dxa"/>
                  <w:vAlign w:val="center"/>
                </w:tcPr>
                <w:p>
                  <w:pPr>
                    <w:autoSpaceDE w:val="0"/>
                    <w:autoSpaceDN w:val="0"/>
                    <w:adjustRightInd w:val="0"/>
                    <w:snapToGrid w:val="0"/>
                    <w:jc w:val="center"/>
                    <w:rPr>
                      <w:rFonts w:ascii="Times New Roman" w:hAnsi="Times New Roman" w:eastAsia="宋体" w:cs="Times New Roman"/>
                      <w:color w:val="auto"/>
                      <w:szCs w:val="21"/>
                      <w:lang w:eastAsia="zh-CN"/>
                    </w:rPr>
                  </w:pPr>
                  <w:r>
                    <w:rPr>
                      <w:rFonts w:ascii="Times New Roman" w:hAnsi="Times New Roman" w:eastAsia="宋体" w:cs="Times New Roman"/>
                      <w:color w:val="auto"/>
                      <w:szCs w:val="21"/>
                      <w:lang w:eastAsia="zh-CN"/>
                    </w:rPr>
                    <w:t>0.0539</w:t>
                  </w:r>
                </w:p>
              </w:tc>
              <w:tc>
                <w:tcPr>
                  <w:tcW w:w="1227" w:type="dxa"/>
                  <w:vAlign w:val="center"/>
                </w:tcPr>
                <w:p>
                  <w:pPr>
                    <w:autoSpaceDE w:val="0"/>
                    <w:autoSpaceDN w:val="0"/>
                    <w:adjustRightInd w:val="0"/>
                    <w:snapToGrid w:val="0"/>
                    <w:jc w:val="center"/>
                    <w:rPr>
                      <w:rFonts w:ascii="Times New Roman" w:hAnsi="Times New Roman" w:eastAsia="宋体" w:cs="Times New Roman"/>
                      <w:color w:val="auto"/>
                      <w:szCs w:val="21"/>
                      <w:lang w:eastAsia="zh-CN"/>
                    </w:rPr>
                  </w:pPr>
                  <w:r>
                    <w:rPr>
                      <w:rFonts w:ascii="Times New Roman" w:hAnsi="Times New Roman" w:eastAsia="宋体" w:cs="Times New Roman"/>
                      <w:color w:val="auto"/>
                      <w:szCs w:val="21"/>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23" w:type="dxa"/>
                  <w:vMerge w:val="continue"/>
                  <w:vAlign w:val="center"/>
                </w:tcPr>
                <w:p>
                  <w:pPr>
                    <w:autoSpaceDE w:val="0"/>
                    <w:autoSpaceDN w:val="0"/>
                    <w:adjustRightInd w:val="0"/>
                    <w:snapToGrid w:val="0"/>
                    <w:jc w:val="center"/>
                    <w:rPr>
                      <w:rFonts w:ascii="Times New Roman" w:hAnsi="Times New Roman" w:eastAsia="宋体" w:cs="Times New Roman"/>
                      <w:color w:val="auto"/>
                      <w:szCs w:val="21"/>
                      <w:lang w:eastAsia="zh-CN"/>
                    </w:rPr>
                  </w:pPr>
                </w:p>
              </w:tc>
              <w:tc>
                <w:tcPr>
                  <w:tcW w:w="1431" w:type="dxa"/>
                  <w:vMerge w:val="continue"/>
                  <w:vAlign w:val="center"/>
                </w:tcPr>
                <w:p>
                  <w:pPr>
                    <w:autoSpaceDE w:val="0"/>
                    <w:autoSpaceDN w:val="0"/>
                    <w:adjustRightInd w:val="0"/>
                    <w:snapToGrid w:val="0"/>
                    <w:jc w:val="center"/>
                    <w:rPr>
                      <w:rFonts w:ascii="Times New Roman" w:hAnsi="Times New Roman" w:eastAsia="宋体" w:cs="Times New Roman"/>
                      <w:color w:val="auto"/>
                      <w:szCs w:val="21"/>
                      <w:lang w:eastAsia="zh-CN"/>
                    </w:rPr>
                  </w:pPr>
                </w:p>
              </w:tc>
              <w:tc>
                <w:tcPr>
                  <w:tcW w:w="1850" w:type="dxa"/>
                  <w:vAlign w:val="center"/>
                </w:tcPr>
                <w:p>
                  <w:pPr>
                    <w:pStyle w:val="218"/>
                    <w:autoSpaceDE w:val="0"/>
                    <w:autoSpaceDN w:val="0"/>
                    <w:adjustRightInd w:val="0"/>
                    <w:snapToGrid w:val="0"/>
                    <w:spacing w:line="262" w:lineRule="exact"/>
                    <w:ind w:left="64" w:right="65"/>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二甲苯</w:t>
                  </w:r>
                </w:p>
              </w:tc>
              <w:tc>
                <w:tcPr>
                  <w:tcW w:w="1850" w:type="dxa"/>
                  <w:vAlign w:val="center"/>
                </w:tcPr>
                <w:p>
                  <w:pPr>
                    <w:pStyle w:val="218"/>
                    <w:autoSpaceDE w:val="0"/>
                    <w:autoSpaceDN w:val="0"/>
                    <w:adjustRightInd w:val="0"/>
                    <w:snapToGrid w:val="0"/>
                    <w:spacing w:before="36"/>
                    <w:ind w:left="66" w:right="65"/>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0.0936</w:t>
                  </w:r>
                </w:p>
              </w:tc>
              <w:tc>
                <w:tcPr>
                  <w:tcW w:w="2175" w:type="dxa"/>
                  <w:vAlign w:val="center"/>
                </w:tcPr>
                <w:p>
                  <w:pPr>
                    <w:pStyle w:val="218"/>
                    <w:autoSpaceDE w:val="0"/>
                    <w:autoSpaceDN w:val="0"/>
                    <w:adjustRightInd w:val="0"/>
                    <w:snapToGrid w:val="0"/>
                    <w:spacing w:before="36"/>
                    <w:ind w:left="360" w:right="36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0.0624</w:t>
                  </w:r>
                </w:p>
              </w:tc>
              <w:tc>
                <w:tcPr>
                  <w:tcW w:w="1227" w:type="dxa"/>
                  <w:vAlign w:val="center"/>
                </w:tcPr>
                <w:p>
                  <w:pPr>
                    <w:pStyle w:val="218"/>
                    <w:autoSpaceDE w:val="0"/>
                    <w:autoSpaceDN w:val="0"/>
                    <w:adjustRightInd w:val="0"/>
                    <w:snapToGrid w:val="0"/>
                    <w:spacing w:before="36"/>
                    <w:ind w:left="163" w:right="164"/>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23" w:type="dxa"/>
                  <w:vMerge w:val="continue"/>
                  <w:vAlign w:val="center"/>
                </w:tcPr>
                <w:p>
                  <w:pPr>
                    <w:autoSpaceDE w:val="0"/>
                    <w:autoSpaceDN w:val="0"/>
                    <w:adjustRightInd w:val="0"/>
                    <w:snapToGrid w:val="0"/>
                    <w:jc w:val="center"/>
                    <w:rPr>
                      <w:rFonts w:ascii="Times New Roman" w:hAnsi="Times New Roman" w:eastAsia="宋体" w:cs="Times New Roman"/>
                      <w:color w:val="auto"/>
                      <w:szCs w:val="21"/>
                      <w:lang w:eastAsia="zh-CN"/>
                    </w:rPr>
                  </w:pPr>
                </w:p>
              </w:tc>
              <w:tc>
                <w:tcPr>
                  <w:tcW w:w="1431" w:type="dxa"/>
                  <w:vMerge w:val="continue"/>
                  <w:vAlign w:val="center"/>
                </w:tcPr>
                <w:p>
                  <w:pPr>
                    <w:autoSpaceDE w:val="0"/>
                    <w:autoSpaceDN w:val="0"/>
                    <w:adjustRightInd w:val="0"/>
                    <w:snapToGrid w:val="0"/>
                    <w:jc w:val="center"/>
                    <w:rPr>
                      <w:rFonts w:ascii="Times New Roman" w:hAnsi="Times New Roman" w:eastAsia="宋体" w:cs="Times New Roman"/>
                      <w:color w:val="auto"/>
                      <w:szCs w:val="21"/>
                      <w:lang w:eastAsia="zh-CN"/>
                    </w:rPr>
                  </w:pPr>
                </w:p>
              </w:tc>
              <w:tc>
                <w:tcPr>
                  <w:tcW w:w="1850" w:type="dxa"/>
                  <w:vAlign w:val="center"/>
                </w:tcPr>
                <w:p>
                  <w:pPr>
                    <w:pStyle w:val="218"/>
                    <w:autoSpaceDE w:val="0"/>
                    <w:autoSpaceDN w:val="0"/>
                    <w:adjustRightInd w:val="0"/>
                    <w:snapToGrid w:val="0"/>
                    <w:spacing w:before="35"/>
                    <w:ind w:left="64" w:right="65"/>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VOC</w:t>
                  </w:r>
                  <w:r>
                    <w:rPr>
                      <w:rFonts w:ascii="Times New Roman" w:hAnsi="Times New Roman" w:eastAsia="宋体" w:cs="Times New Roman"/>
                      <w:color w:val="auto"/>
                      <w:sz w:val="21"/>
                      <w:szCs w:val="21"/>
                      <w:lang w:eastAsia="zh-CN"/>
                    </w:rPr>
                    <w:t>s</w:t>
                  </w:r>
                </w:p>
              </w:tc>
              <w:tc>
                <w:tcPr>
                  <w:tcW w:w="1850" w:type="dxa"/>
                  <w:vAlign w:val="center"/>
                </w:tcPr>
                <w:p>
                  <w:pPr>
                    <w:pStyle w:val="218"/>
                    <w:autoSpaceDE w:val="0"/>
                    <w:autoSpaceDN w:val="0"/>
                    <w:adjustRightInd w:val="0"/>
                    <w:snapToGrid w:val="0"/>
                    <w:spacing w:before="35"/>
                    <w:ind w:left="64" w:right="65"/>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0.2878</w:t>
                  </w:r>
                </w:p>
              </w:tc>
              <w:tc>
                <w:tcPr>
                  <w:tcW w:w="2175" w:type="dxa"/>
                  <w:vAlign w:val="center"/>
                </w:tcPr>
                <w:p>
                  <w:pPr>
                    <w:pStyle w:val="218"/>
                    <w:autoSpaceDE w:val="0"/>
                    <w:autoSpaceDN w:val="0"/>
                    <w:adjustRightInd w:val="0"/>
                    <w:snapToGrid w:val="0"/>
                    <w:spacing w:before="35"/>
                    <w:ind w:left="360" w:right="36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0.1919</w:t>
                  </w:r>
                </w:p>
              </w:tc>
              <w:tc>
                <w:tcPr>
                  <w:tcW w:w="1227" w:type="dxa"/>
                  <w:vAlign w:val="center"/>
                </w:tcPr>
                <w:p>
                  <w:pPr>
                    <w:pStyle w:val="218"/>
                    <w:autoSpaceDE w:val="0"/>
                    <w:autoSpaceDN w:val="0"/>
                    <w:adjustRightInd w:val="0"/>
                    <w:snapToGrid w:val="0"/>
                    <w:spacing w:before="35"/>
                    <w:ind w:left="163" w:right="164"/>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10</w:t>
                  </w:r>
                </w:p>
              </w:tc>
            </w:tr>
          </w:tbl>
          <w:p>
            <w:pPr>
              <w:spacing w:before="156" w:beforeLines="50" w:line="360" w:lineRule="auto"/>
              <w:ind w:firstLine="482" w:firstLineChars="200"/>
              <w:textAlignment w:val="baseline"/>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（3）焊接烟尘</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使用二氧化碳保护焊，在焊条和工件之间产生电弧放电产生高温熔化焊条来进行焊接。根据《焊接车间环境污染及控制技术进展》（《上海环境科学》），不同成分的焊接材料在实施焊接时产生不同成分的焊接烟尘，常用不同焊条及焊接方法的发尘量见表5-3。</w:t>
            </w:r>
          </w:p>
          <w:p>
            <w:pPr>
              <w:adjustRightInd w:val="0"/>
              <w:snapToGrid w:val="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表5-4  不同焊接方法的烟尘量</w:t>
            </w:r>
          </w:p>
          <w:tbl>
            <w:tblPr>
              <w:tblStyle w:val="3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4344"/>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967" w:type="dxa"/>
                  <w:vAlign w:val="center"/>
                </w:tcPr>
                <w:p>
                  <w:pPr>
                    <w:adjustRightInd w:val="0"/>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焊接方法</w:t>
                  </w:r>
                </w:p>
              </w:tc>
              <w:tc>
                <w:tcPr>
                  <w:tcW w:w="4344" w:type="dxa"/>
                  <w:vAlign w:val="center"/>
                </w:tcPr>
                <w:p>
                  <w:pPr>
                    <w:adjustRightInd w:val="0"/>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焊接材料</w:t>
                  </w:r>
                </w:p>
              </w:tc>
              <w:tc>
                <w:tcPr>
                  <w:tcW w:w="3243" w:type="dxa"/>
                  <w:vAlign w:val="center"/>
                </w:tcPr>
                <w:p>
                  <w:pPr>
                    <w:adjustRightInd w:val="0"/>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焊接材料发尘量（g/kg）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7" w:type="dxa"/>
                  <w:vMerge w:val="restart"/>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bCs/>
                      <w:color w:val="auto"/>
                      <w:szCs w:val="21"/>
                    </w:rPr>
                    <w:t>CO</w:t>
                  </w:r>
                  <w:r>
                    <w:rPr>
                      <w:rFonts w:ascii="Times New Roman" w:hAnsi="Times New Roman" w:eastAsia="宋体" w:cs="Times New Roman"/>
                      <w:bCs/>
                      <w:color w:val="auto"/>
                      <w:szCs w:val="21"/>
                      <w:vertAlign w:val="subscript"/>
                    </w:rPr>
                    <w:t>2</w:t>
                  </w:r>
                  <w:r>
                    <w:rPr>
                      <w:rFonts w:ascii="Times New Roman" w:hAnsi="Times New Roman" w:eastAsia="宋体" w:cs="Times New Roman"/>
                      <w:bCs/>
                      <w:color w:val="auto"/>
                      <w:szCs w:val="21"/>
                    </w:rPr>
                    <w:t>保护焊</w:t>
                  </w:r>
                </w:p>
              </w:tc>
              <w:tc>
                <w:tcPr>
                  <w:tcW w:w="4344"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实芯焊丝（直径1.6mm）</w:t>
                  </w:r>
                </w:p>
              </w:tc>
              <w:tc>
                <w:tcPr>
                  <w:tcW w:w="3243"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7" w:type="dxa"/>
                  <w:vMerge w:val="continue"/>
                  <w:vAlign w:val="center"/>
                </w:tcPr>
                <w:p>
                  <w:pPr>
                    <w:adjustRightInd w:val="0"/>
                    <w:snapToGrid w:val="0"/>
                    <w:jc w:val="center"/>
                    <w:rPr>
                      <w:rFonts w:ascii="Times New Roman" w:hAnsi="Times New Roman" w:eastAsia="宋体" w:cs="Times New Roman"/>
                      <w:color w:val="auto"/>
                      <w:szCs w:val="21"/>
                    </w:rPr>
                  </w:pPr>
                </w:p>
              </w:tc>
              <w:tc>
                <w:tcPr>
                  <w:tcW w:w="4344"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药芯焊丝（直径1.6mm）</w:t>
                  </w:r>
                </w:p>
              </w:tc>
              <w:tc>
                <w:tcPr>
                  <w:tcW w:w="3243"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7～10</w:t>
                  </w:r>
                </w:p>
              </w:tc>
            </w:tr>
          </w:tbl>
          <w:p>
            <w:pPr>
              <w:spacing w:line="360" w:lineRule="auto"/>
              <w:ind w:firstLine="480" w:firstLineChars="200"/>
              <w:rPr>
                <w:rFonts w:ascii="Times New Roman" w:hAnsi="Times New Roman" w:eastAsia="宋体" w:cs="Times New Roman"/>
                <w:b/>
                <w:color w:val="auto"/>
                <w:sz w:val="24"/>
              </w:rPr>
            </w:pPr>
            <w:r>
              <w:rPr>
                <w:rFonts w:ascii="Times New Roman" w:hAnsi="Times New Roman" w:eastAsia="宋体" w:cs="Times New Roman"/>
                <w:color w:val="auto"/>
                <w:sz w:val="24"/>
              </w:rPr>
              <w:t>项目焊接过程采用实心焊丝，对比上表可知，该类型焊丝烟尘量在5～8g/kg，本次环评按最大值8g/kg计算，项目焊丝年用量约为20kg/a，则焊接烟尘产生量为0.16kg/a。焊接烟尘产生量较小，通过移动式粉尘净化器净化（净化效率90%）后在车间内无组织排放，排放废气量约为0.000016t/a，项目年工作日300天，每天工作8小时，则焊接烟尘排放速率0.0000067kg/h。</w:t>
            </w:r>
          </w:p>
          <w:p>
            <w:pPr>
              <w:spacing w:line="360" w:lineRule="auto"/>
              <w:ind w:firstLine="482" w:firstLineChars="200"/>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（4）汽车尾气</w:t>
            </w:r>
          </w:p>
          <w:p>
            <w:pPr>
              <w:spacing w:line="360" w:lineRule="auto"/>
              <w:ind w:firstLine="480" w:firstLineChars="200"/>
              <w:rPr>
                <w:rFonts w:ascii="Times New Roman" w:hAnsi="Times New Roman" w:eastAsia="宋体" w:cs="Times New Roman"/>
                <w:color w:val="auto"/>
                <w:position w:val="2"/>
                <w:sz w:val="24"/>
              </w:rPr>
            </w:pPr>
            <w:r>
              <w:rPr>
                <w:rFonts w:ascii="Times New Roman" w:hAnsi="Times New Roman" w:eastAsia="宋体" w:cs="Times New Roman"/>
                <w:color w:val="auto"/>
                <w:sz w:val="24"/>
              </w:rPr>
              <w:t>本项目营运期间有车辆出入，将会产生少量汽车尾气，汽车尾气中含有少量CH、NOx、CO等污染物，由于</w:t>
            </w:r>
            <w:r>
              <w:rPr>
                <w:rFonts w:ascii="Times New Roman" w:hAnsi="Times New Roman" w:eastAsia="宋体" w:cs="Times New Roman"/>
                <w:bCs/>
                <w:color w:val="auto"/>
                <w:sz w:val="24"/>
              </w:rPr>
              <w:t>行驶路程较短，再加上车辆进出时间短</w:t>
            </w:r>
            <w:r>
              <w:rPr>
                <w:rFonts w:ascii="Times New Roman" w:hAnsi="Times New Roman" w:eastAsia="宋体" w:cs="Times New Roman"/>
                <w:color w:val="auto"/>
                <w:sz w:val="24"/>
              </w:rPr>
              <w:t>，因此废气量产生较小，且项目区通风性能良好，运输车辆进出场区时减速慢行，采取以上措施后，对周边的影响很小。</w:t>
            </w:r>
          </w:p>
          <w:p>
            <w:pPr>
              <w:spacing w:line="360" w:lineRule="auto"/>
              <w:ind w:firstLine="482" w:firstLineChars="200"/>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2.2废水污染物产排核算</w:t>
            </w:r>
          </w:p>
          <w:p>
            <w:pPr>
              <w:snapToGrid w:val="0"/>
              <w:spacing w:line="360" w:lineRule="auto"/>
              <w:ind w:firstLine="480" w:firstLineChars="200"/>
              <w:rPr>
                <w:rFonts w:ascii="Times New Roman" w:hAnsi="Times New Roman" w:eastAsia="宋体" w:cs="Times New Roman"/>
                <w:b/>
                <w:color w:val="auto"/>
                <w:sz w:val="24"/>
              </w:rPr>
            </w:pPr>
            <w:r>
              <w:rPr>
                <w:rFonts w:ascii="Times New Roman" w:hAnsi="Times New Roman" w:eastAsia="宋体" w:cs="Times New Roman"/>
                <w:color w:val="auto"/>
                <w:sz w:val="24"/>
              </w:rPr>
              <w:t>本项目运营期废水主要为员工办公、生活废水，来访顾客生活废水等</w:t>
            </w:r>
            <w:r>
              <w:rPr>
                <w:rFonts w:hint="eastAsia" w:ascii="Times New Roman" w:hAnsi="Times New Roman" w:eastAsia="宋体" w:cs="Times New Roman"/>
                <w:color w:val="auto"/>
                <w:sz w:val="24"/>
              </w:rPr>
              <w:t>，无生产废水产生</w:t>
            </w:r>
            <w:r>
              <w:rPr>
                <w:rFonts w:ascii="Times New Roman" w:hAnsi="Times New Roman" w:eastAsia="宋体" w:cs="Times New Roman"/>
                <w:color w:val="auto"/>
                <w:sz w:val="24"/>
              </w:rPr>
              <w:t>。</w:t>
            </w:r>
          </w:p>
          <w:p>
            <w:pPr>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（1）生活用水</w:t>
            </w:r>
          </w:p>
          <w:p>
            <w:pPr>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员工办公、生活废水</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bCs/>
                <w:color w:val="auto"/>
                <w:sz w:val="24"/>
                <w:szCs w:val="22"/>
              </w:rPr>
              <w:t>本项目劳动定员20人，均不在项目内食宿，</w:t>
            </w:r>
            <w:r>
              <w:rPr>
                <w:rFonts w:ascii="Times New Roman" w:hAnsi="Times New Roman" w:eastAsia="宋体" w:cs="Times New Roman"/>
                <w:color w:val="auto"/>
                <w:sz w:val="24"/>
              </w:rPr>
              <w:t>项目区设有1间卫生间。根据《云南省地方标准 用水定额》（DB53/T168-2019），中小城市生活用水定额为110L/（人·d），员工办公、生活用水按80L/（人·d）计，则本项目运营期员工办公、生活用水为1.6m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/d，480m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r>
              <w:rPr>
                <w:rFonts w:ascii="Times New Roman" w:hAnsi="Times New Roman" w:eastAsia="宋体" w:cs="Times New Roman"/>
                <w:bCs/>
                <w:color w:val="auto"/>
                <w:sz w:val="24"/>
                <w:szCs w:val="22"/>
              </w:rPr>
              <w:t>废水产生量按用水量的</w:t>
            </w:r>
            <w:r>
              <w:rPr>
                <w:rFonts w:ascii="Times New Roman" w:hAnsi="Times New Roman" w:eastAsia="宋体" w:cs="Times New Roman"/>
                <w:color w:val="auto"/>
                <w:sz w:val="24"/>
              </w:rPr>
              <w:t>80%</w:t>
            </w:r>
            <w:r>
              <w:rPr>
                <w:rFonts w:ascii="Times New Roman" w:hAnsi="Times New Roman" w:eastAsia="宋体" w:cs="Times New Roman"/>
                <w:bCs/>
                <w:color w:val="auto"/>
                <w:sz w:val="24"/>
                <w:szCs w:val="22"/>
              </w:rPr>
              <w:t>计</w:t>
            </w:r>
            <w:r>
              <w:rPr>
                <w:rFonts w:ascii="Times New Roman" w:hAnsi="Times New Roman" w:eastAsia="宋体" w:cs="Times New Roman"/>
                <w:color w:val="auto"/>
                <w:sz w:val="24"/>
              </w:rPr>
              <w:t>，则生活废水产生量为1.28m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/d，380m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p>
          <w:p>
            <w:pPr>
              <w:snapToGrid w:val="0"/>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来访顾客生活废水</w:t>
            </w:r>
          </w:p>
          <w:p>
            <w:pPr>
              <w:snapToGrid w:val="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sz w:val="24"/>
              </w:rPr>
              <w:t>本项目每天接待来访顾客预计20人，顾客不在项目食宿，顾客用水主要为卫生间用水，项目卫生间为水冲式，根据《云南省地方标准用水定额》（DB53T/168-2019）中公共卫生间用水定额7L/（人•次），</w:t>
            </w:r>
            <w:r>
              <w:rPr>
                <w:rFonts w:ascii="Times New Roman" w:hAnsi="Times New Roman" w:eastAsia="宋体" w:cs="Times New Roman"/>
                <w:color w:val="auto"/>
                <w:spacing w:val="-6"/>
                <w:sz w:val="24"/>
              </w:rPr>
              <w:t>则</w:t>
            </w:r>
            <w:r>
              <w:rPr>
                <w:rFonts w:ascii="Times New Roman" w:hAnsi="Times New Roman" w:eastAsia="宋体" w:cs="Times New Roman"/>
                <w:color w:val="auto"/>
                <w:sz w:val="24"/>
              </w:rPr>
              <w:t>来访顾客生活</w:t>
            </w:r>
            <w:r>
              <w:rPr>
                <w:rFonts w:ascii="Times New Roman" w:hAnsi="Times New Roman" w:eastAsia="宋体" w:cs="Times New Roman"/>
                <w:color w:val="auto"/>
                <w:spacing w:val="-6"/>
                <w:sz w:val="24"/>
              </w:rPr>
              <w:t>用水量为0.14m</w:t>
            </w:r>
            <w:r>
              <w:rPr>
                <w:rFonts w:ascii="Times New Roman" w:hAnsi="Times New Roman" w:eastAsia="宋体" w:cs="Times New Roman"/>
                <w:color w:val="auto"/>
                <w:spacing w:val="-6"/>
                <w:sz w:val="24"/>
                <w:vertAlign w:val="superscript"/>
              </w:rPr>
              <w:t>3</w:t>
            </w:r>
            <w:r>
              <w:rPr>
                <w:rFonts w:ascii="Times New Roman" w:hAnsi="Times New Roman" w:eastAsia="宋体" w:cs="Times New Roman"/>
                <w:color w:val="auto"/>
                <w:spacing w:val="-6"/>
                <w:sz w:val="24"/>
              </w:rPr>
              <w:t>/d，42m</w:t>
            </w:r>
            <w:r>
              <w:rPr>
                <w:rFonts w:ascii="Times New Roman" w:hAnsi="Times New Roman" w:eastAsia="宋体" w:cs="Times New Roman"/>
                <w:color w:val="auto"/>
                <w:spacing w:val="-6"/>
                <w:sz w:val="24"/>
                <w:vertAlign w:val="superscript"/>
              </w:rPr>
              <w:t>3</w:t>
            </w:r>
            <w:r>
              <w:rPr>
                <w:rFonts w:ascii="Times New Roman" w:hAnsi="Times New Roman" w:eastAsia="宋体" w:cs="Times New Roman"/>
                <w:color w:val="auto"/>
                <w:spacing w:val="-6"/>
                <w:sz w:val="24"/>
              </w:rPr>
              <w:t>/a</w:t>
            </w:r>
            <w:r>
              <w:rPr>
                <w:rFonts w:ascii="Times New Roman" w:hAnsi="Times New Roman" w:eastAsia="宋体" w:cs="Times New Roman"/>
                <w:color w:val="auto"/>
                <w:sz w:val="24"/>
              </w:rPr>
              <w:t>，</w:t>
            </w:r>
            <w:r>
              <w:rPr>
                <w:rFonts w:ascii="Times New Roman" w:hAnsi="Times New Roman" w:eastAsia="宋体" w:cs="Times New Roman"/>
                <w:bCs/>
                <w:color w:val="auto"/>
                <w:sz w:val="24"/>
                <w:szCs w:val="22"/>
              </w:rPr>
              <w:t>废水产生量按用水量的</w:t>
            </w:r>
            <w:r>
              <w:rPr>
                <w:rFonts w:ascii="Times New Roman" w:hAnsi="Times New Roman" w:eastAsia="宋体" w:cs="Times New Roman"/>
                <w:color w:val="auto"/>
                <w:sz w:val="24"/>
              </w:rPr>
              <w:t>80%</w:t>
            </w:r>
            <w:r>
              <w:rPr>
                <w:rFonts w:ascii="Times New Roman" w:hAnsi="Times New Roman" w:eastAsia="宋体" w:cs="Times New Roman"/>
                <w:bCs/>
                <w:color w:val="auto"/>
                <w:sz w:val="24"/>
                <w:szCs w:val="22"/>
              </w:rPr>
              <w:t>计，废水产生量为0.112m</w:t>
            </w:r>
            <w:r>
              <w:rPr>
                <w:rFonts w:ascii="Times New Roman" w:hAnsi="Times New Roman" w:eastAsia="宋体" w:cs="Times New Roman"/>
                <w:bCs/>
                <w:color w:val="auto"/>
                <w:sz w:val="24"/>
                <w:szCs w:val="22"/>
                <w:vertAlign w:val="superscript"/>
              </w:rPr>
              <w:t>3</w:t>
            </w:r>
            <w:r>
              <w:rPr>
                <w:rFonts w:ascii="Times New Roman" w:hAnsi="Times New Roman" w:eastAsia="宋体" w:cs="Times New Roman"/>
                <w:bCs/>
                <w:color w:val="auto"/>
                <w:sz w:val="24"/>
                <w:szCs w:val="22"/>
              </w:rPr>
              <w:t>/d，</w:t>
            </w:r>
            <w:r>
              <w:rPr>
                <w:rFonts w:ascii="Times New Roman" w:hAnsi="Times New Roman" w:eastAsia="宋体" w:cs="Times New Roman"/>
                <w:color w:val="auto"/>
                <w:sz w:val="24"/>
              </w:rPr>
              <w:t>33.6m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p>
          <w:p>
            <w:pPr>
              <w:widowControl/>
              <w:spacing w:line="360" w:lineRule="auto"/>
              <w:ind w:firstLine="482" w:firstLineChars="200"/>
              <w:jc w:val="left"/>
              <w:rPr>
                <w:rFonts w:ascii="Times New Roman" w:hAnsi="Times New Roman" w:eastAsia="宋体" w:cs="Times New Roman"/>
                <w:b/>
                <w:color w:val="auto"/>
                <w:sz w:val="24"/>
              </w:rPr>
            </w:pPr>
            <w:r>
              <w:rPr>
                <w:rFonts w:ascii="Times New Roman" w:hAnsi="Times New Roman" w:eastAsia="宋体" w:cs="Times New Roman"/>
                <w:b/>
                <w:color w:val="auto"/>
                <w:sz w:val="24"/>
              </w:rPr>
              <w:t>（3）项目用水核算小结</w:t>
            </w:r>
          </w:p>
          <w:p>
            <w:pPr>
              <w:widowControl/>
              <w:spacing w:line="360" w:lineRule="auto"/>
              <w:ind w:firstLine="480" w:firstLineChars="200"/>
              <w:jc w:val="left"/>
              <w:rPr>
                <w:rFonts w:ascii="Times New Roman" w:hAnsi="Times New Roman" w:eastAsia="宋体" w:cs="Times New Roman"/>
                <w:b/>
                <w:color w:val="auto"/>
                <w:sz w:val="24"/>
              </w:rPr>
            </w:pPr>
            <w:r>
              <w:rPr>
                <w:rFonts w:ascii="Times New Roman" w:hAnsi="Times New Roman" w:eastAsia="宋体" w:cs="Times New Roman"/>
                <w:bCs/>
                <w:color w:val="auto"/>
                <w:sz w:val="24"/>
              </w:rPr>
              <w:t>根据以上计算，项目用排水情况见表5-5，项目水平衡图见图5-4。</w:t>
            </w:r>
          </w:p>
          <w:p>
            <w:pPr>
              <w:pStyle w:val="185"/>
              <w:rPr>
                <w:color w:val="auto"/>
              </w:rPr>
            </w:pPr>
            <w:r>
              <w:rPr>
                <w:color w:val="auto"/>
              </w:rPr>
              <w:t>表5-</w:t>
            </w:r>
            <w:r>
              <w:rPr>
                <w:color w:val="auto"/>
                <w:lang w:val="en-US"/>
              </w:rPr>
              <w:t>5</w:t>
            </w:r>
            <w:r>
              <w:rPr>
                <w:color w:val="auto"/>
              </w:rPr>
              <w:t xml:space="preserve">  项目用排水情况一览表</w:t>
            </w:r>
          </w:p>
          <w:tbl>
            <w:tblPr>
              <w:tblStyle w:val="39"/>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69"/>
              <w:gridCol w:w="1365"/>
              <w:gridCol w:w="1957"/>
              <w:gridCol w:w="2007"/>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80" w:type="dxa"/>
                  <w:vAlign w:val="center"/>
                </w:tcPr>
                <w:p>
                  <w:pPr>
                    <w:pStyle w:val="140"/>
                    <w:rPr>
                      <w:b/>
                      <w:bCs/>
                      <w:color w:val="auto"/>
                    </w:rPr>
                  </w:pPr>
                  <w:r>
                    <w:rPr>
                      <w:b/>
                      <w:bCs/>
                      <w:color w:val="auto"/>
                    </w:rPr>
                    <w:t>序号</w:t>
                  </w:r>
                </w:p>
              </w:tc>
              <w:tc>
                <w:tcPr>
                  <w:tcW w:w="1869" w:type="dxa"/>
                  <w:vAlign w:val="center"/>
                </w:tcPr>
                <w:p>
                  <w:pPr>
                    <w:pStyle w:val="140"/>
                    <w:rPr>
                      <w:b/>
                      <w:bCs/>
                      <w:color w:val="auto"/>
                    </w:rPr>
                  </w:pPr>
                  <w:r>
                    <w:rPr>
                      <w:b/>
                      <w:bCs/>
                      <w:color w:val="auto"/>
                    </w:rPr>
                    <w:t>用水对象</w:t>
                  </w:r>
                </w:p>
              </w:tc>
              <w:tc>
                <w:tcPr>
                  <w:tcW w:w="1365" w:type="dxa"/>
                  <w:vAlign w:val="center"/>
                </w:tcPr>
                <w:p>
                  <w:pPr>
                    <w:pStyle w:val="140"/>
                    <w:rPr>
                      <w:b/>
                      <w:bCs/>
                      <w:color w:val="auto"/>
                    </w:rPr>
                  </w:pPr>
                  <w:r>
                    <w:rPr>
                      <w:b/>
                      <w:bCs/>
                      <w:color w:val="auto"/>
                    </w:rPr>
                    <w:t>用水情况</w:t>
                  </w:r>
                </w:p>
              </w:tc>
              <w:tc>
                <w:tcPr>
                  <w:tcW w:w="1957" w:type="dxa"/>
                  <w:vAlign w:val="center"/>
                </w:tcPr>
                <w:p>
                  <w:pPr>
                    <w:pStyle w:val="140"/>
                    <w:rPr>
                      <w:b/>
                      <w:bCs/>
                      <w:color w:val="auto"/>
                    </w:rPr>
                  </w:pPr>
                  <w:r>
                    <w:rPr>
                      <w:b/>
                      <w:bCs/>
                      <w:color w:val="auto"/>
                    </w:rPr>
                    <w:t>单位用水指标</w:t>
                  </w:r>
                </w:p>
              </w:tc>
              <w:tc>
                <w:tcPr>
                  <w:tcW w:w="2007" w:type="dxa"/>
                  <w:vAlign w:val="center"/>
                </w:tcPr>
                <w:p>
                  <w:pPr>
                    <w:pStyle w:val="140"/>
                    <w:rPr>
                      <w:b/>
                      <w:bCs/>
                      <w:color w:val="auto"/>
                    </w:rPr>
                  </w:pPr>
                  <w:r>
                    <w:rPr>
                      <w:b/>
                      <w:bCs/>
                      <w:color w:val="auto"/>
                    </w:rPr>
                    <w:t>新鲜水用量(m</w:t>
                  </w:r>
                  <w:r>
                    <w:rPr>
                      <w:b/>
                      <w:bCs/>
                      <w:color w:val="auto"/>
                      <w:vertAlign w:val="superscript"/>
                    </w:rPr>
                    <w:t>3</w:t>
                  </w:r>
                  <w:r>
                    <w:rPr>
                      <w:b/>
                      <w:bCs/>
                      <w:color w:val="auto"/>
                    </w:rPr>
                    <w:t>/d)</w:t>
                  </w:r>
                </w:p>
              </w:tc>
              <w:tc>
                <w:tcPr>
                  <w:tcW w:w="1678" w:type="dxa"/>
                  <w:vAlign w:val="center"/>
                </w:tcPr>
                <w:p>
                  <w:pPr>
                    <w:pStyle w:val="140"/>
                    <w:rPr>
                      <w:b/>
                      <w:bCs/>
                      <w:color w:val="auto"/>
                    </w:rPr>
                  </w:pPr>
                  <w:r>
                    <w:rPr>
                      <w:b/>
                      <w:bCs/>
                      <w:color w:val="auto"/>
                    </w:rPr>
                    <w:t>废水量(m</w:t>
                  </w:r>
                  <w:r>
                    <w:rPr>
                      <w:b/>
                      <w:bCs/>
                      <w:color w:val="auto"/>
                      <w:vertAlign w:val="superscript"/>
                    </w:rPr>
                    <w:t>3</w:t>
                  </w:r>
                  <w:r>
                    <w:rPr>
                      <w:b/>
                      <w:bCs/>
                      <w:color w:val="auto"/>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80" w:type="dxa"/>
                  <w:vAlign w:val="center"/>
                </w:tcPr>
                <w:p>
                  <w:pPr>
                    <w:pStyle w:val="140"/>
                    <w:rPr>
                      <w:color w:val="auto"/>
                    </w:rPr>
                  </w:pPr>
                  <w:r>
                    <w:rPr>
                      <w:color w:val="auto"/>
                    </w:rPr>
                    <w:t>1</w:t>
                  </w:r>
                </w:p>
              </w:tc>
              <w:tc>
                <w:tcPr>
                  <w:tcW w:w="1869" w:type="dxa"/>
                  <w:vAlign w:val="center"/>
                </w:tcPr>
                <w:p>
                  <w:pPr>
                    <w:pStyle w:val="140"/>
                    <w:rPr>
                      <w:color w:val="auto"/>
                    </w:rPr>
                  </w:pPr>
                  <w:r>
                    <w:rPr>
                      <w:color w:val="auto"/>
                    </w:rPr>
                    <w:t>办公、生活</w:t>
                  </w:r>
                </w:p>
              </w:tc>
              <w:tc>
                <w:tcPr>
                  <w:tcW w:w="1365" w:type="dxa"/>
                  <w:vAlign w:val="center"/>
                </w:tcPr>
                <w:p>
                  <w:pPr>
                    <w:pStyle w:val="140"/>
                    <w:rPr>
                      <w:color w:val="auto"/>
                    </w:rPr>
                  </w:pPr>
                  <w:r>
                    <w:rPr>
                      <w:color w:val="auto"/>
                    </w:rPr>
                    <w:t>20人</w:t>
                  </w:r>
                </w:p>
              </w:tc>
              <w:tc>
                <w:tcPr>
                  <w:tcW w:w="1957" w:type="dxa"/>
                  <w:vAlign w:val="center"/>
                </w:tcPr>
                <w:p>
                  <w:pPr>
                    <w:pStyle w:val="140"/>
                    <w:rPr>
                      <w:color w:val="auto"/>
                    </w:rPr>
                  </w:pPr>
                  <w:r>
                    <w:rPr>
                      <w:iCs/>
                      <w:color w:val="auto"/>
                    </w:rPr>
                    <w:t>80</w:t>
                  </w:r>
                  <w:r>
                    <w:rPr>
                      <w:color w:val="auto"/>
                    </w:rPr>
                    <w:t>L/（人·d）</w:t>
                  </w:r>
                </w:p>
              </w:tc>
              <w:tc>
                <w:tcPr>
                  <w:tcW w:w="200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1.6</w:t>
                  </w:r>
                </w:p>
              </w:tc>
              <w:tc>
                <w:tcPr>
                  <w:tcW w:w="167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0" w:type="dxa"/>
                  <w:vAlign w:val="center"/>
                </w:tcPr>
                <w:p>
                  <w:pPr>
                    <w:pStyle w:val="140"/>
                    <w:rPr>
                      <w:color w:val="auto"/>
                    </w:rPr>
                  </w:pPr>
                  <w:r>
                    <w:rPr>
                      <w:color w:val="auto"/>
                    </w:rPr>
                    <w:t>2</w:t>
                  </w:r>
                </w:p>
              </w:tc>
              <w:tc>
                <w:tcPr>
                  <w:tcW w:w="1869" w:type="dxa"/>
                  <w:vAlign w:val="center"/>
                </w:tcPr>
                <w:p>
                  <w:pPr>
                    <w:pStyle w:val="140"/>
                    <w:rPr>
                      <w:iCs/>
                      <w:color w:val="auto"/>
                    </w:rPr>
                  </w:pPr>
                  <w:r>
                    <w:rPr>
                      <w:iCs/>
                      <w:color w:val="auto"/>
                    </w:rPr>
                    <w:t>来访顾客</w:t>
                  </w:r>
                </w:p>
              </w:tc>
              <w:tc>
                <w:tcPr>
                  <w:tcW w:w="1365" w:type="dxa"/>
                  <w:vAlign w:val="center"/>
                </w:tcPr>
                <w:p>
                  <w:pPr>
                    <w:pStyle w:val="140"/>
                    <w:rPr>
                      <w:color w:val="auto"/>
                    </w:rPr>
                  </w:pPr>
                  <w:r>
                    <w:rPr>
                      <w:color w:val="auto"/>
                    </w:rPr>
                    <w:t>20人</w:t>
                  </w:r>
                </w:p>
              </w:tc>
              <w:tc>
                <w:tcPr>
                  <w:tcW w:w="1957" w:type="dxa"/>
                  <w:vAlign w:val="center"/>
                </w:tcPr>
                <w:p>
                  <w:pPr>
                    <w:pStyle w:val="140"/>
                    <w:rPr>
                      <w:color w:val="auto"/>
                    </w:rPr>
                  </w:pPr>
                  <w:r>
                    <w:rPr>
                      <w:color w:val="auto"/>
                      <w:sz w:val="24"/>
                      <w:szCs w:val="24"/>
                    </w:rPr>
                    <w:t>7L/（人·次）</w:t>
                  </w:r>
                </w:p>
              </w:tc>
              <w:tc>
                <w:tcPr>
                  <w:tcW w:w="200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0.14</w:t>
                  </w:r>
                </w:p>
              </w:tc>
              <w:tc>
                <w:tcPr>
                  <w:tcW w:w="167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49" w:type="dxa"/>
                  <w:gridSpan w:val="2"/>
                  <w:vAlign w:val="center"/>
                </w:tcPr>
                <w:p>
                  <w:pPr>
                    <w:pStyle w:val="140"/>
                    <w:rPr>
                      <w:color w:val="auto"/>
                    </w:rPr>
                  </w:pPr>
                  <w:r>
                    <w:rPr>
                      <w:color w:val="auto"/>
                    </w:rPr>
                    <w:t>合计</w:t>
                  </w:r>
                </w:p>
              </w:tc>
              <w:tc>
                <w:tcPr>
                  <w:tcW w:w="1365" w:type="dxa"/>
                  <w:vAlign w:val="center"/>
                </w:tcPr>
                <w:p>
                  <w:pPr>
                    <w:pStyle w:val="140"/>
                    <w:rPr>
                      <w:color w:val="auto"/>
                    </w:rPr>
                  </w:pPr>
                  <w:r>
                    <w:rPr>
                      <w:color w:val="auto"/>
                    </w:rPr>
                    <w:t>/</w:t>
                  </w:r>
                </w:p>
              </w:tc>
              <w:tc>
                <w:tcPr>
                  <w:tcW w:w="1957" w:type="dxa"/>
                  <w:vAlign w:val="center"/>
                </w:tcPr>
                <w:p>
                  <w:pPr>
                    <w:pStyle w:val="140"/>
                    <w:rPr>
                      <w:color w:val="auto"/>
                    </w:rPr>
                  </w:pPr>
                  <w:r>
                    <w:rPr>
                      <w:color w:val="auto"/>
                    </w:rPr>
                    <w:t>/</w:t>
                  </w:r>
                </w:p>
              </w:tc>
              <w:tc>
                <w:tcPr>
                  <w:tcW w:w="200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2.78</w:t>
                  </w:r>
                </w:p>
              </w:tc>
              <w:tc>
                <w:tcPr>
                  <w:tcW w:w="1678"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r>
                    <w:rPr>
                      <w:rFonts w:ascii="Times New Roman" w:hAnsi="Times New Roman" w:eastAsia="宋体" w:cs="Times New Roman"/>
                      <w:color w:val="auto"/>
                      <w:szCs w:val="21"/>
                    </w:rPr>
                    <w:t>.392</w:t>
                  </w:r>
                </w:p>
              </w:tc>
            </w:tr>
          </w:tbl>
          <w:p>
            <w:pPr>
              <w:widowControl/>
              <w:spacing w:line="360" w:lineRule="auto"/>
              <w:ind w:firstLine="482" w:firstLineChars="200"/>
              <w:jc w:val="left"/>
              <w:rPr>
                <w:rFonts w:ascii="Times New Roman" w:hAnsi="Times New Roman" w:eastAsia="宋体" w:cs="Times New Roman"/>
                <w:b/>
                <w:color w:val="auto"/>
                <w:sz w:val="24"/>
              </w:rPr>
            </w:pPr>
          </w:p>
          <w:p>
            <w:pPr>
              <w:pStyle w:val="38"/>
              <w:spacing w:after="0"/>
              <w:ind w:left="0" w:leftChars="0" w:firstLine="0" w:firstLineChars="0"/>
              <w:jc w:val="center"/>
              <w:rPr>
                <w:color w:val="auto"/>
              </w:rPr>
            </w:pPr>
            <w:r>
              <w:rPr>
                <w:color w:val="auto"/>
              </w:rPr>
              <w:object>
                <v:shape id="_x0000_i1028" o:spt="75" type="#_x0000_t75" style="height:69.75pt;width:465pt;" o:ole="t" filled="f" o:preferrelative="t" stroked="f" coordsize="21600,21600">
                  <v:path/>
                  <v:fill on="f" focussize="0,0"/>
                  <v:stroke on="f" joinstyle="miter"/>
                  <v:imagedata r:id="rId15" o:title=""/>
                  <o:lock v:ext="edit" aspectratio="t"/>
                  <w10:wrap type="none"/>
                  <w10:anchorlock/>
                </v:shape>
                <o:OLEObject Type="Embed" ProgID="Visio.Drawing.15" ShapeID="_x0000_i1028" DrawAspect="Content" ObjectID="_1468075728" r:id="rId14">
                  <o:LockedField>false</o:LockedField>
                </o:OLEObject>
              </w:object>
            </w:r>
          </w:p>
          <w:p>
            <w:pPr>
              <w:widowControl/>
              <w:spacing w:line="360" w:lineRule="auto"/>
              <w:ind w:firstLine="482" w:firstLineChars="20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图5-4  本项目水量平衡图  单位：m</w:t>
            </w:r>
            <w:r>
              <w:rPr>
                <w:rFonts w:ascii="Times New Roman" w:hAnsi="Times New Roman" w:eastAsia="宋体" w:cs="Times New Roman"/>
                <w:b/>
                <w:color w:val="auto"/>
                <w:sz w:val="24"/>
                <w:vertAlign w:val="superscript"/>
              </w:rPr>
              <w:t>3</w:t>
            </w:r>
            <w:r>
              <w:rPr>
                <w:rFonts w:ascii="Times New Roman" w:hAnsi="Times New Roman" w:eastAsia="宋体" w:cs="Times New Roman"/>
                <w:b/>
                <w:color w:val="auto"/>
                <w:sz w:val="24"/>
              </w:rPr>
              <w:t>/d</w:t>
            </w:r>
          </w:p>
          <w:p>
            <w:pPr>
              <w:widowControl/>
              <w:spacing w:line="36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根据上述核算，项目区产生的废水量为1.392m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/d，0.04176万m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/a。</w:t>
            </w:r>
          </w:p>
          <w:p>
            <w:pPr>
              <w:widowControl/>
              <w:spacing w:line="360" w:lineRule="auto"/>
              <w:ind w:firstLine="482" w:firstLineChars="200"/>
              <w:jc w:val="left"/>
              <w:rPr>
                <w:rFonts w:ascii="Times New Roman" w:hAnsi="Times New Roman" w:eastAsia="宋体" w:cs="Times New Roman"/>
                <w:b/>
                <w:color w:val="auto"/>
                <w:sz w:val="24"/>
              </w:rPr>
            </w:pPr>
            <w:r>
              <w:rPr>
                <w:rFonts w:hint="eastAsia" w:ascii="宋体" w:hAnsi="宋体" w:eastAsia="宋体" w:cs="宋体"/>
                <w:b/>
                <w:color w:val="auto"/>
                <w:sz w:val="24"/>
              </w:rPr>
              <w:t>①</w:t>
            </w:r>
            <w:r>
              <w:rPr>
                <w:rFonts w:ascii="Times New Roman" w:hAnsi="Times New Roman" w:eastAsia="宋体" w:cs="Times New Roman"/>
                <w:b/>
                <w:color w:val="auto"/>
                <w:sz w:val="24"/>
              </w:rPr>
              <w:t>雨水系统</w:t>
            </w:r>
          </w:p>
          <w:p>
            <w:pPr>
              <w:widowControl/>
              <w:spacing w:line="360" w:lineRule="auto"/>
              <w:ind w:firstLine="480" w:firstLineChars="200"/>
              <w:jc w:val="left"/>
              <w:rPr>
                <w:rFonts w:ascii="Times New Roman" w:hAnsi="Times New Roman" w:eastAsia="宋体" w:cs="Times New Roman"/>
                <w:b/>
                <w:color w:val="auto"/>
                <w:sz w:val="24"/>
              </w:rPr>
            </w:pPr>
            <w:r>
              <w:rPr>
                <w:rFonts w:ascii="Times New Roman" w:hAnsi="Times New Roman" w:eastAsia="宋体" w:cs="Times New Roman"/>
                <w:bCs/>
                <w:color w:val="auto"/>
                <w:sz w:val="24"/>
              </w:rPr>
              <w:t>项目区实行雨污分流制，项目区厂房加盖彩钢瓦。</w:t>
            </w:r>
          </w:p>
          <w:p>
            <w:pPr>
              <w:widowControl/>
              <w:spacing w:line="360" w:lineRule="auto"/>
              <w:ind w:firstLine="482" w:firstLineChars="200"/>
              <w:jc w:val="left"/>
              <w:rPr>
                <w:rFonts w:ascii="Times New Roman" w:hAnsi="Times New Roman" w:eastAsia="宋体" w:cs="Times New Roman"/>
                <w:b/>
                <w:color w:val="auto"/>
                <w:sz w:val="24"/>
              </w:rPr>
            </w:pPr>
            <w:r>
              <w:rPr>
                <w:rFonts w:hint="eastAsia" w:ascii="宋体" w:hAnsi="宋体" w:eastAsia="宋体" w:cs="宋体"/>
                <w:b/>
                <w:color w:val="auto"/>
                <w:sz w:val="24"/>
              </w:rPr>
              <w:t>②</w:t>
            </w:r>
            <w:r>
              <w:rPr>
                <w:rFonts w:ascii="Times New Roman" w:hAnsi="Times New Roman" w:eastAsia="宋体" w:cs="Times New Roman"/>
                <w:b/>
                <w:color w:val="auto"/>
                <w:sz w:val="24"/>
              </w:rPr>
              <w:t>污水系统</w:t>
            </w:r>
          </w:p>
          <w:p>
            <w:pPr>
              <w:widowControl/>
              <w:spacing w:line="360" w:lineRule="auto"/>
              <w:ind w:firstLine="482" w:firstLineChars="200"/>
              <w:jc w:val="left"/>
              <w:rPr>
                <w:rFonts w:ascii="Times New Roman" w:hAnsi="Times New Roman" w:eastAsia="宋体" w:cs="Times New Roman"/>
                <w:bCs/>
                <w:color w:val="auto"/>
                <w:sz w:val="24"/>
              </w:rPr>
            </w:pPr>
            <w:r>
              <w:rPr>
                <w:rFonts w:ascii="Times New Roman" w:hAnsi="Times New Roman" w:eastAsia="宋体" w:cs="Times New Roman"/>
                <w:b/>
                <w:bCs/>
                <w:color w:val="auto"/>
                <w:sz w:val="24"/>
              </w:rPr>
              <w:t>生活污水：</w:t>
            </w:r>
            <w:r>
              <w:rPr>
                <w:rFonts w:ascii="Times New Roman" w:hAnsi="Times New Roman" w:eastAsia="宋体" w:cs="Times New Roman"/>
                <w:bCs/>
                <w:color w:val="auto"/>
                <w:sz w:val="24"/>
              </w:rPr>
              <w:t>排入化粪池（项目区东北侧15m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）处理后</w:t>
            </w:r>
            <w:r>
              <w:rPr>
                <w:rFonts w:hint="eastAsia" w:ascii="Times New Roman" w:hAnsi="Times New Roman" w:eastAsia="宋体" w:cs="Times New Roman"/>
                <w:bCs/>
                <w:color w:val="auto"/>
                <w:sz w:val="24"/>
              </w:rPr>
              <w:t>定期委托环卫部门清运</w:t>
            </w:r>
            <w:r>
              <w:rPr>
                <w:rFonts w:ascii="Times New Roman" w:hAnsi="Times New Roman" w:eastAsia="宋体" w:cs="Times New Roman"/>
                <w:bCs/>
                <w:color w:val="auto"/>
                <w:sz w:val="24"/>
              </w:rPr>
              <w:t>。</w:t>
            </w:r>
          </w:p>
          <w:p>
            <w:pPr>
              <w:widowControl/>
              <w:spacing w:line="360" w:lineRule="auto"/>
              <w:ind w:firstLine="482" w:firstLineChars="200"/>
              <w:jc w:val="left"/>
              <w:rPr>
                <w:rFonts w:ascii="Times New Roman" w:hAnsi="Times New Roman" w:eastAsia="宋体" w:cs="Times New Roman"/>
                <w:b/>
                <w:bCs/>
                <w:color w:val="auto"/>
                <w:sz w:val="24"/>
              </w:rPr>
            </w:pPr>
            <w:r>
              <w:rPr>
                <w:rFonts w:hint="eastAsia" w:ascii="Times New Roman" w:hAnsi="Times New Roman" w:eastAsia="宋体" w:cs="Times New Roman"/>
                <w:b/>
                <w:bCs/>
                <w:color w:val="auto"/>
                <w:sz w:val="24"/>
              </w:rPr>
              <w:t>项目无</w:t>
            </w:r>
            <w:r>
              <w:rPr>
                <w:rFonts w:ascii="Times New Roman" w:hAnsi="Times New Roman" w:eastAsia="宋体" w:cs="Times New Roman"/>
                <w:b/>
                <w:bCs/>
                <w:color w:val="auto"/>
                <w:sz w:val="24"/>
              </w:rPr>
              <w:t>生产废水</w:t>
            </w:r>
            <w:r>
              <w:rPr>
                <w:rFonts w:hint="eastAsia" w:ascii="Times New Roman" w:hAnsi="Times New Roman" w:eastAsia="宋体" w:cs="Times New Roman"/>
                <w:b/>
                <w:bCs/>
                <w:color w:val="auto"/>
                <w:sz w:val="24"/>
              </w:rPr>
              <w:t>产生。</w:t>
            </w:r>
          </w:p>
          <w:p>
            <w:pPr>
              <w:ind w:left="50" w:right="50" w:firstLine="482" w:firstLineChars="200"/>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表5-6  本项目废水污染物产排情况表</w:t>
            </w:r>
          </w:p>
          <w:tbl>
            <w:tblPr>
              <w:tblStyle w:val="39"/>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011"/>
              <w:gridCol w:w="1367"/>
              <w:gridCol w:w="1049"/>
              <w:gridCol w:w="1049"/>
              <w:gridCol w:w="1049"/>
              <w:gridCol w:w="1049"/>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951" w:type="dxa"/>
                  <w:gridSpan w:val="2"/>
                  <w:tcBorders>
                    <w:top w:val="single" w:color="auto" w:sz="4" w:space="0"/>
                    <w:left w:val="single" w:color="auto" w:sz="4" w:space="0"/>
                    <w:bottom w:val="single" w:color="auto" w:sz="4" w:space="0"/>
                    <w:right w:val="single" w:color="auto" w:sz="4" w:space="0"/>
                  </w:tcBorders>
                  <w:vAlign w:val="center"/>
                </w:tcPr>
                <w:p>
                  <w:pPr>
                    <w:widowControl/>
                    <w:ind w:right="550"/>
                    <w:jc w:val="right"/>
                    <w:rPr>
                      <w:rFonts w:ascii="Times New Roman" w:hAnsi="Times New Roman" w:eastAsia="宋体" w:cs="Times New Roman"/>
                      <w:b/>
                      <w:color w:val="auto"/>
                      <w:kern w:val="0"/>
                      <w:szCs w:val="21"/>
                    </w:rPr>
                  </w:pPr>
                  <w:r>
                    <w:rPr>
                      <w:rFonts w:ascii="Times New Roman" w:hAnsi="Times New Roman" w:eastAsia="宋体" w:cs="Times New Roman"/>
                      <w:b/>
                      <w:color w:val="auto"/>
                      <w:szCs w:val="21"/>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-1270</wp:posOffset>
                            </wp:positionV>
                            <wp:extent cx="1666875" cy="399415"/>
                            <wp:effectExtent l="0" t="0" r="28575" b="19685"/>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1666875" cy="39941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3.3pt;margin-top:-0.1pt;height:31.45pt;width:131.25pt;z-index:251659264;mso-width-relative:page;mso-height-relative:page;" filled="f" stroked="t" coordsize="21600,21600" o:gfxdata="UEsDBAoAAAAAAIdO4kAAAAAAAAAAAAAAAAAEAAAAZHJzL1BLAwQUAAAACACHTuJARpnQmNYAAAAH&#10;AQAADwAAAGRycy9kb3ducmV2LnhtbE2OwU7DMBBE70j8g7VIXFBrx1ICDXEqhMSBI20lrm68JIF4&#10;HcVOU/r1LCc4jUYzmnnV9uwHccIp9oEMZGsFAqkJrqfWwGH/snoAEZMlZ4dAaOAbI2zr66vKli4s&#10;9IanXWoFj1AsrYEupbGUMjYdehvXYUTi7CNM3ia2UyvdZBce94PUShXS2574obMjPnfYfO1mbwDj&#10;nGfqaePbw+tluXvXl89l3Btze5OpRxAJz+mvDL/4jA41Mx3DTC6KwcCqKLjJqkFwrPN8A+JooND3&#10;IOtK/uevfwBQSwMEFAAAAAgAh07iQCjUcjr/AQAA0QMAAA4AAABkcnMvZTJvRG9jLnhtbK1TwY7T&#10;MBC9I/EPlu80TaFlGzXdQ6vlskClXT7AdZzEwvZYHrdpf4IfQOIEnIDT3vkaWD4D22kLu1z2QA6W&#10;7fF7b+bNZHa+04pshUMJpqT5YEiJMBwqaZqSvrm+eHJGCXpmKqbAiJLuBdLz+eNHs84WYgQtqEo4&#10;EkgMFp0taeu9LbIMeSs0wwFYYUKwBqeZD0fXZJVjXWDXKhsNh5OsA1dZB1wghttlH6QHRvcQQqhr&#10;ycUS+EYL43tWJxTzoSRspUU6T9nWteD+dV2j8ESVNFTq0xpEwn4d12w+Y0XjmG0lP6TAHpLCvZo0&#10;kyaInqiWzDOycfIfKi25A4TaDzjorC8kORKqyIf3vLlqmRWplmA12pPp+P9o+avtyhFZlXREiWE6&#10;NPz2/c3Pd59uv3398fHm1/cPcf/lMxlFqzqLRUAszMrFYvnOXNlL4G+RGFi0zDQipXy9t4Enj4js&#10;DiQe0AbBdfcSqvCGbTwk33a105EyOEJ2qT37U3vEzhMeLvPJZHL2fEwJD7Gn0+mzfJwkWHFEW4f+&#10;hQBN4qak6B2TTesXYEyYBHB50mLbS/QxN1YcAVHawIVUKg2EMqQr6XQ8GicAgpJVDMZn6Jr1Qjmy&#10;ZXGk0nfI4s4zBxtT9SLKRJxI03hQPhrRW7qGar9yR7dCp1Nuh6mMo/T3OXn650+c/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GmdCY1gAAAAcBAAAPAAAAAAAAAAEAIAAAACIAAABkcnMvZG93bnJl&#10;di54bWxQSwECFAAUAAAACACHTuJAKNRyOv8BAADRAwAADgAAAAAAAAABACAAAAAlAQAAZHJzL2Uy&#10;b0RvYy54bWxQSwUGAAAAAAYABgBZAQAAlgUAAAAA&#10;">
                            <v:fill on="f" focussize="0,0"/>
                            <v:stroke color="#000000" joinstyle="round"/>
                            <v:imagedata o:title=""/>
                            <o:lock v:ext="edit" aspectratio="f"/>
                          </v:shape>
                        </w:pict>
                      </mc:Fallback>
                    </mc:AlternateContent>
                  </w:r>
                  <w:r>
                    <w:rPr>
                      <w:rFonts w:ascii="Times New Roman" w:hAnsi="Times New Roman" w:eastAsia="宋体" w:cs="Times New Roman"/>
                      <w:b/>
                      <w:color w:val="auto"/>
                      <w:kern w:val="0"/>
                      <w:szCs w:val="21"/>
                    </w:rPr>
                    <w:t>项目</w:t>
                  </w:r>
                </w:p>
                <w:p>
                  <w:pPr>
                    <w:widowControl/>
                    <w:jc w:val="left"/>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产排情况</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废水量</w:t>
                  </w:r>
                </w:p>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（万m</w:t>
                  </w:r>
                  <w:r>
                    <w:rPr>
                      <w:rFonts w:ascii="Times New Roman" w:hAnsi="Times New Roman" w:eastAsia="宋体" w:cs="Times New Roman"/>
                      <w:b/>
                      <w:color w:val="auto"/>
                      <w:kern w:val="0"/>
                      <w:szCs w:val="21"/>
                      <w:vertAlign w:val="superscript"/>
                    </w:rPr>
                    <w:t>3</w:t>
                  </w:r>
                  <w:r>
                    <w:rPr>
                      <w:rFonts w:ascii="Times New Roman" w:hAnsi="Times New Roman" w:eastAsia="宋体" w:cs="Times New Roman"/>
                      <w:b/>
                      <w:color w:val="auto"/>
                      <w:kern w:val="0"/>
                      <w:szCs w:val="21"/>
                    </w:rPr>
                    <w:t>/a）</w:t>
                  </w: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COD</w:t>
                  </w: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color w:val="auto"/>
                      <w:kern w:val="0"/>
                      <w:szCs w:val="21"/>
                      <w:vertAlign w:val="subscript"/>
                    </w:rPr>
                  </w:pPr>
                  <w:r>
                    <w:rPr>
                      <w:rFonts w:ascii="Times New Roman" w:hAnsi="Times New Roman" w:eastAsia="宋体" w:cs="Times New Roman"/>
                      <w:b/>
                      <w:color w:val="auto"/>
                      <w:kern w:val="0"/>
                      <w:szCs w:val="21"/>
                    </w:rPr>
                    <w:t>BOD</w:t>
                  </w:r>
                  <w:r>
                    <w:rPr>
                      <w:rFonts w:ascii="Times New Roman" w:hAnsi="Times New Roman" w:eastAsia="宋体" w:cs="Times New Roman"/>
                      <w:b/>
                      <w:color w:val="auto"/>
                      <w:kern w:val="0"/>
                      <w:szCs w:val="21"/>
                      <w:vertAlign w:val="subscript"/>
                    </w:rPr>
                    <w:t>5</w:t>
                  </w: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SS</w:t>
                  </w: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NH</w:t>
                  </w:r>
                  <w:r>
                    <w:rPr>
                      <w:rFonts w:ascii="Times New Roman" w:hAnsi="Times New Roman" w:eastAsia="宋体" w:cs="Times New Roman"/>
                      <w:b/>
                      <w:color w:val="auto"/>
                      <w:kern w:val="0"/>
                      <w:szCs w:val="21"/>
                      <w:vertAlign w:val="subscript"/>
                    </w:rPr>
                    <w:t>3</w:t>
                  </w:r>
                  <w:r>
                    <w:rPr>
                      <w:rFonts w:ascii="Times New Roman" w:hAnsi="Times New Roman" w:eastAsia="宋体" w:cs="Times New Roman"/>
                      <w:b/>
                      <w:color w:val="auto"/>
                      <w:kern w:val="0"/>
                      <w:szCs w:val="21"/>
                    </w:rPr>
                    <w:t>-N</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生活</w:t>
                  </w:r>
                </w:p>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废水</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产生浓度（mg/L）</w:t>
                  </w:r>
                </w:p>
              </w:tc>
              <w:tc>
                <w:tcPr>
                  <w:tcW w:w="13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0.04176</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350</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2</w:t>
                  </w:r>
                  <w:r>
                    <w:rPr>
                      <w:rFonts w:ascii="Times New Roman" w:hAnsi="Times New Roman" w:eastAsia="宋体" w:cs="Times New Roman"/>
                      <w:color w:val="auto"/>
                      <w:szCs w:val="21"/>
                    </w:rPr>
                    <w:t>0</w:t>
                  </w:r>
                  <w:r>
                    <w:rPr>
                      <w:rFonts w:ascii="Times New Roman" w:hAnsi="Times New Roman" w:eastAsia="宋体" w:cs="Times New Roman"/>
                      <w:color w:val="auto"/>
                      <w:szCs w:val="21"/>
                      <w:lang w:val="zh-CN"/>
                    </w:rPr>
                    <w:t>0</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2</w:t>
                  </w:r>
                  <w:r>
                    <w:rPr>
                      <w:rFonts w:ascii="Times New Roman" w:hAnsi="Times New Roman" w:eastAsia="宋体" w:cs="Times New Roman"/>
                      <w:color w:val="auto"/>
                      <w:szCs w:val="21"/>
                    </w:rPr>
                    <w:t>2</w:t>
                  </w:r>
                  <w:r>
                    <w:rPr>
                      <w:rFonts w:ascii="Times New Roman" w:hAnsi="Times New Roman" w:eastAsia="宋体" w:cs="Times New Roman"/>
                      <w:color w:val="auto"/>
                      <w:szCs w:val="21"/>
                      <w:lang w:val="zh-CN"/>
                    </w:rPr>
                    <w:t>0</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w:t>
                  </w:r>
                </w:p>
              </w:tc>
              <w:tc>
                <w:tcPr>
                  <w:tcW w:w="10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产生量（t/a）</w:t>
                  </w:r>
                </w:p>
              </w:tc>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zCs w:val="21"/>
                      <w:lang w:val="zh-CN"/>
                    </w:rPr>
                  </w:pP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0</w:t>
                  </w:r>
                  <w:r>
                    <w:rPr>
                      <w:rFonts w:ascii="Times New Roman" w:hAnsi="Times New Roman" w:eastAsia="宋体" w:cs="Times New Roman"/>
                      <w:color w:val="auto"/>
                      <w:kern w:val="0"/>
                      <w:szCs w:val="21"/>
                    </w:rPr>
                    <w:t>.14616</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.08352</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.09187</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.01253</w:t>
                  </w:r>
                </w:p>
              </w:tc>
              <w:tc>
                <w:tcPr>
                  <w:tcW w:w="10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排放浓度（mg/L）</w:t>
                  </w:r>
                </w:p>
              </w:tc>
              <w:tc>
                <w:tcPr>
                  <w:tcW w:w="1367"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0</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排放量（t/a）</w:t>
                  </w:r>
                </w:p>
              </w:tc>
              <w:tc>
                <w:tcPr>
                  <w:tcW w:w="1367"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w:t>
                  </w:r>
                </w:p>
              </w:tc>
            </w:tr>
          </w:tbl>
          <w:p>
            <w:pPr>
              <w:pStyle w:val="196"/>
              <w:spacing w:before="156"/>
              <w:ind w:firstLine="482"/>
              <w:rPr>
                <w:color w:val="auto"/>
              </w:rPr>
            </w:pPr>
            <w:r>
              <w:rPr>
                <w:color w:val="auto"/>
              </w:rPr>
              <w:t>2.3噪声</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本项目噪声主要来自车辆进出时的噪声、维修过程中设备运行产生的噪声等，其特点是突发性和间断性。</w:t>
            </w:r>
          </w:p>
          <w:p>
            <w:pPr>
              <w:spacing w:line="360" w:lineRule="auto"/>
              <w:ind w:firstLine="480" w:firstLineChars="200"/>
              <w:rPr>
                <w:rFonts w:ascii="Times New Roman" w:hAnsi="Times New Roman" w:eastAsia="宋体" w:cs="Times New Roman"/>
                <w:b/>
                <w:color w:val="auto"/>
                <w:szCs w:val="21"/>
              </w:rPr>
            </w:pPr>
            <w:r>
              <w:rPr>
                <w:rFonts w:ascii="Times New Roman" w:hAnsi="Times New Roman" w:eastAsia="宋体" w:cs="Times New Roman"/>
                <w:color w:val="auto"/>
                <w:sz w:val="24"/>
              </w:rPr>
              <w:t>项目产噪设备均位于室内，噪声源强在60~90dB（A）之间。根据本环评单位对项目周围进行走访，项目区无明显的噪声，对周围影响较小。噪声源强在主要设备运行情况及噪声源强见表5-7所示。</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表5-7  设备噪声产生情况一览表</w:t>
            </w:r>
          </w:p>
          <w:tbl>
            <w:tblPr>
              <w:tblStyle w:val="3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32" w:type="dxa"/>
              </w:tblCellMar>
            </w:tblPr>
            <w:tblGrid>
              <w:gridCol w:w="1082"/>
              <w:gridCol w:w="2522"/>
              <w:gridCol w:w="2975"/>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32" w:type="dxa"/>
                </w:tblCellMar>
              </w:tblPrEx>
              <w:trPr>
                <w:trHeight w:val="90"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序号</w:t>
                  </w:r>
                </w:p>
              </w:tc>
              <w:tc>
                <w:tcPr>
                  <w:tcW w:w="25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噪声源</w:t>
                  </w:r>
                </w:p>
              </w:tc>
              <w:tc>
                <w:tcPr>
                  <w:tcW w:w="2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噪声源强(dB(A))</w:t>
                  </w:r>
                </w:p>
              </w:tc>
              <w:tc>
                <w:tcPr>
                  <w:tcW w:w="297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32" w:type="dxa"/>
                </w:tblCellMar>
              </w:tblPrEx>
              <w:trPr>
                <w:trHeight w:val="323"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w:t>
                  </w:r>
                </w:p>
              </w:tc>
              <w:tc>
                <w:tcPr>
                  <w:tcW w:w="25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汽车举升设备</w:t>
                  </w:r>
                </w:p>
              </w:tc>
              <w:tc>
                <w:tcPr>
                  <w:tcW w:w="2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65-70</w:t>
                  </w:r>
                </w:p>
              </w:tc>
              <w:tc>
                <w:tcPr>
                  <w:tcW w:w="297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减振基座、设备消声、厂房墙壁吸音、距离衰减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32" w:type="dxa"/>
                </w:tblCellMar>
              </w:tblPrEx>
              <w:trPr>
                <w:trHeight w:val="323"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2</w:t>
                  </w:r>
                </w:p>
              </w:tc>
              <w:tc>
                <w:tcPr>
                  <w:tcW w:w="25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CO</w:t>
                  </w:r>
                  <w:r>
                    <w:rPr>
                      <w:rFonts w:ascii="Times New Roman" w:hAnsi="Times New Roman" w:eastAsia="宋体" w:cs="Times New Roman"/>
                      <w:color w:val="auto"/>
                      <w:szCs w:val="21"/>
                      <w:vertAlign w:val="subscript"/>
                    </w:rPr>
                    <w:t>2</w:t>
                  </w:r>
                  <w:r>
                    <w:rPr>
                      <w:rFonts w:ascii="Times New Roman" w:hAnsi="Times New Roman" w:eastAsia="宋体" w:cs="Times New Roman"/>
                      <w:color w:val="auto"/>
                      <w:szCs w:val="21"/>
                    </w:rPr>
                    <w:t>保护焊机</w:t>
                  </w:r>
                </w:p>
              </w:tc>
              <w:tc>
                <w:tcPr>
                  <w:tcW w:w="2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70-75</w:t>
                  </w:r>
                </w:p>
              </w:tc>
              <w:tc>
                <w:tcPr>
                  <w:tcW w:w="2975" w:type="dxa"/>
                  <w:vMerge w:val="continue"/>
                  <w:tcBorders>
                    <w:left w:val="single" w:color="auto" w:sz="4" w:space="0"/>
                    <w:right w:val="single" w:color="auto" w:sz="4" w:space="0"/>
                  </w:tcBorders>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32" w:type="dxa"/>
                </w:tblCellMar>
              </w:tblPrEx>
              <w:trPr>
                <w:trHeight w:val="340"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3</w:t>
                  </w:r>
                </w:p>
              </w:tc>
              <w:tc>
                <w:tcPr>
                  <w:tcW w:w="25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空气压缩机</w:t>
                  </w:r>
                </w:p>
              </w:tc>
              <w:tc>
                <w:tcPr>
                  <w:tcW w:w="2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75-90</w:t>
                  </w:r>
                </w:p>
              </w:tc>
              <w:tc>
                <w:tcPr>
                  <w:tcW w:w="2975" w:type="dxa"/>
                  <w:vMerge w:val="continue"/>
                  <w:tcBorders>
                    <w:left w:val="single" w:color="auto" w:sz="4" w:space="0"/>
                    <w:right w:val="single" w:color="auto" w:sz="4" w:space="0"/>
                  </w:tcBorders>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32" w:type="dxa"/>
                </w:tblCellMar>
              </w:tblPrEx>
              <w:trPr>
                <w:trHeight w:val="340"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4</w:t>
                  </w:r>
                </w:p>
              </w:tc>
              <w:tc>
                <w:tcPr>
                  <w:tcW w:w="25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风机</w:t>
                  </w:r>
                </w:p>
              </w:tc>
              <w:tc>
                <w:tcPr>
                  <w:tcW w:w="2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75-85</w:t>
                  </w:r>
                </w:p>
              </w:tc>
              <w:tc>
                <w:tcPr>
                  <w:tcW w:w="2975" w:type="dxa"/>
                  <w:vMerge w:val="continue"/>
                  <w:tcBorders>
                    <w:left w:val="single" w:color="auto" w:sz="4" w:space="0"/>
                    <w:right w:val="single" w:color="auto" w:sz="4" w:space="0"/>
                  </w:tcBorders>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32" w:type="dxa"/>
                </w:tblCellMar>
              </w:tblPrEx>
              <w:trPr>
                <w:trHeight w:val="340"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5</w:t>
                  </w:r>
                </w:p>
              </w:tc>
              <w:tc>
                <w:tcPr>
                  <w:tcW w:w="25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车辆噪声</w:t>
                  </w:r>
                </w:p>
              </w:tc>
              <w:tc>
                <w:tcPr>
                  <w:tcW w:w="2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60-75</w:t>
                  </w:r>
                </w:p>
              </w:tc>
              <w:tc>
                <w:tcPr>
                  <w:tcW w:w="2975" w:type="dxa"/>
                  <w:tcBorders>
                    <w:left w:val="single" w:color="auto" w:sz="4" w:space="0"/>
                    <w:right w:val="single" w:color="auto" w:sz="4" w:space="0"/>
                  </w:tcBorders>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减速、禁鸣</w:t>
                  </w:r>
                </w:p>
              </w:tc>
            </w:tr>
          </w:tbl>
          <w:p>
            <w:pPr>
              <w:pStyle w:val="196"/>
              <w:spacing w:before="156"/>
              <w:ind w:firstLine="482"/>
              <w:rPr>
                <w:color w:val="auto"/>
              </w:rPr>
            </w:pPr>
            <w:r>
              <w:rPr>
                <w:color w:val="auto"/>
              </w:rPr>
              <w:t>2.4固体废弃物</w:t>
            </w:r>
          </w:p>
          <w:p>
            <w:pPr>
              <w:widowControl/>
              <w:spacing w:line="360" w:lineRule="auto"/>
              <w:ind w:firstLine="480" w:firstLineChars="200"/>
              <w:rPr>
                <w:rFonts w:ascii="Times New Roman" w:hAnsi="Times New Roman" w:eastAsia="宋体" w:cs="Times New Roman"/>
                <w:b/>
                <w:color w:val="auto"/>
                <w:position w:val="2"/>
                <w:sz w:val="24"/>
              </w:rPr>
            </w:pPr>
            <w:r>
              <w:rPr>
                <w:rFonts w:ascii="Times New Roman" w:hAnsi="Times New Roman" w:eastAsia="宋体" w:cs="Times New Roman"/>
                <w:color w:val="auto"/>
                <w:sz w:val="24"/>
              </w:rPr>
              <w:t>本项目运营期固体废物主要有生活垃圾、一般固废和危险废物，项目固体废物产生情况具体如下。</w:t>
            </w:r>
          </w:p>
          <w:p>
            <w:pPr>
              <w:tabs>
                <w:tab w:val="left" w:pos="1440"/>
                <w:tab w:val="left" w:pos="1800"/>
              </w:tabs>
              <w:snapToGrid w:val="0"/>
              <w:spacing w:line="360" w:lineRule="auto"/>
              <w:ind w:firstLine="482" w:firstLineChars="200"/>
              <w:rPr>
                <w:rFonts w:ascii="Times New Roman" w:hAnsi="Times New Roman" w:eastAsia="宋体" w:cs="Times New Roman"/>
                <w:color w:val="auto"/>
                <w:sz w:val="24"/>
              </w:rPr>
            </w:pPr>
            <w:r>
              <w:rPr>
                <w:rFonts w:ascii="Times New Roman" w:hAnsi="Times New Roman" w:eastAsia="宋体" w:cs="Times New Roman"/>
                <w:b/>
                <w:color w:val="auto"/>
                <w:sz w:val="24"/>
              </w:rPr>
              <w:t>（1）生活垃圾</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项目运营期生活垃圾主要来自员工和顾客产生的生活垃圾，员工生活垃圾产生量按每人0.5kg/d计，项目共有员工20人，年工作300天，则员工生活垃圾量为10kg/d，3t/a。</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顾客生活垃圾产生量按每人0.1kg/d计，本项目每日接待顾客预计20人，年工作300天，则顾客生活垃圾量为2kg/d，0.6t/a。</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因此，本项目运营期生活垃圾产生总量为3.6t/a，生活垃圾分类收集后，由当地环卫部门清运处置。</w:t>
            </w:r>
          </w:p>
          <w:p>
            <w:pPr>
              <w:tabs>
                <w:tab w:val="left" w:pos="1440"/>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（2）一般固废</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项目产生的一般固废有废旧零部件、包装固废、废装饰品等。</w:t>
            </w:r>
          </w:p>
          <w:p>
            <w:pPr>
              <w:tabs>
                <w:tab w:val="left" w:pos="1440"/>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废旧零部件</w:t>
            </w:r>
          </w:p>
          <w:p>
            <w:pPr>
              <w:tabs>
                <w:tab w:val="left" w:pos="1440"/>
                <w:tab w:val="left" w:pos="1800"/>
              </w:tabs>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项目车辆零部件更换过程产生的废旧零部件中的一般固废主要有废轮胎、废雨刮、废齿轮等，根据建设单位提供的资料，废旧零部件产生量约为150kg/d，45t/a，统一收集由废旧物品回收单位回收。</w:t>
            </w:r>
          </w:p>
          <w:p>
            <w:pPr>
              <w:tabs>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包装固废</w:t>
            </w:r>
          </w:p>
          <w:p>
            <w:pPr>
              <w:tabs>
                <w:tab w:val="left" w:pos="1800"/>
              </w:tabs>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项目在使用腻子粉打磨时会产生腻子粉废包装袋，根据建设单位提供的资料，项目腻子粉废包装袋产生量约为0.05kg/d、0.015t/a，集中收集于垃圾桶内委托环卫部门进行清运。</w:t>
            </w:r>
          </w:p>
          <w:p>
            <w:pPr>
              <w:tabs>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废装饰品</w:t>
            </w:r>
          </w:p>
          <w:p>
            <w:pPr>
              <w:tabs>
                <w:tab w:val="left" w:pos="1800"/>
              </w:tabs>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废装饰品主要为更换汽车座垫时产生的废座垫，贴保护膜时产生的废保护膜，更换车窗时产生的废玻璃等，根据建设单位提供的资料，项目废装饰品的产生量为1kg/d，0.3t/a，统一收集由废旧物品回收单位回收。</w:t>
            </w:r>
          </w:p>
          <w:p>
            <w:pPr>
              <w:tabs>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化粪池污泥</w:t>
            </w:r>
          </w:p>
          <w:p>
            <w:pPr>
              <w:tabs>
                <w:tab w:val="left" w:pos="1800"/>
              </w:tabs>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根据《集中式污染治理设施产排污系数手册（2010修订）》，污泥产生量按照16.7t/万t废水处理量计算，本项目综合废水量为0.04176万m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/a，则化粪池的污泥产生量约为0.6974t/a，委托环卫部门定期清掏、消毒及清运处置。</w:t>
            </w:r>
          </w:p>
          <w:p>
            <w:pPr>
              <w:tabs>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废含油废抹布</w:t>
            </w:r>
          </w:p>
          <w:p>
            <w:pPr>
              <w:tabs>
                <w:tab w:val="left" w:pos="1800"/>
              </w:tabs>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根据建设单位提供的资料，在实际操作中，废含油抹布的产生量为0.04t/a，根据《国家危险废物名录》（2021年本）豁免清单，废含油抹布可不按照危险废物管理，与生活垃圾一并处理。</w:t>
            </w:r>
          </w:p>
          <w:p>
            <w:pPr>
              <w:tabs>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废含油棉纱、手套</w:t>
            </w:r>
          </w:p>
          <w:p>
            <w:pPr>
              <w:tabs>
                <w:tab w:val="left" w:pos="1800"/>
              </w:tabs>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根据建设单位提供的资料，在实际操作中，废含油棉纱手套的产生量为0.04 t/a，根据《国家危险废物名录》（2021年本）豁免清单，废含油棉纱手套可不按照危险废物管理，与生活垃圾一并处理。</w:t>
            </w:r>
          </w:p>
          <w:p>
            <w:pPr>
              <w:tabs>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（3）危险废物</w:t>
            </w:r>
          </w:p>
          <w:p>
            <w:pPr>
              <w:tabs>
                <w:tab w:val="left" w:pos="1800"/>
              </w:tabs>
              <w:snapToGrid w:val="0"/>
              <w:spacing w:line="360" w:lineRule="auto"/>
              <w:ind w:firstLine="480"/>
              <w:rPr>
                <w:rFonts w:ascii="Times New Roman" w:hAnsi="Times New Roman" w:eastAsia="宋体" w:cs="Times New Roman"/>
                <w:color w:val="auto"/>
                <w:sz w:val="24"/>
              </w:rPr>
            </w:pPr>
            <w:r>
              <w:rPr>
                <w:rFonts w:ascii="Times New Roman" w:hAnsi="Times New Roman" w:eastAsia="宋体" w:cs="Times New Roman"/>
                <w:color w:val="auto"/>
                <w:sz w:val="24"/>
              </w:rPr>
              <w:t>根据国家2021年1月1日颁布的《国家危险废物名录》中的危险废物类别及《危险废物鉴别标准》(GB 5085.1-2007)，项目运营期产生的废油漆桶、废稀释剂桶、废固化剂桶，废机油、废过滤棉、废活性炭、废含油抹布、废含油棉纱手套、焊渣、废旧电池、UV灯管以及废砂纸等均为危险废物。危险属性如下表。</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 xml:space="preserve">表5-8 </w:t>
            </w:r>
            <w:r>
              <w:rPr>
                <w:rFonts w:ascii="Times New Roman" w:hAnsi="Times New Roman" w:eastAsia="宋体" w:cs="Times New Roman"/>
                <w:b/>
                <w:bCs/>
                <w:color w:val="auto"/>
                <w:sz w:val="24"/>
              </w:rPr>
              <w:tab/>
            </w:r>
            <w:r>
              <w:rPr>
                <w:rFonts w:ascii="Times New Roman" w:hAnsi="Times New Roman" w:eastAsia="宋体" w:cs="Times New Roman"/>
                <w:b/>
                <w:bCs/>
                <w:color w:val="auto"/>
                <w:sz w:val="24"/>
              </w:rPr>
              <w:t>国家危险废物名录</w:t>
            </w:r>
          </w:p>
          <w:tbl>
            <w:tblPr>
              <w:tblStyle w:val="22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2"/>
              <w:gridCol w:w="1484"/>
              <w:gridCol w:w="1432"/>
              <w:gridCol w:w="678"/>
              <w:gridCol w:w="1024"/>
              <w:gridCol w:w="914"/>
              <w:gridCol w:w="1837"/>
              <w:gridCol w:w="678"/>
              <w:gridCol w:w="560"/>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序号</w:t>
                  </w:r>
                </w:p>
              </w:tc>
              <w:tc>
                <w:tcPr>
                  <w:tcW w:w="1484"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废物名称</w:t>
                  </w:r>
                </w:p>
              </w:tc>
              <w:tc>
                <w:tcPr>
                  <w:tcW w:w="1432"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废物类别</w:t>
                  </w:r>
                </w:p>
              </w:tc>
              <w:tc>
                <w:tcPr>
                  <w:tcW w:w="678"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行业来源</w:t>
                  </w:r>
                </w:p>
              </w:tc>
              <w:tc>
                <w:tcPr>
                  <w:tcW w:w="1024"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废物代码</w:t>
                  </w:r>
                </w:p>
              </w:tc>
              <w:tc>
                <w:tcPr>
                  <w:tcW w:w="914"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产生工序及装置</w:t>
                  </w:r>
                </w:p>
              </w:tc>
              <w:tc>
                <w:tcPr>
                  <w:tcW w:w="1837"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主要成分</w:t>
                  </w:r>
                </w:p>
              </w:tc>
              <w:tc>
                <w:tcPr>
                  <w:tcW w:w="678"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有害成分</w:t>
                  </w:r>
                </w:p>
              </w:tc>
              <w:tc>
                <w:tcPr>
                  <w:tcW w:w="560"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产废周期</w:t>
                  </w:r>
                </w:p>
              </w:tc>
              <w:tc>
                <w:tcPr>
                  <w:tcW w:w="627"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1</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废油漆桶、稀释剂桶、固化剂桶</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HW49 其他废物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非特定行业</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900-041</w:t>
                  </w:r>
                </w:p>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-49</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喷漆</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油漆、稀释剂、固化剂</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有毒物质</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不定期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2</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废机油</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HW08 废矿物油与含矿物油废物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非特定行业</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900-249</w:t>
                  </w:r>
                </w:p>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-08</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维修</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废机油</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废机油</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不定期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3</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废活性炭和废过滤棉</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HW49 其他废物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非特定行业</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900-039</w:t>
                  </w:r>
                </w:p>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-49</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废气处理装置</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活性炭和过滤棉</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有机废气</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不定期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4</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废旧电池</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HW49 其他废物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非特定行业</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900-044</w:t>
                  </w:r>
                </w:p>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-49</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p>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维修</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废旧电池</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有毒物质</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5</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焊渣</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HW22 含铜废物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焊接</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铁渣、含铁氧化物、含铜氧化物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含铜氧化物</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不定期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6</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隔油沉淀池油污及污泥</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HW08 废矿物油</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非特定行业</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900-210</w:t>
                  </w:r>
                </w:p>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-08</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维修</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废油</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废油</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不定期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7</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UV 灯管</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HW29 含汞废物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非特定行业</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900-023-29</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废气处置</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废含汞荧光灯管</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废含汞荧光</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不定期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8</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废砂纸</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HW49 其他废物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非特定行业</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900-041-49</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打磨工序</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不定期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T/In</w:t>
                  </w:r>
                </w:p>
              </w:tc>
            </w:tr>
          </w:tbl>
          <w:p>
            <w:pPr>
              <w:tabs>
                <w:tab w:val="left" w:pos="1800"/>
              </w:tabs>
              <w:snapToGrid w:val="0"/>
              <w:spacing w:before="156" w:beforeLines="50" w:line="360" w:lineRule="auto"/>
              <w:ind w:firstLine="482"/>
              <w:rPr>
                <w:rFonts w:ascii="Times New Roman" w:hAnsi="Times New Roman" w:eastAsia="宋体" w:cs="Times New Roman"/>
                <w:b/>
                <w:color w:val="auto"/>
                <w:sz w:val="24"/>
              </w:rPr>
            </w:pPr>
            <w:r>
              <w:rPr>
                <w:rFonts w:hint="eastAsia" w:ascii="宋体" w:hAnsi="宋体" w:eastAsia="宋体" w:cs="宋体"/>
                <w:b/>
                <w:color w:val="auto"/>
                <w:sz w:val="24"/>
              </w:rPr>
              <w:t>①</w:t>
            </w:r>
            <w:r>
              <w:rPr>
                <w:rFonts w:ascii="Times New Roman" w:hAnsi="Times New Roman" w:eastAsia="宋体" w:cs="Times New Roman"/>
                <w:b/>
                <w:color w:val="auto"/>
                <w:sz w:val="24"/>
              </w:rPr>
              <w:t>废油漆桶、废稀释剂桶、废固化剂桶</w:t>
            </w:r>
          </w:p>
          <w:p>
            <w:pPr>
              <w:tabs>
                <w:tab w:val="left" w:pos="1800"/>
              </w:tabs>
              <w:snapToGrid w:val="0"/>
              <w:spacing w:line="360" w:lineRule="auto"/>
              <w:ind w:firstLine="480"/>
              <w:rPr>
                <w:rFonts w:ascii="Times New Roman" w:hAnsi="Times New Roman" w:eastAsia="宋体" w:cs="Times New Roman"/>
                <w:color w:val="auto"/>
                <w:sz w:val="24"/>
              </w:rPr>
            </w:pPr>
            <w:r>
              <w:rPr>
                <w:rFonts w:ascii="Times New Roman" w:hAnsi="Times New Roman" w:eastAsia="宋体" w:cs="Times New Roman"/>
                <w:color w:val="auto"/>
                <w:sz w:val="24"/>
              </w:rPr>
              <w:t>项目油漆使用量为0.95t/a，稀释剂使用量为0.05t/a，固化剂使用量为0.23t/a，油漆、稀释剂和固化剂的规格按照20kg/桶计，则项目废油漆桶、废稀释剂桶、废固化剂桶产生量约为62个。每个桶重量按1kg计算，则废油漆桶、废稀释剂桶、废固化剂桶重量为0.062t/a。单独收集堆存于危废暂存间，</w:t>
            </w:r>
            <w:r>
              <w:rPr>
                <w:rFonts w:ascii="Times New Roman" w:hAnsi="Times New Roman" w:eastAsia="宋体" w:cs="Times New Roman"/>
                <w:bCs/>
                <w:color w:val="auto"/>
                <w:sz w:val="24"/>
              </w:rPr>
              <w:t>定期委托有资质单位</w:t>
            </w:r>
            <w:r>
              <w:rPr>
                <w:rFonts w:ascii="Times New Roman" w:hAnsi="Times New Roman" w:eastAsia="宋体" w:cs="Times New Roman"/>
                <w:color w:val="auto"/>
                <w:sz w:val="24"/>
              </w:rPr>
              <w:t>进行清运处置</w:t>
            </w:r>
            <w:r>
              <w:rPr>
                <w:rFonts w:ascii="Times New Roman" w:hAnsi="Times New Roman" w:eastAsia="宋体" w:cs="Times New Roman"/>
                <w:bCs/>
                <w:color w:val="auto"/>
                <w:sz w:val="24"/>
              </w:rPr>
              <w:t>。</w:t>
            </w:r>
          </w:p>
          <w:p>
            <w:pPr>
              <w:tabs>
                <w:tab w:val="left" w:pos="1800"/>
              </w:tabs>
              <w:snapToGrid w:val="0"/>
              <w:spacing w:line="360" w:lineRule="auto"/>
              <w:ind w:firstLine="480"/>
              <w:rPr>
                <w:rFonts w:ascii="Times New Roman" w:hAnsi="Times New Roman" w:eastAsia="宋体" w:cs="Times New Roman"/>
                <w:b/>
                <w:color w:val="auto"/>
                <w:sz w:val="24"/>
              </w:rPr>
            </w:pPr>
            <w:r>
              <w:rPr>
                <w:rFonts w:hint="eastAsia" w:ascii="宋体" w:hAnsi="宋体" w:eastAsia="宋体" w:cs="宋体"/>
                <w:b/>
                <w:color w:val="auto"/>
                <w:sz w:val="24"/>
              </w:rPr>
              <w:t>②</w:t>
            </w:r>
            <w:r>
              <w:rPr>
                <w:rFonts w:ascii="Times New Roman" w:hAnsi="Times New Roman" w:eastAsia="宋体" w:cs="Times New Roman"/>
                <w:b/>
                <w:color w:val="auto"/>
                <w:sz w:val="24"/>
              </w:rPr>
              <w:t>废机油</w:t>
            </w:r>
          </w:p>
          <w:p>
            <w:pPr>
              <w:tabs>
                <w:tab w:val="left" w:pos="1800"/>
              </w:tabs>
              <w:snapToGrid w:val="0"/>
              <w:spacing w:line="360" w:lineRule="auto"/>
              <w:ind w:firstLine="480"/>
              <w:rPr>
                <w:rFonts w:ascii="Times New Roman" w:hAnsi="Times New Roman" w:eastAsia="宋体" w:cs="Times New Roman"/>
                <w:bCs/>
                <w:color w:val="auto"/>
                <w:sz w:val="24"/>
              </w:rPr>
            </w:pPr>
            <w:r>
              <w:rPr>
                <w:rFonts w:ascii="Times New Roman" w:hAnsi="Times New Roman" w:eastAsia="宋体" w:cs="Times New Roman"/>
                <w:color w:val="auto"/>
                <w:sz w:val="24"/>
              </w:rPr>
              <w:t>项目产生的废油来源于机电车间更换产生的废机油。</w:t>
            </w:r>
            <w:r>
              <w:rPr>
                <w:rFonts w:ascii="Times New Roman" w:hAnsi="Times New Roman" w:eastAsia="宋体" w:cs="Times New Roman"/>
                <w:bCs/>
                <w:color w:val="auto"/>
                <w:sz w:val="24"/>
              </w:rPr>
              <w:t>根据建设单位提供的资料和类比同类型项目，</w:t>
            </w:r>
            <w:r>
              <w:rPr>
                <w:rFonts w:ascii="Times New Roman" w:hAnsi="Times New Roman" w:eastAsia="宋体" w:cs="Times New Roman"/>
                <w:color w:val="auto"/>
                <w:sz w:val="24"/>
              </w:rPr>
              <w:t>项目产生废机油量约为2</w:t>
            </w:r>
            <w:r>
              <w:rPr>
                <w:rFonts w:ascii="Times New Roman" w:hAnsi="Times New Roman" w:eastAsia="宋体" w:cs="Times New Roman"/>
                <w:bCs/>
                <w:color w:val="auto"/>
                <w:sz w:val="24"/>
              </w:rPr>
              <w:t>t/a。</w:t>
            </w:r>
            <w:r>
              <w:rPr>
                <w:rFonts w:ascii="Times New Roman" w:hAnsi="Times New Roman" w:eastAsia="宋体" w:cs="Times New Roman"/>
                <w:color w:val="auto"/>
                <w:sz w:val="24"/>
              </w:rPr>
              <w:t>废机油经废油桶收集后，储存于维修区一层机修车间南侧，</w:t>
            </w:r>
            <w:r>
              <w:rPr>
                <w:rFonts w:ascii="Times New Roman" w:hAnsi="Times New Roman" w:eastAsia="宋体" w:cs="Times New Roman"/>
                <w:bCs/>
                <w:color w:val="auto"/>
                <w:sz w:val="24"/>
              </w:rPr>
              <w:t>定期委托有资质单位</w:t>
            </w:r>
            <w:r>
              <w:rPr>
                <w:rFonts w:ascii="Times New Roman" w:hAnsi="Times New Roman" w:eastAsia="宋体" w:cs="Times New Roman"/>
                <w:color w:val="auto"/>
                <w:sz w:val="24"/>
              </w:rPr>
              <w:t>进行清运处置</w:t>
            </w:r>
            <w:r>
              <w:rPr>
                <w:rFonts w:ascii="Times New Roman" w:hAnsi="Times New Roman" w:eastAsia="宋体" w:cs="Times New Roman"/>
                <w:bCs/>
                <w:color w:val="auto"/>
                <w:sz w:val="24"/>
              </w:rPr>
              <w:t>。</w:t>
            </w:r>
          </w:p>
          <w:p>
            <w:pPr>
              <w:snapToGrid w:val="0"/>
              <w:spacing w:line="360" w:lineRule="auto"/>
              <w:ind w:firstLine="480"/>
              <w:rPr>
                <w:rFonts w:ascii="Times New Roman" w:hAnsi="Times New Roman" w:eastAsia="宋体" w:cs="Times New Roman"/>
                <w:b/>
                <w:color w:val="auto"/>
                <w:sz w:val="24"/>
              </w:rPr>
            </w:pPr>
            <w:r>
              <w:rPr>
                <w:rFonts w:ascii="Times New Roman" w:hAnsi="Times New Roman" w:eastAsia="宋体" w:cs="Times New Roman"/>
                <w:b/>
                <w:color w:val="auto"/>
                <w:sz w:val="24"/>
              </w:rPr>
              <w:t>废活性炭和废过滤棉</w:t>
            </w:r>
          </w:p>
          <w:p>
            <w:pPr>
              <w:tabs>
                <w:tab w:val="left" w:pos="1800"/>
              </w:tabs>
              <w:snapToGrid w:val="0"/>
              <w:spacing w:line="360" w:lineRule="auto"/>
              <w:ind w:firstLine="480"/>
              <w:rPr>
                <w:rFonts w:ascii="Times New Roman" w:hAnsi="Times New Roman" w:eastAsia="宋体" w:cs="Times New Roman"/>
                <w:bCs/>
                <w:color w:val="auto"/>
                <w:sz w:val="24"/>
              </w:rPr>
            </w:pPr>
            <w:r>
              <w:rPr>
                <w:rFonts w:ascii="Times New Roman" w:hAnsi="Times New Roman" w:eastAsia="宋体" w:cs="Times New Roman"/>
                <w:bCs/>
                <w:color w:val="auto"/>
                <w:sz w:val="24"/>
              </w:rPr>
              <w:t>项目喷喷烤漆房废气设有活性炭吸附工艺，为保证有机废气的吸附效率，需更换新的活性炭，更换下来的废活性炭含、二甲苯、VOC</w:t>
            </w:r>
            <w:r>
              <w:rPr>
                <w:rFonts w:hint="eastAsia" w:ascii="Times New Roman" w:hAnsi="Times New Roman" w:eastAsia="宋体" w:cs="Times New Roman"/>
                <w:bCs/>
                <w:color w:val="auto"/>
                <w:sz w:val="24"/>
              </w:rPr>
              <w:t>s</w:t>
            </w:r>
            <w:r>
              <w:rPr>
                <w:rFonts w:ascii="Times New Roman" w:hAnsi="Times New Roman" w:eastAsia="宋体" w:cs="Times New Roman"/>
                <w:bCs/>
                <w:color w:val="auto"/>
                <w:sz w:val="24"/>
              </w:rPr>
              <w:t>、漆雾等污染物。活性炭吸附能力约为0.6kg（废气）/kg（活性炭），活性炭需吸附有机废气和漆雾颗粒的量约为0.15t/a，则本项目活性炭用量约0.25t/a，产生废弃活性炭量约为0.5t/a（包括活性炭及有机化合物）。类比同类型项目有机废气活性炭更换频率，本次评价要求活性炭的更换期不少于3月/次。项目废活性炭产生量为0.5t/a，经危废收集桶收集后，储存于危废暂存间内，定期委托</w:t>
            </w:r>
            <w:r>
              <w:rPr>
                <w:rFonts w:ascii="Times New Roman" w:hAnsi="Times New Roman" w:eastAsia="宋体" w:cs="Times New Roman"/>
                <w:color w:val="auto"/>
                <w:sz w:val="24"/>
              </w:rPr>
              <w:t>有资质单位清运处置</w:t>
            </w:r>
            <w:r>
              <w:rPr>
                <w:rFonts w:ascii="Times New Roman" w:hAnsi="Times New Roman" w:eastAsia="宋体" w:cs="Times New Roman"/>
                <w:bCs/>
                <w:color w:val="auto"/>
                <w:sz w:val="24"/>
              </w:rPr>
              <w:t>。</w:t>
            </w:r>
          </w:p>
          <w:p>
            <w:pPr>
              <w:snapToGrid w:val="0"/>
              <w:spacing w:line="360" w:lineRule="auto"/>
              <w:ind w:firstLine="480"/>
              <w:rPr>
                <w:rFonts w:ascii="Times New Roman" w:hAnsi="Times New Roman" w:eastAsia="宋体" w:cs="Times New Roman"/>
                <w:b/>
                <w:color w:val="auto"/>
                <w:sz w:val="24"/>
              </w:rPr>
            </w:pPr>
            <w:r>
              <w:rPr>
                <w:rFonts w:ascii="Times New Roman" w:hAnsi="Times New Roman" w:eastAsia="宋体" w:cs="Times New Roman"/>
                <w:b/>
                <w:color w:val="auto"/>
                <w:sz w:val="24"/>
              </w:rPr>
              <w:t>废旧电池</w:t>
            </w:r>
          </w:p>
          <w:p>
            <w:pPr>
              <w:tabs>
                <w:tab w:val="left" w:pos="1800"/>
              </w:tabs>
              <w:snapToGrid w:val="0"/>
              <w:spacing w:line="360" w:lineRule="auto"/>
              <w:ind w:firstLine="480"/>
              <w:rPr>
                <w:rFonts w:ascii="Times New Roman" w:hAnsi="Times New Roman" w:eastAsia="宋体" w:cs="Times New Roman"/>
                <w:bCs/>
                <w:color w:val="auto"/>
                <w:sz w:val="24"/>
              </w:rPr>
            </w:pPr>
            <w:r>
              <w:rPr>
                <w:rFonts w:ascii="Times New Roman" w:hAnsi="Times New Roman" w:eastAsia="宋体" w:cs="Times New Roman"/>
                <w:bCs/>
                <w:color w:val="auto"/>
                <w:sz w:val="24"/>
              </w:rPr>
              <w:t>通过查阅汽车专用电瓶规格及其重量，可知道不同规格的电瓶重量，详细见下表。</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表5-9</w:t>
            </w:r>
            <w:r>
              <w:rPr>
                <w:rFonts w:ascii="Times New Roman" w:hAnsi="Times New Roman" w:eastAsia="宋体" w:cs="Times New Roman"/>
                <w:b/>
                <w:bCs/>
                <w:color w:val="auto"/>
                <w:sz w:val="24"/>
              </w:rPr>
              <w:tab/>
            </w:r>
            <w:r>
              <w:rPr>
                <w:rFonts w:ascii="Times New Roman" w:hAnsi="Times New Roman" w:eastAsia="宋体" w:cs="Times New Roman"/>
                <w:b/>
                <w:bCs/>
                <w:color w:val="auto"/>
                <w:sz w:val="24"/>
              </w:rPr>
              <w:t xml:space="preserve"> 不同汽车电瓶重量</w:t>
            </w:r>
          </w:p>
          <w:tbl>
            <w:tblPr>
              <w:tblStyle w:val="226"/>
              <w:tblW w:w="9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78"/>
              <w:gridCol w:w="4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778"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型号</w:t>
                  </w:r>
                </w:p>
              </w:tc>
              <w:tc>
                <w:tcPr>
                  <w:tcW w:w="4778"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重量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5Ah</w:t>
                  </w:r>
                </w:p>
              </w:tc>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12.5 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55Ah</w:t>
                  </w:r>
                </w:p>
              </w:tc>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15.0 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60Ah</w:t>
                  </w:r>
                </w:p>
              </w:tc>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17.5 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70Ah</w:t>
                  </w:r>
                </w:p>
              </w:tc>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18.0 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80Ah</w:t>
                  </w:r>
                </w:p>
              </w:tc>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20.0 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110Ah</w:t>
                  </w:r>
                </w:p>
              </w:tc>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24.5 kg</w:t>
                  </w:r>
                </w:p>
              </w:tc>
            </w:tr>
          </w:tbl>
          <w:p>
            <w:pPr>
              <w:tabs>
                <w:tab w:val="left" w:pos="1800"/>
              </w:tabs>
              <w:snapToGrid w:val="0"/>
              <w:spacing w:line="360" w:lineRule="auto"/>
              <w:ind w:firstLine="480"/>
              <w:rPr>
                <w:rFonts w:ascii="Times New Roman" w:hAnsi="Times New Roman" w:eastAsia="宋体" w:cs="Times New Roman"/>
                <w:bCs/>
                <w:color w:val="auto"/>
                <w:sz w:val="24"/>
              </w:rPr>
            </w:pPr>
            <w:r>
              <w:rPr>
                <w:rFonts w:ascii="Times New Roman" w:hAnsi="Times New Roman" w:eastAsia="宋体" w:cs="Times New Roman"/>
                <w:bCs/>
                <w:color w:val="auto"/>
                <w:sz w:val="24"/>
              </w:rPr>
              <w:t>根据建设单位提供的资料，约每十天更换一辆车的电瓶，按最大重量计算，则汽车维修更换下来的废旧电池产生量为 0.735 t/a。</w:t>
            </w:r>
          </w:p>
          <w:p>
            <w:pPr>
              <w:snapToGrid w:val="0"/>
              <w:spacing w:line="360" w:lineRule="auto"/>
              <w:ind w:firstLine="480"/>
              <w:rPr>
                <w:rFonts w:ascii="Times New Roman" w:hAnsi="Times New Roman" w:eastAsia="宋体" w:cs="Times New Roman"/>
                <w:b/>
                <w:color w:val="auto"/>
                <w:sz w:val="24"/>
              </w:rPr>
            </w:pPr>
            <w:r>
              <w:rPr>
                <w:rFonts w:ascii="Times New Roman" w:hAnsi="Times New Roman" w:eastAsia="宋体" w:cs="Times New Roman"/>
                <w:b/>
                <w:color w:val="auto"/>
                <w:sz w:val="24"/>
              </w:rPr>
              <w:t>焊渣</w:t>
            </w:r>
          </w:p>
          <w:p>
            <w:pPr>
              <w:snapToGrid w:val="0"/>
              <w:spacing w:line="360" w:lineRule="auto"/>
              <w:ind w:firstLine="480"/>
              <w:rPr>
                <w:rFonts w:ascii="Times New Roman" w:hAnsi="Times New Roman" w:eastAsia="宋体" w:cs="Times New Roman"/>
                <w:color w:val="auto"/>
                <w:sz w:val="24"/>
              </w:rPr>
            </w:pPr>
            <w:r>
              <w:rPr>
                <w:rFonts w:ascii="Times New Roman" w:hAnsi="Times New Roman" w:eastAsia="宋体" w:cs="Times New Roman"/>
                <w:color w:val="auto"/>
                <w:sz w:val="24"/>
              </w:rPr>
              <w:t>项目采用二氧化碳保护焊+镀铜实芯焊丝，焊渣里主要是铁渣、含铁氧化物、含铜氧化物、焊丝头等物质，不含铅、锡废渣，根据《机加工行业环境影响评价中常见污染物源强估算及污染治理》（许海萍，刘琳，任婷婷，戴岩，李海波 2010.9），焊渣的产生量=焊丝使用量×（1/11+4%），项目焊丝的使用量为20kg/a，则焊渣的产生量为0.00262kg/a。</w:t>
            </w:r>
          </w:p>
          <w:p>
            <w:pPr>
              <w:snapToGrid w:val="0"/>
              <w:spacing w:line="360" w:lineRule="auto"/>
              <w:ind w:firstLine="480"/>
              <w:rPr>
                <w:rFonts w:ascii="Times New Roman" w:hAnsi="Times New Roman" w:eastAsia="宋体" w:cs="Times New Roman"/>
                <w:b/>
                <w:color w:val="auto"/>
                <w:sz w:val="24"/>
              </w:rPr>
            </w:pPr>
            <w:r>
              <w:rPr>
                <w:rFonts w:ascii="Times New Roman" w:hAnsi="Times New Roman" w:eastAsia="宋体" w:cs="Times New Roman"/>
                <w:b/>
                <w:color w:val="auto"/>
                <w:sz w:val="24"/>
              </w:rPr>
              <w:t>隔油沉淀池油污及污泥</w:t>
            </w:r>
          </w:p>
          <w:p>
            <w:pPr>
              <w:snapToGrid w:val="0"/>
              <w:spacing w:line="360" w:lineRule="auto"/>
              <w:ind w:firstLine="480"/>
              <w:rPr>
                <w:rFonts w:ascii="Times New Roman" w:hAnsi="Times New Roman" w:eastAsia="宋体" w:cs="Times New Roman"/>
                <w:color w:val="auto"/>
                <w:sz w:val="24"/>
              </w:rPr>
            </w:pPr>
            <w:r>
              <w:rPr>
                <w:rFonts w:ascii="Times New Roman" w:hAnsi="Times New Roman" w:eastAsia="宋体" w:cs="Times New Roman"/>
                <w:color w:val="auto"/>
                <w:sz w:val="24"/>
              </w:rPr>
              <w:t>项目隔油沉淀池油污产生量约0.1t/a，定期清掏后委托有资质单位进行清运处理。</w:t>
            </w:r>
          </w:p>
          <w:p>
            <w:pPr>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UV灯管</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项目废气处理使用UV灯管，UV灯管使用过程中损坏会进行更换，根据建设单位运营经验，项目废UV灯管产生量约为0.01t/a。废UV灯管统一收集，储存于危废暂存间内，委托有资质单位处理。</w:t>
            </w:r>
          </w:p>
          <w:p>
            <w:pPr>
              <w:tabs>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废砂纸</w:t>
            </w:r>
          </w:p>
          <w:p>
            <w:pPr>
              <w:tabs>
                <w:tab w:val="left" w:pos="1800"/>
              </w:tabs>
              <w:snapToGrid w:val="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sz w:val="24"/>
              </w:rPr>
              <w:t>项目在运营过程中采用砂纸对腻子粉进行打磨，根据建设单位提供的资料，废砂纸产生量约为0.05kg/d、0.015t/a，统一收集，储存于危废暂存间内，委托有资质单位处理。</w:t>
            </w:r>
          </w:p>
          <w:p>
            <w:pPr>
              <w:snapToGrid w:val="0"/>
              <w:spacing w:line="360" w:lineRule="auto"/>
              <w:ind w:firstLine="480"/>
              <w:rPr>
                <w:rFonts w:ascii="Times New Roman" w:hAnsi="Times New Roman" w:eastAsia="宋体" w:cs="Times New Roman"/>
                <w:b/>
                <w:color w:val="auto"/>
                <w:sz w:val="24"/>
              </w:rPr>
            </w:pPr>
            <w:r>
              <w:rPr>
                <w:rFonts w:ascii="Times New Roman" w:hAnsi="Times New Roman" w:eastAsia="宋体" w:cs="Times New Roman"/>
                <w:b/>
                <w:color w:val="auto"/>
                <w:sz w:val="24"/>
              </w:rPr>
              <w:t>（4）危险废物处置方法</w:t>
            </w:r>
          </w:p>
          <w:p>
            <w:pPr>
              <w:snapToGrid w:val="0"/>
              <w:spacing w:line="360" w:lineRule="auto"/>
              <w:ind w:firstLine="480"/>
              <w:rPr>
                <w:rFonts w:ascii="Times New Roman" w:hAnsi="Times New Roman" w:eastAsia="宋体" w:cs="Times New Roman"/>
                <w:color w:val="auto"/>
                <w:sz w:val="24"/>
              </w:rPr>
            </w:pPr>
            <w:r>
              <w:rPr>
                <w:rFonts w:ascii="Times New Roman" w:hAnsi="Times New Roman" w:eastAsia="宋体" w:cs="Times New Roman"/>
                <w:color w:val="auto"/>
                <w:sz w:val="24"/>
              </w:rPr>
              <w:t>根据《危险废物贮存污染控制标准》（GB18597-2001）的要求，项目区设置1间33m</w:t>
            </w:r>
            <w:r>
              <w:rPr>
                <w:rFonts w:ascii="Times New Roman" w:hAnsi="Times New Roman" w:eastAsia="宋体" w:cs="Times New Roman"/>
                <w:color w:val="auto"/>
                <w:sz w:val="24"/>
                <w:vertAlign w:val="superscript"/>
              </w:rPr>
              <w:t>2</w:t>
            </w:r>
            <w:r>
              <w:rPr>
                <w:rFonts w:ascii="Times New Roman" w:hAnsi="Times New Roman" w:eastAsia="宋体" w:cs="Times New Roman"/>
                <w:color w:val="auto"/>
                <w:sz w:val="24"/>
              </w:rPr>
              <w:t xml:space="preserve"> 的危废暂存间对项目产生的危险废物进行暂存，然后委托有资质单位处置。</w:t>
            </w:r>
          </w:p>
          <w:p>
            <w:pPr>
              <w:snapToGrid w:val="0"/>
              <w:spacing w:line="360" w:lineRule="auto"/>
              <w:ind w:firstLine="480"/>
              <w:rPr>
                <w:rFonts w:ascii="Times New Roman" w:hAnsi="Times New Roman" w:eastAsia="宋体" w:cs="Times New Roman"/>
                <w:color w:val="auto"/>
                <w:sz w:val="24"/>
              </w:rPr>
            </w:pPr>
            <w:r>
              <w:rPr>
                <w:rFonts w:ascii="Times New Roman" w:hAnsi="Times New Roman" w:eastAsia="宋体" w:cs="Times New Roman"/>
                <w:color w:val="auto"/>
                <w:sz w:val="24"/>
              </w:rPr>
              <w:t>项目运营期固体废物具体产生及处置情况见下表。</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表5-10</w:t>
            </w:r>
            <w:r>
              <w:rPr>
                <w:rFonts w:ascii="Times New Roman" w:hAnsi="Times New Roman" w:eastAsia="宋体" w:cs="Times New Roman"/>
                <w:b/>
                <w:bCs/>
                <w:color w:val="auto"/>
                <w:sz w:val="24"/>
              </w:rPr>
              <w:tab/>
            </w:r>
            <w:r>
              <w:rPr>
                <w:rFonts w:ascii="Times New Roman" w:hAnsi="Times New Roman" w:eastAsia="宋体" w:cs="Times New Roman"/>
                <w:b/>
                <w:bCs/>
                <w:color w:val="auto"/>
                <w:sz w:val="24"/>
              </w:rPr>
              <w:t xml:space="preserve"> 运行期固废产生情况表</w:t>
            </w:r>
          </w:p>
          <w:tbl>
            <w:tblPr>
              <w:tblStyle w:val="22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0"/>
              <w:gridCol w:w="1451"/>
              <w:gridCol w:w="2406"/>
              <w:gridCol w:w="1472"/>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固体废物</w:t>
                  </w:r>
                </w:p>
              </w:tc>
              <w:tc>
                <w:tcPr>
                  <w:tcW w:w="1451"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排放源</w:t>
                  </w:r>
                </w:p>
              </w:tc>
              <w:tc>
                <w:tcPr>
                  <w:tcW w:w="2406"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名称</w:t>
                  </w:r>
                </w:p>
              </w:tc>
              <w:tc>
                <w:tcPr>
                  <w:tcW w:w="1472"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产生量（t/a）</w:t>
                  </w:r>
                </w:p>
              </w:tc>
              <w:tc>
                <w:tcPr>
                  <w:tcW w:w="3197"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生活垃圾</w:t>
                  </w:r>
                </w:p>
              </w:tc>
              <w:tc>
                <w:tcPr>
                  <w:tcW w:w="1451"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办公生活</w:t>
                  </w:r>
                </w:p>
              </w:tc>
              <w:tc>
                <w:tcPr>
                  <w:tcW w:w="2406"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生活垃圾</w:t>
                  </w:r>
                </w:p>
              </w:tc>
              <w:tc>
                <w:tcPr>
                  <w:tcW w:w="147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3</w:t>
                  </w:r>
                </w:p>
              </w:tc>
              <w:tc>
                <w:tcPr>
                  <w:tcW w:w="319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restart"/>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一般固废</w:t>
                  </w:r>
                </w:p>
              </w:tc>
              <w:tc>
                <w:tcPr>
                  <w:tcW w:w="1451" w:type="dxa"/>
                  <w:vMerge w:val="restart"/>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车辆维修</w:t>
                  </w:r>
                </w:p>
              </w:tc>
              <w:tc>
                <w:tcPr>
                  <w:tcW w:w="2406"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废旧零部件</w:t>
                  </w:r>
                </w:p>
              </w:tc>
              <w:tc>
                <w:tcPr>
                  <w:tcW w:w="147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45</w:t>
                  </w:r>
                </w:p>
              </w:tc>
              <w:tc>
                <w:tcPr>
                  <w:tcW w:w="319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收集后交由回收站收购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2406" w:type="dxa"/>
                  <w:vAlign w:val="center"/>
                </w:tcPr>
                <w:p>
                  <w:pPr>
                    <w:pStyle w:val="218"/>
                    <w:autoSpaceDE w:val="0"/>
                    <w:autoSpaceDN w:val="0"/>
                    <w:snapToGrid w:val="0"/>
                    <w:spacing w:line="254" w:lineRule="exact"/>
                    <w:ind w:left="135"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包装固废</w:t>
                  </w:r>
                </w:p>
              </w:tc>
              <w:tc>
                <w:tcPr>
                  <w:tcW w:w="1472" w:type="dxa"/>
                  <w:vAlign w:val="center"/>
                </w:tcPr>
                <w:p>
                  <w:pPr>
                    <w:pStyle w:val="218"/>
                    <w:autoSpaceDE w:val="0"/>
                    <w:autoSpaceDN w:val="0"/>
                    <w:snapToGrid w:val="0"/>
                    <w:spacing w:before="28"/>
                    <w:ind w:left="57"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0.015</w:t>
                  </w:r>
                </w:p>
              </w:tc>
              <w:tc>
                <w:tcPr>
                  <w:tcW w:w="319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2406" w:type="dxa"/>
                  <w:vAlign w:val="center"/>
                </w:tcPr>
                <w:p>
                  <w:pPr>
                    <w:pStyle w:val="218"/>
                    <w:autoSpaceDE w:val="0"/>
                    <w:autoSpaceDN w:val="0"/>
                    <w:snapToGrid w:val="0"/>
                    <w:spacing w:line="252" w:lineRule="exact"/>
                    <w:ind w:left="135"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废装饰品</w:t>
                  </w:r>
                </w:p>
              </w:tc>
              <w:tc>
                <w:tcPr>
                  <w:tcW w:w="1472" w:type="dxa"/>
                  <w:vAlign w:val="center"/>
                </w:tcPr>
                <w:p>
                  <w:pPr>
                    <w:pStyle w:val="218"/>
                    <w:autoSpaceDE w:val="0"/>
                    <w:autoSpaceDN w:val="0"/>
                    <w:snapToGrid w:val="0"/>
                    <w:spacing w:before="26"/>
                    <w:ind w:left="58"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0.3</w:t>
                  </w:r>
                </w:p>
              </w:tc>
              <w:tc>
                <w:tcPr>
                  <w:tcW w:w="319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收集后交由回收站收购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Align w:val="center"/>
                </w:tcPr>
                <w:p>
                  <w:pPr>
                    <w:pStyle w:val="218"/>
                    <w:autoSpaceDE w:val="0"/>
                    <w:autoSpaceDN w:val="0"/>
                    <w:snapToGrid w:val="0"/>
                    <w:spacing w:line="253" w:lineRule="exact"/>
                    <w:ind w:left="274" w:right="274"/>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化粪池</w:t>
                  </w:r>
                </w:p>
              </w:tc>
              <w:tc>
                <w:tcPr>
                  <w:tcW w:w="2406" w:type="dxa"/>
                  <w:vAlign w:val="center"/>
                </w:tcPr>
                <w:p>
                  <w:pPr>
                    <w:pStyle w:val="218"/>
                    <w:autoSpaceDE w:val="0"/>
                    <w:autoSpaceDN w:val="0"/>
                    <w:snapToGrid w:val="0"/>
                    <w:spacing w:line="253" w:lineRule="exact"/>
                    <w:ind w:left="136"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化粪池污泥</w:t>
                  </w:r>
                </w:p>
              </w:tc>
              <w:tc>
                <w:tcPr>
                  <w:tcW w:w="1472" w:type="dxa"/>
                  <w:vAlign w:val="center"/>
                </w:tcPr>
                <w:p>
                  <w:pPr>
                    <w:pStyle w:val="218"/>
                    <w:autoSpaceDE w:val="0"/>
                    <w:autoSpaceDN w:val="0"/>
                    <w:snapToGrid w:val="0"/>
                    <w:spacing w:before="27"/>
                    <w:ind w:left="58"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0.6974</w:t>
                  </w:r>
                </w:p>
              </w:tc>
              <w:tc>
                <w:tcPr>
                  <w:tcW w:w="319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restart"/>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车辆维修</w:t>
                  </w:r>
                </w:p>
              </w:tc>
              <w:tc>
                <w:tcPr>
                  <w:tcW w:w="2406" w:type="dxa"/>
                  <w:vAlign w:val="center"/>
                </w:tcPr>
                <w:p>
                  <w:pPr>
                    <w:pStyle w:val="218"/>
                    <w:autoSpaceDE w:val="0"/>
                    <w:autoSpaceDN w:val="0"/>
                    <w:snapToGrid w:val="0"/>
                    <w:spacing w:line="253" w:lineRule="exact"/>
                    <w:ind w:left="135"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废含油抹布</w:t>
                  </w:r>
                </w:p>
              </w:tc>
              <w:tc>
                <w:tcPr>
                  <w:tcW w:w="1472" w:type="dxa"/>
                  <w:vAlign w:val="center"/>
                </w:tcPr>
                <w:p>
                  <w:pPr>
                    <w:pStyle w:val="218"/>
                    <w:autoSpaceDE w:val="0"/>
                    <w:autoSpaceDN w:val="0"/>
                    <w:snapToGrid w:val="0"/>
                    <w:spacing w:before="27"/>
                    <w:ind w:left="58"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0.04</w:t>
                  </w:r>
                </w:p>
              </w:tc>
              <w:tc>
                <w:tcPr>
                  <w:tcW w:w="319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2406" w:type="dxa"/>
                  <w:vAlign w:val="center"/>
                </w:tcPr>
                <w:p>
                  <w:pPr>
                    <w:pStyle w:val="218"/>
                    <w:autoSpaceDE w:val="0"/>
                    <w:autoSpaceDN w:val="0"/>
                    <w:snapToGrid w:val="0"/>
                    <w:spacing w:line="254" w:lineRule="exact"/>
                    <w:ind w:left="135"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废含油棉纱、手套</w:t>
                  </w:r>
                </w:p>
              </w:tc>
              <w:tc>
                <w:tcPr>
                  <w:tcW w:w="1472" w:type="dxa"/>
                  <w:vAlign w:val="center"/>
                </w:tcPr>
                <w:p>
                  <w:pPr>
                    <w:pStyle w:val="218"/>
                    <w:autoSpaceDE w:val="0"/>
                    <w:autoSpaceDN w:val="0"/>
                    <w:snapToGrid w:val="0"/>
                    <w:spacing w:before="28"/>
                    <w:ind w:left="58"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0.04</w:t>
                  </w:r>
                </w:p>
              </w:tc>
              <w:tc>
                <w:tcPr>
                  <w:tcW w:w="319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restart"/>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危险废物</w:t>
                  </w:r>
                </w:p>
              </w:tc>
              <w:tc>
                <w:tcPr>
                  <w:tcW w:w="1451" w:type="dxa"/>
                  <w:vMerge w:val="restart"/>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喷漆</w:t>
                  </w:r>
                </w:p>
              </w:tc>
              <w:tc>
                <w:tcPr>
                  <w:tcW w:w="2406"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废油漆桶、废稀释剂桶、废固化剂桶</w:t>
                  </w:r>
                </w:p>
              </w:tc>
              <w:tc>
                <w:tcPr>
                  <w:tcW w:w="147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0.062</w:t>
                  </w:r>
                </w:p>
              </w:tc>
              <w:tc>
                <w:tcPr>
                  <w:tcW w:w="3197" w:type="dxa"/>
                  <w:vMerge w:val="restart"/>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设置危废暂存间，危废分质、分类，采用密闭防腐蚀容器收集并单独暂存于危废暂存间，委托有资质单位清运处置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2406"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废活性炭和废过滤棉</w:t>
                  </w:r>
                </w:p>
              </w:tc>
              <w:tc>
                <w:tcPr>
                  <w:tcW w:w="147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0.5</w:t>
                  </w:r>
                </w:p>
              </w:tc>
              <w:tc>
                <w:tcPr>
                  <w:tcW w:w="3197" w:type="dxa"/>
                  <w:vMerge w:val="continue"/>
                  <w:vAlign w:val="center"/>
                </w:tcPr>
                <w:p>
                  <w:pPr>
                    <w:autoSpaceDE w:val="0"/>
                    <w:autoSpaceDN w:val="0"/>
                    <w:rPr>
                      <w:rFonts w:ascii="Times New Roman" w:hAnsi="Times New Roman" w:eastAsia="宋体" w:cs="Times New Roman"/>
                      <w:color w:val="auto"/>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en-US"/>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en-US"/>
                    </w:rPr>
                  </w:pPr>
                </w:p>
              </w:tc>
              <w:tc>
                <w:tcPr>
                  <w:tcW w:w="2406" w:type="dxa"/>
                  <w:vAlign w:val="center"/>
                </w:tcPr>
                <w:p>
                  <w:pPr>
                    <w:autoSpaceDE w:val="0"/>
                    <w:autoSpaceDN w:val="0"/>
                    <w:snapToGrid w:val="0"/>
                    <w:jc w:val="center"/>
                    <w:rPr>
                      <w:rFonts w:ascii="Times New Roman" w:hAnsi="Times New Roman" w:eastAsia="宋体" w:cs="Times New Roman"/>
                      <w:bCs/>
                      <w:color w:val="auto"/>
                      <w:szCs w:val="21"/>
                      <w:lang w:eastAsia="en-US"/>
                    </w:rPr>
                  </w:pPr>
                  <w:r>
                    <w:rPr>
                      <w:rFonts w:ascii="Times New Roman" w:hAnsi="Times New Roman" w:eastAsia="宋体" w:cs="Times New Roman"/>
                      <w:bCs/>
                      <w:color w:val="auto"/>
                      <w:szCs w:val="21"/>
                      <w:lang w:eastAsia="zh-CN"/>
                    </w:rPr>
                    <w:t>UV灯管</w:t>
                  </w:r>
                </w:p>
              </w:tc>
              <w:tc>
                <w:tcPr>
                  <w:tcW w:w="147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0.01</w:t>
                  </w:r>
                </w:p>
              </w:tc>
              <w:tc>
                <w:tcPr>
                  <w:tcW w:w="3197" w:type="dxa"/>
                  <w:vMerge w:val="continue"/>
                  <w:vAlign w:val="center"/>
                </w:tcPr>
                <w:p>
                  <w:pPr>
                    <w:autoSpaceDE w:val="0"/>
                    <w:autoSpaceDN w:val="0"/>
                    <w:rPr>
                      <w:rFonts w:ascii="Times New Roman" w:hAnsi="Times New Roman" w:eastAsia="宋体" w:cs="Times New Roman"/>
                      <w:color w:val="auto"/>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restart"/>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车辆维修</w:t>
                  </w:r>
                </w:p>
              </w:tc>
              <w:tc>
                <w:tcPr>
                  <w:tcW w:w="2406" w:type="dxa"/>
                  <w:vAlign w:val="center"/>
                </w:tcPr>
                <w:p>
                  <w:pPr>
                    <w:pStyle w:val="218"/>
                    <w:autoSpaceDE w:val="0"/>
                    <w:autoSpaceDN w:val="0"/>
                    <w:snapToGrid w:val="0"/>
                    <w:spacing w:line="252" w:lineRule="exact"/>
                    <w:ind w:left="136"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废机油</w:t>
                  </w:r>
                </w:p>
              </w:tc>
              <w:tc>
                <w:tcPr>
                  <w:tcW w:w="1472" w:type="dxa"/>
                  <w:vAlign w:val="center"/>
                </w:tcPr>
                <w:p>
                  <w:pPr>
                    <w:pStyle w:val="218"/>
                    <w:autoSpaceDE w:val="0"/>
                    <w:autoSpaceDN w:val="0"/>
                    <w:snapToGrid w:val="0"/>
                    <w:spacing w:before="26"/>
                    <w:ind w:left="58"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2</w:t>
                  </w:r>
                </w:p>
              </w:tc>
              <w:tc>
                <w:tcPr>
                  <w:tcW w:w="3197" w:type="dxa"/>
                  <w:vMerge w:val="continue"/>
                  <w:vAlign w:val="center"/>
                </w:tcPr>
                <w:p>
                  <w:pPr>
                    <w:autoSpaceDE w:val="0"/>
                    <w:autoSpaceDN w:val="0"/>
                    <w:rPr>
                      <w:rFonts w:ascii="Times New Roman" w:hAnsi="Times New Roman" w:eastAsia="宋体" w:cs="Times New Roman"/>
                      <w:color w:val="auto"/>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2406" w:type="dxa"/>
                  <w:vAlign w:val="center"/>
                </w:tcPr>
                <w:p>
                  <w:pPr>
                    <w:pStyle w:val="218"/>
                    <w:autoSpaceDE w:val="0"/>
                    <w:autoSpaceDN w:val="0"/>
                    <w:snapToGrid w:val="0"/>
                    <w:spacing w:line="253" w:lineRule="exact"/>
                    <w:ind w:left="136"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隔油沉淀池油污及污泥</w:t>
                  </w:r>
                </w:p>
              </w:tc>
              <w:tc>
                <w:tcPr>
                  <w:tcW w:w="1472" w:type="dxa"/>
                  <w:vAlign w:val="center"/>
                </w:tcPr>
                <w:p>
                  <w:pPr>
                    <w:pStyle w:val="218"/>
                    <w:autoSpaceDE w:val="0"/>
                    <w:autoSpaceDN w:val="0"/>
                    <w:snapToGrid w:val="0"/>
                    <w:spacing w:before="27"/>
                    <w:ind w:left="58"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0.1</w:t>
                  </w:r>
                </w:p>
              </w:tc>
              <w:tc>
                <w:tcPr>
                  <w:tcW w:w="3197" w:type="dxa"/>
                  <w:vMerge w:val="continue"/>
                  <w:vAlign w:val="center"/>
                </w:tcPr>
                <w:p>
                  <w:pPr>
                    <w:autoSpaceDE w:val="0"/>
                    <w:autoSpaceDN w:val="0"/>
                    <w:rPr>
                      <w:rFonts w:ascii="Times New Roman" w:hAnsi="Times New Roman" w:eastAsia="宋体" w:cs="Times New Roman"/>
                      <w:color w:val="auto"/>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2406" w:type="dxa"/>
                  <w:vAlign w:val="center"/>
                </w:tcPr>
                <w:p>
                  <w:pPr>
                    <w:pStyle w:val="218"/>
                    <w:autoSpaceDE w:val="0"/>
                    <w:autoSpaceDN w:val="0"/>
                    <w:snapToGrid w:val="0"/>
                    <w:spacing w:line="253" w:lineRule="exact"/>
                    <w:ind w:left="135"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废旧电池</w:t>
                  </w:r>
                </w:p>
              </w:tc>
              <w:tc>
                <w:tcPr>
                  <w:tcW w:w="1472" w:type="dxa"/>
                  <w:vAlign w:val="center"/>
                </w:tcPr>
                <w:p>
                  <w:pPr>
                    <w:pStyle w:val="218"/>
                    <w:autoSpaceDE w:val="0"/>
                    <w:autoSpaceDN w:val="0"/>
                    <w:snapToGrid w:val="0"/>
                    <w:spacing w:before="27"/>
                    <w:ind w:left="59"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0.735</w:t>
                  </w:r>
                </w:p>
              </w:tc>
              <w:tc>
                <w:tcPr>
                  <w:tcW w:w="3197" w:type="dxa"/>
                  <w:vMerge w:val="continue"/>
                  <w:vAlign w:val="center"/>
                </w:tcPr>
                <w:p>
                  <w:pPr>
                    <w:autoSpaceDE w:val="0"/>
                    <w:autoSpaceDN w:val="0"/>
                    <w:rPr>
                      <w:rFonts w:ascii="Times New Roman" w:hAnsi="Times New Roman" w:eastAsia="宋体" w:cs="Times New Roman"/>
                      <w:color w:val="auto"/>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2406" w:type="dxa"/>
                  <w:vAlign w:val="center"/>
                </w:tcPr>
                <w:p>
                  <w:pPr>
                    <w:pStyle w:val="218"/>
                    <w:autoSpaceDE w:val="0"/>
                    <w:autoSpaceDN w:val="0"/>
                    <w:snapToGrid w:val="0"/>
                    <w:spacing w:line="254" w:lineRule="exact"/>
                    <w:ind w:left="136"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焊渣</w:t>
                  </w:r>
                </w:p>
              </w:tc>
              <w:tc>
                <w:tcPr>
                  <w:tcW w:w="1472" w:type="dxa"/>
                  <w:vAlign w:val="center"/>
                </w:tcPr>
                <w:p>
                  <w:pPr>
                    <w:pStyle w:val="218"/>
                    <w:autoSpaceDE w:val="0"/>
                    <w:autoSpaceDN w:val="0"/>
                    <w:snapToGrid w:val="0"/>
                    <w:spacing w:before="28"/>
                    <w:ind w:left="57"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0.00262</w:t>
                  </w:r>
                </w:p>
              </w:tc>
              <w:tc>
                <w:tcPr>
                  <w:tcW w:w="3197" w:type="dxa"/>
                  <w:vMerge w:val="continue"/>
                  <w:vAlign w:val="center"/>
                </w:tcPr>
                <w:p>
                  <w:pPr>
                    <w:autoSpaceDE w:val="0"/>
                    <w:autoSpaceDN w:val="0"/>
                    <w:rPr>
                      <w:rFonts w:ascii="Times New Roman" w:hAnsi="Times New Roman" w:eastAsia="宋体" w:cs="Times New Roman"/>
                      <w:color w:val="auto"/>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en-US"/>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en-US"/>
                    </w:rPr>
                  </w:pPr>
                </w:p>
              </w:tc>
              <w:tc>
                <w:tcPr>
                  <w:tcW w:w="2406" w:type="dxa"/>
                  <w:vAlign w:val="center"/>
                </w:tcPr>
                <w:p>
                  <w:pPr>
                    <w:pStyle w:val="218"/>
                    <w:autoSpaceDE w:val="0"/>
                    <w:autoSpaceDN w:val="0"/>
                    <w:snapToGrid w:val="0"/>
                    <w:spacing w:line="254" w:lineRule="exact"/>
                    <w:ind w:left="136" w:right="137"/>
                    <w:rPr>
                      <w:rFonts w:hint="default" w:ascii="Times New Roman" w:hAnsi="Times New Roman" w:eastAsia="宋体" w:cs="Times New Roman"/>
                      <w:bCs/>
                      <w:color w:val="auto"/>
                      <w:sz w:val="21"/>
                      <w:szCs w:val="21"/>
                      <w:lang w:eastAsia="en-US"/>
                    </w:rPr>
                  </w:pPr>
                  <w:r>
                    <w:rPr>
                      <w:rFonts w:hint="default" w:ascii="Times New Roman" w:hAnsi="Times New Roman" w:eastAsia="宋体" w:cs="Times New Roman"/>
                      <w:bCs/>
                      <w:color w:val="auto"/>
                      <w:sz w:val="21"/>
                      <w:szCs w:val="21"/>
                      <w:lang w:eastAsia="zh-CN"/>
                    </w:rPr>
                    <w:t>废砂纸</w:t>
                  </w:r>
                </w:p>
              </w:tc>
              <w:tc>
                <w:tcPr>
                  <w:tcW w:w="1472" w:type="dxa"/>
                  <w:vAlign w:val="center"/>
                </w:tcPr>
                <w:p>
                  <w:pPr>
                    <w:pStyle w:val="218"/>
                    <w:autoSpaceDE w:val="0"/>
                    <w:autoSpaceDN w:val="0"/>
                    <w:snapToGrid w:val="0"/>
                    <w:spacing w:before="28"/>
                    <w:ind w:left="57"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0.015</w:t>
                  </w:r>
                </w:p>
              </w:tc>
              <w:tc>
                <w:tcPr>
                  <w:tcW w:w="3197" w:type="dxa"/>
                  <w:vMerge w:val="continue"/>
                  <w:vAlign w:val="center"/>
                </w:tcPr>
                <w:p>
                  <w:pPr>
                    <w:autoSpaceDE w:val="0"/>
                    <w:autoSpaceDN w:val="0"/>
                    <w:rPr>
                      <w:rFonts w:ascii="Times New Roman" w:hAnsi="Times New Roman" w:eastAsia="宋体" w:cs="Times New Roman"/>
                      <w:color w:val="auto"/>
                      <w:szCs w:val="21"/>
                      <w:lang w:eastAsia="en-US"/>
                    </w:rPr>
                  </w:pPr>
                </w:p>
              </w:tc>
            </w:tr>
          </w:tbl>
          <w:p>
            <w:pPr>
              <w:jc w:val="center"/>
              <w:rPr>
                <w:rFonts w:ascii="Times New Roman" w:hAnsi="Times New Roman" w:eastAsia="宋体" w:cs="Times New Roman"/>
                <w:color w:val="auto"/>
                <w:kern w:val="0"/>
                <w:sz w:val="24"/>
              </w:rPr>
            </w:pPr>
          </w:p>
        </w:tc>
      </w:tr>
    </w:tbl>
    <w:p>
      <w:pPr>
        <w:keepNext/>
        <w:keepLines/>
        <w:pageBreakBefore/>
        <w:jc w:val="left"/>
        <w:outlineLvl w:val="0"/>
        <w:rPr>
          <w:rFonts w:ascii="Times New Roman" w:hAnsi="Times New Roman" w:eastAsia="宋体" w:cs="Times New Roman"/>
          <w:b/>
          <w:bCs/>
          <w:color w:val="auto"/>
          <w:kern w:val="44"/>
          <w:sz w:val="30"/>
          <w:szCs w:val="44"/>
          <w:lang w:val="zh-CN"/>
        </w:rPr>
      </w:pPr>
      <w:bookmarkStart w:id="9" w:name="_Toc47258243"/>
      <w:r>
        <w:rPr>
          <w:rFonts w:ascii="Times New Roman" w:hAnsi="Times New Roman" w:eastAsia="宋体" w:cs="Times New Roman"/>
          <w:b/>
          <w:bCs/>
          <w:color w:val="auto"/>
          <w:kern w:val="44"/>
          <w:sz w:val="30"/>
          <w:szCs w:val="44"/>
          <w:lang w:val="zh-CN"/>
        </w:rPr>
        <w:t>表六、项目主要污染物产生及预计排放情况</w:t>
      </w:r>
      <w:bookmarkEnd w:id="9"/>
    </w:p>
    <w:tbl>
      <w:tblPr>
        <w:tblStyle w:val="39"/>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4"/>
        <w:gridCol w:w="698"/>
        <w:gridCol w:w="1173"/>
        <w:gridCol w:w="732"/>
        <w:gridCol w:w="1282"/>
        <w:gridCol w:w="1259"/>
        <w:gridCol w:w="1151"/>
        <w:gridCol w:w="136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tcBorders>
              <w:tl2br w:val="single" w:color="auto" w:sz="4" w:space="0"/>
            </w:tcBorders>
            <w:vAlign w:val="center"/>
          </w:tcPr>
          <w:p>
            <w:pPr>
              <w:jc w:val="right"/>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内容</w:t>
            </w:r>
          </w:p>
          <w:p>
            <w:pPr>
              <w:jc w:val="left"/>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类型</w:t>
            </w:r>
          </w:p>
        </w:tc>
        <w:tc>
          <w:tcPr>
            <w:tcW w:w="1871" w:type="dxa"/>
            <w:gridSpan w:val="2"/>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排放源</w:t>
            </w:r>
          </w:p>
        </w:tc>
        <w:tc>
          <w:tcPr>
            <w:tcW w:w="2014" w:type="dxa"/>
            <w:gridSpan w:val="2"/>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污染物</w:t>
            </w:r>
          </w:p>
        </w:tc>
        <w:tc>
          <w:tcPr>
            <w:tcW w:w="1259" w:type="dxa"/>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处理前浓度mg/m</w:t>
            </w:r>
            <w:r>
              <w:rPr>
                <w:rFonts w:ascii="Times New Roman" w:hAnsi="Times New Roman" w:eastAsia="宋体" w:cs="Times New Roman"/>
                <w:b/>
                <w:bCs/>
                <w:color w:val="auto"/>
                <w:szCs w:val="21"/>
                <w:vertAlign w:val="superscript"/>
                <w:lang w:val="zh-CN"/>
              </w:rPr>
              <w:t>3</w:t>
            </w:r>
          </w:p>
        </w:tc>
        <w:tc>
          <w:tcPr>
            <w:tcW w:w="1151" w:type="dxa"/>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产生量t/a</w:t>
            </w:r>
          </w:p>
        </w:tc>
        <w:tc>
          <w:tcPr>
            <w:tcW w:w="1367" w:type="dxa"/>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处理后浓度mg/m</w:t>
            </w:r>
            <w:r>
              <w:rPr>
                <w:rFonts w:ascii="Times New Roman" w:hAnsi="Times New Roman" w:eastAsia="宋体" w:cs="Times New Roman"/>
                <w:b/>
                <w:bCs/>
                <w:color w:val="auto"/>
                <w:szCs w:val="21"/>
                <w:vertAlign w:val="superscript"/>
                <w:lang w:val="zh-CN"/>
              </w:rPr>
              <w:t>3</w:t>
            </w:r>
          </w:p>
        </w:tc>
        <w:tc>
          <w:tcPr>
            <w:tcW w:w="1260" w:type="dxa"/>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 w:hRule="atLeast"/>
          <w:jc w:val="center"/>
        </w:trPr>
        <w:tc>
          <w:tcPr>
            <w:tcW w:w="784"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废气</w:t>
            </w:r>
          </w:p>
        </w:tc>
        <w:tc>
          <w:tcPr>
            <w:tcW w:w="698" w:type="dxa"/>
            <w:vMerge w:val="restart"/>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运营期</w:t>
            </w:r>
          </w:p>
        </w:tc>
        <w:tc>
          <w:tcPr>
            <w:tcW w:w="11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打磨</w:t>
            </w:r>
          </w:p>
        </w:tc>
        <w:tc>
          <w:tcPr>
            <w:tcW w:w="2014" w:type="dxa"/>
            <w:gridSpan w:val="2"/>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打磨粉尘</w:t>
            </w:r>
          </w:p>
        </w:tc>
        <w:tc>
          <w:tcPr>
            <w:tcW w:w="12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0.045</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260"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焊接</w:t>
            </w:r>
          </w:p>
        </w:tc>
        <w:tc>
          <w:tcPr>
            <w:tcW w:w="2014" w:type="dxa"/>
            <w:gridSpan w:val="2"/>
            <w:vAlign w:val="center"/>
          </w:tcPr>
          <w:p>
            <w:pPr>
              <w:widowControl/>
              <w:jc w:val="center"/>
              <w:rPr>
                <w:rFonts w:ascii="Times New Roman" w:hAnsi="Times New Roman" w:eastAsia="宋体" w:cs="Times New Roman"/>
                <w:color w:val="auto"/>
              </w:rPr>
            </w:pPr>
            <w:r>
              <w:rPr>
                <w:rFonts w:ascii="Times New Roman" w:hAnsi="Times New Roman" w:eastAsia="宋体" w:cs="Times New Roman"/>
                <w:color w:val="auto"/>
                <w:kern w:val="0"/>
                <w:szCs w:val="21"/>
              </w:rPr>
              <w:t>焊接烟尘</w:t>
            </w:r>
          </w:p>
        </w:tc>
        <w:tc>
          <w:tcPr>
            <w:tcW w:w="12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0.000016</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260"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汽车尾气</w:t>
            </w:r>
          </w:p>
        </w:tc>
        <w:tc>
          <w:tcPr>
            <w:tcW w:w="2014" w:type="dxa"/>
            <w:gridSpan w:val="2"/>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CH、CO、NO</w:t>
            </w:r>
            <w:r>
              <w:rPr>
                <w:rFonts w:ascii="Times New Roman" w:hAnsi="Times New Roman" w:eastAsia="宋体" w:cs="Times New Roman"/>
                <w:color w:val="auto"/>
                <w:vertAlign w:val="subscript"/>
              </w:rPr>
              <w:t>x</w:t>
            </w:r>
          </w:p>
        </w:tc>
        <w:tc>
          <w:tcPr>
            <w:tcW w:w="2410" w:type="dxa"/>
            <w:gridSpan w:val="2"/>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少量</w:t>
            </w:r>
          </w:p>
        </w:tc>
        <w:tc>
          <w:tcPr>
            <w:tcW w:w="2627" w:type="dxa"/>
            <w:gridSpan w:val="2"/>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喷烤漆房废气</w:t>
            </w:r>
          </w:p>
        </w:tc>
        <w:tc>
          <w:tcPr>
            <w:tcW w:w="732"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有组织</w:t>
            </w:r>
          </w:p>
        </w:tc>
        <w:tc>
          <w:tcPr>
            <w:tcW w:w="1282"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1259" w:type="dxa"/>
            <w:vAlign w:val="center"/>
          </w:tcPr>
          <w:p>
            <w:pPr>
              <w:jc w:val="center"/>
              <w:rPr>
                <w:rFonts w:ascii="Times New Roman" w:hAnsi="Times New Roman" w:eastAsia="宋体" w:cs="Times New Roman"/>
                <w:color w:val="auto"/>
                <w:szCs w:val="21"/>
              </w:rPr>
            </w:pPr>
          </w:p>
        </w:tc>
        <w:tc>
          <w:tcPr>
            <w:tcW w:w="1151"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0.1909</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2.083</w:t>
            </w:r>
          </w:p>
        </w:tc>
        <w:tc>
          <w:tcPr>
            <w:tcW w:w="1260"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732" w:type="dxa"/>
            <w:vMerge w:val="continue"/>
            <w:vAlign w:val="center"/>
          </w:tcPr>
          <w:p>
            <w:pPr>
              <w:jc w:val="center"/>
              <w:rPr>
                <w:rFonts w:ascii="Times New Roman" w:hAnsi="Times New Roman" w:eastAsia="宋体" w:cs="Times New Roman"/>
                <w:color w:val="auto"/>
                <w:szCs w:val="21"/>
              </w:rPr>
            </w:pPr>
          </w:p>
        </w:tc>
        <w:tc>
          <w:tcPr>
            <w:tcW w:w="1282" w:type="dxa"/>
            <w:vAlign w:val="center"/>
          </w:tcPr>
          <w:p>
            <w:pPr>
              <w:widowControl/>
              <w:spacing w:line="360" w:lineRule="exact"/>
              <w:jc w:val="center"/>
              <w:rPr>
                <w:rFonts w:ascii="Times New Roman" w:hAnsi="Times New Roman" w:eastAsia="宋体" w:cs="Times New Roman"/>
                <w:color w:val="auto"/>
              </w:rPr>
            </w:pPr>
            <w:r>
              <w:rPr>
                <w:rFonts w:ascii="Times New Roman" w:hAnsi="Times New Roman" w:eastAsia="宋体" w:cs="Times New Roman"/>
                <w:color w:val="auto"/>
              </w:rPr>
              <w:t>VOC</w:t>
            </w:r>
            <w:r>
              <w:rPr>
                <w:rFonts w:hint="eastAsia" w:ascii="Times New Roman" w:hAnsi="Times New Roman" w:eastAsia="宋体" w:cs="Times New Roman"/>
                <w:color w:val="auto"/>
              </w:rPr>
              <w:t>s</w:t>
            </w:r>
          </w:p>
        </w:tc>
        <w:tc>
          <w:tcPr>
            <w:tcW w:w="12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51"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0.5873</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6.3833</w:t>
            </w:r>
          </w:p>
        </w:tc>
        <w:tc>
          <w:tcPr>
            <w:tcW w:w="1260"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732" w:type="dxa"/>
            <w:vMerge w:val="continue"/>
            <w:vAlign w:val="center"/>
          </w:tcPr>
          <w:p>
            <w:pPr>
              <w:jc w:val="center"/>
              <w:rPr>
                <w:rFonts w:ascii="Times New Roman" w:hAnsi="Times New Roman" w:eastAsia="宋体" w:cs="Times New Roman"/>
                <w:color w:val="auto"/>
              </w:rPr>
            </w:pPr>
          </w:p>
        </w:tc>
        <w:tc>
          <w:tcPr>
            <w:tcW w:w="1282" w:type="dxa"/>
            <w:vAlign w:val="center"/>
          </w:tcPr>
          <w:p>
            <w:pPr>
              <w:widowControl/>
              <w:spacing w:line="360" w:lineRule="exact"/>
              <w:jc w:val="center"/>
              <w:rPr>
                <w:rFonts w:ascii="Times New Roman" w:hAnsi="Times New Roman" w:eastAsia="宋体" w:cs="Times New Roman"/>
                <w:color w:val="auto"/>
              </w:rPr>
            </w:pPr>
            <w:r>
              <w:rPr>
                <w:rFonts w:ascii="Times New Roman" w:hAnsi="Times New Roman" w:eastAsia="宋体" w:cs="Times New Roman"/>
                <w:color w:val="auto"/>
                <w:szCs w:val="21"/>
              </w:rPr>
              <w:t>颗粒物</w:t>
            </w:r>
          </w:p>
        </w:tc>
        <w:tc>
          <w:tcPr>
            <w:tcW w:w="12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51"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0.1650</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1.80</w:t>
            </w:r>
          </w:p>
        </w:tc>
        <w:tc>
          <w:tcPr>
            <w:tcW w:w="1260"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732" w:type="dxa"/>
            <w:vMerge w:val="restart"/>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无组织</w:t>
            </w:r>
          </w:p>
        </w:tc>
        <w:tc>
          <w:tcPr>
            <w:tcW w:w="1282"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12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51"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0.0038</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260"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732" w:type="dxa"/>
            <w:vMerge w:val="continue"/>
            <w:vAlign w:val="center"/>
          </w:tcPr>
          <w:p>
            <w:pPr>
              <w:jc w:val="center"/>
              <w:rPr>
                <w:rFonts w:ascii="Times New Roman" w:hAnsi="Times New Roman" w:eastAsia="宋体" w:cs="Times New Roman"/>
                <w:color w:val="auto"/>
              </w:rPr>
            </w:pPr>
          </w:p>
        </w:tc>
        <w:tc>
          <w:tcPr>
            <w:tcW w:w="1282" w:type="dxa"/>
            <w:vAlign w:val="center"/>
          </w:tcPr>
          <w:p>
            <w:pPr>
              <w:widowControl/>
              <w:spacing w:line="360" w:lineRule="exact"/>
              <w:jc w:val="center"/>
              <w:rPr>
                <w:rFonts w:ascii="Times New Roman" w:hAnsi="Times New Roman" w:eastAsia="宋体" w:cs="Times New Roman"/>
                <w:color w:val="auto"/>
              </w:rPr>
            </w:pPr>
            <w:r>
              <w:rPr>
                <w:rFonts w:ascii="Times New Roman" w:hAnsi="Times New Roman" w:eastAsia="宋体" w:cs="Times New Roman"/>
                <w:color w:val="auto"/>
              </w:rPr>
              <w:t>VOC</w:t>
            </w:r>
            <w:r>
              <w:rPr>
                <w:rFonts w:hint="eastAsia" w:ascii="Times New Roman" w:hAnsi="Times New Roman" w:eastAsia="宋体" w:cs="Times New Roman"/>
                <w:color w:val="auto"/>
              </w:rPr>
              <w:t>s</w:t>
            </w:r>
          </w:p>
        </w:tc>
        <w:tc>
          <w:tcPr>
            <w:tcW w:w="12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51"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0.0117</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260"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732" w:type="dxa"/>
            <w:vMerge w:val="continue"/>
            <w:vAlign w:val="center"/>
          </w:tcPr>
          <w:p>
            <w:pPr>
              <w:jc w:val="center"/>
              <w:rPr>
                <w:rFonts w:ascii="Times New Roman" w:hAnsi="Times New Roman" w:eastAsia="宋体" w:cs="Times New Roman"/>
                <w:color w:val="auto"/>
              </w:rPr>
            </w:pPr>
          </w:p>
        </w:tc>
        <w:tc>
          <w:tcPr>
            <w:tcW w:w="1282" w:type="dxa"/>
            <w:vAlign w:val="center"/>
          </w:tcPr>
          <w:p>
            <w:pPr>
              <w:widowControl/>
              <w:spacing w:line="360" w:lineRule="exact"/>
              <w:jc w:val="center"/>
              <w:rPr>
                <w:rFonts w:ascii="Times New Roman" w:hAnsi="Times New Roman" w:eastAsia="宋体" w:cs="Times New Roman"/>
                <w:color w:val="auto"/>
              </w:rPr>
            </w:pPr>
            <w:r>
              <w:rPr>
                <w:rFonts w:ascii="Times New Roman" w:hAnsi="Times New Roman" w:eastAsia="宋体" w:cs="Times New Roman"/>
                <w:color w:val="auto"/>
                <w:szCs w:val="21"/>
              </w:rPr>
              <w:t>颗粒物</w:t>
            </w:r>
          </w:p>
        </w:tc>
        <w:tc>
          <w:tcPr>
            <w:tcW w:w="12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51"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0.0033</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260"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784"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废水</w:t>
            </w:r>
          </w:p>
        </w:tc>
        <w:tc>
          <w:tcPr>
            <w:tcW w:w="698" w:type="dxa"/>
            <w:vMerge w:val="restart"/>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运营期</w:t>
            </w:r>
          </w:p>
        </w:tc>
        <w:tc>
          <w:tcPr>
            <w:tcW w:w="1173" w:type="dxa"/>
            <w:vMerge w:val="restar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生活废水</w:t>
            </w:r>
          </w:p>
        </w:tc>
        <w:tc>
          <w:tcPr>
            <w:tcW w:w="2014" w:type="dxa"/>
            <w:gridSpan w:val="2"/>
            <w:tcBorders>
              <w:bottom w:val="single" w:color="auto" w:sz="4" w:space="0"/>
            </w:tcBorders>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bCs/>
                <w:color w:val="auto"/>
                <w:szCs w:val="21"/>
                <w:lang w:val="zh-CN"/>
              </w:rPr>
              <w:t>废水量</w:t>
            </w:r>
          </w:p>
        </w:tc>
        <w:tc>
          <w:tcPr>
            <w:tcW w:w="2410" w:type="dxa"/>
            <w:gridSpan w:val="2"/>
            <w:tcBorders>
              <w:bottom w:val="single" w:color="auto" w:sz="4" w:space="0"/>
            </w:tcBorders>
            <w:shd w:val="clear" w:color="auto" w:fill="auto"/>
            <w:vAlign w:val="center"/>
          </w:tcPr>
          <w:p>
            <w:pPr>
              <w:jc w:val="center"/>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0</w:t>
            </w:r>
            <w:r>
              <w:rPr>
                <w:rFonts w:ascii="Times New Roman" w:hAnsi="Times New Roman" w:eastAsia="宋体" w:cs="Times New Roman"/>
                <w:color w:val="auto"/>
                <w:szCs w:val="21"/>
                <w:lang w:val="zh-CN"/>
              </w:rPr>
              <w:t>.04176</w:t>
            </w:r>
          </w:p>
        </w:tc>
        <w:tc>
          <w:tcPr>
            <w:tcW w:w="2627" w:type="dxa"/>
            <w:gridSpan w:val="2"/>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项目无生产废水产生，生活废水经化粪池处理后定期委托环卫部门清运，不外排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2014" w:type="dxa"/>
            <w:gridSpan w:val="2"/>
            <w:tcBorders>
              <w:bottom w:val="single" w:color="auto" w:sz="4" w:space="0"/>
            </w:tcBorders>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COD</w:t>
            </w:r>
          </w:p>
        </w:tc>
        <w:tc>
          <w:tcPr>
            <w:tcW w:w="1259" w:type="dxa"/>
            <w:tcBorders>
              <w:bottom w:val="single" w:color="auto" w:sz="4" w:space="0"/>
            </w:tcBorders>
            <w:shd w:val="clear" w:color="auto" w:fill="auto"/>
            <w:vAlign w:val="center"/>
          </w:tcPr>
          <w:p>
            <w:pPr>
              <w:pStyle w:val="140"/>
              <w:rPr>
                <w:color w:val="auto"/>
                <w:szCs w:val="21"/>
                <w:lang w:val="zh-CN"/>
              </w:rPr>
            </w:pPr>
            <w:r>
              <w:rPr>
                <w:color w:val="auto"/>
              </w:rPr>
              <w:t>350mg/L</w:t>
            </w:r>
          </w:p>
        </w:tc>
        <w:tc>
          <w:tcPr>
            <w:tcW w:w="1151" w:type="dxa"/>
            <w:tcBorders>
              <w:bottom w:val="single" w:color="auto" w:sz="4" w:space="0"/>
            </w:tcBorders>
            <w:shd w:val="clear" w:color="auto" w:fill="auto"/>
            <w:vAlign w:val="center"/>
          </w:tcPr>
          <w:p>
            <w:pPr>
              <w:widowControl/>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.14616</w:t>
            </w:r>
          </w:p>
        </w:tc>
        <w:tc>
          <w:tcPr>
            <w:tcW w:w="2627" w:type="dxa"/>
            <w:gridSpan w:val="2"/>
            <w:vMerge w:val="continue"/>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2014" w:type="dxa"/>
            <w:gridSpan w:val="2"/>
            <w:tcBorders>
              <w:bottom w:val="single" w:color="auto" w:sz="4" w:space="0"/>
            </w:tcBorders>
            <w:shd w:val="clear" w:color="auto" w:fill="auto"/>
            <w:vAlign w:val="center"/>
          </w:tcPr>
          <w:p>
            <w:pPr>
              <w:jc w:val="center"/>
              <w:rPr>
                <w:rFonts w:ascii="Times New Roman" w:hAnsi="Times New Roman" w:eastAsia="宋体" w:cs="Times New Roman"/>
                <w:color w:val="auto"/>
                <w:szCs w:val="21"/>
                <w:vertAlign w:val="subscript"/>
                <w:lang w:val="zh-CN"/>
              </w:rPr>
            </w:pPr>
            <w:r>
              <w:rPr>
                <w:rFonts w:ascii="Times New Roman" w:hAnsi="Times New Roman" w:eastAsia="宋体" w:cs="Times New Roman"/>
                <w:color w:val="auto"/>
                <w:szCs w:val="21"/>
                <w:lang w:val="zh-CN"/>
              </w:rPr>
              <w:t>BOD</w:t>
            </w:r>
            <w:r>
              <w:rPr>
                <w:rFonts w:ascii="Times New Roman" w:hAnsi="Times New Roman" w:eastAsia="宋体" w:cs="Times New Roman"/>
                <w:color w:val="auto"/>
                <w:szCs w:val="21"/>
                <w:vertAlign w:val="subscript"/>
                <w:lang w:val="zh-CN"/>
              </w:rPr>
              <w:t>5</w:t>
            </w:r>
          </w:p>
        </w:tc>
        <w:tc>
          <w:tcPr>
            <w:tcW w:w="1259" w:type="dxa"/>
            <w:tcBorders>
              <w:bottom w:val="single" w:color="auto" w:sz="4" w:space="0"/>
            </w:tcBorders>
            <w:shd w:val="clear" w:color="auto" w:fill="auto"/>
            <w:vAlign w:val="center"/>
          </w:tcPr>
          <w:p>
            <w:pPr>
              <w:pStyle w:val="140"/>
              <w:rPr>
                <w:color w:val="auto"/>
                <w:szCs w:val="21"/>
              </w:rPr>
            </w:pPr>
            <w:r>
              <w:rPr>
                <w:color w:val="auto"/>
              </w:rPr>
              <w:t>200mg/L</w:t>
            </w:r>
          </w:p>
        </w:tc>
        <w:tc>
          <w:tcPr>
            <w:tcW w:w="1151" w:type="dxa"/>
            <w:tcBorders>
              <w:bottom w:val="single" w:color="auto" w:sz="4" w:space="0"/>
            </w:tcBorders>
            <w:shd w:val="clear" w:color="auto" w:fill="auto"/>
            <w:vAlign w:val="center"/>
          </w:tcPr>
          <w:p>
            <w:pPr>
              <w:widowControl/>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.08352</w:t>
            </w:r>
          </w:p>
        </w:tc>
        <w:tc>
          <w:tcPr>
            <w:tcW w:w="2627" w:type="dxa"/>
            <w:gridSpan w:val="2"/>
            <w:vMerge w:val="continue"/>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2014" w:type="dxa"/>
            <w:gridSpan w:val="2"/>
            <w:tcBorders>
              <w:bottom w:val="single" w:color="auto" w:sz="4" w:space="0"/>
            </w:tcBorders>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SS</w:t>
            </w:r>
          </w:p>
        </w:tc>
        <w:tc>
          <w:tcPr>
            <w:tcW w:w="1259" w:type="dxa"/>
            <w:tcBorders>
              <w:bottom w:val="single" w:color="auto" w:sz="4" w:space="0"/>
            </w:tcBorders>
            <w:shd w:val="clear" w:color="auto" w:fill="auto"/>
            <w:vAlign w:val="center"/>
          </w:tcPr>
          <w:p>
            <w:pPr>
              <w:pStyle w:val="140"/>
              <w:rPr>
                <w:color w:val="auto"/>
                <w:szCs w:val="21"/>
              </w:rPr>
            </w:pPr>
            <w:r>
              <w:rPr>
                <w:color w:val="auto"/>
              </w:rPr>
              <w:t>220mg/L</w:t>
            </w:r>
          </w:p>
        </w:tc>
        <w:tc>
          <w:tcPr>
            <w:tcW w:w="1151" w:type="dxa"/>
            <w:tcBorders>
              <w:bottom w:val="single" w:color="auto" w:sz="4" w:space="0"/>
            </w:tcBorders>
            <w:shd w:val="clear" w:color="auto" w:fill="auto"/>
            <w:vAlign w:val="center"/>
          </w:tcPr>
          <w:p>
            <w:pPr>
              <w:widowControl/>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.09187</w:t>
            </w:r>
          </w:p>
        </w:tc>
        <w:tc>
          <w:tcPr>
            <w:tcW w:w="2627" w:type="dxa"/>
            <w:gridSpan w:val="2"/>
            <w:vMerge w:val="continue"/>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2014" w:type="dxa"/>
            <w:gridSpan w:val="2"/>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p>
        </w:tc>
        <w:tc>
          <w:tcPr>
            <w:tcW w:w="1259" w:type="dxa"/>
            <w:shd w:val="clear" w:color="auto" w:fill="auto"/>
            <w:vAlign w:val="center"/>
          </w:tcPr>
          <w:p>
            <w:pPr>
              <w:pStyle w:val="140"/>
              <w:rPr>
                <w:color w:val="auto"/>
                <w:szCs w:val="21"/>
              </w:rPr>
            </w:pPr>
            <w:r>
              <w:rPr>
                <w:color w:val="auto"/>
              </w:rPr>
              <w:t>30mg/L</w:t>
            </w:r>
          </w:p>
        </w:tc>
        <w:tc>
          <w:tcPr>
            <w:tcW w:w="1151" w:type="dxa"/>
            <w:shd w:val="clear" w:color="auto" w:fill="auto"/>
            <w:vAlign w:val="center"/>
          </w:tcPr>
          <w:p>
            <w:pPr>
              <w:widowControl/>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.01253</w:t>
            </w:r>
          </w:p>
        </w:tc>
        <w:tc>
          <w:tcPr>
            <w:tcW w:w="2627" w:type="dxa"/>
            <w:gridSpan w:val="2"/>
            <w:vMerge w:val="continue"/>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2014" w:type="dxa"/>
            <w:gridSpan w:val="2"/>
            <w:tcBorders>
              <w:bottom w:val="single" w:color="auto" w:sz="4" w:space="0"/>
            </w:tcBorders>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kern w:val="0"/>
                <w:szCs w:val="21"/>
                <w:lang w:val="zh-CN"/>
              </w:rPr>
              <w:t>总磷</w:t>
            </w:r>
          </w:p>
        </w:tc>
        <w:tc>
          <w:tcPr>
            <w:tcW w:w="1259" w:type="dxa"/>
            <w:tcBorders>
              <w:bottom w:val="single" w:color="auto" w:sz="4" w:space="0"/>
            </w:tcBorders>
            <w:shd w:val="clear" w:color="auto" w:fill="auto"/>
            <w:vAlign w:val="center"/>
          </w:tcPr>
          <w:p>
            <w:pPr>
              <w:pStyle w:val="140"/>
              <w:rPr>
                <w:color w:val="auto"/>
                <w:szCs w:val="21"/>
              </w:rPr>
            </w:pPr>
            <w:r>
              <w:rPr>
                <w:color w:val="auto"/>
              </w:rPr>
              <w:t>3mg/L</w:t>
            </w:r>
          </w:p>
        </w:tc>
        <w:tc>
          <w:tcPr>
            <w:tcW w:w="1151" w:type="dxa"/>
            <w:tcBorders>
              <w:bottom w:val="single" w:color="auto" w:sz="4" w:space="0"/>
            </w:tcBorders>
            <w:shd w:val="clear" w:color="auto" w:fill="auto"/>
            <w:vAlign w:val="center"/>
          </w:tcPr>
          <w:p>
            <w:pPr>
              <w:widowControl/>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.00125</w:t>
            </w:r>
          </w:p>
        </w:tc>
        <w:tc>
          <w:tcPr>
            <w:tcW w:w="2627" w:type="dxa"/>
            <w:gridSpan w:val="2"/>
            <w:vMerge w:val="continue"/>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78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噪声</w:t>
            </w:r>
          </w:p>
        </w:tc>
        <w:tc>
          <w:tcPr>
            <w:tcW w:w="698" w:type="dxa"/>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运营期</w:t>
            </w:r>
          </w:p>
        </w:tc>
        <w:tc>
          <w:tcPr>
            <w:tcW w:w="11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车辆</w:t>
            </w:r>
            <w:r>
              <w:rPr>
                <w:rFonts w:ascii="Times New Roman" w:hAnsi="Times New Roman" w:eastAsia="宋体" w:cs="Times New Roman"/>
                <w:color w:val="auto"/>
                <w:szCs w:val="21"/>
                <w:lang w:val="zh-CN"/>
              </w:rPr>
              <w:t>、</w:t>
            </w:r>
            <w:r>
              <w:rPr>
                <w:rFonts w:ascii="Times New Roman" w:hAnsi="Times New Roman" w:eastAsia="宋体" w:cs="Times New Roman"/>
                <w:color w:val="auto"/>
                <w:szCs w:val="21"/>
              </w:rPr>
              <w:t>设维修备运行</w:t>
            </w:r>
          </w:p>
        </w:tc>
        <w:tc>
          <w:tcPr>
            <w:tcW w:w="2014" w:type="dxa"/>
            <w:gridSpan w:val="2"/>
            <w:tcBorders>
              <w:bottom w:val="single" w:color="auto" w:sz="4" w:space="0"/>
            </w:tcBorders>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噪声</w:t>
            </w:r>
          </w:p>
        </w:tc>
        <w:tc>
          <w:tcPr>
            <w:tcW w:w="2410" w:type="dxa"/>
            <w:gridSpan w:val="2"/>
            <w:tcBorders>
              <w:bottom w:val="single" w:color="auto" w:sz="4" w:space="0"/>
            </w:tcBorders>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rPr>
              <w:t>6</w:t>
            </w:r>
            <w:r>
              <w:rPr>
                <w:rFonts w:ascii="Times New Roman" w:hAnsi="Times New Roman" w:eastAsia="宋体" w:cs="Times New Roman"/>
                <w:color w:val="auto"/>
                <w:szCs w:val="21"/>
                <w:lang w:val="zh-CN"/>
              </w:rPr>
              <w:t>0～</w:t>
            </w:r>
            <w:r>
              <w:rPr>
                <w:rFonts w:ascii="Times New Roman" w:hAnsi="Times New Roman" w:eastAsia="宋体" w:cs="Times New Roman"/>
                <w:color w:val="auto"/>
                <w:szCs w:val="21"/>
              </w:rPr>
              <w:t>90</w:t>
            </w:r>
            <w:r>
              <w:rPr>
                <w:rFonts w:ascii="Times New Roman" w:hAnsi="Times New Roman" w:eastAsia="宋体" w:cs="Times New Roman"/>
                <w:color w:val="auto"/>
                <w:szCs w:val="21"/>
                <w:lang w:val="zh-CN"/>
              </w:rPr>
              <w:t>dB(A)</w:t>
            </w:r>
          </w:p>
        </w:tc>
        <w:tc>
          <w:tcPr>
            <w:tcW w:w="2627" w:type="dxa"/>
            <w:gridSpan w:val="2"/>
            <w:vAlign w:val="center"/>
          </w:tcPr>
          <w:p>
            <w:pPr>
              <w:pStyle w:val="79"/>
              <w:jc w:val="center"/>
              <w:rPr>
                <w:color w:val="auto"/>
                <w:szCs w:val="21"/>
                <w:lang w:val="zh-CN"/>
              </w:rPr>
            </w:pPr>
            <w:r>
              <w:rPr>
                <w:color w:val="auto"/>
                <w:szCs w:val="21"/>
              </w:rPr>
              <w:t>减振基座、设备消声、厂房墙壁吸音、距离衰减</w:t>
            </w:r>
            <w:r>
              <w:rPr>
                <w:color w:val="auto"/>
                <w:szCs w:val="21"/>
                <w:lang w:val="zh-CN"/>
              </w:rPr>
              <w:t>。</w:t>
            </w:r>
            <w:r>
              <w:rPr>
                <w:color w:val="auto"/>
                <w:szCs w:val="21"/>
              </w:rPr>
              <w:t>车辆限速、禁鸣。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固体废物</w:t>
            </w:r>
          </w:p>
        </w:tc>
        <w:tc>
          <w:tcPr>
            <w:tcW w:w="698" w:type="dxa"/>
            <w:vMerge w:val="restart"/>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运营期</w:t>
            </w:r>
          </w:p>
        </w:tc>
        <w:tc>
          <w:tcPr>
            <w:tcW w:w="1173"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厂区</w:t>
            </w:r>
          </w:p>
        </w:tc>
        <w:tc>
          <w:tcPr>
            <w:tcW w:w="2014"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生活垃圾</w:t>
            </w:r>
          </w:p>
        </w:tc>
        <w:tc>
          <w:tcPr>
            <w:tcW w:w="2410"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3t/a</w:t>
            </w:r>
          </w:p>
        </w:tc>
        <w:tc>
          <w:tcPr>
            <w:tcW w:w="2627" w:type="dxa"/>
            <w:gridSpan w:val="2"/>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bCs/>
                <w:color w:val="auto"/>
                <w:szCs w:val="21"/>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废旧零部件</w:t>
            </w:r>
          </w:p>
        </w:tc>
        <w:tc>
          <w:tcPr>
            <w:tcW w:w="2410"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45 t/a</w:t>
            </w:r>
          </w:p>
        </w:tc>
        <w:tc>
          <w:tcPr>
            <w:tcW w:w="2627" w:type="dxa"/>
            <w:gridSpan w:val="2"/>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bCs/>
                <w:color w:val="auto"/>
                <w:szCs w:val="21"/>
              </w:rPr>
              <w:t>收集后交由回收站收购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4"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包装固废</w:t>
            </w:r>
          </w:p>
        </w:tc>
        <w:tc>
          <w:tcPr>
            <w:tcW w:w="2410" w:type="dxa"/>
            <w:gridSpan w:val="2"/>
            <w:vAlign w:val="center"/>
          </w:tcPr>
          <w:p>
            <w:pPr>
              <w:pStyle w:val="218"/>
              <w:snapToGrid w:val="0"/>
              <w:spacing w:before="28"/>
              <w:ind w:left="57"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0.015</w:t>
            </w:r>
            <w:r>
              <w:rPr>
                <w:rFonts w:hint="default" w:ascii="Times New Roman" w:hAnsi="Times New Roman" w:eastAsia="宋体" w:cs="Times New Roman"/>
                <w:bCs/>
                <w:color w:val="auto"/>
                <w:szCs w:val="21"/>
              </w:rPr>
              <w:t xml:space="preserve"> t/a</w:t>
            </w:r>
          </w:p>
        </w:tc>
        <w:tc>
          <w:tcPr>
            <w:tcW w:w="2627"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2"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废装饰品</w:t>
            </w:r>
          </w:p>
        </w:tc>
        <w:tc>
          <w:tcPr>
            <w:tcW w:w="2410" w:type="dxa"/>
            <w:gridSpan w:val="2"/>
            <w:vAlign w:val="center"/>
          </w:tcPr>
          <w:p>
            <w:pPr>
              <w:pStyle w:val="218"/>
              <w:snapToGrid w:val="0"/>
              <w:spacing w:before="26"/>
              <w:ind w:left="58"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0.3</w:t>
            </w:r>
            <w:r>
              <w:rPr>
                <w:rFonts w:hint="default" w:ascii="Times New Roman" w:hAnsi="Times New Roman" w:eastAsia="宋体" w:cs="Times New Roman"/>
                <w:bCs/>
                <w:color w:val="auto"/>
                <w:szCs w:val="21"/>
              </w:rPr>
              <w:t xml:space="preserve"> t/a</w:t>
            </w:r>
          </w:p>
        </w:tc>
        <w:tc>
          <w:tcPr>
            <w:tcW w:w="2627" w:type="dxa"/>
            <w:gridSpan w:val="2"/>
            <w:shd w:val="clear" w:color="auto" w:fill="auto"/>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收集后交由回收站收购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3"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化粪池污泥</w:t>
            </w:r>
          </w:p>
        </w:tc>
        <w:tc>
          <w:tcPr>
            <w:tcW w:w="2410" w:type="dxa"/>
            <w:gridSpan w:val="2"/>
            <w:vAlign w:val="center"/>
          </w:tcPr>
          <w:p>
            <w:pPr>
              <w:pStyle w:val="218"/>
              <w:snapToGrid w:val="0"/>
              <w:spacing w:before="27"/>
              <w:ind w:left="58"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0.6974</w:t>
            </w:r>
            <w:r>
              <w:rPr>
                <w:rFonts w:hint="default" w:ascii="Times New Roman" w:hAnsi="Times New Roman" w:eastAsia="宋体" w:cs="Times New Roman"/>
                <w:bCs/>
                <w:color w:val="auto"/>
                <w:szCs w:val="21"/>
              </w:rPr>
              <w:t xml:space="preserve"> t/a</w:t>
            </w:r>
          </w:p>
        </w:tc>
        <w:tc>
          <w:tcPr>
            <w:tcW w:w="2627" w:type="dxa"/>
            <w:gridSpan w:val="2"/>
            <w:shd w:val="clear" w:color="auto" w:fill="auto"/>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废含油抹布</w:t>
            </w:r>
          </w:p>
        </w:tc>
        <w:tc>
          <w:tcPr>
            <w:tcW w:w="2410" w:type="dxa"/>
            <w:gridSpan w:val="2"/>
            <w:vAlign w:val="center"/>
          </w:tcPr>
          <w:p>
            <w:pPr>
              <w:pStyle w:val="218"/>
              <w:snapToGrid w:val="0"/>
              <w:spacing w:before="27"/>
              <w:ind w:left="58"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0.04</w:t>
            </w:r>
            <w:r>
              <w:rPr>
                <w:rFonts w:hint="default" w:ascii="Times New Roman" w:hAnsi="Times New Roman" w:eastAsia="宋体" w:cs="Times New Roman"/>
                <w:bCs/>
                <w:color w:val="auto"/>
                <w:szCs w:val="21"/>
              </w:rPr>
              <w:t xml:space="preserve"> t/a</w:t>
            </w:r>
          </w:p>
        </w:tc>
        <w:tc>
          <w:tcPr>
            <w:tcW w:w="2627" w:type="dxa"/>
            <w:gridSpan w:val="2"/>
            <w:shd w:val="clear" w:color="auto" w:fill="auto"/>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4"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废含油棉纱、手套</w:t>
            </w:r>
          </w:p>
        </w:tc>
        <w:tc>
          <w:tcPr>
            <w:tcW w:w="2410" w:type="dxa"/>
            <w:gridSpan w:val="2"/>
            <w:vAlign w:val="center"/>
          </w:tcPr>
          <w:p>
            <w:pPr>
              <w:pStyle w:val="218"/>
              <w:snapToGrid w:val="0"/>
              <w:spacing w:before="28"/>
              <w:ind w:left="58"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0.04</w:t>
            </w:r>
            <w:r>
              <w:rPr>
                <w:rFonts w:hint="default" w:ascii="Times New Roman" w:hAnsi="Times New Roman" w:eastAsia="宋体" w:cs="Times New Roman"/>
                <w:bCs/>
                <w:color w:val="auto"/>
                <w:szCs w:val="21"/>
              </w:rPr>
              <w:t xml:space="preserve"> t/a</w:t>
            </w:r>
          </w:p>
        </w:tc>
        <w:tc>
          <w:tcPr>
            <w:tcW w:w="2627" w:type="dxa"/>
            <w:gridSpan w:val="2"/>
            <w:shd w:val="clear" w:color="auto" w:fill="auto"/>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废油漆桶、废稀释剂桶、废固化剂桶</w:t>
            </w:r>
          </w:p>
        </w:tc>
        <w:tc>
          <w:tcPr>
            <w:tcW w:w="2410"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0.062 t/a</w:t>
            </w:r>
          </w:p>
        </w:tc>
        <w:tc>
          <w:tcPr>
            <w:tcW w:w="2627" w:type="dxa"/>
            <w:gridSpan w:val="2"/>
            <w:vMerge w:val="restar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bCs/>
                <w:color w:val="auto"/>
                <w:szCs w:val="21"/>
              </w:rPr>
              <w:t>设置危废暂存间，危废分质、分类，采用密闭防腐蚀容器收集并单独暂存于危废暂存间，委托有资质单位清运处置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废活性炭和废过滤棉</w:t>
            </w:r>
          </w:p>
        </w:tc>
        <w:tc>
          <w:tcPr>
            <w:tcW w:w="2410" w:type="dxa"/>
            <w:gridSpan w:val="2"/>
            <w:vAlign w:val="center"/>
          </w:tcPr>
          <w:p>
            <w:pPr>
              <w:pStyle w:val="218"/>
              <w:snapToGrid w:val="0"/>
              <w:spacing w:before="27"/>
              <w:ind w:left="58"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0.5 t/a</w:t>
            </w:r>
          </w:p>
        </w:tc>
        <w:tc>
          <w:tcPr>
            <w:tcW w:w="2627" w:type="dxa"/>
            <w:gridSpan w:val="2"/>
            <w:vMerge w:val="continue"/>
            <w:shd w:val="clear" w:color="auto" w:fill="auto"/>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2"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废机油</w:t>
            </w:r>
          </w:p>
        </w:tc>
        <w:tc>
          <w:tcPr>
            <w:tcW w:w="2410" w:type="dxa"/>
            <w:gridSpan w:val="2"/>
            <w:vAlign w:val="center"/>
          </w:tcPr>
          <w:p>
            <w:pPr>
              <w:pStyle w:val="218"/>
              <w:snapToGrid w:val="0"/>
              <w:spacing w:before="27"/>
              <w:ind w:left="58"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 t/a</w:t>
            </w:r>
          </w:p>
        </w:tc>
        <w:tc>
          <w:tcPr>
            <w:tcW w:w="2627" w:type="dxa"/>
            <w:gridSpan w:val="2"/>
            <w:vMerge w:val="continue"/>
            <w:shd w:val="clear" w:color="auto" w:fill="auto"/>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3"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隔油沉淀池油污及污泥</w:t>
            </w:r>
          </w:p>
        </w:tc>
        <w:tc>
          <w:tcPr>
            <w:tcW w:w="2410" w:type="dxa"/>
            <w:gridSpan w:val="2"/>
            <w:vAlign w:val="center"/>
          </w:tcPr>
          <w:p>
            <w:pPr>
              <w:pStyle w:val="218"/>
              <w:snapToGrid w:val="0"/>
              <w:spacing w:before="27"/>
              <w:ind w:left="58"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0.1</w:t>
            </w:r>
            <w:r>
              <w:rPr>
                <w:rFonts w:hint="default" w:ascii="Times New Roman" w:hAnsi="Times New Roman" w:eastAsia="宋体" w:cs="Times New Roman"/>
                <w:bCs/>
                <w:color w:val="auto"/>
                <w:szCs w:val="21"/>
              </w:rPr>
              <w:t xml:space="preserve"> t/a</w:t>
            </w:r>
          </w:p>
        </w:tc>
        <w:tc>
          <w:tcPr>
            <w:tcW w:w="2627" w:type="dxa"/>
            <w:gridSpan w:val="2"/>
            <w:vMerge w:val="continue"/>
            <w:shd w:val="clear" w:color="auto" w:fill="auto"/>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rPr>
            </w:pPr>
          </w:p>
        </w:tc>
        <w:tc>
          <w:tcPr>
            <w:tcW w:w="698" w:type="dxa"/>
            <w:vMerge w:val="continue"/>
            <w:vAlign w:val="center"/>
          </w:tcPr>
          <w:p>
            <w:pPr>
              <w:jc w:val="center"/>
              <w:rPr>
                <w:rFonts w:ascii="Times New Roman" w:hAnsi="Times New Roman" w:eastAsia="宋体" w:cs="Times New Roman"/>
                <w:color w:val="auto"/>
                <w:szCs w:val="21"/>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废旧电池</w:t>
            </w:r>
          </w:p>
        </w:tc>
        <w:tc>
          <w:tcPr>
            <w:tcW w:w="2410" w:type="dxa"/>
            <w:gridSpan w:val="2"/>
            <w:vAlign w:val="center"/>
          </w:tcPr>
          <w:p>
            <w:pPr>
              <w:pStyle w:val="218"/>
              <w:snapToGrid w:val="0"/>
              <w:spacing w:before="27"/>
              <w:ind w:left="59"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0.735</w:t>
            </w:r>
            <w:r>
              <w:rPr>
                <w:rFonts w:hint="default" w:ascii="Times New Roman" w:hAnsi="Times New Roman" w:eastAsia="宋体" w:cs="Times New Roman"/>
                <w:bCs/>
                <w:color w:val="auto"/>
                <w:szCs w:val="21"/>
              </w:rPr>
              <w:t xml:space="preserve"> t/a</w:t>
            </w:r>
          </w:p>
        </w:tc>
        <w:tc>
          <w:tcPr>
            <w:tcW w:w="2627" w:type="dxa"/>
            <w:gridSpan w:val="2"/>
            <w:vMerge w:val="continue"/>
            <w:shd w:val="clear" w:color="auto" w:fill="auto"/>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rPr>
            </w:pPr>
          </w:p>
        </w:tc>
        <w:tc>
          <w:tcPr>
            <w:tcW w:w="698" w:type="dxa"/>
            <w:vMerge w:val="continue"/>
            <w:vAlign w:val="center"/>
          </w:tcPr>
          <w:p>
            <w:pPr>
              <w:jc w:val="center"/>
              <w:rPr>
                <w:rFonts w:ascii="Times New Roman" w:hAnsi="Times New Roman" w:eastAsia="宋体" w:cs="Times New Roman"/>
                <w:color w:val="auto"/>
                <w:szCs w:val="21"/>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4"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焊渣</w:t>
            </w:r>
          </w:p>
        </w:tc>
        <w:tc>
          <w:tcPr>
            <w:tcW w:w="2410" w:type="dxa"/>
            <w:gridSpan w:val="2"/>
            <w:vAlign w:val="center"/>
          </w:tcPr>
          <w:p>
            <w:pPr>
              <w:pStyle w:val="218"/>
              <w:snapToGrid w:val="0"/>
              <w:spacing w:before="28"/>
              <w:ind w:left="57"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0.00262</w:t>
            </w:r>
            <w:r>
              <w:rPr>
                <w:rFonts w:hint="default" w:ascii="Times New Roman" w:hAnsi="Times New Roman" w:eastAsia="宋体" w:cs="Times New Roman"/>
                <w:bCs/>
                <w:color w:val="auto"/>
                <w:szCs w:val="21"/>
              </w:rPr>
              <w:t xml:space="preserve"> t/a</w:t>
            </w:r>
          </w:p>
        </w:tc>
        <w:tc>
          <w:tcPr>
            <w:tcW w:w="2627" w:type="dxa"/>
            <w:gridSpan w:val="2"/>
            <w:vMerge w:val="continue"/>
            <w:shd w:val="clear" w:color="auto" w:fill="auto"/>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4"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灯管</w:t>
            </w:r>
          </w:p>
        </w:tc>
        <w:tc>
          <w:tcPr>
            <w:tcW w:w="2410" w:type="dxa"/>
            <w:gridSpan w:val="2"/>
            <w:vAlign w:val="center"/>
          </w:tcPr>
          <w:p>
            <w:pPr>
              <w:pStyle w:val="218"/>
              <w:snapToGrid w:val="0"/>
              <w:spacing w:before="28"/>
              <w:ind w:left="57"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0.01t/a</w:t>
            </w:r>
          </w:p>
        </w:tc>
        <w:tc>
          <w:tcPr>
            <w:tcW w:w="2627" w:type="dxa"/>
            <w:gridSpan w:val="2"/>
            <w:vMerge w:val="continue"/>
            <w:shd w:val="clear" w:color="auto" w:fill="auto"/>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2"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废砂纸</w:t>
            </w:r>
          </w:p>
        </w:tc>
        <w:tc>
          <w:tcPr>
            <w:tcW w:w="2410" w:type="dxa"/>
            <w:gridSpan w:val="2"/>
            <w:vAlign w:val="center"/>
          </w:tcPr>
          <w:p>
            <w:pPr>
              <w:pStyle w:val="218"/>
              <w:snapToGrid w:val="0"/>
              <w:spacing w:before="26"/>
              <w:ind w:left="57"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0.015</w:t>
            </w:r>
            <w:r>
              <w:rPr>
                <w:rFonts w:hint="default" w:ascii="Times New Roman" w:hAnsi="Times New Roman" w:eastAsia="宋体" w:cs="Times New Roman"/>
                <w:bCs/>
                <w:color w:val="auto"/>
                <w:szCs w:val="21"/>
              </w:rPr>
              <w:t xml:space="preserve"> t/a</w:t>
            </w:r>
          </w:p>
        </w:tc>
        <w:tc>
          <w:tcPr>
            <w:tcW w:w="2627" w:type="dxa"/>
            <w:gridSpan w:val="2"/>
            <w:vMerge w:val="continue"/>
            <w:shd w:val="clear" w:color="auto" w:fill="auto"/>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706" w:type="dxa"/>
            <w:gridSpan w:val="9"/>
            <w:vAlign w:val="center"/>
          </w:tcPr>
          <w:p>
            <w:pPr>
              <w:spacing w:before="156" w:beforeLines="50" w:line="360" w:lineRule="auto"/>
              <w:ind w:firstLine="482" w:firstLineChars="200"/>
              <w:jc w:val="left"/>
              <w:rPr>
                <w:rFonts w:ascii="Times New Roman" w:hAnsi="Times New Roman" w:eastAsia="宋体" w:cs="Times New Roman"/>
                <w:b/>
                <w:bCs/>
                <w:color w:val="auto"/>
                <w:sz w:val="24"/>
                <w:lang w:val="zh-CN"/>
              </w:rPr>
            </w:pPr>
            <w:r>
              <w:rPr>
                <w:rFonts w:ascii="Times New Roman" w:hAnsi="Times New Roman" w:eastAsia="宋体" w:cs="Times New Roman"/>
                <w:b/>
                <w:bCs/>
                <w:color w:val="auto"/>
                <w:sz w:val="24"/>
                <w:lang w:val="zh-CN"/>
              </w:rPr>
              <w:t>主要生态影响</w:t>
            </w:r>
          </w:p>
          <w:p>
            <w:pPr>
              <w:spacing w:line="360" w:lineRule="auto"/>
              <w:ind w:firstLine="482"/>
              <w:rPr>
                <w:rFonts w:ascii="Times New Roman" w:hAnsi="Times New Roman" w:eastAsia="宋体" w:cs="Times New Roman"/>
                <w:color w:val="auto"/>
                <w:sz w:val="24"/>
                <w:lang w:val="zh-CN"/>
              </w:rPr>
            </w:pPr>
            <w:r>
              <w:rPr>
                <w:rFonts w:ascii="Times New Roman" w:hAnsi="Times New Roman" w:eastAsia="宋体" w:cs="Times New Roman"/>
                <w:color w:val="auto"/>
                <w:sz w:val="24"/>
                <w:lang w:val="zh-CN"/>
              </w:rPr>
              <w:t>项目所在区域地表主要为道路、人工建设的水泥地和建筑物，</w:t>
            </w:r>
            <w:r>
              <w:rPr>
                <w:rFonts w:ascii="Times New Roman" w:hAnsi="Times New Roman" w:eastAsia="宋体" w:cs="Times New Roman"/>
                <w:color w:val="auto"/>
                <w:sz w:val="24"/>
              </w:rPr>
              <w:t>周围已无原生植物及野生植物，区域内生态结构单一，</w:t>
            </w:r>
            <w:r>
              <w:rPr>
                <w:rFonts w:ascii="Times New Roman" w:hAnsi="Times New Roman" w:eastAsia="宋体" w:cs="Times New Roman"/>
                <w:color w:val="auto"/>
                <w:sz w:val="24"/>
                <w:lang w:val="zh-CN"/>
              </w:rPr>
              <w:t>不产生水土流失等生态影响因素，对生态环境无影响。</w:t>
            </w:r>
          </w:p>
          <w:p>
            <w:pPr>
              <w:spacing w:line="360" w:lineRule="auto"/>
              <w:ind w:firstLine="480" w:firstLineChars="200"/>
              <w:jc w:val="left"/>
              <w:rPr>
                <w:rFonts w:ascii="Times New Roman" w:hAnsi="Times New Roman" w:eastAsia="宋体" w:cs="Times New Roman"/>
                <w:color w:val="auto"/>
                <w:kern w:val="0"/>
                <w:szCs w:val="21"/>
              </w:rPr>
            </w:pPr>
            <w:r>
              <w:rPr>
                <w:rFonts w:ascii="Times New Roman" w:hAnsi="Times New Roman" w:eastAsia="宋体" w:cs="Times New Roman"/>
                <w:color w:val="auto"/>
                <w:sz w:val="24"/>
                <w:lang w:val="zh-CN"/>
              </w:rPr>
              <w:t>综上所述，运行期对生态环境无影响。</w:t>
            </w:r>
          </w:p>
          <w:p>
            <w:pPr>
              <w:spacing w:line="360" w:lineRule="auto"/>
              <w:ind w:firstLine="420" w:firstLineChars="200"/>
              <w:jc w:val="left"/>
              <w:rPr>
                <w:rFonts w:ascii="Times New Roman" w:hAnsi="Times New Roman" w:eastAsia="宋体" w:cs="Times New Roman"/>
                <w:color w:val="auto"/>
                <w:kern w:val="0"/>
                <w:szCs w:val="21"/>
              </w:rPr>
            </w:pPr>
          </w:p>
          <w:p>
            <w:pPr>
              <w:jc w:val="center"/>
              <w:rPr>
                <w:rFonts w:ascii="Times New Roman" w:hAnsi="Times New Roman" w:eastAsia="宋体" w:cs="Times New Roman"/>
                <w:color w:val="auto"/>
                <w:szCs w:val="21"/>
                <w:lang w:val="zh-CN"/>
              </w:rPr>
            </w:pPr>
          </w:p>
        </w:tc>
      </w:tr>
    </w:tbl>
    <w:p>
      <w:pPr>
        <w:pStyle w:val="38"/>
        <w:ind w:left="0" w:leftChars="0" w:firstLine="0" w:firstLineChars="0"/>
        <w:rPr>
          <w:color w:val="auto"/>
          <w:lang w:val="zh-CN"/>
        </w:rPr>
      </w:pPr>
    </w:p>
    <w:p>
      <w:pPr>
        <w:keepNext/>
        <w:keepLines/>
        <w:pageBreakBefore/>
        <w:ind w:firstLine="148" w:firstLineChars="49"/>
        <w:jc w:val="left"/>
        <w:outlineLvl w:val="0"/>
        <w:rPr>
          <w:rFonts w:ascii="Times New Roman" w:hAnsi="Times New Roman" w:eastAsia="宋体" w:cs="Times New Roman"/>
          <w:b/>
          <w:bCs/>
          <w:color w:val="auto"/>
          <w:kern w:val="44"/>
          <w:sz w:val="30"/>
          <w:szCs w:val="44"/>
          <w:lang w:val="zh-CN"/>
        </w:rPr>
      </w:pPr>
      <w:bookmarkStart w:id="10" w:name="_Toc47258244"/>
      <w:r>
        <w:rPr>
          <w:rFonts w:ascii="Times New Roman" w:hAnsi="Times New Roman" w:eastAsia="宋体" w:cs="Times New Roman"/>
          <w:b/>
          <w:bCs/>
          <w:color w:val="auto"/>
          <w:kern w:val="44"/>
          <w:sz w:val="30"/>
          <w:szCs w:val="44"/>
          <w:lang w:val="zh-CN"/>
        </w:rPr>
        <w:t>表七、环境影响分析</w:t>
      </w:r>
      <w:bookmarkEnd w:id="10"/>
    </w:p>
    <w:tbl>
      <w:tblPr>
        <w:tblStyle w:val="39"/>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3" w:type="dxa"/>
          </w:tcPr>
          <w:p>
            <w:pPr>
              <w:pStyle w:val="218"/>
              <w:spacing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一、产业政策符合性分析</w:t>
            </w:r>
          </w:p>
          <w:p>
            <w:pPr>
              <w:pStyle w:val="218"/>
              <w:spacing w:line="360" w:lineRule="auto"/>
              <w:ind w:firstLine="440" w:firstLineChars="200"/>
              <w:jc w:val="both"/>
              <w:rPr>
                <w:rFonts w:hint="default" w:ascii="Times New Roman" w:hAnsi="Times New Roman" w:eastAsia="宋体" w:cs="Times New Roman"/>
                <w:color w:val="auto"/>
                <w:spacing w:val="-6"/>
              </w:rPr>
            </w:pPr>
            <w:r>
              <w:rPr>
                <w:rFonts w:hint="default" w:ascii="Times New Roman" w:hAnsi="Times New Roman" w:eastAsia="宋体" w:cs="Times New Roman"/>
                <w:color w:val="auto"/>
                <w:spacing w:val="-10"/>
              </w:rPr>
              <w:t>本项目为《国民经济行业与代码》</w:t>
            </w:r>
            <w:r>
              <w:rPr>
                <w:rFonts w:hint="default" w:ascii="Times New Roman" w:hAnsi="Times New Roman" w:eastAsia="宋体" w:cs="Times New Roman"/>
                <w:color w:val="auto"/>
                <w:spacing w:val="-3"/>
              </w:rPr>
              <w:t>（GB/T4754—2017）</w:t>
            </w:r>
            <w:r>
              <w:rPr>
                <w:rFonts w:hint="default" w:ascii="Times New Roman" w:hAnsi="Times New Roman" w:eastAsia="宋体" w:cs="Times New Roman"/>
                <w:color w:val="auto"/>
              </w:rPr>
              <w:t>中的汽车新车零售以及汽车修理</w:t>
            </w:r>
            <w:r>
              <w:rPr>
                <w:rFonts w:hint="default" w:ascii="Times New Roman" w:hAnsi="Times New Roman" w:eastAsia="宋体" w:cs="Times New Roman"/>
                <w:color w:val="auto"/>
                <w:spacing w:val="-7"/>
              </w:rPr>
              <w:t>与维护项目，项目主要进行小型轿车、</w:t>
            </w:r>
            <w:r>
              <w:rPr>
                <w:rFonts w:hint="default" w:ascii="Times New Roman" w:hAnsi="Times New Roman" w:eastAsia="宋体" w:cs="Times New Roman"/>
                <w:color w:val="auto"/>
              </w:rPr>
              <w:t>SUV</w:t>
            </w:r>
            <w:r>
              <w:rPr>
                <w:rFonts w:hint="default" w:ascii="Times New Roman" w:hAnsi="Times New Roman" w:eastAsia="宋体" w:cs="Times New Roman"/>
                <w:color w:val="auto"/>
                <w:spacing w:val="-6"/>
              </w:rPr>
              <w:t>汽车的修理与维护等。。对照《产业结构调整指导目录（2019 年本）（修改后2020年1月1日实行）》，项目不在鼓励类、限制类和淘汰类目录内。同时，根据国发[2005]40号《促进产业结构调整暂行规定》第十三条：《产业结构调整指导目录》由鼓励、限制和淘汰三类目录组成。不属于鼓励类、限制类和淘汰类，且符合国家有关法律、法规和政策规定的，为允许类。允许类不列入《产业结构调整指导目录》，故本项目属于允许类。</w:t>
            </w:r>
          </w:p>
          <w:p>
            <w:pPr>
              <w:pStyle w:val="218"/>
              <w:spacing w:line="360" w:lineRule="auto"/>
              <w:ind w:firstLine="456" w:firstLineChars="200"/>
              <w:jc w:val="both"/>
              <w:rPr>
                <w:rFonts w:hint="default" w:ascii="Times New Roman" w:hAnsi="Times New Roman" w:eastAsia="宋体" w:cs="Times New Roman"/>
                <w:color w:val="auto"/>
              </w:rPr>
            </w:pPr>
            <w:r>
              <w:rPr>
                <w:rFonts w:hint="default" w:ascii="Times New Roman" w:hAnsi="Times New Roman" w:eastAsia="宋体" w:cs="Times New Roman"/>
                <w:color w:val="auto"/>
                <w:spacing w:val="-6"/>
              </w:rPr>
              <w:t>综上，项目的建设符合国家现行的产业政策。</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二、相关规划符合性分析</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（1）用地规划符合性分析</w:t>
            </w:r>
          </w:p>
          <w:p>
            <w:pPr>
              <w:pStyle w:val="218"/>
              <w:spacing w:line="360" w:lineRule="auto"/>
              <w:ind w:firstLine="456" w:firstLineChars="200"/>
              <w:jc w:val="both"/>
              <w:rPr>
                <w:rFonts w:hint="default" w:ascii="Times New Roman" w:hAnsi="Times New Roman" w:eastAsia="宋体" w:cs="Times New Roman"/>
                <w:color w:val="auto"/>
                <w:spacing w:val="-6"/>
              </w:rPr>
            </w:pPr>
            <w:r>
              <w:rPr>
                <w:rFonts w:hint="default" w:ascii="Times New Roman" w:hAnsi="Times New Roman" w:eastAsia="宋体" w:cs="Times New Roman"/>
                <w:color w:val="auto"/>
                <w:spacing w:val="-6"/>
              </w:rPr>
              <w:t>本项目选址于云南省德宏州芒市胞波路203号，用地性质为综合用地，项目的建设与用地性质不冲突，且建设项目与《德宏州域城镇体系规划（2011—2030）》的总体规划定位分析不冲突；</w:t>
            </w:r>
          </w:p>
          <w:p>
            <w:pPr>
              <w:pStyle w:val="218"/>
              <w:spacing w:line="360" w:lineRule="auto"/>
              <w:ind w:firstLine="456" w:firstLineChars="200"/>
              <w:jc w:val="both"/>
              <w:rPr>
                <w:rFonts w:hint="default" w:ascii="Times New Roman" w:hAnsi="Times New Roman" w:eastAsia="宋体" w:cs="Times New Roman"/>
                <w:color w:val="auto"/>
                <w:spacing w:val="-6"/>
              </w:rPr>
            </w:pPr>
            <w:r>
              <w:rPr>
                <w:rFonts w:hint="default" w:ascii="Times New Roman" w:hAnsi="Times New Roman" w:eastAsia="宋体" w:cs="Times New Roman"/>
                <w:color w:val="auto"/>
                <w:spacing w:val="-6"/>
              </w:rPr>
              <w:t>综上，建设项目符合相关规划要求。</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（2）“三线一单”符合性</w:t>
            </w:r>
          </w:p>
          <w:p>
            <w:pPr>
              <w:pStyle w:val="218"/>
              <w:spacing w:line="360" w:lineRule="auto"/>
              <w:ind w:firstLine="456" w:firstLineChars="200"/>
              <w:jc w:val="both"/>
              <w:rPr>
                <w:rFonts w:hint="default" w:ascii="Times New Roman" w:hAnsi="Times New Roman" w:eastAsia="宋体" w:cs="Times New Roman"/>
                <w:color w:val="auto"/>
                <w:spacing w:val="-6"/>
              </w:rPr>
            </w:pPr>
            <w:r>
              <w:rPr>
                <w:rFonts w:hint="default" w:ascii="Times New Roman" w:hAnsi="Times New Roman" w:eastAsia="宋体" w:cs="Times New Roman"/>
                <w:color w:val="auto"/>
                <w:spacing w:val="-6"/>
              </w:rPr>
              <w:t>本项目的“三线一单”符合性分析见表 7-1。</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表7-1   “三线一单”符合性分析</w:t>
            </w:r>
          </w:p>
          <w:tbl>
            <w:tblPr>
              <w:tblStyle w:val="39"/>
              <w:tblW w:w="96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
              <w:gridCol w:w="7992"/>
              <w:gridCol w:w="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8" w:type="dxa"/>
                  <w:shd w:val="clear" w:color="auto" w:fill="auto"/>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“三线</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一单”</w:t>
                  </w:r>
                </w:p>
              </w:tc>
              <w:tc>
                <w:tcPr>
                  <w:tcW w:w="7992" w:type="dxa"/>
                  <w:shd w:val="clear" w:color="auto" w:fill="auto"/>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符合性分析</w:t>
                  </w:r>
                </w:p>
              </w:tc>
              <w:tc>
                <w:tcPr>
                  <w:tcW w:w="977" w:type="dxa"/>
                  <w:shd w:val="clear" w:color="auto" w:fill="auto"/>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是否符合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8"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生态保护红线</w:t>
                  </w:r>
                </w:p>
              </w:tc>
              <w:tc>
                <w:tcPr>
                  <w:tcW w:w="7992"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本项目位于云南省德宏州芒市胞波路203号，周边无自然保护区、饮用水源保护区等生态保护目标，不触及生态保护红线。</w:t>
                  </w:r>
                </w:p>
              </w:tc>
              <w:tc>
                <w:tcPr>
                  <w:tcW w:w="977"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8"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资源利用上线</w:t>
                  </w:r>
                </w:p>
              </w:tc>
              <w:tc>
                <w:tcPr>
                  <w:tcW w:w="7992"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本项目运营过程中有一定量的电源、水资源等资源消耗。本项目资源消耗量对区域资源利用总量较少，不会突破地区能源、水、土地等资源消耗上线。</w:t>
                  </w:r>
                </w:p>
              </w:tc>
              <w:tc>
                <w:tcPr>
                  <w:tcW w:w="977"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8"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环境质量底线</w:t>
                  </w:r>
                </w:p>
              </w:tc>
              <w:tc>
                <w:tcPr>
                  <w:tcW w:w="7992"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本项目区域声环境、水环境和大气环境质量能够满足相应的标准，本项目废气经处理措施处理后，对周边环境影响很小，废水经预处理后达标纳管，对周围环境影响很小，本项目各项污染物不会改变项目所在地区域环境质量，不触及环境质量底线。</w:t>
                  </w:r>
                </w:p>
              </w:tc>
              <w:tc>
                <w:tcPr>
                  <w:tcW w:w="977"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8"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负面清单</w:t>
                  </w:r>
                </w:p>
              </w:tc>
              <w:tc>
                <w:tcPr>
                  <w:tcW w:w="7992"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本项目位于</w:t>
                  </w:r>
                  <w:r>
                    <w:rPr>
                      <w:rFonts w:ascii="Times New Roman" w:hAnsi="Times New Roman" w:eastAsia="宋体" w:cs="Times New Roman"/>
                      <w:bCs/>
                      <w:color w:val="auto"/>
                      <w:szCs w:val="21"/>
                    </w:rPr>
                    <w:t>云南省德宏州芒市胞波路203号</w:t>
                  </w:r>
                  <w:r>
                    <w:rPr>
                      <w:rFonts w:ascii="Times New Roman" w:hAnsi="Times New Roman" w:eastAsia="宋体" w:cs="Times New Roman"/>
                      <w:color w:val="auto"/>
                      <w:szCs w:val="21"/>
                    </w:rPr>
                    <w:t>，本项目不属于该区禁止和限制发展项目，不在该环境功能区禁止进入的行业。</w:t>
                  </w:r>
                </w:p>
              </w:tc>
              <w:tc>
                <w:tcPr>
                  <w:tcW w:w="977"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符合</w:t>
                  </w:r>
                </w:p>
              </w:tc>
            </w:tr>
          </w:tbl>
          <w:p>
            <w:pPr>
              <w:pStyle w:val="218"/>
              <w:spacing w:before="156" w:beforeLines="50"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三、周边环境相容性分析</w:t>
            </w:r>
            <w:r>
              <w:rPr>
                <w:rFonts w:ascii="Times New Roman" w:hAnsi="Times New Roman" w:eastAsia="宋体" w:cs="Times New Roman"/>
                <w:b/>
                <w:color w:val="auto"/>
                <w:spacing w:val="-7"/>
              </w:rPr>
              <w:t>及选址合理性分析</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ascii="Times New Roman" w:hAnsi="Times New Roman" w:eastAsia="宋体" w:cs="Times New Roman"/>
                <w:b/>
                <w:color w:val="auto"/>
                <w:spacing w:val="-7"/>
              </w:rPr>
              <w:t>（1）</w:t>
            </w:r>
            <w:r>
              <w:rPr>
                <w:rFonts w:hint="default" w:ascii="Times New Roman" w:hAnsi="Times New Roman" w:eastAsia="宋体" w:cs="Times New Roman"/>
                <w:b/>
                <w:color w:val="auto"/>
                <w:spacing w:val="-7"/>
              </w:rPr>
              <w:t>周边环境相容性分析</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位于云南省德宏州芒市胞波路203号，项目评价区不涉及县级及以上人民政府批准的自然保护区、风景名胜区、集中式饮用水水源准保护区，与地下水环境相关的其它保护区、文物保护地及其他世界文化和自然遗产地、森林公园、地址公园等敏感区域。项目不存在明显环境制约因素。</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区域环境空气功能区划为二类区，声环境属于2、4a类区域，评价区的环境空气质量较好，噪声环境质量较好，总体来说环境治理现状较好，有一定的环境自净能力和环境容量。</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项目位于城市建成区，区域路网成熟，交通运输便利。且项目运营期废水均进入市政管网，不会对周围水环境产生不良影响。因此，本项目与周围环境相容。</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ascii="Times New Roman" w:hAnsi="Times New Roman" w:eastAsia="宋体" w:cs="Times New Roman"/>
                <w:b/>
                <w:color w:val="auto"/>
                <w:spacing w:val="-7"/>
              </w:rPr>
              <w:t>（2）选址合理性分析</w:t>
            </w:r>
          </w:p>
          <w:p>
            <w:pPr>
              <w:pStyle w:val="218"/>
              <w:spacing w:line="360" w:lineRule="auto"/>
              <w:ind w:firstLine="452" w:firstLineChars="200"/>
              <w:jc w:val="both"/>
              <w:rPr>
                <w:rFonts w:hint="default" w:ascii="Times New Roman" w:hAnsi="Times New Roman" w:eastAsia="宋体" w:cs="Times New Roman"/>
                <w:color w:val="auto"/>
                <w:spacing w:val="-7"/>
              </w:rPr>
            </w:pPr>
            <w:r>
              <w:rPr>
                <w:rFonts w:ascii="Times New Roman" w:hAnsi="Times New Roman" w:eastAsia="宋体" w:cs="Times New Roman"/>
                <w:color w:val="auto"/>
                <w:spacing w:val="-7"/>
              </w:rPr>
              <w:t>本项目位于云南省德宏州芒市胞波路203号，项目周边交通便利，电力、通讯、供排水系统配备齐全。</w:t>
            </w:r>
          </w:p>
          <w:p>
            <w:pPr>
              <w:pStyle w:val="218"/>
              <w:spacing w:line="360" w:lineRule="auto"/>
              <w:ind w:firstLine="452" w:firstLineChars="200"/>
              <w:jc w:val="both"/>
              <w:rPr>
                <w:rFonts w:hint="default" w:ascii="Times New Roman" w:hAnsi="Times New Roman" w:eastAsia="宋体" w:cs="Times New Roman"/>
                <w:color w:val="auto"/>
                <w:spacing w:val="-7"/>
              </w:rPr>
            </w:pPr>
            <w:r>
              <w:rPr>
                <w:rFonts w:ascii="Times New Roman" w:hAnsi="Times New Roman" w:eastAsia="宋体" w:cs="Times New Roman"/>
                <w:color w:val="auto"/>
                <w:spacing w:val="-7"/>
              </w:rPr>
              <w:t>不占用基本农田及公益林地，区内无国家规定的保护动植物。根据大气预测，本项目有组织排放污染物最大落地浓度距离为7</w:t>
            </w:r>
            <w:r>
              <w:rPr>
                <w:rFonts w:hint="default" w:ascii="Times New Roman" w:hAnsi="Times New Roman" w:eastAsia="宋体" w:cs="Times New Roman"/>
                <w:color w:val="auto"/>
                <w:spacing w:val="-7"/>
              </w:rPr>
              <w:t>0</w:t>
            </w:r>
            <w:r>
              <w:rPr>
                <w:rFonts w:ascii="Times New Roman" w:hAnsi="Times New Roman" w:eastAsia="宋体" w:cs="Times New Roman"/>
                <w:color w:val="auto"/>
                <w:spacing w:val="-7"/>
              </w:rPr>
              <w:t>m，本项目7</w:t>
            </w:r>
            <w:r>
              <w:rPr>
                <w:rFonts w:hint="default" w:ascii="Times New Roman" w:hAnsi="Times New Roman" w:eastAsia="宋体" w:cs="Times New Roman"/>
                <w:color w:val="auto"/>
                <w:spacing w:val="-7"/>
              </w:rPr>
              <w:t>0</w:t>
            </w:r>
            <w:r>
              <w:rPr>
                <w:rFonts w:ascii="Times New Roman" w:hAnsi="Times New Roman" w:eastAsia="宋体" w:cs="Times New Roman"/>
                <w:color w:val="auto"/>
                <w:spacing w:val="-7"/>
              </w:rPr>
              <w:t>m附近的主要敏感目标为东侧5</w:t>
            </w:r>
            <w:r>
              <w:rPr>
                <w:rFonts w:hint="default" w:ascii="Times New Roman" w:hAnsi="Times New Roman" w:eastAsia="宋体" w:cs="Times New Roman"/>
                <w:color w:val="auto"/>
                <w:spacing w:val="-7"/>
              </w:rPr>
              <w:t>5</w:t>
            </w:r>
            <w:r>
              <w:rPr>
                <w:rFonts w:ascii="Times New Roman" w:hAnsi="Times New Roman" w:eastAsia="宋体" w:cs="Times New Roman"/>
                <w:color w:val="auto"/>
                <w:spacing w:val="-7"/>
              </w:rPr>
              <w:t>m的国家统计局德宏调查队、南侧65m翡翠小区、东北侧85m榕树小区，国家统计局德宏调查队和翡翠小区位于项目区侧风向及上风向，榕树小区位于项目区下风向，距离较远且有大量绿化及高楼阻隔，对敏感目标影响较小。</w:t>
            </w:r>
          </w:p>
          <w:p>
            <w:pPr>
              <w:pStyle w:val="218"/>
              <w:spacing w:line="360" w:lineRule="auto"/>
              <w:ind w:firstLine="452" w:firstLineChars="200"/>
              <w:jc w:val="both"/>
              <w:rPr>
                <w:rFonts w:hint="default" w:ascii="Times New Roman" w:hAnsi="Times New Roman" w:eastAsia="宋体" w:cs="Times New Roman"/>
                <w:color w:val="auto"/>
                <w:spacing w:val="-7"/>
              </w:rPr>
            </w:pPr>
            <w:r>
              <w:rPr>
                <w:rFonts w:ascii="Times New Roman" w:hAnsi="Times New Roman" w:eastAsia="宋体" w:cs="Times New Roman"/>
                <w:color w:val="auto"/>
                <w:spacing w:val="-7"/>
              </w:rPr>
              <w:t>根据预测，该项目各工序污染源采取相应的污染控制措施后，均可实现达标排放，不会对区域环境产生明显影响，且项目所在地交通便利，从环保角度考虑，故项目选址可行。</w:t>
            </w:r>
          </w:p>
          <w:p>
            <w:pPr>
              <w:pStyle w:val="218"/>
              <w:spacing w:line="360" w:lineRule="auto"/>
              <w:ind w:firstLine="452" w:firstLineChars="200"/>
              <w:jc w:val="both"/>
              <w:rPr>
                <w:rFonts w:hint="default" w:ascii="Times New Roman" w:hAnsi="Times New Roman" w:eastAsia="宋体" w:cs="Times New Roman"/>
                <w:color w:val="auto"/>
                <w:spacing w:val="-7"/>
              </w:rPr>
            </w:pPr>
            <w:r>
              <w:rPr>
                <w:rFonts w:ascii="Times New Roman" w:hAnsi="Times New Roman" w:eastAsia="宋体" w:cs="Times New Roman"/>
                <w:color w:val="auto"/>
                <w:spacing w:val="-7"/>
              </w:rPr>
              <w:t xml:space="preserve"> 综上，本项目选址范围内不存在影响本项目建设的限制性因素，项目运营过程对外环境 及周围敏感点影响较小，本项目选址合理。</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四、平面布置合理性分析</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位于云南省德宏州芒市胞波路203号，主要包括1栋钢结构厂房，按功能划主要分为四轮定位区、保养区、维修区、接待办公区等功能区；所有建筑及区域划分均沿厂房边界设置，从西南侧依次设置有一般固废间、危废暂存间机电维修间、休息室、仓库、钣喷维修间、空压间、喷烤漆房、打磨间、双膜施工间、办公区及会议室等。项目厂区内有一长直通道，项目内各建筑均沿该通道两侧分布，方便人员及车辆的进出及调运。</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综上，本项目平面布局合理。</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五、环境可控性分析</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营运期打磨过程中产生的粉尘通过设备自带的收尘设施进行收集，未收集到的粉尘经可移动式的废气净化设施（与焊接工段共用）进行处理。汽车维修过程中产生的焊接废气经经可移动式的废气净化设施（与打磨工段共用）进行处理，通过风机引力作用，焊接烟气经集气罩吸入设备，经设备内滤芯过滤净化及活性炭过滤吸附后经设备出风口达标排放。喷漆产生的漆雾颗粒、二甲苯和 VOC</w:t>
            </w:r>
            <w:r>
              <w:rPr>
                <w:rFonts w:hint="eastAsia" w:ascii="Times New Roman" w:hAnsi="Times New Roman" w:eastAsia="宋体" w:cs="Times New Roman"/>
                <w:color w:val="auto"/>
                <w:sz w:val="24"/>
              </w:rPr>
              <w:t>s</w:t>
            </w:r>
            <w:r>
              <w:rPr>
                <w:rFonts w:ascii="Times New Roman" w:hAnsi="Times New Roman" w:eastAsia="宋体" w:cs="Times New Roman"/>
                <w:color w:val="auto"/>
                <w:sz w:val="24"/>
              </w:rPr>
              <w:t xml:space="preserve"> 等污染经喷喷烤漆房废气处理系统处理后经1根15m 的排气筒排放；项目内少量的汽车尾气经空气稀释扩散后对环境影响较小。</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项目实行雨污分流制，厂房设置彩钢瓦遮盖。生产废水经隔油沉淀池处理达标后排入锦华路（胞波路）污水管网，最终进入污水处理厂。项目废水妥善处理，不直接进入外环境，对周围水环境影响不大。</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项目产噪设备合理布局，严格控制各台高噪音设备的使用时间，避免同时使用，且经过设备基础减震、距离衰减。定期检查，维修设备，使设备处于良好的运行状态。噪声可满足相应标准，对周围环境影响不大。</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产生的生活垃圾由环卫部门清运；一般固废：包装固废、化粪池污泥、废含油抹布、废含油棉纱、手套由环卫部门清运，废旧零部件、废装饰品收集后交由回收站收购；危险废物：废油漆桶、废稀释剂桶、废固化剂桶、废活性炭和废过滤棉、废机油、隔油沉淀池油污及污泥、废旧电池、焊渣、UV灯管、废砂纸收集后暂存于危废暂存间，定期委托有资质单位清运处置；项目产生的固体废物处置率100%。则项目产生的固体废物对环境影响较小。</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综上，项目的建设不违反相关政策及规划，运营期产生的污染物在采取环评提出的各项污染防治对策措施下，产生的环境影响均可得到有效控制，能够满足当地环境保护的要求，且不会改变当地的环境功能，因此项目选址合理。</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六、相关污染防治行动符合性分析</w:t>
            </w:r>
          </w:p>
          <w:p>
            <w:pPr>
              <w:pStyle w:val="218"/>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表 7-2  项目建设与大气和水污染防治行动计划相符性分析表</w:t>
            </w:r>
          </w:p>
          <w:tbl>
            <w:tblPr>
              <w:tblStyle w:val="40"/>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135"/>
              <w:gridCol w:w="5900"/>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vAlign w:val="center"/>
                </w:tcPr>
                <w:p>
                  <w:pPr>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文件</w:t>
                  </w:r>
                </w:p>
              </w:tc>
              <w:tc>
                <w:tcPr>
                  <w:tcW w:w="2135" w:type="dxa"/>
                  <w:vAlign w:val="center"/>
                </w:tcPr>
                <w:p>
                  <w:pPr>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相关要求</w:t>
                  </w:r>
                </w:p>
              </w:tc>
              <w:tc>
                <w:tcPr>
                  <w:tcW w:w="5900" w:type="dxa"/>
                  <w:vAlign w:val="center"/>
                </w:tcPr>
                <w:p>
                  <w:pPr>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项目主动采取的措施</w:t>
                  </w:r>
                </w:p>
              </w:tc>
              <w:tc>
                <w:tcPr>
                  <w:tcW w:w="735" w:type="dxa"/>
                  <w:vAlign w:val="center"/>
                </w:tcPr>
                <w:p>
                  <w:pPr>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vMerge w:val="restart"/>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大气污染防治行动计划</w:t>
                  </w:r>
                </w:p>
              </w:tc>
              <w:tc>
                <w:tcPr>
                  <w:tcW w:w="2135"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1、加强工业企业大气污染综合治理之推进挥发性有机物污染治理</w:t>
                  </w:r>
                </w:p>
              </w:tc>
              <w:tc>
                <w:tcPr>
                  <w:tcW w:w="5900"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项目针对喷烤漆房内的挥发性有机物采取了过滤棉+UV 光解催化氧化+活性炭吸附治理的措施。</w:t>
                  </w:r>
                </w:p>
              </w:tc>
              <w:tc>
                <w:tcPr>
                  <w:tcW w:w="735" w:type="dxa"/>
                  <w:vMerge w:val="restart"/>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continue"/>
                  <w:vAlign w:val="center"/>
                </w:tcPr>
                <w:p>
                  <w:pPr>
                    <w:snapToGrid w:val="0"/>
                    <w:jc w:val="center"/>
                    <w:rPr>
                      <w:rFonts w:ascii="Times New Roman" w:hAnsi="Times New Roman" w:eastAsia="宋体" w:cs="Times New Roman"/>
                      <w:bCs/>
                      <w:color w:val="auto"/>
                      <w:szCs w:val="21"/>
                    </w:rPr>
                  </w:pPr>
                </w:p>
              </w:tc>
              <w:tc>
                <w:tcPr>
                  <w:tcW w:w="2135"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2、大力发展循环经济</w:t>
                  </w:r>
                </w:p>
              </w:tc>
              <w:tc>
                <w:tcPr>
                  <w:tcW w:w="5900"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项目针对可回收的废物进行分类收集外售，实现项目内部发展循环经济。</w:t>
                  </w:r>
                </w:p>
              </w:tc>
              <w:tc>
                <w:tcPr>
                  <w:tcW w:w="73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continue"/>
                  <w:vAlign w:val="center"/>
                </w:tcPr>
                <w:p>
                  <w:pPr>
                    <w:snapToGrid w:val="0"/>
                    <w:jc w:val="center"/>
                    <w:rPr>
                      <w:rFonts w:ascii="Times New Roman" w:hAnsi="Times New Roman" w:eastAsia="宋体" w:cs="Times New Roman"/>
                      <w:bCs/>
                      <w:color w:val="auto"/>
                      <w:szCs w:val="21"/>
                    </w:rPr>
                  </w:pPr>
                </w:p>
              </w:tc>
              <w:tc>
                <w:tcPr>
                  <w:tcW w:w="2135"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3、加快清洁能源替代利用，提高能源使用效率。</w:t>
                  </w:r>
                </w:p>
              </w:tc>
              <w:tc>
                <w:tcPr>
                  <w:tcW w:w="5900"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项目喷烤漆房使用电能。喷烤漆房使用当前技术成熟 的一体化红外线喷烤漆房，可实现电能的使用效率 最大化，节约能源。</w:t>
                  </w:r>
                </w:p>
              </w:tc>
              <w:tc>
                <w:tcPr>
                  <w:tcW w:w="73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continue"/>
                  <w:vAlign w:val="center"/>
                </w:tcPr>
                <w:p>
                  <w:pPr>
                    <w:snapToGrid w:val="0"/>
                    <w:jc w:val="center"/>
                    <w:rPr>
                      <w:rFonts w:ascii="Times New Roman" w:hAnsi="Times New Roman" w:eastAsia="宋体" w:cs="Times New Roman"/>
                      <w:bCs/>
                      <w:color w:val="auto"/>
                      <w:szCs w:val="21"/>
                    </w:rPr>
                  </w:pPr>
                </w:p>
              </w:tc>
              <w:tc>
                <w:tcPr>
                  <w:tcW w:w="2135"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4、强化企业施治</w:t>
                  </w:r>
                </w:p>
              </w:tc>
              <w:tc>
                <w:tcPr>
                  <w:tcW w:w="5900"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建设单位将按照环保规范要求，加强内部管理，增加资金投入环保治理，采用成熟的喷漆工艺和 废气治理技术。项目污染物经采取相应的治理措 施后，可确保污染物达标排放；自觉履行环境保 护的社会责任，接受社会监督。</w:t>
                  </w:r>
                </w:p>
              </w:tc>
              <w:tc>
                <w:tcPr>
                  <w:tcW w:w="73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restart"/>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水污染防治行动计划</w:t>
                  </w:r>
                </w:p>
              </w:tc>
              <w:tc>
                <w:tcPr>
                  <w:tcW w:w="2135"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1、加强城镇节水</w:t>
                  </w:r>
                </w:p>
              </w:tc>
              <w:tc>
                <w:tcPr>
                  <w:tcW w:w="5900"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项目卫生间选用节水器具。</w:t>
                  </w:r>
                </w:p>
              </w:tc>
              <w:tc>
                <w:tcPr>
                  <w:tcW w:w="735" w:type="dxa"/>
                  <w:vMerge w:val="restart"/>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continue"/>
                  <w:vAlign w:val="center"/>
                </w:tcPr>
                <w:p>
                  <w:pPr>
                    <w:snapToGrid w:val="0"/>
                    <w:jc w:val="center"/>
                    <w:rPr>
                      <w:rFonts w:ascii="Times New Roman" w:hAnsi="Times New Roman" w:eastAsia="宋体" w:cs="Times New Roman"/>
                      <w:bCs/>
                      <w:color w:val="auto"/>
                      <w:szCs w:val="21"/>
                    </w:rPr>
                  </w:pPr>
                </w:p>
              </w:tc>
              <w:tc>
                <w:tcPr>
                  <w:tcW w:w="2135"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2、严格环境风险控制，防范环境风险</w:t>
                  </w:r>
                </w:p>
              </w:tc>
              <w:tc>
                <w:tcPr>
                  <w:tcW w:w="5900"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项目使用油漆的有毒、易燃，建设单位应制定相 应的管理制度防范风险；危险废物暂存间内储存 多类危险废物，危险废物暂存间需按照标准要求 进行设置，制定突发环境事件应急措施。</w:t>
                  </w:r>
                </w:p>
              </w:tc>
              <w:tc>
                <w:tcPr>
                  <w:tcW w:w="735" w:type="dxa"/>
                  <w:vMerge w:val="continue"/>
                  <w:vAlign w:val="center"/>
                </w:tcPr>
                <w:p>
                  <w:pPr>
                    <w:pStyle w:val="2"/>
                    <w:spacing w:line="240" w:lineRule="auto"/>
                    <w:jc w:val="center"/>
                    <w:rPr>
                      <w:rFonts w:ascii="Times New Roman" w:hAns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continue"/>
                  <w:vAlign w:val="center"/>
                </w:tcPr>
                <w:p>
                  <w:pPr>
                    <w:snapToGrid w:val="0"/>
                    <w:jc w:val="center"/>
                    <w:rPr>
                      <w:rFonts w:ascii="Times New Roman" w:hAnsi="Times New Roman" w:eastAsia="宋体" w:cs="Times New Roman"/>
                      <w:bCs/>
                      <w:color w:val="auto"/>
                      <w:szCs w:val="21"/>
                    </w:rPr>
                  </w:pPr>
                </w:p>
              </w:tc>
              <w:tc>
                <w:tcPr>
                  <w:tcW w:w="2135"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3、落实排污单位主体责任。</w:t>
                  </w:r>
                </w:p>
              </w:tc>
              <w:tc>
                <w:tcPr>
                  <w:tcW w:w="5900"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严格执行环保法律法规和制度，加强污染治理设施建设和运行管理，开展自行监测，落实治污减 排、环境风险防范等责任。</w:t>
                  </w:r>
                </w:p>
              </w:tc>
              <w:tc>
                <w:tcPr>
                  <w:tcW w:w="735" w:type="dxa"/>
                  <w:vMerge w:val="continue"/>
                  <w:vAlign w:val="center"/>
                </w:tcPr>
                <w:p>
                  <w:pPr>
                    <w:pStyle w:val="2"/>
                    <w:spacing w:line="240" w:lineRule="auto"/>
                    <w:jc w:val="center"/>
                    <w:rPr>
                      <w:rFonts w:ascii="Times New Roman" w:hAnsi="Times New Roman"/>
                      <w:color w:val="auto"/>
                      <w:sz w:val="21"/>
                      <w:szCs w:val="21"/>
                    </w:rPr>
                  </w:pPr>
                </w:p>
              </w:tc>
            </w:tr>
          </w:tbl>
          <w:p>
            <w:pPr>
              <w:keepNext/>
              <w:keepLines/>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sz w:val="24"/>
              </w:rPr>
              <w:t>根据上表分析可知，建设单位主动采取的节能措施、污染治理措施、突发环境事件应急措施与上述文件精神高度配合，即项目建设采取的大气、水污染治理措施符合水污染防治行动计划、大气污染防治行动计划相关内容要求。</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七、施工期环境影响分析</w:t>
            </w:r>
          </w:p>
          <w:p>
            <w:pPr>
              <w:spacing w:line="360" w:lineRule="auto"/>
              <w:ind w:firstLine="480" w:firstLineChars="200"/>
              <w:rPr>
                <w:rFonts w:ascii="Times New Roman" w:hAnsi="Times New Roman" w:eastAsia="宋体" w:cs="Times New Roman"/>
                <w:b/>
                <w:bCs/>
                <w:color w:val="auto"/>
                <w:sz w:val="24"/>
                <w:szCs w:val="32"/>
              </w:rPr>
            </w:pPr>
            <w:r>
              <w:rPr>
                <w:rFonts w:hint="eastAsia" w:ascii="Times New Roman" w:hAnsi="Times New Roman" w:eastAsia="宋体" w:cs="Times New Roman"/>
                <w:color w:val="auto"/>
                <w:sz w:val="24"/>
              </w:rPr>
              <w:t>本项目利用现有厂区作为生产场所，施工期污染已随厂房的建成基本消失。因此本环评不分析施工期环境影响。</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八、运营期环境影响分析</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本项目为汽修项目，项目运营过程中产生一定量的废水、废气、噪声、固废，会对周边环境造成不良的影响。</w:t>
            </w:r>
          </w:p>
          <w:p>
            <w:pPr>
              <w:numPr>
                <w:ilvl w:val="0"/>
                <w:numId w:val="3"/>
              </w:numPr>
              <w:adjustRightInd w:val="0"/>
              <w:snapToGrid w:val="0"/>
              <w:spacing w:line="360" w:lineRule="auto"/>
              <w:ind w:left="420" w:leftChars="200"/>
              <w:rPr>
                <w:rFonts w:ascii="Times New Roman" w:hAnsi="Times New Roman" w:eastAsia="宋体" w:cs="Times New Roman"/>
                <w:b/>
                <w:bCs/>
                <w:color w:val="auto"/>
                <w:sz w:val="24"/>
                <w:szCs w:val="32"/>
              </w:rPr>
            </w:pPr>
            <w:commentRangeStart w:id="2"/>
            <w:r>
              <w:rPr>
                <w:rFonts w:ascii="Times New Roman" w:hAnsi="Times New Roman" w:eastAsia="宋体" w:cs="Times New Roman"/>
                <w:b/>
                <w:bCs/>
                <w:color w:val="auto"/>
                <w:sz w:val="24"/>
                <w:szCs w:val="32"/>
              </w:rPr>
              <w:t>运营期大气环境影响分析</w:t>
            </w:r>
            <w:commentRangeEnd w:id="2"/>
            <w:r>
              <w:rPr>
                <w:color w:val="auto"/>
              </w:rPr>
              <w:commentReference w:id="2"/>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项目运营期产生废气主要为打磨粉尘、喷烤漆房废气、焊接时产生的焊接烟尘、汽车在进出厂和调试过程中排放的汽车尾气。</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（1）评价等级确定</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依据《环境影响评价技术导则-大气环境》(HJ2.2-2018)中5.3节评价等级判定，选择项目污染源正常排放的主要污染物及排放参数，采用附录A推荐模型中的AERSCREEN模式计算项目污染源的最大环境影响，然后按评价工作分级判据进行分级。</w:t>
            </w:r>
          </w:p>
          <w:p>
            <w:pPr>
              <w:spacing w:line="360" w:lineRule="auto"/>
              <w:ind w:firstLine="482" w:firstLineChars="200"/>
              <w:jc w:val="left"/>
              <w:rPr>
                <w:rFonts w:ascii="Times New Roman" w:hAnsi="Times New Roman" w:eastAsia="宋体" w:cs="Times New Roman"/>
                <w:b/>
                <w:color w:val="auto"/>
                <w:sz w:val="24"/>
              </w:rPr>
            </w:pPr>
            <w:r>
              <w:rPr>
                <w:rFonts w:hint="eastAsia" w:ascii="宋体" w:hAnsi="宋体" w:eastAsia="宋体" w:cs="宋体"/>
                <w:b/>
                <w:color w:val="auto"/>
                <w:sz w:val="24"/>
              </w:rPr>
              <w:t>①</w:t>
            </w:r>
            <w:r>
              <w:rPr>
                <w:rFonts w:ascii="Times New Roman" w:hAnsi="Times New Roman" w:eastAsia="宋体" w:cs="Times New Roman"/>
                <w:b/>
                <w:color w:val="auto"/>
                <w:sz w:val="24"/>
              </w:rPr>
              <w:t>评价因子筛选和评价标准确定</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根据项目工程分析结果，本项目排放废气为颗粒物、二甲苯、VOC</w:t>
            </w:r>
            <w:r>
              <w:rPr>
                <w:rFonts w:hint="eastAsia" w:ascii="Times New Roman" w:hAnsi="Times New Roman" w:eastAsia="宋体" w:cs="Times New Roman"/>
                <w:color w:val="auto"/>
                <w:sz w:val="24"/>
              </w:rPr>
              <w:t>s</w:t>
            </w:r>
            <w:r>
              <w:rPr>
                <w:rFonts w:ascii="Times New Roman" w:hAnsi="Times New Roman" w:eastAsia="宋体" w:cs="Times New Roman"/>
                <w:color w:val="auto"/>
                <w:sz w:val="24"/>
              </w:rPr>
              <w:t>，评价因子和评价标准见下表。</w:t>
            </w:r>
          </w:p>
          <w:p>
            <w:pPr>
              <w:ind w:left="50" w:right="105" w:rightChars="50" w:firstLine="361" w:firstLineChars="150"/>
              <w:jc w:val="center"/>
              <w:outlineLvl w:val="0"/>
              <w:rPr>
                <w:rFonts w:ascii="Times New Roman" w:hAnsi="Times New Roman" w:eastAsia="宋体" w:cs="Times New Roman"/>
                <w:b/>
                <w:color w:val="auto"/>
                <w:sz w:val="24"/>
              </w:rPr>
            </w:pPr>
            <w:bookmarkStart w:id="11" w:name="_Toc47258245"/>
            <w:r>
              <w:rPr>
                <w:rFonts w:ascii="Times New Roman" w:hAnsi="Times New Roman" w:eastAsia="宋体" w:cs="Times New Roman"/>
                <w:b/>
                <w:color w:val="auto"/>
                <w:sz w:val="24"/>
              </w:rPr>
              <w:t>表7-3  评价因子和评价标准表</w:t>
            </w:r>
            <w:bookmarkEnd w:id="11"/>
          </w:p>
          <w:tbl>
            <w:tblPr>
              <w:tblStyle w:val="3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534"/>
              <w:gridCol w:w="1534"/>
              <w:gridCol w:w="1721"/>
              <w:gridCol w:w="3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b/>
                      <w:color w:val="auto"/>
                      <w:szCs w:val="21"/>
                    </w:rPr>
                  </w:pPr>
                  <w:bookmarkStart w:id="12" w:name="_Toc47258246"/>
                  <w:r>
                    <w:rPr>
                      <w:rFonts w:ascii="Times New Roman" w:hAnsi="Times New Roman" w:eastAsia="宋体" w:cs="Times New Roman"/>
                      <w:b/>
                      <w:color w:val="auto"/>
                      <w:szCs w:val="21"/>
                    </w:rPr>
                    <w:t>评价因子</w:t>
                  </w:r>
                  <w:bookmarkEnd w:id="12"/>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b/>
                      <w:color w:val="auto"/>
                      <w:szCs w:val="21"/>
                    </w:rPr>
                  </w:pPr>
                  <w:bookmarkStart w:id="13" w:name="_Toc47258247"/>
                  <w:r>
                    <w:rPr>
                      <w:rFonts w:ascii="Times New Roman" w:hAnsi="Times New Roman" w:eastAsia="宋体" w:cs="Times New Roman"/>
                      <w:b/>
                      <w:color w:val="auto"/>
                      <w:szCs w:val="21"/>
                    </w:rPr>
                    <w:t>功能区</w:t>
                  </w:r>
                  <w:bookmarkEnd w:id="13"/>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b/>
                      <w:color w:val="auto"/>
                      <w:szCs w:val="21"/>
                    </w:rPr>
                  </w:pPr>
                  <w:bookmarkStart w:id="14" w:name="_Toc47258248"/>
                  <w:r>
                    <w:rPr>
                      <w:rFonts w:ascii="Times New Roman" w:hAnsi="Times New Roman" w:eastAsia="宋体" w:cs="Times New Roman"/>
                      <w:b/>
                      <w:color w:val="auto"/>
                      <w:szCs w:val="21"/>
                    </w:rPr>
                    <w:t>平均时段</w:t>
                  </w:r>
                  <w:bookmarkEnd w:id="14"/>
                </w:p>
              </w:tc>
              <w:tc>
                <w:tcPr>
                  <w:tcW w:w="1721"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b/>
                      <w:color w:val="auto"/>
                      <w:szCs w:val="21"/>
                    </w:rPr>
                  </w:pPr>
                  <w:bookmarkStart w:id="15" w:name="_Toc47258249"/>
                  <w:r>
                    <w:rPr>
                      <w:rFonts w:ascii="Times New Roman" w:hAnsi="Times New Roman" w:eastAsia="宋体" w:cs="Times New Roman"/>
                      <w:b/>
                      <w:color w:val="auto"/>
                      <w:szCs w:val="21"/>
                    </w:rPr>
                    <w:t>标准值（ug/m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szCs w:val="21"/>
                    </w:rPr>
                    <w:t>）</w:t>
                  </w:r>
                  <w:bookmarkEnd w:id="15"/>
                </w:p>
              </w:tc>
              <w:tc>
                <w:tcPr>
                  <w:tcW w:w="3365"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b/>
                      <w:color w:val="auto"/>
                      <w:szCs w:val="21"/>
                    </w:rPr>
                  </w:pPr>
                  <w:bookmarkStart w:id="16" w:name="_Toc47258250"/>
                  <w:r>
                    <w:rPr>
                      <w:rFonts w:ascii="Times New Roman" w:hAnsi="Times New Roman" w:eastAsia="宋体" w:cs="Times New Roman"/>
                      <w:b/>
                      <w:color w:val="auto"/>
                      <w:szCs w:val="21"/>
                    </w:rPr>
                    <w:t>标准来源</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二类区</w:t>
                  </w:r>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1721"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450</w:t>
                  </w:r>
                </w:p>
              </w:tc>
              <w:tc>
                <w:tcPr>
                  <w:tcW w:w="3365"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GB3095-2012《环境空气质量标准》二级标准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TSP</w:t>
                  </w:r>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二类区</w:t>
                  </w:r>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1721"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900</w:t>
                  </w:r>
                </w:p>
              </w:tc>
              <w:tc>
                <w:tcPr>
                  <w:tcW w:w="3365"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二类区</w:t>
                  </w:r>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1721"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200</w:t>
                  </w:r>
                </w:p>
              </w:tc>
              <w:tc>
                <w:tcPr>
                  <w:tcW w:w="3365"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《环境影响评价技术导则 大气环境》（HJ2.2-2018）附录D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T</w:t>
                  </w:r>
                  <w:r>
                    <w:rPr>
                      <w:rFonts w:ascii="Times New Roman" w:hAnsi="Times New Roman" w:eastAsia="宋体" w:cs="Times New Roman"/>
                      <w:color w:val="auto"/>
                      <w:szCs w:val="21"/>
                    </w:rPr>
                    <w:t>VOC</w:t>
                  </w:r>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bookmarkStart w:id="17" w:name="_Toc47258257"/>
                  <w:r>
                    <w:rPr>
                      <w:rFonts w:ascii="Times New Roman" w:hAnsi="Times New Roman" w:eastAsia="宋体" w:cs="Times New Roman"/>
                      <w:color w:val="auto"/>
                      <w:szCs w:val="21"/>
                    </w:rPr>
                    <w:t>二类区</w:t>
                  </w:r>
                  <w:bookmarkEnd w:id="17"/>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bookmarkStart w:id="18" w:name="_Toc47258258"/>
                  <w:r>
                    <w:rPr>
                      <w:rFonts w:ascii="Times New Roman" w:hAnsi="Times New Roman" w:eastAsia="宋体" w:cs="Times New Roman"/>
                      <w:color w:val="auto"/>
                      <w:szCs w:val="21"/>
                    </w:rPr>
                    <w:t>1小时平均</w:t>
                  </w:r>
                  <w:bookmarkEnd w:id="18"/>
                </w:p>
              </w:tc>
              <w:tc>
                <w:tcPr>
                  <w:tcW w:w="1721"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1200</w:t>
                  </w:r>
                </w:p>
              </w:tc>
              <w:tc>
                <w:tcPr>
                  <w:tcW w:w="3365"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auto"/>
                      <w:szCs w:val="21"/>
                    </w:rPr>
                  </w:pPr>
                </w:p>
              </w:tc>
            </w:tr>
          </w:tbl>
          <w:p>
            <w:pPr>
              <w:pStyle w:val="8"/>
              <w:snapToGrid w:val="0"/>
              <w:ind w:firstLine="422"/>
              <w:rPr>
                <w:color w:val="auto"/>
                <w:sz w:val="21"/>
                <w:szCs w:val="21"/>
              </w:rPr>
            </w:pPr>
            <w:r>
              <w:rPr>
                <w:color w:val="auto"/>
                <w:sz w:val="21"/>
                <w:szCs w:val="21"/>
              </w:rPr>
              <w:t>注：</w:t>
            </w:r>
            <w:r>
              <w:rPr>
                <w:bCs/>
                <w:color w:val="auto"/>
                <w:sz w:val="21"/>
                <w:szCs w:val="21"/>
              </w:rPr>
              <w:t>根据《环境影响评价技术导则 大气环境HJ2.2-2018》对仅有8h平均质量浓度限值、日平均质量浓度限值或年平均质量浓度限值的，可分别按2倍、3倍、6倍折算为1h平均质量浓度限值。</w:t>
            </w:r>
          </w:p>
          <w:p>
            <w:pPr>
              <w:spacing w:line="360" w:lineRule="auto"/>
              <w:ind w:firstLine="482" w:firstLineChars="200"/>
              <w:jc w:val="left"/>
              <w:rPr>
                <w:rFonts w:ascii="Times New Roman" w:hAnsi="Times New Roman" w:eastAsia="宋体" w:cs="Times New Roman"/>
                <w:b/>
                <w:color w:val="auto"/>
                <w:sz w:val="24"/>
              </w:rPr>
            </w:pPr>
            <w:r>
              <w:rPr>
                <w:rFonts w:hint="eastAsia" w:ascii="宋体" w:hAnsi="宋体" w:eastAsia="宋体" w:cs="宋体"/>
                <w:b/>
                <w:color w:val="auto"/>
                <w:sz w:val="24"/>
              </w:rPr>
              <w:t>②</w:t>
            </w:r>
            <w:r>
              <w:rPr>
                <w:rFonts w:ascii="Times New Roman" w:hAnsi="Times New Roman" w:eastAsia="宋体" w:cs="Times New Roman"/>
                <w:b/>
                <w:color w:val="auto"/>
                <w:sz w:val="24"/>
              </w:rPr>
              <w:t>Pmax及D10%的确定</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依据《环境影响评价技术导则大气环境》(HJ2.2-2018)，最大地面空气质量浓度占标率Pi定义如下：</w:t>
            </w:r>
          </w:p>
          <w:p>
            <w:pPr>
              <w:spacing w:line="360" w:lineRule="auto"/>
              <w:ind w:left="51" w:right="105" w:rightChars="50" w:firstLine="360" w:firstLineChars="150"/>
              <w:jc w:val="center"/>
              <w:outlineLvl w:val="0"/>
              <w:rPr>
                <w:rFonts w:ascii="Times New Roman" w:hAnsi="Times New Roman" w:eastAsia="宋体" w:cs="Times New Roman"/>
                <w:color w:val="auto"/>
                <w:sz w:val="24"/>
              </w:rPr>
            </w:pPr>
            <w:bookmarkStart w:id="19" w:name="_Toc47258260"/>
            <w:r>
              <w:rPr>
                <w:rFonts w:ascii="Times New Roman" w:hAnsi="Times New Roman" w:eastAsia="宋体" w:cs="Times New Roman"/>
                <w:color w:val="auto"/>
                <w:sz w:val="24"/>
              </w:rPr>
              <w:drawing>
                <wp:inline distT="0" distB="0" distL="0" distR="0">
                  <wp:extent cx="1019175" cy="390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019175" cy="390525"/>
                          </a:xfrm>
                          <a:prstGeom prst="rect">
                            <a:avLst/>
                          </a:prstGeom>
                          <a:noFill/>
                          <a:ln>
                            <a:noFill/>
                          </a:ln>
                        </pic:spPr>
                      </pic:pic>
                    </a:graphicData>
                  </a:graphic>
                </wp:inline>
              </w:drawing>
            </w:r>
            <w:bookmarkEnd w:id="19"/>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Pi：第i个污染物的最大地面空气质量浓度占标率，%；</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Ci：采用估算模型计算出的第i个污染物的最大1h地面空气质量浓度，μg/m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C0i：第i个污染物的环境空气质量浓度标准，μg/m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w:t>
            </w:r>
          </w:p>
          <w:p>
            <w:pPr>
              <w:spacing w:line="360" w:lineRule="auto"/>
              <w:ind w:firstLine="482" w:firstLineChars="200"/>
              <w:jc w:val="left"/>
              <w:rPr>
                <w:rFonts w:ascii="Times New Roman" w:hAnsi="Times New Roman" w:eastAsia="宋体" w:cs="Times New Roman"/>
                <w:b/>
                <w:color w:val="auto"/>
                <w:sz w:val="24"/>
              </w:rPr>
            </w:pPr>
            <w:r>
              <w:rPr>
                <w:rFonts w:hint="eastAsia" w:ascii="宋体" w:hAnsi="宋体" w:eastAsia="宋体" w:cs="宋体"/>
                <w:b/>
                <w:color w:val="auto"/>
                <w:sz w:val="24"/>
              </w:rPr>
              <w:t>③</w:t>
            </w:r>
            <w:r>
              <w:rPr>
                <w:rFonts w:ascii="Times New Roman" w:hAnsi="Times New Roman" w:eastAsia="宋体" w:cs="Times New Roman"/>
                <w:b/>
                <w:color w:val="auto"/>
                <w:sz w:val="24"/>
              </w:rPr>
              <w:t>评价等级判别表</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评价等级按下表的分级判据进行划分。</w:t>
            </w:r>
          </w:p>
          <w:p>
            <w:pPr>
              <w:ind w:left="50" w:right="105" w:rightChars="50" w:firstLine="361" w:firstLineChars="150"/>
              <w:jc w:val="center"/>
              <w:outlineLvl w:val="0"/>
              <w:rPr>
                <w:rFonts w:ascii="Times New Roman" w:hAnsi="Times New Roman" w:eastAsia="宋体" w:cs="Times New Roman"/>
                <w:b/>
                <w:color w:val="auto"/>
                <w:sz w:val="24"/>
              </w:rPr>
            </w:pPr>
            <w:bookmarkStart w:id="20" w:name="_Toc47258261"/>
            <w:r>
              <w:rPr>
                <w:rFonts w:ascii="Times New Roman" w:hAnsi="Times New Roman" w:eastAsia="宋体" w:cs="Times New Roman"/>
                <w:b/>
                <w:color w:val="auto"/>
                <w:sz w:val="24"/>
              </w:rPr>
              <w:t>表7-4  评价等级判别表</w:t>
            </w:r>
            <w:bookmarkEnd w:id="20"/>
          </w:p>
          <w:tbl>
            <w:tblPr>
              <w:tblStyle w:val="39"/>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3"/>
              <w:gridCol w:w="4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b/>
                      <w:color w:val="auto"/>
                      <w:kern w:val="0"/>
                      <w:szCs w:val="20"/>
                    </w:rPr>
                  </w:pPr>
                  <w:bookmarkStart w:id="21" w:name="_Toc47258262"/>
                  <w:r>
                    <w:rPr>
                      <w:rFonts w:ascii="Times New Roman" w:hAnsi="Times New Roman" w:eastAsia="宋体" w:cs="Times New Roman"/>
                      <w:b/>
                      <w:color w:val="auto"/>
                      <w:kern w:val="0"/>
                      <w:szCs w:val="20"/>
                    </w:rPr>
                    <w:t>评价工作等级</w:t>
                  </w:r>
                  <w:bookmarkEnd w:id="21"/>
                </w:p>
              </w:tc>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b/>
                      <w:color w:val="auto"/>
                      <w:kern w:val="0"/>
                      <w:szCs w:val="20"/>
                    </w:rPr>
                  </w:pPr>
                  <w:bookmarkStart w:id="22" w:name="_Toc47258263"/>
                  <w:r>
                    <w:rPr>
                      <w:rFonts w:ascii="Times New Roman" w:hAnsi="Times New Roman" w:eastAsia="宋体" w:cs="Times New Roman"/>
                      <w:b/>
                      <w:color w:val="auto"/>
                      <w:kern w:val="0"/>
                      <w:szCs w:val="20"/>
                    </w:rPr>
                    <w:t>评价工作分级判据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kern w:val="0"/>
                      <w:szCs w:val="20"/>
                    </w:rPr>
                  </w:pPr>
                  <w:bookmarkStart w:id="23" w:name="_Toc47258264"/>
                  <w:r>
                    <w:rPr>
                      <w:rFonts w:ascii="Times New Roman" w:hAnsi="Times New Roman" w:eastAsia="宋体" w:cs="Times New Roman"/>
                      <w:color w:val="auto"/>
                      <w:kern w:val="0"/>
                      <w:szCs w:val="20"/>
                    </w:rPr>
                    <w:t>一级评价</w:t>
                  </w:r>
                  <w:bookmarkEnd w:id="23"/>
                </w:p>
              </w:tc>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kern w:val="0"/>
                      <w:szCs w:val="20"/>
                    </w:rPr>
                  </w:pPr>
                  <w:bookmarkStart w:id="24" w:name="_Toc47258265"/>
                  <w:r>
                    <w:rPr>
                      <w:rFonts w:ascii="Times New Roman" w:hAnsi="Times New Roman" w:eastAsia="宋体" w:cs="Times New Roman"/>
                      <w:color w:val="auto"/>
                      <w:szCs w:val="20"/>
                    </w:rPr>
                    <w:t>Pmax≥10%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kern w:val="0"/>
                      <w:szCs w:val="20"/>
                    </w:rPr>
                  </w:pPr>
                  <w:bookmarkStart w:id="25" w:name="_Toc47258266"/>
                  <w:r>
                    <w:rPr>
                      <w:rFonts w:ascii="Times New Roman" w:hAnsi="Times New Roman" w:eastAsia="宋体" w:cs="Times New Roman"/>
                      <w:color w:val="auto"/>
                      <w:kern w:val="0"/>
                      <w:szCs w:val="20"/>
                    </w:rPr>
                    <w:t>二级评价</w:t>
                  </w:r>
                  <w:bookmarkEnd w:id="25"/>
                </w:p>
              </w:tc>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kern w:val="0"/>
                      <w:szCs w:val="20"/>
                    </w:rPr>
                  </w:pPr>
                  <w:bookmarkStart w:id="26" w:name="_Toc47258267"/>
                  <w:r>
                    <w:rPr>
                      <w:rFonts w:ascii="Times New Roman" w:hAnsi="Times New Roman" w:eastAsia="宋体" w:cs="Times New Roman"/>
                      <w:color w:val="auto"/>
                      <w:szCs w:val="20"/>
                    </w:rPr>
                    <w:t>1%≤max＜10%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kern w:val="0"/>
                      <w:szCs w:val="20"/>
                    </w:rPr>
                  </w:pPr>
                  <w:bookmarkStart w:id="27" w:name="_Toc47258268"/>
                  <w:r>
                    <w:rPr>
                      <w:rFonts w:ascii="Times New Roman" w:hAnsi="Times New Roman" w:eastAsia="宋体" w:cs="Times New Roman"/>
                      <w:color w:val="auto"/>
                      <w:kern w:val="0"/>
                      <w:szCs w:val="20"/>
                    </w:rPr>
                    <w:t>三级评价</w:t>
                  </w:r>
                  <w:bookmarkEnd w:id="27"/>
                </w:p>
              </w:tc>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kern w:val="0"/>
                      <w:szCs w:val="20"/>
                    </w:rPr>
                  </w:pPr>
                  <w:bookmarkStart w:id="28" w:name="_Toc47258269"/>
                  <w:r>
                    <w:rPr>
                      <w:rFonts w:ascii="Times New Roman" w:hAnsi="Times New Roman" w:eastAsia="宋体" w:cs="Times New Roman"/>
                      <w:color w:val="auto"/>
                      <w:szCs w:val="20"/>
                    </w:rPr>
                    <w:t>Pmax＜1%</w:t>
                  </w:r>
                  <w:bookmarkEnd w:id="28"/>
                </w:p>
              </w:tc>
            </w:tr>
          </w:tbl>
          <w:p>
            <w:pPr>
              <w:spacing w:line="360" w:lineRule="auto"/>
              <w:ind w:firstLine="482" w:firstLineChars="200"/>
              <w:jc w:val="left"/>
              <w:rPr>
                <w:rFonts w:ascii="Times New Roman" w:hAnsi="Times New Roman" w:eastAsia="宋体" w:cs="Times New Roman"/>
                <w:b/>
                <w:color w:val="auto"/>
                <w:sz w:val="24"/>
              </w:rPr>
            </w:pPr>
            <w:r>
              <w:rPr>
                <w:rFonts w:hint="eastAsia" w:ascii="宋体" w:hAnsi="宋体" w:eastAsia="宋体" w:cs="宋体"/>
                <w:b/>
                <w:color w:val="auto"/>
                <w:sz w:val="24"/>
              </w:rPr>
              <w:t>④</w:t>
            </w:r>
            <w:r>
              <w:rPr>
                <w:rFonts w:ascii="Times New Roman" w:hAnsi="Times New Roman" w:eastAsia="宋体" w:cs="Times New Roman"/>
                <w:b/>
                <w:color w:val="auto"/>
                <w:sz w:val="24"/>
              </w:rPr>
              <w:t>估算模型参数</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本项目估算模型参数见下表。</w:t>
            </w:r>
          </w:p>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表7-5  AERSCREEN估算模型参数表</w:t>
            </w:r>
          </w:p>
          <w:tbl>
            <w:tblPr>
              <w:tblStyle w:val="40"/>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2423"/>
              <w:gridCol w:w="4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参数</w:t>
                  </w:r>
                </w:p>
              </w:tc>
              <w:tc>
                <w:tcPr>
                  <w:tcW w:w="4846"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城市/农村</w:t>
                  </w:r>
                </w:p>
              </w:tc>
              <w:tc>
                <w:tcPr>
                  <w:tcW w:w="242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城市/农村</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continue"/>
                  <w:vAlign w:val="center"/>
                </w:tcPr>
                <w:p>
                  <w:pPr>
                    <w:jc w:val="center"/>
                    <w:rPr>
                      <w:rFonts w:ascii="Times New Roman" w:hAnsi="Times New Roman" w:eastAsia="宋体" w:cs="Times New Roman"/>
                      <w:b/>
                      <w:color w:val="auto"/>
                      <w:szCs w:val="21"/>
                    </w:rPr>
                  </w:pPr>
                </w:p>
              </w:tc>
              <w:tc>
                <w:tcPr>
                  <w:tcW w:w="242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人口数（城市选项时）</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最高环境温度/℃</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最低环境温度/℃</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土地使用类型</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区域湿度条件</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潮湿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是否考虑地形</w:t>
                  </w:r>
                </w:p>
              </w:tc>
              <w:tc>
                <w:tcPr>
                  <w:tcW w:w="242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考虑地形</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continue"/>
                  <w:vAlign w:val="center"/>
                </w:tcPr>
                <w:p>
                  <w:pPr>
                    <w:jc w:val="center"/>
                    <w:rPr>
                      <w:rFonts w:ascii="Times New Roman" w:hAnsi="Times New Roman" w:eastAsia="宋体" w:cs="Times New Roman"/>
                      <w:b/>
                      <w:color w:val="auto"/>
                      <w:szCs w:val="21"/>
                    </w:rPr>
                  </w:pPr>
                </w:p>
              </w:tc>
              <w:tc>
                <w:tcPr>
                  <w:tcW w:w="242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地形数据分辨率/m</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是否考虑岸线熏烟</w:t>
                  </w:r>
                </w:p>
              </w:tc>
              <w:tc>
                <w:tcPr>
                  <w:tcW w:w="242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考虑岸线熏烟</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continue"/>
                  <w:vAlign w:val="center"/>
                </w:tcPr>
                <w:p>
                  <w:pPr>
                    <w:jc w:val="center"/>
                    <w:rPr>
                      <w:rFonts w:ascii="Times New Roman" w:hAnsi="Times New Roman" w:eastAsia="宋体" w:cs="Times New Roman"/>
                      <w:b/>
                      <w:color w:val="auto"/>
                      <w:szCs w:val="21"/>
                    </w:rPr>
                  </w:pPr>
                </w:p>
              </w:tc>
              <w:tc>
                <w:tcPr>
                  <w:tcW w:w="242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岸线距离/km</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continue"/>
                  <w:vAlign w:val="center"/>
                </w:tcPr>
                <w:p>
                  <w:pPr>
                    <w:jc w:val="center"/>
                    <w:rPr>
                      <w:rFonts w:ascii="Times New Roman" w:hAnsi="Times New Roman" w:eastAsia="宋体" w:cs="Times New Roman"/>
                      <w:b/>
                      <w:color w:val="auto"/>
                      <w:szCs w:val="21"/>
                    </w:rPr>
                  </w:pPr>
                </w:p>
              </w:tc>
              <w:tc>
                <w:tcPr>
                  <w:tcW w:w="242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岸线方向/°</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0"/>
                    </w:rPr>
                    <w:t>/</w:t>
                  </w:r>
                </w:p>
              </w:tc>
            </w:tr>
          </w:tbl>
          <w:p>
            <w:pPr>
              <w:spacing w:line="360" w:lineRule="auto"/>
              <w:ind w:firstLine="482" w:firstLineChars="200"/>
              <w:rPr>
                <w:rFonts w:ascii="Times New Roman" w:hAnsi="Times New Roman" w:eastAsia="宋体" w:cs="Times New Roman"/>
                <w:b/>
                <w:bCs/>
                <w:color w:val="auto"/>
                <w:sz w:val="24"/>
              </w:rPr>
            </w:pPr>
            <w:r>
              <w:rPr>
                <w:rFonts w:hint="eastAsia" w:ascii="宋体" w:hAnsi="宋体" w:eastAsia="宋体" w:cs="宋体"/>
                <w:b/>
                <w:bCs/>
                <w:color w:val="auto"/>
                <w:sz w:val="24"/>
              </w:rPr>
              <w:t>⑤</w:t>
            </w:r>
            <w:r>
              <w:rPr>
                <w:rFonts w:ascii="Times New Roman" w:hAnsi="Times New Roman" w:eastAsia="宋体" w:cs="Times New Roman"/>
                <w:b/>
                <w:bCs/>
                <w:color w:val="auto"/>
                <w:sz w:val="24"/>
              </w:rPr>
              <w:t>污染源参数</w:t>
            </w:r>
          </w:p>
          <w:p>
            <w:pPr>
              <w:pStyle w:val="13"/>
              <w:spacing w:after="0"/>
              <w:jc w:val="center"/>
              <w:rPr>
                <w:color w:val="auto"/>
              </w:rPr>
            </w:pPr>
            <w:r>
              <w:rPr>
                <w:b/>
                <w:bCs/>
                <w:color w:val="auto"/>
                <w:sz w:val="24"/>
              </w:rPr>
              <w:t>表7-6  污染源参数表</w:t>
            </w:r>
          </w:p>
          <w:tbl>
            <w:tblPr>
              <w:tblStyle w:val="39"/>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384"/>
              <w:gridCol w:w="1397"/>
              <w:gridCol w:w="928"/>
              <w:gridCol w:w="1080"/>
              <w:gridCol w:w="950"/>
              <w:gridCol w:w="1109"/>
              <w:gridCol w:w="665"/>
              <w:gridCol w:w="681"/>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污染源</w:t>
                  </w:r>
                </w:p>
              </w:tc>
              <w:tc>
                <w:tcPr>
                  <w:tcW w:w="27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排气筒底部中心坐标(°)</w:t>
                  </w:r>
                </w:p>
              </w:tc>
              <w:tc>
                <w:tcPr>
                  <w:tcW w:w="928"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排气量</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(Nm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szCs w:val="21"/>
                    </w:rPr>
                    <w:t>/h)</w:t>
                  </w:r>
                </w:p>
              </w:tc>
              <w:tc>
                <w:tcPr>
                  <w:tcW w:w="108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污染物名称</w:t>
                  </w:r>
                </w:p>
              </w:tc>
              <w:tc>
                <w:tcPr>
                  <w:tcW w:w="95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质量标准mg/m</w:t>
                  </w:r>
                  <w:r>
                    <w:rPr>
                      <w:rFonts w:ascii="Times New Roman" w:hAnsi="Times New Roman" w:eastAsia="宋体" w:cs="Times New Roman"/>
                      <w:b/>
                      <w:color w:val="auto"/>
                      <w:szCs w:val="21"/>
                      <w:vertAlign w:val="superscript"/>
                    </w:rPr>
                    <w:t>3</w:t>
                  </w:r>
                </w:p>
              </w:tc>
              <w:tc>
                <w:tcPr>
                  <w:tcW w:w="1109"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排放速率(kg/h)</w:t>
                  </w:r>
                </w:p>
              </w:tc>
              <w:tc>
                <w:tcPr>
                  <w:tcW w:w="1346" w:type="dxa"/>
                  <w:gridSpan w:val="2"/>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排气筒参数</w:t>
                  </w:r>
                </w:p>
              </w:tc>
              <w:tc>
                <w:tcPr>
                  <w:tcW w:w="65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烟气温度</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经度</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纬度</w:t>
                  </w:r>
                </w:p>
              </w:tc>
              <w:tc>
                <w:tcPr>
                  <w:tcW w:w="928"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08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95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109"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665" w:type="dxa"/>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高 度</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(m)</w:t>
                  </w:r>
                </w:p>
              </w:tc>
              <w:tc>
                <w:tcPr>
                  <w:tcW w:w="681" w:type="dxa"/>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内 径</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(m)</w:t>
                  </w:r>
                </w:p>
              </w:tc>
              <w:tc>
                <w:tcPr>
                  <w:tcW w:w="656"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restart"/>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喷喷烤漆房排气筒</w:t>
                  </w:r>
                </w:p>
              </w:tc>
              <w:tc>
                <w:tcPr>
                  <w:tcW w:w="138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98°34'5.15"</w:t>
                  </w:r>
                </w:p>
              </w:tc>
              <w:tc>
                <w:tcPr>
                  <w:tcW w:w="1397"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24°26'33.26"</w:t>
                  </w:r>
                </w:p>
              </w:tc>
              <w:tc>
                <w:tcPr>
                  <w:tcW w:w="928" w:type="dxa"/>
                  <w:vMerge w:val="restart"/>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6000</w:t>
                  </w:r>
                </w:p>
              </w:tc>
              <w:tc>
                <w:tcPr>
                  <w:tcW w:w="108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二甲苯</w:t>
                  </w:r>
                </w:p>
              </w:tc>
              <w:tc>
                <w:tcPr>
                  <w:tcW w:w="95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0.2</w:t>
                  </w:r>
                </w:p>
              </w:tc>
              <w:tc>
                <w:tcPr>
                  <w:tcW w:w="1109" w:type="dxa"/>
                  <w:tcBorders>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0.0125</w:t>
                  </w:r>
                </w:p>
              </w:tc>
              <w:tc>
                <w:tcPr>
                  <w:tcW w:w="665"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681"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w:t>
                  </w:r>
                </w:p>
              </w:tc>
              <w:tc>
                <w:tcPr>
                  <w:tcW w:w="656"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84"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9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928"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08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rPr>
                    <w:t>VOCs</w:t>
                  </w:r>
                </w:p>
              </w:tc>
              <w:tc>
                <w:tcPr>
                  <w:tcW w:w="95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1109" w:type="dxa"/>
                  <w:tcBorders>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0.0383</w:t>
                  </w:r>
                </w:p>
              </w:tc>
              <w:tc>
                <w:tcPr>
                  <w:tcW w:w="665"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681"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w:t>
                  </w:r>
                </w:p>
              </w:tc>
              <w:tc>
                <w:tcPr>
                  <w:tcW w:w="656"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84"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97"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928"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08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颗粒物（</w:t>
                  </w: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r>
                    <w:rPr>
                      <w:rFonts w:hint="eastAsia" w:ascii="Times New Roman" w:hAnsi="Times New Roman" w:eastAsia="宋体" w:cs="Times New Roman"/>
                      <w:color w:val="auto"/>
                      <w:szCs w:val="21"/>
                    </w:rPr>
                    <w:t>）</w:t>
                  </w:r>
                </w:p>
              </w:tc>
              <w:tc>
                <w:tcPr>
                  <w:tcW w:w="95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0.45</w:t>
                  </w:r>
                </w:p>
              </w:tc>
              <w:tc>
                <w:tcPr>
                  <w:tcW w:w="1109" w:type="dxa"/>
                  <w:tcBorders>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0.0108</w:t>
                  </w:r>
                </w:p>
              </w:tc>
              <w:tc>
                <w:tcPr>
                  <w:tcW w:w="665"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681"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w:t>
                  </w:r>
                </w:p>
              </w:tc>
              <w:tc>
                <w:tcPr>
                  <w:tcW w:w="656"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污染源</w:t>
                  </w:r>
                </w:p>
              </w:tc>
              <w:tc>
                <w:tcPr>
                  <w:tcW w:w="27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地块中心坐标(°)</w:t>
                  </w:r>
                </w:p>
              </w:tc>
              <w:tc>
                <w:tcPr>
                  <w:tcW w:w="928"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排放方式</w:t>
                  </w:r>
                </w:p>
              </w:tc>
              <w:tc>
                <w:tcPr>
                  <w:tcW w:w="108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污染物名称</w:t>
                  </w:r>
                </w:p>
              </w:tc>
              <w:tc>
                <w:tcPr>
                  <w:tcW w:w="95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质量标准mg/m</w:t>
                  </w:r>
                  <w:r>
                    <w:rPr>
                      <w:rFonts w:ascii="Times New Roman" w:hAnsi="Times New Roman" w:eastAsia="宋体" w:cs="Times New Roman"/>
                      <w:b/>
                      <w:color w:val="auto"/>
                      <w:szCs w:val="21"/>
                      <w:vertAlign w:val="superscript"/>
                    </w:rPr>
                    <w:t>3</w:t>
                  </w:r>
                </w:p>
              </w:tc>
              <w:tc>
                <w:tcPr>
                  <w:tcW w:w="1109"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排放速 率</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(kg/h)</w:t>
                  </w:r>
                </w:p>
              </w:tc>
              <w:tc>
                <w:tcPr>
                  <w:tcW w:w="2002" w:type="dxa"/>
                  <w:gridSpan w:val="3"/>
                  <w:tcBorders>
                    <w:top w:val="single" w:color="auto" w:sz="4" w:space="0"/>
                    <w:left w:val="single" w:color="auto" w:sz="4" w:space="0"/>
                    <w:right w:val="single" w:color="auto" w:sz="4" w:space="0"/>
                  </w:tcBorders>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面源参数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经度</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纬度</w:t>
                  </w:r>
                </w:p>
              </w:tc>
              <w:tc>
                <w:tcPr>
                  <w:tcW w:w="928"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08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95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109"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665" w:type="dxa"/>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长(m)</w:t>
                  </w:r>
                </w:p>
              </w:tc>
              <w:tc>
                <w:tcPr>
                  <w:tcW w:w="681" w:type="dxa"/>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宽(m)</w:t>
                  </w:r>
                </w:p>
              </w:tc>
              <w:tc>
                <w:tcPr>
                  <w:tcW w:w="656" w:type="dxa"/>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高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restart"/>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喷漆区</w:t>
                  </w:r>
                </w:p>
              </w:tc>
              <w:tc>
                <w:tcPr>
                  <w:tcW w:w="138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98°34'5.15"</w:t>
                  </w:r>
                </w:p>
              </w:tc>
              <w:tc>
                <w:tcPr>
                  <w:tcW w:w="1397"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24°26'33.26"</w:t>
                  </w:r>
                </w:p>
              </w:tc>
              <w:tc>
                <w:tcPr>
                  <w:tcW w:w="928"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080" w:type="dxa"/>
                  <w:tcBorders>
                    <w:left w:val="single" w:color="auto" w:sz="4" w:space="0"/>
                    <w:right w:val="single" w:color="auto" w:sz="4" w:space="0"/>
                  </w:tcBorders>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二甲苯</w:t>
                  </w:r>
                </w:p>
              </w:tc>
              <w:tc>
                <w:tcPr>
                  <w:tcW w:w="950"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0.2</w:t>
                  </w:r>
                </w:p>
              </w:tc>
              <w:tc>
                <w:tcPr>
                  <w:tcW w:w="1109"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0.0025</w:t>
                  </w:r>
                </w:p>
              </w:tc>
              <w:tc>
                <w:tcPr>
                  <w:tcW w:w="66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42</w:t>
                  </w:r>
                </w:p>
              </w:tc>
              <w:tc>
                <w:tcPr>
                  <w:tcW w:w="681"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w:t>
                  </w:r>
                </w:p>
              </w:tc>
              <w:tc>
                <w:tcPr>
                  <w:tcW w:w="656"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84"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9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928"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080" w:type="dxa"/>
                  <w:tcBorders>
                    <w:left w:val="single" w:color="auto" w:sz="4" w:space="0"/>
                    <w:right w:val="single" w:color="auto" w:sz="4" w:space="0"/>
                  </w:tcBorders>
                  <w:vAlign w:val="center"/>
                </w:tcPr>
                <w:p>
                  <w:pPr>
                    <w:tabs>
                      <w:tab w:val="left" w:pos="506"/>
                    </w:tabs>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VOCs</w:t>
                  </w:r>
                </w:p>
              </w:tc>
              <w:tc>
                <w:tcPr>
                  <w:tcW w:w="950"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1109"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0.0078</w:t>
                  </w:r>
                </w:p>
              </w:tc>
              <w:tc>
                <w:tcPr>
                  <w:tcW w:w="66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42</w:t>
                  </w:r>
                </w:p>
              </w:tc>
              <w:tc>
                <w:tcPr>
                  <w:tcW w:w="681"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w:t>
                  </w:r>
                </w:p>
              </w:tc>
              <w:tc>
                <w:tcPr>
                  <w:tcW w:w="656"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84"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97"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928"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080" w:type="dxa"/>
                  <w:tcBorders>
                    <w:left w:val="single" w:color="auto" w:sz="4" w:space="0"/>
                    <w:right w:val="single" w:color="auto" w:sz="4" w:space="0"/>
                  </w:tcBorders>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颗粒物（</w:t>
                  </w:r>
                  <w:r>
                    <w:rPr>
                      <w:rFonts w:ascii="Times New Roman" w:hAnsi="Times New Roman" w:eastAsia="宋体" w:cs="Times New Roman"/>
                      <w:color w:val="auto"/>
                      <w:kern w:val="0"/>
                      <w:szCs w:val="21"/>
                    </w:rPr>
                    <w:t>TSP</w:t>
                  </w:r>
                  <w:r>
                    <w:rPr>
                      <w:rFonts w:hint="eastAsia" w:ascii="Times New Roman" w:hAnsi="Times New Roman" w:eastAsia="宋体" w:cs="Times New Roman"/>
                      <w:color w:val="auto"/>
                      <w:kern w:val="0"/>
                      <w:szCs w:val="21"/>
                    </w:rPr>
                    <w:t>）</w:t>
                  </w:r>
                </w:p>
              </w:tc>
              <w:tc>
                <w:tcPr>
                  <w:tcW w:w="950"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0.9</w:t>
                  </w:r>
                </w:p>
              </w:tc>
              <w:tc>
                <w:tcPr>
                  <w:tcW w:w="1109"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0.0022</w:t>
                  </w:r>
                </w:p>
              </w:tc>
              <w:tc>
                <w:tcPr>
                  <w:tcW w:w="66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42</w:t>
                  </w:r>
                </w:p>
              </w:tc>
              <w:tc>
                <w:tcPr>
                  <w:tcW w:w="681"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w:t>
                  </w:r>
                </w:p>
              </w:tc>
              <w:tc>
                <w:tcPr>
                  <w:tcW w:w="656"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打磨</w:t>
                  </w:r>
                </w:p>
              </w:tc>
              <w:tc>
                <w:tcPr>
                  <w:tcW w:w="1384"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98°34'5.01"</w:t>
                  </w:r>
                </w:p>
              </w:tc>
              <w:tc>
                <w:tcPr>
                  <w:tcW w:w="1397"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24°26'33.33"</w:t>
                  </w:r>
                </w:p>
              </w:tc>
              <w:tc>
                <w:tcPr>
                  <w:tcW w:w="928"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080"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rPr>
                    <w:t>颗粒物（</w:t>
                  </w:r>
                  <w:r>
                    <w:rPr>
                      <w:rFonts w:ascii="Times New Roman" w:hAnsi="Times New Roman" w:eastAsia="宋体" w:cs="Times New Roman"/>
                      <w:color w:val="auto"/>
                      <w:kern w:val="0"/>
                      <w:szCs w:val="21"/>
                    </w:rPr>
                    <w:t>TSP</w:t>
                  </w:r>
                  <w:r>
                    <w:rPr>
                      <w:rFonts w:hint="eastAsia" w:ascii="Times New Roman" w:hAnsi="Times New Roman" w:eastAsia="宋体" w:cs="Times New Roman"/>
                      <w:color w:val="auto"/>
                      <w:kern w:val="0"/>
                      <w:szCs w:val="21"/>
                    </w:rPr>
                    <w:t>）</w:t>
                  </w:r>
                </w:p>
              </w:tc>
              <w:tc>
                <w:tcPr>
                  <w:tcW w:w="950"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0.9</w:t>
                  </w:r>
                </w:p>
              </w:tc>
              <w:tc>
                <w:tcPr>
                  <w:tcW w:w="1109"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0.0038</w:t>
                  </w:r>
                </w:p>
              </w:tc>
              <w:tc>
                <w:tcPr>
                  <w:tcW w:w="66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42</w:t>
                  </w:r>
                </w:p>
              </w:tc>
              <w:tc>
                <w:tcPr>
                  <w:tcW w:w="681"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w:t>
                  </w:r>
                </w:p>
              </w:tc>
              <w:tc>
                <w:tcPr>
                  <w:tcW w:w="656"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焊接</w:t>
                  </w:r>
                </w:p>
              </w:tc>
              <w:tc>
                <w:tcPr>
                  <w:tcW w:w="1384"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98°34'5.27"</w:t>
                  </w:r>
                </w:p>
              </w:tc>
              <w:tc>
                <w:tcPr>
                  <w:tcW w:w="1397"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24°26'33.60"</w:t>
                  </w:r>
                </w:p>
              </w:tc>
              <w:tc>
                <w:tcPr>
                  <w:tcW w:w="928"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08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rPr>
                    <w:t>颗粒物（</w:t>
                  </w:r>
                  <w:r>
                    <w:rPr>
                      <w:rFonts w:ascii="Times New Roman" w:hAnsi="Times New Roman" w:eastAsia="宋体" w:cs="Times New Roman"/>
                      <w:color w:val="auto"/>
                      <w:kern w:val="0"/>
                      <w:szCs w:val="21"/>
                    </w:rPr>
                    <w:t>TSP</w:t>
                  </w:r>
                  <w:r>
                    <w:rPr>
                      <w:rFonts w:hint="eastAsia" w:ascii="Times New Roman" w:hAnsi="Times New Roman" w:eastAsia="宋体" w:cs="Times New Roman"/>
                      <w:color w:val="auto"/>
                      <w:kern w:val="0"/>
                      <w:szCs w:val="21"/>
                    </w:rPr>
                    <w:t>）</w:t>
                  </w:r>
                </w:p>
              </w:tc>
              <w:tc>
                <w:tcPr>
                  <w:tcW w:w="95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0.9</w:t>
                  </w:r>
                </w:p>
              </w:tc>
              <w:tc>
                <w:tcPr>
                  <w:tcW w:w="1109"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0.0000067</w:t>
                  </w:r>
                </w:p>
              </w:tc>
              <w:tc>
                <w:tcPr>
                  <w:tcW w:w="665"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42</w:t>
                  </w:r>
                </w:p>
              </w:tc>
              <w:tc>
                <w:tcPr>
                  <w:tcW w:w="681"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w:t>
                  </w:r>
                </w:p>
              </w:tc>
              <w:tc>
                <w:tcPr>
                  <w:tcW w:w="656"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bl>
          <w:p>
            <w:pPr>
              <w:spacing w:line="360" w:lineRule="auto"/>
              <w:ind w:firstLine="482" w:firstLineChars="200"/>
              <w:rPr>
                <w:rFonts w:ascii="Times New Roman" w:hAnsi="Times New Roman" w:eastAsia="宋体" w:cs="Times New Roman"/>
                <w:b/>
                <w:color w:val="auto"/>
                <w:sz w:val="24"/>
              </w:rPr>
            </w:pPr>
            <w:r>
              <w:rPr>
                <w:rFonts w:hint="eastAsia" w:ascii="宋体" w:hAnsi="宋体" w:eastAsia="宋体" w:cs="宋体"/>
                <w:b/>
                <w:color w:val="auto"/>
                <w:sz w:val="24"/>
              </w:rPr>
              <w:t>⑥</w:t>
            </w:r>
            <w:r>
              <w:rPr>
                <w:rFonts w:ascii="Times New Roman" w:hAnsi="Times New Roman" w:eastAsia="宋体" w:cs="Times New Roman"/>
                <w:b/>
                <w:color w:val="auto"/>
                <w:sz w:val="24"/>
              </w:rPr>
              <w:t>评价等级判定</w:t>
            </w:r>
          </w:p>
          <w:p>
            <w:pPr>
              <w:spacing w:line="360" w:lineRule="auto"/>
              <w:ind w:firstLine="480" w:firstLineChars="200"/>
              <w:outlineLvl w:val="0"/>
              <w:rPr>
                <w:rFonts w:ascii="Times New Roman" w:hAnsi="Times New Roman" w:eastAsia="宋体" w:cs="Times New Roman"/>
                <w:color w:val="auto"/>
                <w:kern w:val="0"/>
                <w:sz w:val="24"/>
              </w:rPr>
            </w:pPr>
            <w:bookmarkStart w:id="29" w:name="_Toc47258270"/>
            <w:r>
              <w:rPr>
                <w:rFonts w:ascii="Times New Roman" w:hAnsi="Times New Roman" w:eastAsia="宋体" w:cs="Times New Roman"/>
                <w:color w:val="auto"/>
                <w:kern w:val="0"/>
                <w:sz w:val="24"/>
              </w:rPr>
              <w:t>根据《环境影响评价技术导则大气环境》（HJ2.2-2018）中推荐的AERSCREEN模型进行分析判定，本项目污染源正常排放的污染物Pmax和D10%预测结果见下表：</w:t>
            </w:r>
            <w:bookmarkEnd w:id="29"/>
          </w:p>
          <w:p>
            <w:pPr>
              <w:ind w:left="50" w:right="105" w:rightChars="50" w:firstLine="482"/>
              <w:jc w:val="center"/>
              <w:outlineLvl w:val="0"/>
              <w:rPr>
                <w:rFonts w:ascii="Times New Roman" w:hAnsi="Times New Roman" w:eastAsia="宋体" w:cs="Times New Roman"/>
                <w:b/>
                <w:color w:val="auto"/>
                <w:sz w:val="24"/>
              </w:rPr>
            </w:pPr>
            <w:bookmarkStart w:id="30" w:name="_Toc47258271"/>
            <w:r>
              <w:rPr>
                <w:rFonts w:ascii="Times New Roman" w:hAnsi="Times New Roman" w:eastAsia="宋体" w:cs="Times New Roman"/>
                <w:b/>
                <w:color w:val="auto"/>
                <w:sz w:val="24"/>
              </w:rPr>
              <w:t>表7-7  Pmax和D10%预测和计算结果一览表</w:t>
            </w:r>
            <w:bookmarkEnd w:id="30"/>
          </w:p>
          <w:tbl>
            <w:tblPr>
              <w:tblStyle w:val="39"/>
              <w:tblW w:w="96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8"/>
              <w:gridCol w:w="1741"/>
              <w:gridCol w:w="1460"/>
              <w:gridCol w:w="1778"/>
              <w:gridCol w:w="1745"/>
              <w:gridCol w:w="1277"/>
              <w:gridCol w:w="116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3" w:hRule="atLeast"/>
              </w:trPr>
              <w:tc>
                <w:tcPr>
                  <w:tcW w:w="2249"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污染源名称</w:t>
                  </w:r>
                </w:p>
              </w:tc>
              <w:tc>
                <w:tcPr>
                  <w:tcW w:w="1460"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评价因子</w:t>
                  </w:r>
                </w:p>
              </w:tc>
              <w:tc>
                <w:tcPr>
                  <w:tcW w:w="1778"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评价标准(μg/m³)</w:t>
                  </w:r>
                </w:p>
              </w:tc>
              <w:tc>
                <w:tcPr>
                  <w:tcW w:w="1745"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Cmax(μg/m³)</w:t>
                  </w:r>
                </w:p>
              </w:tc>
              <w:tc>
                <w:tcPr>
                  <w:tcW w:w="1277"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Pmax(%)</w:t>
                  </w:r>
                </w:p>
              </w:tc>
              <w:tc>
                <w:tcPr>
                  <w:tcW w:w="116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D10%(m)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有组织</w:t>
                  </w:r>
                </w:p>
              </w:tc>
              <w:tc>
                <w:tcPr>
                  <w:tcW w:w="1741"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喷喷烤漆房排气筒</w:t>
                  </w:r>
                </w:p>
              </w:tc>
              <w:tc>
                <w:tcPr>
                  <w:tcW w:w="1460"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二甲苯</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200</w:t>
                  </w:r>
                </w:p>
              </w:tc>
              <w:tc>
                <w:tcPr>
                  <w:tcW w:w="174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1.4913</w:t>
                  </w:r>
                </w:p>
              </w:tc>
              <w:tc>
                <w:tcPr>
                  <w:tcW w:w="127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0.75</w:t>
                  </w:r>
                </w:p>
              </w:tc>
              <w:tc>
                <w:tcPr>
                  <w:tcW w:w="1163" w:type="dxa"/>
                  <w:vAlign w:val="center"/>
                </w:tcPr>
                <w:p>
                  <w:pPr>
                    <w:jc w:val="center"/>
                    <w:rPr>
                      <w:rFonts w:ascii="Times New Roman" w:hAnsi="Times New Roman"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continue"/>
                  <w:vAlign w:val="center"/>
                </w:tcPr>
                <w:p>
                  <w:pPr>
                    <w:jc w:val="center"/>
                    <w:rPr>
                      <w:rFonts w:ascii="Times New Roman" w:hAnsi="Times New Roman" w:eastAsia="宋体" w:cs="Times New Roman"/>
                      <w:color w:val="auto"/>
                      <w:szCs w:val="21"/>
                    </w:rPr>
                  </w:pPr>
                </w:p>
              </w:tc>
              <w:tc>
                <w:tcPr>
                  <w:tcW w:w="1741" w:type="dxa"/>
                  <w:vMerge w:val="continue"/>
                  <w:vAlign w:val="center"/>
                </w:tcPr>
                <w:p>
                  <w:pPr>
                    <w:jc w:val="center"/>
                    <w:rPr>
                      <w:rFonts w:ascii="Times New Roman" w:hAnsi="Times New Roman" w:eastAsia="宋体" w:cs="Times New Roman"/>
                      <w:color w:val="auto"/>
                      <w:szCs w:val="21"/>
                    </w:rPr>
                  </w:pPr>
                </w:p>
              </w:tc>
              <w:tc>
                <w:tcPr>
                  <w:tcW w:w="146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rPr>
                    <w:t>VOCs</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1200</w:t>
                  </w:r>
                </w:p>
              </w:tc>
              <w:tc>
                <w:tcPr>
                  <w:tcW w:w="174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4.57</w:t>
                  </w:r>
                </w:p>
              </w:tc>
              <w:tc>
                <w:tcPr>
                  <w:tcW w:w="127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0.38</w:t>
                  </w:r>
                </w:p>
              </w:tc>
              <w:tc>
                <w:tcPr>
                  <w:tcW w:w="11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continue"/>
                  <w:vAlign w:val="center"/>
                </w:tcPr>
                <w:p>
                  <w:pPr>
                    <w:jc w:val="center"/>
                    <w:rPr>
                      <w:rFonts w:ascii="Times New Roman" w:hAnsi="Times New Roman" w:eastAsia="宋体" w:cs="Times New Roman"/>
                      <w:color w:val="auto"/>
                      <w:szCs w:val="21"/>
                    </w:rPr>
                  </w:pPr>
                </w:p>
              </w:tc>
              <w:tc>
                <w:tcPr>
                  <w:tcW w:w="1741" w:type="dxa"/>
                  <w:vMerge w:val="continue"/>
                  <w:vAlign w:val="center"/>
                </w:tcPr>
                <w:p>
                  <w:pPr>
                    <w:jc w:val="center"/>
                    <w:rPr>
                      <w:rFonts w:ascii="Times New Roman" w:hAnsi="Times New Roman" w:eastAsia="宋体" w:cs="Times New Roman"/>
                      <w:color w:val="auto"/>
                      <w:szCs w:val="21"/>
                    </w:rPr>
                  </w:pPr>
                </w:p>
              </w:tc>
              <w:tc>
                <w:tcPr>
                  <w:tcW w:w="1460" w:type="dxa"/>
                  <w:vAlign w:val="center"/>
                </w:tcPr>
                <w:p>
                  <w:pPr>
                    <w:tabs>
                      <w:tab w:val="left" w:pos="506"/>
                    </w:tabs>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颗粒物（</w:t>
                  </w: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r>
                    <w:rPr>
                      <w:rFonts w:hint="eastAsia" w:ascii="Times New Roman" w:hAnsi="Times New Roman" w:eastAsia="宋体" w:cs="Times New Roman"/>
                      <w:color w:val="auto"/>
                      <w:szCs w:val="21"/>
                    </w:rPr>
                    <w:t>）</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450</w:t>
                  </w:r>
                </w:p>
              </w:tc>
              <w:tc>
                <w:tcPr>
                  <w:tcW w:w="174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1.2885</w:t>
                  </w:r>
                </w:p>
              </w:tc>
              <w:tc>
                <w:tcPr>
                  <w:tcW w:w="127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0.29</w:t>
                  </w:r>
                </w:p>
              </w:tc>
              <w:tc>
                <w:tcPr>
                  <w:tcW w:w="11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741"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喷漆区</w:t>
                  </w:r>
                </w:p>
              </w:tc>
              <w:tc>
                <w:tcPr>
                  <w:tcW w:w="1460"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二甲苯</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200</w:t>
                  </w:r>
                </w:p>
              </w:tc>
              <w:tc>
                <w:tcPr>
                  <w:tcW w:w="174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1.9211</w:t>
                  </w:r>
                </w:p>
              </w:tc>
              <w:tc>
                <w:tcPr>
                  <w:tcW w:w="127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0.96</w:t>
                  </w:r>
                </w:p>
              </w:tc>
              <w:tc>
                <w:tcPr>
                  <w:tcW w:w="1163" w:type="dxa"/>
                  <w:vAlign w:val="center"/>
                </w:tcPr>
                <w:p>
                  <w:pPr>
                    <w:jc w:val="center"/>
                    <w:rPr>
                      <w:rFonts w:ascii="Times New Roman" w:hAnsi="Times New Roman"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continue"/>
                  <w:vAlign w:val="center"/>
                </w:tcPr>
                <w:p>
                  <w:pPr>
                    <w:jc w:val="center"/>
                    <w:rPr>
                      <w:rFonts w:ascii="Times New Roman" w:hAnsi="Times New Roman" w:eastAsia="宋体" w:cs="Times New Roman"/>
                      <w:color w:val="auto"/>
                      <w:szCs w:val="21"/>
                    </w:rPr>
                  </w:pPr>
                </w:p>
              </w:tc>
              <w:tc>
                <w:tcPr>
                  <w:tcW w:w="1741" w:type="dxa"/>
                  <w:vMerge w:val="continue"/>
                  <w:vAlign w:val="center"/>
                </w:tcPr>
                <w:p>
                  <w:pPr>
                    <w:jc w:val="center"/>
                    <w:rPr>
                      <w:rFonts w:ascii="Times New Roman" w:hAnsi="Times New Roman" w:eastAsia="宋体" w:cs="Times New Roman"/>
                      <w:color w:val="auto"/>
                      <w:szCs w:val="21"/>
                    </w:rPr>
                  </w:pPr>
                </w:p>
              </w:tc>
              <w:tc>
                <w:tcPr>
                  <w:tcW w:w="1460"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1200</w:t>
                  </w:r>
                </w:p>
              </w:tc>
              <w:tc>
                <w:tcPr>
                  <w:tcW w:w="174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7.4917</w:t>
                  </w:r>
                </w:p>
              </w:tc>
              <w:tc>
                <w:tcPr>
                  <w:tcW w:w="127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0.62</w:t>
                  </w:r>
                </w:p>
              </w:tc>
              <w:tc>
                <w:tcPr>
                  <w:tcW w:w="11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continue"/>
                  <w:vAlign w:val="center"/>
                </w:tcPr>
                <w:p>
                  <w:pPr>
                    <w:jc w:val="center"/>
                    <w:rPr>
                      <w:rFonts w:ascii="Times New Roman" w:hAnsi="Times New Roman" w:eastAsia="宋体" w:cs="Times New Roman"/>
                      <w:color w:val="auto"/>
                      <w:szCs w:val="21"/>
                    </w:rPr>
                  </w:pPr>
                </w:p>
              </w:tc>
              <w:tc>
                <w:tcPr>
                  <w:tcW w:w="1741" w:type="dxa"/>
                  <w:vMerge w:val="continue"/>
                  <w:vAlign w:val="center"/>
                </w:tcPr>
                <w:p>
                  <w:pPr>
                    <w:jc w:val="center"/>
                    <w:rPr>
                      <w:rFonts w:ascii="Times New Roman" w:hAnsi="Times New Roman" w:eastAsia="宋体" w:cs="Times New Roman"/>
                      <w:color w:val="auto"/>
                    </w:rPr>
                  </w:pPr>
                </w:p>
              </w:tc>
              <w:tc>
                <w:tcPr>
                  <w:tcW w:w="1460"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颗粒物（</w:t>
                  </w:r>
                  <w:r>
                    <w:rPr>
                      <w:rFonts w:ascii="Times New Roman" w:hAnsi="Times New Roman" w:eastAsia="宋体" w:cs="Times New Roman"/>
                      <w:color w:val="auto"/>
                      <w:kern w:val="0"/>
                      <w:szCs w:val="21"/>
                    </w:rPr>
                    <w:t>TSP</w:t>
                  </w:r>
                  <w:r>
                    <w:rPr>
                      <w:rFonts w:hint="eastAsia" w:ascii="Times New Roman" w:hAnsi="Times New Roman" w:eastAsia="宋体" w:cs="Times New Roman"/>
                      <w:color w:val="auto"/>
                      <w:kern w:val="0"/>
                      <w:szCs w:val="21"/>
                    </w:rPr>
                    <w:t>）</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900</w:t>
                  </w:r>
                </w:p>
              </w:tc>
              <w:tc>
                <w:tcPr>
                  <w:tcW w:w="174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2.1134</w:t>
                  </w:r>
                </w:p>
              </w:tc>
              <w:tc>
                <w:tcPr>
                  <w:tcW w:w="127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0.23</w:t>
                  </w:r>
                </w:p>
              </w:tc>
              <w:tc>
                <w:tcPr>
                  <w:tcW w:w="11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continue"/>
                  <w:vAlign w:val="center"/>
                </w:tcPr>
                <w:p>
                  <w:pPr>
                    <w:jc w:val="center"/>
                    <w:rPr>
                      <w:rFonts w:ascii="Times New Roman" w:hAnsi="Times New Roman" w:eastAsia="宋体" w:cs="Times New Roman"/>
                      <w:color w:val="auto"/>
                      <w:szCs w:val="21"/>
                    </w:rPr>
                  </w:pPr>
                </w:p>
              </w:tc>
              <w:tc>
                <w:tcPr>
                  <w:tcW w:w="174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打磨粉尘</w:t>
                  </w:r>
                </w:p>
              </w:tc>
              <w:tc>
                <w:tcPr>
                  <w:tcW w:w="146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rPr>
                    <w:t>颗粒物（</w:t>
                  </w:r>
                  <w:r>
                    <w:rPr>
                      <w:rFonts w:ascii="Times New Roman" w:hAnsi="Times New Roman" w:eastAsia="宋体" w:cs="Times New Roman"/>
                      <w:color w:val="auto"/>
                      <w:kern w:val="0"/>
                      <w:szCs w:val="21"/>
                    </w:rPr>
                    <w:t>TSP</w:t>
                  </w:r>
                  <w:r>
                    <w:rPr>
                      <w:rFonts w:hint="eastAsia" w:ascii="Times New Roman" w:hAnsi="Times New Roman" w:eastAsia="宋体" w:cs="Times New Roman"/>
                      <w:color w:val="auto"/>
                      <w:kern w:val="0"/>
                      <w:szCs w:val="21"/>
                    </w:rPr>
                    <w:t>）</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900</w:t>
                  </w:r>
                </w:p>
              </w:tc>
              <w:tc>
                <w:tcPr>
                  <w:tcW w:w="174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3.65</w:t>
                  </w:r>
                </w:p>
              </w:tc>
              <w:tc>
                <w:tcPr>
                  <w:tcW w:w="127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0.41</w:t>
                  </w:r>
                </w:p>
              </w:tc>
              <w:tc>
                <w:tcPr>
                  <w:tcW w:w="11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continue"/>
                  <w:vAlign w:val="center"/>
                </w:tcPr>
                <w:p>
                  <w:pPr>
                    <w:jc w:val="center"/>
                    <w:rPr>
                      <w:rFonts w:ascii="Times New Roman" w:hAnsi="Times New Roman" w:eastAsia="宋体" w:cs="Times New Roman"/>
                      <w:color w:val="auto"/>
                      <w:szCs w:val="21"/>
                    </w:rPr>
                  </w:pPr>
                </w:p>
              </w:tc>
              <w:tc>
                <w:tcPr>
                  <w:tcW w:w="174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焊接烟尘</w:t>
                  </w:r>
                </w:p>
              </w:tc>
              <w:tc>
                <w:tcPr>
                  <w:tcW w:w="146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rPr>
                    <w:t>颗粒物（</w:t>
                  </w:r>
                  <w:r>
                    <w:rPr>
                      <w:rFonts w:ascii="Times New Roman" w:hAnsi="Times New Roman" w:eastAsia="宋体" w:cs="Times New Roman"/>
                      <w:color w:val="auto"/>
                      <w:kern w:val="0"/>
                      <w:szCs w:val="21"/>
                    </w:rPr>
                    <w:t>TSP</w:t>
                  </w:r>
                  <w:r>
                    <w:rPr>
                      <w:rFonts w:hint="eastAsia" w:ascii="Times New Roman" w:hAnsi="Times New Roman" w:eastAsia="宋体" w:cs="Times New Roman"/>
                      <w:color w:val="auto"/>
                      <w:kern w:val="0"/>
                      <w:szCs w:val="21"/>
                    </w:rPr>
                    <w:t>）</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900</w:t>
                  </w:r>
                </w:p>
              </w:tc>
              <w:tc>
                <w:tcPr>
                  <w:tcW w:w="174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0.006434</w:t>
                  </w:r>
                </w:p>
              </w:tc>
              <w:tc>
                <w:tcPr>
                  <w:tcW w:w="127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c>
                <w:tcPr>
                  <w:tcW w:w="11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bl>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本项目Pmax最大值出现为面源排放的二甲苯，Pmax值为0.96%，Cmax为1.9211ug/m³，根据《环境影响评价技术导则 大气环境》（HJ2.2-2018）分级判据，确定本项目大气环境影响评价工作等级为</w:t>
            </w:r>
            <w:bookmarkStart w:id="31" w:name="_Toc47258272"/>
            <w:r>
              <w:rPr>
                <w:rFonts w:ascii="Times New Roman" w:hAnsi="Times New Roman" w:eastAsia="宋体" w:cs="Times New Roman"/>
                <w:color w:val="auto"/>
                <w:sz w:val="24"/>
              </w:rPr>
              <w:t>三级。</w:t>
            </w:r>
          </w:p>
          <w:p>
            <w:pPr>
              <w:spacing w:line="360" w:lineRule="auto"/>
              <w:ind w:firstLine="480" w:firstLineChars="200"/>
              <w:rPr>
                <w:rFonts w:ascii="Times New Roman" w:hAnsi="Times New Roman" w:eastAsia="宋体" w:cs="Times New Roman"/>
                <w:b/>
                <w:color w:val="auto"/>
                <w:sz w:val="24"/>
              </w:rPr>
            </w:pPr>
            <w:r>
              <w:rPr>
                <w:rFonts w:ascii="Times New Roman" w:hAnsi="Times New Roman" w:eastAsia="宋体" w:cs="Times New Roman"/>
                <w:color w:val="auto"/>
                <w:kern w:val="0"/>
                <w:sz w:val="24"/>
              </w:rPr>
              <w:t>根据《环境影响评价技术导则-大气环境》（HJ2.2-2018）中对大气环境影响预测与评价的要求，项目大气评价等级为三级，三级评价不需要进行进一步预测与评价</w:t>
            </w:r>
            <w:bookmarkEnd w:id="31"/>
            <w:r>
              <w:rPr>
                <w:rFonts w:ascii="Times New Roman" w:hAnsi="Times New Roman" w:eastAsia="宋体" w:cs="Times New Roman"/>
                <w:color w:val="auto"/>
                <w:kern w:val="0"/>
                <w:sz w:val="24"/>
              </w:rPr>
              <w:t>。</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（2）估算模式预测结果</w:t>
            </w:r>
          </w:p>
          <w:p>
            <w:pPr>
              <w:spacing w:line="360" w:lineRule="auto"/>
              <w:ind w:firstLine="482" w:firstLineChars="200"/>
              <w:rPr>
                <w:rFonts w:ascii="Times New Roman" w:hAnsi="Times New Roman" w:eastAsia="宋体" w:cs="Times New Roman"/>
                <w:b/>
                <w:color w:val="auto"/>
                <w:sz w:val="24"/>
              </w:rPr>
            </w:pPr>
            <w:r>
              <w:rPr>
                <w:rFonts w:hint="eastAsia" w:ascii="宋体" w:hAnsi="宋体" w:eastAsia="宋体" w:cs="宋体"/>
                <w:b/>
                <w:color w:val="auto"/>
                <w:sz w:val="24"/>
              </w:rPr>
              <w:t>①</w:t>
            </w:r>
            <w:r>
              <w:rPr>
                <w:rFonts w:ascii="Times New Roman" w:hAnsi="Times New Roman" w:eastAsia="宋体" w:cs="Times New Roman"/>
                <w:b/>
                <w:color w:val="auto"/>
                <w:sz w:val="24"/>
              </w:rPr>
              <w:t>有组织废气预测结果</w:t>
            </w:r>
          </w:p>
          <w:p>
            <w:pPr>
              <w:pStyle w:val="2"/>
              <w:spacing w:line="240" w:lineRule="auto"/>
              <w:jc w:val="center"/>
              <w:rPr>
                <w:rFonts w:ascii="Times New Roman" w:hAnsi="Times New Roman"/>
                <w:color w:val="auto"/>
                <w:sz w:val="24"/>
                <w:szCs w:val="24"/>
              </w:rPr>
            </w:pPr>
            <w:r>
              <w:rPr>
                <w:rFonts w:ascii="Times New Roman" w:hAnsi="Times New Roman"/>
                <w:b/>
                <w:color w:val="auto"/>
                <w:sz w:val="24"/>
                <w:szCs w:val="24"/>
              </w:rPr>
              <w:t>表7-8  项目喷喷烤漆房有组织废气预测结果一览表</w:t>
            </w:r>
          </w:p>
          <w:tbl>
            <w:tblPr>
              <w:tblStyle w:val="3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06"/>
              <w:gridCol w:w="1406"/>
              <w:gridCol w:w="1406"/>
              <w:gridCol w:w="1406"/>
              <w:gridCol w:w="1406"/>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下风向距离</w:t>
                  </w:r>
                </w:p>
              </w:tc>
              <w:tc>
                <w:tcPr>
                  <w:tcW w:w="2812"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二甲苯</w:t>
                  </w:r>
                </w:p>
              </w:tc>
              <w:tc>
                <w:tcPr>
                  <w:tcW w:w="2812"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VOC</w:t>
                  </w:r>
                  <w:r>
                    <w:rPr>
                      <w:rFonts w:hint="eastAsia" w:ascii="Times New Roman" w:hAnsi="Times New Roman" w:eastAsia="宋体" w:cs="Times New Roman"/>
                      <w:b/>
                      <w:color w:val="auto"/>
                      <w:szCs w:val="21"/>
                    </w:rPr>
                    <w:t>s</w:t>
                  </w:r>
                </w:p>
              </w:tc>
              <w:tc>
                <w:tcPr>
                  <w:tcW w:w="2810" w:type="dxa"/>
                  <w:gridSpan w:val="2"/>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颗粒物（</w:t>
                  </w:r>
                  <w:r>
                    <w:rPr>
                      <w:rFonts w:ascii="Times New Roman" w:hAnsi="Times New Roman" w:eastAsia="宋体" w:cs="Times New Roman"/>
                      <w:b/>
                      <w:color w:val="auto"/>
                      <w:szCs w:val="21"/>
                    </w:rPr>
                    <w:t>PM</w:t>
                  </w:r>
                  <w:r>
                    <w:rPr>
                      <w:rFonts w:ascii="Times New Roman" w:hAnsi="Times New Roman" w:eastAsia="宋体" w:cs="Times New Roman"/>
                      <w:b/>
                      <w:color w:val="auto"/>
                      <w:szCs w:val="21"/>
                      <w:vertAlign w:val="subscript"/>
                    </w:rPr>
                    <w:t>10</w:t>
                  </w:r>
                  <w:r>
                    <w:rPr>
                      <w:rFonts w:hint="eastAsia" w:ascii="Times New Roman" w:hAnsi="Times New Roman" w:eastAsia="宋体" w:cs="Times New Roman"/>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Merge w:val="continue"/>
                  <w:vAlign w:val="center"/>
                </w:tcPr>
                <w:p>
                  <w:pPr>
                    <w:jc w:val="center"/>
                    <w:rPr>
                      <w:rFonts w:ascii="Times New Roman" w:hAnsi="Times New Roman" w:eastAsia="宋体" w:cs="Times New Roman"/>
                      <w:color w:val="auto"/>
                      <w:szCs w:val="21"/>
                    </w:rPr>
                  </w:pP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二甲苯占标率（%）</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r>
                    <w:rPr>
                      <w:rFonts w:ascii="Times New Roman" w:hAnsi="Times New Roman" w:eastAsia="宋体" w:cs="Times New Roman"/>
                      <w:color w:val="auto"/>
                      <w:szCs w:val="21"/>
                    </w:rPr>
                    <w:t>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r>
                    <w:rPr>
                      <w:rFonts w:ascii="Times New Roman" w:hAnsi="Times New Roman" w:eastAsia="宋体" w:cs="Times New Roman"/>
                      <w:color w:val="auto"/>
                      <w:szCs w:val="21"/>
                    </w:rPr>
                    <w:t>占标率（%）</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r>
                    <w:rPr>
                      <w:rFonts w:ascii="Times New Roman" w:hAnsi="Times New Roman" w:eastAsia="宋体" w:cs="Times New Roman"/>
                      <w:color w:val="auto"/>
                      <w:szCs w:val="21"/>
                    </w:rPr>
                    <w:t>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40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r>
                    <w:rPr>
                      <w:rFonts w:ascii="Times New Roman" w:hAnsi="Times New Roman" w:eastAsia="宋体" w:cs="Times New Roman"/>
                      <w:color w:val="auto"/>
                      <w:szCs w:val="21"/>
                    </w:rP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0.69135</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0.35</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2.1186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0.59736</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1.2535</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3.8415</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0.32</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1.0831</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0.54866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0.27</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1.6814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0.47408</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0.78786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0.39</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2.4144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0.68076</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0.76883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2.4144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0.66431</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0.67112</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2.0566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0.17</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0.57988</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0.67112</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0.29</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1.7939</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0.15</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0.50579</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0.5185</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1.5889</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0.44801</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0.46068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1.4118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0.12</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0.39805</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0.41144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0.21</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1.2609</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0.35551</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0.36966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1.1328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0.09</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0.31941</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0.31184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0.95565</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0.26945</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0.28041</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0.85933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0.07</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0.24229</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1600.0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0.25222</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0.77293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0.21793</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1800.0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0.22999</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0.7048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0.19872</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0.211</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0.64661</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0.18231</w:t>
                  </w:r>
                </w:p>
              </w:tc>
              <w:tc>
                <w:tcPr>
                  <w:tcW w:w="140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0.17195</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0.09</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0.52694</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0.14857</w:t>
                  </w:r>
                </w:p>
              </w:tc>
              <w:tc>
                <w:tcPr>
                  <w:tcW w:w="140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1.4913</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0.75</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4.57</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0.38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1.2885</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下风向最大浓度出现距离（m）</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70</w:t>
                  </w:r>
                </w:p>
              </w:tc>
              <w:tc>
                <w:tcPr>
                  <w:tcW w:w="1404" w:type="dxa"/>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D10%最远距离</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0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bl>
          <w:p>
            <w:pPr>
              <w:spacing w:line="540" w:lineRule="exact"/>
              <w:ind w:right="105" w:rightChars="50" w:firstLine="482"/>
              <w:rPr>
                <w:rFonts w:ascii="Times New Roman" w:hAnsi="Times New Roman" w:eastAsia="宋体" w:cs="Times New Roman"/>
                <w:b/>
                <w:color w:val="auto"/>
                <w:sz w:val="24"/>
              </w:rPr>
            </w:pPr>
            <w:r>
              <w:rPr>
                <w:rFonts w:hint="eastAsia" w:ascii="宋体" w:hAnsi="宋体" w:eastAsia="宋体" w:cs="宋体"/>
                <w:b/>
                <w:color w:val="auto"/>
                <w:sz w:val="24"/>
              </w:rPr>
              <w:t>②</w:t>
            </w:r>
            <w:r>
              <w:rPr>
                <w:rFonts w:ascii="Times New Roman" w:hAnsi="Times New Roman" w:eastAsia="宋体" w:cs="Times New Roman"/>
                <w:b/>
                <w:color w:val="auto"/>
                <w:sz w:val="24"/>
              </w:rPr>
              <w:t>无组织废气预测结果</w:t>
            </w:r>
          </w:p>
          <w:p>
            <w:pPr>
              <w:pStyle w:val="2"/>
              <w:spacing w:line="240" w:lineRule="auto"/>
              <w:jc w:val="center"/>
              <w:rPr>
                <w:rFonts w:ascii="Times New Roman" w:hAnsi="Times New Roman"/>
                <w:color w:val="auto"/>
                <w:sz w:val="24"/>
                <w:szCs w:val="24"/>
              </w:rPr>
            </w:pPr>
            <w:r>
              <w:rPr>
                <w:rFonts w:ascii="Times New Roman" w:hAnsi="Times New Roman"/>
                <w:b/>
                <w:color w:val="auto"/>
                <w:sz w:val="24"/>
                <w:szCs w:val="24"/>
              </w:rPr>
              <w:t>表7-9  喷漆区无组织废气预测结果一览表</w:t>
            </w:r>
          </w:p>
          <w:tbl>
            <w:tblPr>
              <w:tblStyle w:val="3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472"/>
              <w:gridCol w:w="1373"/>
              <w:gridCol w:w="1472"/>
              <w:gridCol w:w="1369"/>
              <w:gridCol w:w="1472"/>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下风向距离</w:t>
                  </w:r>
                </w:p>
              </w:tc>
              <w:tc>
                <w:tcPr>
                  <w:tcW w:w="2845"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二甲苯</w:t>
                  </w:r>
                </w:p>
              </w:tc>
              <w:tc>
                <w:tcPr>
                  <w:tcW w:w="2841"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VOC</w:t>
                  </w:r>
                  <w:r>
                    <w:rPr>
                      <w:rFonts w:hint="eastAsia" w:ascii="Times New Roman" w:hAnsi="Times New Roman" w:eastAsia="宋体" w:cs="Times New Roman"/>
                      <w:b/>
                      <w:color w:val="auto"/>
                      <w:szCs w:val="21"/>
                    </w:rPr>
                    <w:t>s</w:t>
                  </w:r>
                </w:p>
              </w:tc>
              <w:tc>
                <w:tcPr>
                  <w:tcW w:w="2839" w:type="dxa"/>
                  <w:gridSpan w:val="2"/>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颗粒物（</w:t>
                  </w:r>
                  <w:r>
                    <w:rPr>
                      <w:rFonts w:ascii="Times New Roman" w:hAnsi="Times New Roman" w:eastAsia="宋体" w:cs="Times New Roman"/>
                      <w:b/>
                      <w:color w:val="auto"/>
                      <w:szCs w:val="21"/>
                    </w:rPr>
                    <w:t>TSP</w:t>
                  </w:r>
                  <w:r>
                    <w:rPr>
                      <w:rFonts w:hint="eastAsia" w:ascii="Times New Roman" w:hAnsi="Times New Roman" w:eastAsia="宋体" w:cs="Times New Roman"/>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Merge w:val="continue"/>
                  <w:vAlign w:val="center"/>
                </w:tcPr>
                <w:p>
                  <w:pPr>
                    <w:jc w:val="center"/>
                    <w:rPr>
                      <w:rFonts w:ascii="Times New Roman" w:hAnsi="Times New Roman" w:eastAsia="宋体" w:cs="Times New Roman"/>
                      <w:color w:val="auto"/>
                      <w:szCs w:val="21"/>
                    </w:rPr>
                  </w:pP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3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二甲苯占标率（%）</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r>
                    <w:rPr>
                      <w:rFonts w:ascii="Times New Roman" w:hAnsi="Times New Roman" w:eastAsia="宋体" w:cs="Times New Roman"/>
                      <w:color w:val="auto"/>
                      <w:szCs w:val="21"/>
                    </w:rPr>
                    <w:t>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3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r>
                    <w:rPr>
                      <w:rFonts w:ascii="Times New Roman" w:hAnsi="Times New Roman" w:eastAsia="宋体" w:cs="Times New Roman"/>
                      <w:color w:val="auto"/>
                      <w:szCs w:val="21"/>
                    </w:rPr>
                    <w:t>占标率（%）</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TSP浓度（ug/m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TSP占标率（%）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1.4817</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0.74</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5.7783</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0.48</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1.63</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1.012</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0.51</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3.9467</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1.1133</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0.69652</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2.7162</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0.76622</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0.52528</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2.0484</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0.57784</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0.42803</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0.21</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1.6692</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0.14</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0.47086</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0.35705</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0.18</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1.3924</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0.39278</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0.30318</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1.1823</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0.33352</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0.26152</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1.0198</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0.08</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0.28769</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0.22862</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0.89157</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0.2515</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0.20264</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0.79022</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0.22291</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0.18089</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0.09</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0.7054</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0.19899</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0.14769</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0.57595</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0.16247</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0.12376</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0.48262</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0.13614</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1600.0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0.10583</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0.41269</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0.11642</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1800.0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0.091969</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0.35865</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0.10117</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0.080991</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0.31584</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0.089095</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0.061615</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0.24028</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0.067781</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1.9211</w:t>
                  </w:r>
                </w:p>
              </w:tc>
              <w:tc>
                <w:tcPr>
                  <w:tcW w:w="13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0.96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7.4917</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2.1134</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下风向最大浓度出现距离（m）</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c>
                <w:tcPr>
                  <w:tcW w:w="13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c>
                <w:tcPr>
                  <w:tcW w:w="13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25</w:t>
                  </w:r>
                </w:p>
              </w:tc>
              <w:tc>
                <w:tcPr>
                  <w:tcW w:w="1367" w:type="dxa"/>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D10%最远距离</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3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3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bl>
          <w:p>
            <w:pPr>
              <w:autoSpaceDE w:val="0"/>
              <w:autoSpaceDN w:val="0"/>
              <w:adjustRightInd w:val="0"/>
              <w:spacing w:before="156" w:beforeLines="5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表7-10  打磨粉尘、焊接烟尘无组织预测结果</w:t>
            </w:r>
          </w:p>
          <w:tbl>
            <w:tblPr>
              <w:tblStyle w:val="39"/>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1783"/>
              <w:gridCol w:w="1785"/>
              <w:gridCol w:w="1783"/>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下风向距离</w:t>
                  </w:r>
                </w:p>
              </w:tc>
              <w:tc>
                <w:tcPr>
                  <w:tcW w:w="3568"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打磨粉尘</w:t>
                  </w:r>
                </w:p>
              </w:tc>
              <w:tc>
                <w:tcPr>
                  <w:tcW w:w="3566"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焊接烟尘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Merge w:val="continue"/>
                  <w:vAlign w:val="center"/>
                </w:tcPr>
                <w:p>
                  <w:pPr>
                    <w:jc w:val="center"/>
                    <w:rPr>
                      <w:rFonts w:ascii="Times New Roman" w:hAnsi="Times New Roman" w:eastAsia="宋体" w:cs="Times New Roman"/>
                      <w:color w:val="auto"/>
                      <w:szCs w:val="21"/>
                    </w:rPr>
                  </w:pP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TSP浓度(ug/m³)</w:t>
                  </w:r>
                </w:p>
              </w:tc>
              <w:tc>
                <w:tcPr>
                  <w:tcW w:w="178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TSP占标率(%)</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TSP浓度(ug/m³)</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TSP占标率(%)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2.8152</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0.31</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0.004962</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1.9228</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0.21</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0.003389</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1.3233</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0.15</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0.002333</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1.3233</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0.001759</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0.81323</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0.09</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0.001434</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0.67837</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0.08</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0.001196</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0.57602</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0.001015</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0.49686</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0.000876</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0.43437</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0.000766</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0.38499</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0.000679</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0.34367</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0.000606</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0.2806</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0.000495</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0.23513</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0.000414</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1600.0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0.20106</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0.000354</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1800.0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0.17473</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0.000308</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0.15388</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0.000271</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0.11706</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0.01</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0.000206</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3.65</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0.41</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0.006434</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下风向最大浓度出现距离</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c>
                <w:tcPr>
                  <w:tcW w:w="178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D10%最远距离</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78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bl>
          <w:p>
            <w:pPr>
              <w:spacing w:before="156" w:beforeLines="50" w:line="360" w:lineRule="auto"/>
              <w:ind w:firstLine="482" w:firstLineChars="200"/>
              <w:rPr>
                <w:rFonts w:ascii="Times New Roman" w:hAnsi="Times New Roman" w:eastAsia="宋体" w:cs="Times New Roman"/>
                <w:b/>
                <w:color w:val="auto"/>
                <w:sz w:val="24"/>
              </w:rPr>
            </w:pPr>
            <w:r>
              <w:rPr>
                <w:rFonts w:hint="eastAsia" w:ascii="宋体" w:hAnsi="宋体" w:eastAsia="宋体" w:cs="宋体"/>
                <w:b/>
                <w:color w:val="auto"/>
                <w:sz w:val="24"/>
              </w:rPr>
              <w:t>③</w:t>
            </w:r>
            <w:r>
              <w:rPr>
                <w:rFonts w:ascii="Times New Roman" w:hAnsi="Times New Roman" w:eastAsia="宋体" w:cs="Times New Roman"/>
                <w:b/>
                <w:color w:val="auto"/>
                <w:sz w:val="24"/>
              </w:rPr>
              <w:t>厂界达标分析</w:t>
            </w:r>
          </w:p>
          <w:p>
            <w:pPr>
              <w:pStyle w:val="38"/>
              <w:spacing w:after="0" w:line="360" w:lineRule="auto"/>
              <w:ind w:left="0" w:leftChars="0" w:firstLine="480"/>
              <w:rPr>
                <w:bCs/>
                <w:color w:val="auto"/>
                <w:sz w:val="24"/>
              </w:rPr>
            </w:pPr>
            <w:r>
              <w:rPr>
                <w:bCs/>
                <w:color w:val="auto"/>
                <w:sz w:val="24"/>
              </w:rPr>
              <w:t>将无组织排放废气与有组织排放废气的厂界处落地浓度进行叠加，厂界浓度最大值如下表所示。</w:t>
            </w:r>
          </w:p>
          <w:p>
            <w:pPr>
              <w:adjustRightInd w:val="0"/>
              <w:snapToGrid w:val="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表7-11  厂界浓度预测值</w:t>
            </w:r>
          </w:p>
          <w:tbl>
            <w:tblPr>
              <w:tblStyle w:val="39"/>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34"/>
              <w:gridCol w:w="2263"/>
              <w:gridCol w:w="1984"/>
              <w:gridCol w:w="184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关心点</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污染物</w:t>
                  </w: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预测贡献值（ug/m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预测值（ug/m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szCs w:val="21"/>
                    </w:rPr>
                    <w:t>）</w:t>
                  </w:r>
                </w:p>
              </w:tc>
              <w:tc>
                <w:tcPr>
                  <w:tcW w:w="1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标准（ug/m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szCs w:val="21"/>
                    </w:rPr>
                    <w:t>）</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3.4124</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3.4124</w:t>
                  </w:r>
                </w:p>
              </w:tc>
              <w:tc>
                <w:tcPr>
                  <w:tcW w:w="1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12.0617</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12.0617</w:t>
                  </w:r>
                </w:p>
              </w:tc>
              <w:tc>
                <w:tcPr>
                  <w:tcW w:w="1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颗粒物</w:t>
                  </w: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3.408334</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3.408334</w:t>
                  </w:r>
                </w:p>
              </w:tc>
              <w:tc>
                <w:tcPr>
                  <w:tcW w:w="1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bl>
          <w:p>
            <w:pPr>
              <w:pStyle w:val="38"/>
              <w:spacing w:after="0" w:line="360" w:lineRule="auto"/>
              <w:ind w:left="0" w:leftChars="0" w:firstLine="480"/>
              <w:rPr>
                <w:bCs/>
                <w:color w:val="auto"/>
                <w:sz w:val="24"/>
              </w:rPr>
            </w:pPr>
            <w:r>
              <w:rPr>
                <w:bCs/>
                <w:color w:val="auto"/>
                <w:sz w:val="24"/>
              </w:rPr>
              <w:t>根据上表，厂界预测点甲苯、二甲苯、VOC</w:t>
            </w:r>
            <w:r>
              <w:rPr>
                <w:rFonts w:hint="eastAsia"/>
                <w:bCs/>
                <w:color w:val="auto"/>
                <w:sz w:val="24"/>
              </w:rPr>
              <w:t>s</w:t>
            </w:r>
            <w:r>
              <w:rPr>
                <w:bCs/>
                <w:color w:val="auto"/>
                <w:sz w:val="24"/>
              </w:rPr>
              <w:t>均能达到《环境影响评价技术导则 大气环境》HJ2.2-2018附录D其他污染物空气质量浓度参考限值，TSP达到GB3095-2012《环境空气质量标准》二级标准。</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非正常工况预测结果</w:t>
            </w:r>
          </w:p>
          <w:p>
            <w:pPr>
              <w:pStyle w:val="38"/>
              <w:spacing w:after="0" w:line="360" w:lineRule="auto"/>
              <w:ind w:left="0" w:leftChars="0" w:firstLine="480"/>
              <w:rPr>
                <w:bCs/>
                <w:color w:val="auto"/>
                <w:sz w:val="24"/>
              </w:rPr>
            </w:pPr>
            <w:r>
              <w:rPr>
                <w:bCs/>
                <w:color w:val="auto"/>
                <w:sz w:val="24"/>
              </w:rPr>
              <w:t>项目运营过程中非正常工况主要为项目喷喷烤漆房配套的“过滤棉+活性炭+UV 光氧催化系统”故障或过滤棉和活性炭失效时，会导致漆雾颗粒和有机废气的净化效率下降，非正常工况处理设施效率按 50%计。项目运营过程中喷烤漆房非正常排放污染源参数见表7-11。</w:t>
            </w:r>
          </w:p>
          <w:p>
            <w:pPr>
              <w:pStyle w:val="37"/>
              <w:spacing w:after="0" w:line="240" w:lineRule="auto"/>
              <w:ind w:firstLine="0" w:firstLineChars="0"/>
              <w:jc w:val="center"/>
              <w:rPr>
                <w:b/>
                <w:color w:val="auto"/>
              </w:rPr>
            </w:pPr>
            <w:r>
              <w:rPr>
                <w:b/>
                <w:color w:val="auto"/>
              </w:rPr>
              <w:t>表7-12  喷烤漆房非正常排放污染源参数一览表</w:t>
            </w:r>
          </w:p>
          <w:tbl>
            <w:tblPr>
              <w:tblStyle w:val="39"/>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14"/>
              <w:gridCol w:w="1317"/>
              <w:gridCol w:w="928"/>
              <w:gridCol w:w="681"/>
              <w:gridCol w:w="1080"/>
              <w:gridCol w:w="865"/>
              <w:gridCol w:w="813"/>
              <w:gridCol w:w="608"/>
              <w:gridCol w:w="625"/>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5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污染源</w:t>
                  </w:r>
                </w:p>
              </w:tc>
              <w:tc>
                <w:tcPr>
                  <w:tcW w:w="27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排气筒底部中心坐标(°)</w:t>
                  </w:r>
                </w:p>
              </w:tc>
              <w:tc>
                <w:tcPr>
                  <w:tcW w:w="928"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排气量(Nm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szCs w:val="21"/>
                    </w:rPr>
                    <w:t>/h)</w:t>
                  </w:r>
                </w:p>
              </w:tc>
              <w:tc>
                <w:tcPr>
                  <w:tcW w:w="68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效率</w:t>
                  </w:r>
                </w:p>
              </w:tc>
              <w:tc>
                <w:tcPr>
                  <w:tcW w:w="108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污染物名称</w:t>
                  </w:r>
                </w:p>
              </w:tc>
              <w:tc>
                <w:tcPr>
                  <w:tcW w:w="86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质量标准mg/m</w:t>
                  </w:r>
                  <w:r>
                    <w:rPr>
                      <w:rFonts w:ascii="Times New Roman" w:hAnsi="Times New Roman" w:eastAsia="宋体" w:cs="Times New Roman"/>
                      <w:b/>
                      <w:color w:val="auto"/>
                      <w:szCs w:val="21"/>
                      <w:vertAlign w:val="superscript"/>
                    </w:rPr>
                    <w:t>3</w:t>
                  </w:r>
                </w:p>
              </w:tc>
              <w:tc>
                <w:tcPr>
                  <w:tcW w:w="81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排放速率(kg/h)</w:t>
                  </w:r>
                </w:p>
              </w:tc>
              <w:tc>
                <w:tcPr>
                  <w:tcW w:w="1233" w:type="dxa"/>
                  <w:gridSpan w:val="2"/>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排气筒参数</w:t>
                  </w:r>
                </w:p>
              </w:tc>
              <w:tc>
                <w:tcPr>
                  <w:tcW w:w="602"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烟气温度</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5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经度</w:t>
                  </w:r>
                </w:p>
              </w:tc>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纬度</w:t>
                  </w:r>
                </w:p>
              </w:tc>
              <w:tc>
                <w:tcPr>
                  <w:tcW w:w="928"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681"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08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865"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813"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608" w:type="dxa"/>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高 度</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(m)</w:t>
                  </w:r>
                </w:p>
              </w:tc>
              <w:tc>
                <w:tcPr>
                  <w:tcW w:w="625" w:type="dxa"/>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内 径</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(m)</w:t>
                  </w:r>
                </w:p>
              </w:tc>
              <w:tc>
                <w:tcPr>
                  <w:tcW w:w="602"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50" w:type="dxa"/>
                  <w:vMerge w:val="restart"/>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喷喷烤漆房排气筒</w:t>
                  </w:r>
                </w:p>
              </w:tc>
              <w:tc>
                <w:tcPr>
                  <w:tcW w:w="141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98°34'5.15"</w:t>
                  </w:r>
                </w:p>
              </w:tc>
              <w:tc>
                <w:tcPr>
                  <w:tcW w:w="1317"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24°26'33.26"</w:t>
                  </w:r>
                </w:p>
              </w:tc>
              <w:tc>
                <w:tcPr>
                  <w:tcW w:w="928" w:type="dxa"/>
                  <w:vMerge w:val="restart"/>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6000</w:t>
                  </w:r>
                </w:p>
              </w:tc>
              <w:tc>
                <w:tcPr>
                  <w:tcW w:w="681" w:type="dxa"/>
                  <w:vMerge w:val="restart"/>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w:t>
                  </w:r>
                </w:p>
              </w:tc>
              <w:tc>
                <w:tcPr>
                  <w:tcW w:w="1080" w:type="dxa"/>
                  <w:tcBorders>
                    <w:left w:val="single" w:color="auto" w:sz="4" w:space="0"/>
                    <w:bottom w:val="single" w:color="auto" w:sz="4" w:space="0"/>
                    <w:right w:val="single" w:color="auto" w:sz="4" w:space="0"/>
                  </w:tcBorders>
                  <w:vAlign w:val="center"/>
                </w:tcPr>
                <w:p>
                  <w:pPr>
                    <w:pStyle w:val="218"/>
                    <w:adjustRightInd w:val="0"/>
                    <w:snapToGrid w:val="0"/>
                    <w:spacing w:line="262" w:lineRule="exact"/>
                    <w:ind w:left="64" w:right="65"/>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二甲苯</w:t>
                  </w:r>
                </w:p>
              </w:tc>
              <w:tc>
                <w:tcPr>
                  <w:tcW w:w="865"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0.2</w:t>
                  </w:r>
                </w:p>
              </w:tc>
              <w:tc>
                <w:tcPr>
                  <w:tcW w:w="813" w:type="dxa"/>
                  <w:tcBorders>
                    <w:left w:val="single" w:color="auto" w:sz="4" w:space="0"/>
                    <w:bottom w:val="single" w:color="auto" w:sz="4" w:space="0"/>
                    <w:right w:val="single" w:color="auto" w:sz="4" w:space="0"/>
                  </w:tcBorders>
                  <w:vAlign w:val="center"/>
                </w:tcPr>
                <w:p>
                  <w:pPr>
                    <w:pStyle w:val="218"/>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0.0624</w:t>
                  </w:r>
                </w:p>
              </w:tc>
              <w:tc>
                <w:tcPr>
                  <w:tcW w:w="608"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625"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w:t>
                  </w:r>
                </w:p>
              </w:tc>
              <w:tc>
                <w:tcPr>
                  <w:tcW w:w="602"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50"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414"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17"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928"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681"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080" w:type="dxa"/>
                  <w:tcBorders>
                    <w:left w:val="single" w:color="auto" w:sz="4" w:space="0"/>
                    <w:right w:val="single" w:color="auto" w:sz="4" w:space="0"/>
                  </w:tcBorders>
                  <w:vAlign w:val="center"/>
                </w:tcPr>
                <w:p>
                  <w:pPr>
                    <w:pStyle w:val="218"/>
                    <w:adjustRightInd w:val="0"/>
                    <w:snapToGrid w:val="0"/>
                    <w:spacing w:before="35"/>
                    <w:ind w:left="64" w:right="65"/>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VOC</w:t>
                  </w:r>
                  <w:r>
                    <w:rPr>
                      <w:rFonts w:ascii="Times New Roman" w:hAnsi="Times New Roman" w:eastAsia="宋体" w:cs="Times New Roman"/>
                      <w:color w:val="auto"/>
                      <w:sz w:val="21"/>
                      <w:szCs w:val="21"/>
                    </w:rPr>
                    <w:t>s</w:t>
                  </w:r>
                </w:p>
              </w:tc>
              <w:tc>
                <w:tcPr>
                  <w:tcW w:w="86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813" w:type="dxa"/>
                  <w:tcBorders>
                    <w:left w:val="single" w:color="auto" w:sz="4" w:space="0"/>
                    <w:right w:val="single" w:color="auto" w:sz="4" w:space="0"/>
                  </w:tcBorders>
                  <w:vAlign w:val="center"/>
                </w:tcPr>
                <w:p>
                  <w:pPr>
                    <w:pStyle w:val="218"/>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0.1919</w:t>
                  </w:r>
                </w:p>
              </w:tc>
              <w:tc>
                <w:tcPr>
                  <w:tcW w:w="608"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62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w:t>
                  </w:r>
                </w:p>
              </w:tc>
              <w:tc>
                <w:tcPr>
                  <w:tcW w:w="602"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50"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414"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17"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928"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681"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080"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颗粒物（</w:t>
                  </w: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r>
                    <w:rPr>
                      <w:rFonts w:hint="eastAsia" w:ascii="Times New Roman" w:hAnsi="Times New Roman" w:eastAsia="宋体" w:cs="Times New Roman"/>
                      <w:color w:val="auto"/>
                      <w:szCs w:val="21"/>
                    </w:rPr>
                    <w:t>）</w:t>
                  </w:r>
                </w:p>
              </w:tc>
              <w:tc>
                <w:tcPr>
                  <w:tcW w:w="86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0.45</w:t>
                  </w:r>
                </w:p>
              </w:tc>
              <w:tc>
                <w:tcPr>
                  <w:tcW w:w="813" w:type="dxa"/>
                  <w:tcBorders>
                    <w:left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0.0539</w:t>
                  </w:r>
                </w:p>
              </w:tc>
              <w:tc>
                <w:tcPr>
                  <w:tcW w:w="608"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62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w:t>
                  </w:r>
                </w:p>
              </w:tc>
              <w:tc>
                <w:tcPr>
                  <w:tcW w:w="602"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r>
          </w:tbl>
          <w:p>
            <w:pPr>
              <w:spacing w:before="156" w:beforeLines="50"/>
              <w:ind w:firstLine="482" w:firstLineChars="20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表7-13  喷烤漆房非正常工况预测结果</w:t>
            </w:r>
          </w:p>
          <w:tbl>
            <w:tblPr>
              <w:tblStyle w:val="3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472"/>
              <w:gridCol w:w="1373"/>
              <w:gridCol w:w="1472"/>
              <w:gridCol w:w="1369"/>
              <w:gridCol w:w="1472"/>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下风向距离</w:t>
                  </w:r>
                </w:p>
              </w:tc>
              <w:tc>
                <w:tcPr>
                  <w:tcW w:w="2845"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二甲苯</w:t>
                  </w:r>
                </w:p>
              </w:tc>
              <w:tc>
                <w:tcPr>
                  <w:tcW w:w="2841"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VOC</w:t>
                  </w:r>
                  <w:r>
                    <w:rPr>
                      <w:rFonts w:hint="eastAsia" w:ascii="Times New Roman" w:hAnsi="Times New Roman" w:eastAsia="宋体" w:cs="Times New Roman"/>
                      <w:b/>
                      <w:color w:val="auto"/>
                      <w:szCs w:val="21"/>
                    </w:rPr>
                    <w:t>s</w:t>
                  </w:r>
                </w:p>
              </w:tc>
              <w:tc>
                <w:tcPr>
                  <w:tcW w:w="2839" w:type="dxa"/>
                  <w:gridSpan w:val="2"/>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颗粒物（</w:t>
                  </w:r>
                  <w:r>
                    <w:rPr>
                      <w:rFonts w:ascii="Times New Roman" w:hAnsi="Times New Roman" w:eastAsia="宋体" w:cs="Times New Roman"/>
                      <w:b/>
                      <w:color w:val="auto"/>
                      <w:szCs w:val="21"/>
                    </w:rPr>
                    <w:t>PM</w:t>
                  </w:r>
                  <w:r>
                    <w:rPr>
                      <w:rFonts w:ascii="Times New Roman" w:hAnsi="Times New Roman" w:eastAsia="宋体" w:cs="Times New Roman"/>
                      <w:b/>
                      <w:color w:val="auto"/>
                      <w:szCs w:val="21"/>
                      <w:vertAlign w:val="subscript"/>
                    </w:rPr>
                    <w:t>10</w:t>
                  </w:r>
                  <w:r>
                    <w:rPr>
                      <w:rFonts w:hint="eastAsia" w:ascii="Times New Roman" w:hAnsi="Times New Roman" w:eastAsia="宋体" w:cs="Times New Roman"/>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Merge w:val="continue"/>
                  <w:vAlign w:val="center"/>
                </w:tcPr>
                <w:p>
                  <w:pPr>
                    <w:jc w:val="center"/>
                    <w:rPr>
                      <w:rFonts w:ascii="Times New Roman" w:hAnsi="Times New Roman" w:eastAsia="宋体" w:cs="Times New Roman"/>
                      <w:color w:val="auto"/>
                      <w:szCs w:val="21"/>
                    </w:rPr>
                  </w:pP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3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二甲苯占标率（%）</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r>
                    <w:rPr>
                      <w:rFonts w:ascii="Times New Roman" w:hAnsi="Times New Roman" w:eastAsia="宋体" w:cs="Times New Roman"/>
                      <w:color w:val="auto"/>
                      <w:szCs w:val="21"/>
                    </w:rPr>
                    <w:t>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3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r>
                    <w:rPr>
                      <w:rFonts w:ascii="Times New Roman" w:hAnsi="Times New Roman" w:eastAsia="宋体" w:cs="Times New Roman"/>
                      <w:color w:val="auto"/>
                      <w:szCs w:val="21"/>
                    </w:rPr>
                    <w:t>占标率（%）</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r>
                    <w:rPr>
                      <w:rFonts w:ascii="Times New Roman" w:hAnsi="Times New Roman" w:eastAsia="宋体" w:cs="Times New Roman"/>
                      <w:color w:val="auto"/>
                      <w:szCs w:val="21"/>
                    </w:rPr>
                    <w:t>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r>
                    <w:rPr>
                      <w:rFonts w:ascii="Times New Roman" w:hAnsi="Times New Roman" w:eastAsia="宋体" w:cs="Times New Roman"/>
                      <w:color w:val="auto"/>
                      <w:szCs w:val="21"/>
                    </w:rP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3.4508</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1.73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10.615</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0.88</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2.9808</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6.256801</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3.13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19.247</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1.60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5.4048</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2.7386</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1.37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8.424301</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2.3656</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3.9325</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1.97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12.097</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1.01</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3.397</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3.8375</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1.92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11.805</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0.98</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3.3149</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3.3498</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1.67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10.304</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0.86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2.8936</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2.9218</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1.46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8.9879</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2.5239</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2.588</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1.29</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7.961101</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2.2356</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2.2994</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1.15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7.0734</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0.59</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1.9863</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2.0537</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6.3174</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1.774</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1.8451</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0.92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5.6759</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1.5939</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1.5565</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0.78</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4.7881</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1.3446</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1.3996</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4.3055</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1.209</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1600.0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1.2589</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3.8726</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1.0875</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1800.0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1.148</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3.5313</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0.29</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0.99163</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1.0532</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3.2397</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0.90975</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0.85826</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2.6401</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0.74138</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7.4435</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3.72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22.897</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1.91</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6.429801</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下风向最大浓度出现距离（m）</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13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13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70</w:t>
                  </w:r>
                </w:p>
              </w:tc>
              <w:tc>
                <w:tcPr>
                  <w:tcW w:w="1367" w:type="dxa"/>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D10%最远距离</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3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3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bl>
          <w:p>
            <w:pPr>
              <w:pStyle w:val="211"/>
              <w:ind w:firstLine="480"/>
              <w:rPr>
                <w:rFonts w:cs="Times New Roman"/>
                <w:color w:val="auto"/>
              </w:rPr>
            </w:pPr>
            <w:r>
              <w:rPr>
                <w:rFonts w:cs="Times New Roman"/>
                <w:color w:val="auto"/>
              </w:rPr>
              <w:t>根据上表可知，项目非正常情况下有组织废气能达标排放，相比正常排放，其污染物落地浓度增幅明显。最大质量浓度均出现在污染源下风向70米处，对环境影响不大。为避免非正常工况下废气未经收集、治理而直接排放事件的发生，环评提出建设单位运营期应对废气处理系统加强管理，定期维护、保养，确保其正常运行。若遇故障，则应及时停止生产作业，对设备进行抢修，排除故障方可恢复生产。</w:t>
            </w:r>
          </w:p>
          <w:p>
            <w:pPr>
              <w:pStyle w:val="211"/>
              <w:ind w:firstLine="480"/>
              <w:rPr>
                <w:rFonts w:cs="Times New Roman"/>
                <w:b/>
                <w:color w:val="auto"/>
              </w:rPr>
            </w:pPr>
            <w:r>
              <w:rPr>
                <w:rFonts w:cs="Times New Roman"/>
                <w:color w:val="auto"/>
              </w:rPr>
              <w:t>本项目应该加强废气治理设施的日常维护和检修，保证各污染治理设施高效率正常运转；应制定严格的生产管理制度和责任制度，发现故障及时修复处理，若出现异常情况必须立即停止生产，杜绝废气非正常排放，有效防止废气污染物排放事故发生。</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（3）汽车尾气</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本项目营运期间有车辆出入，将会产生少量汽车尾气，汽车尾气中含有少量CH、NOx、CO等污染物，由于</w:t>
            </w:r>
            <w:r>
              <w:rPr>
                <w:rFonts w:ascii="Times New Roman" w:hAnsi="Times New Roman" w:eastAsia="宋体" w:cs="Times New Roman"/>
                <w:bCs/>
                <w:color w:val="auto"/>
                <w:sz w:val="24"/>
              </w:rPr>
              <w:t>行驶路程较短，再加上车辆进出时间短</w:t>
            </w:r>
            <w:r>
              <w:rPr>
                <w:rFonts w:ascii="Times New Roman" w:hAnsi="Times New Roman" w:eastAsia="宋体" w:cs="Times New Roman"/>
                <w:color w:val="auto"/>
                <w:sz w:val="24"/>
              </w:rPr>
              <w:t>，因此废气量产生较小，且项目区通风性能良好，运输车辆进出场区时减速慢行，采取以上措施后，对周边的影响很小。</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2、运营期声环境影响分析</w:t>
            </w:r>
          </w:p>
          <w:p>
            <w:pPr>
              <w:keepNext/>
              <w:keepLines/>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项目运营期生产设备噪声源强在60～90dB（A）之间，均设置于厂房内部。因此采用噪声点源衰减公式和噪声叠加公式进行声环境影响预测。本环评通过导则推荐的噪声预测软件对项目噪声进行影响预测和分析。厂界噪声预测点根据各噪声源的位置情况，共设4个预测点，分别位于厂界东、南、西、北面。</w:t>
            </w:r>
          </w:p>
          <w:p>
            <w:pPr>
              <w:pStyle w:val="225"/>
              <w:tabs>
                <w:tab w:val="left" w:pos="1233"/>
              </w:tabs>
              <w:spacing w:before="0" w:line="360" w:lineRule="auto"/>
              <w:ind w:left="0" w:firstLine="482" w:firstLineChars="200"/>
              <w:jc w:val="left"/>
              <w:rPr>
                <w:rFonts w:ascii="Times New Roman" w:hAnsi="Times New Roman" w:cs="Times New Roman"/>
                <w:b/>
                <w:bCs/>
                <w:color w:val="auto"/>
                <w:sz w:val="24"/>
              </w:rPr>
            </w:pPr>
            <w:r>
              <w:rPr>
                <w:rFonts w:ascii="Times New Roman" w:hAnsi="Times New Roman" w:cs="Times New Roman"/>
                <w:b/>
                <w:bCs/>
                <w:color w:val="auto"/>
                <w:sz w:val="24"/>
              </w:rPr>
              <w:t>（1）预测模式</w:t>
            </w:r>
          </w:p>
          <w:p>
            <w:pPr>
              <w:pStyle w:val="13"/>
              <w:spacing w:line="360" w:lineRule="auto"/>
              <w:ind w:firstLine="456" w:firstLineChars="200"/>
              <w:rPr>
                <w:color w:val="auto"/>
                <w:sz w:val="24"/>
              </w:rPr>
            </w:pPr>
            <w:r>
              <w:rPr>
                <w:color w:val="auto"/>
                <w:spacing w:val="-6"/>
                <w:sz w:val="24"/>
              </w:rPr>
              <w:t>根据《环境影响评级技术导则 声环境》</w:t>
            </w:r>
            <w:r>
              <w:rPr>
                <w:color w:val="auto"/>
                <w:spacing w:val="4"/>
                <w:sz w:val="24"/>
              </w:rPr>
              <w:t>（</w:t>
            </w:r>
            <w:r>
              <w:rPr>
                <w:color w:val="auto"/>
                <w:spacing w:val="-1"/>
                <w:sz w:val="24"/>
              </w:rPr>
              <w:t>H</w:t>
            </w:r>
            <w:r>
              <w:rPr>
                <w:color w:val="auto"/>
                <w:sz w:val="24"/>
              </w:rPr>
              <w:t>J/</w:t>
            </w:r>
            <w:r>
              <w:rPr>
                <w:color w:val="auto"/>
                <w:spacing w:val="-1"/>
                <w:sz w:val="24"/>
              </w:rPr>
              <w:t>T</w:t>
            </w:r>
            <w:r>
              <w:rPr>
                <w:color w:val="auto"/>
                <w:sz w:val="24"/>
              </w:rPr>
              <w:t>2.4</w:t>
            </w:r>
            <w:r>
              <w:rPr>
                <w:color w:val="auto"/>
                <w:spacing w:val="-1"/>
                <w:sz w:val="24"/>
              </w:rPr>
              <w:t>-</w:t>
            </w:r>
            <w:r>
              <w:rPr>
                <w:color w:val="auto"/>
                <w:sz w:val="24"/>
              </w:rPr>
              <w:t>200</w:t>
            </w:r>
            <w:r>
              <w:rPr>
                <w:color w:val="auto"/>
                <w:spacing w:val="2"/>
                <w:sz w:val="24"/>
              </w:rPr>
              <w:t>9</w:t>
            </w:r>
            <w:r>
              <w:rPr>
                <w:color w:val="auto"/>
                <w:spacing w:val="-116"/>
                <w:sz w:val="24"/>
              </w:rPr>
              <w:t>）</w:t>
            </w:r>
            <w:r>
              <w:rPr>
                <w:color w:val="auto"/>
                <w:spacing w:val="1"/>
                <w:sz w:val="24"/>
              </w:rPr>
              <w:t>，处于半自由空间的无指向性声源几何发散衰减按下列公式计算：</w:t>
            </w:r>
          </w:p>
          <w:p>
            <w:pPr>
              <w:spacing w:line="360" w:lineRule="auto"/>
              <w:ind w:firstLine="480" w:firstLineChars="200"/>
              <w:jc w:val="center"/>
              <w:rPr>
                <w:rFonts w:ascii="Times New Roman" w:hAnsi="Times New Roman" w:eastAsia="宋体" w:cs="Times New Roman"/>
                <w:iCs/>
                <w:color w:val="auto"/>
                <w:sz w:val="24"/>
              </w:rPr>
            </w:pPr>
            <w:r>
              <w:rPr>
                <w:rFonts w:ascii="Times New Roman" w:hAnsi="Times New Roman" w:eastAsia="宋体" w:cs="Times New Roman"/>
                <w:iCs/>
                <w:color w:val="auto"/>
                <w:position w:val="2"/>
                <w:sz w:val="24"/>
              </w:rPr>
              <w:t>L</w:t>
            </w:r>
            <w:r>
              <w:rPr>
                <w:rFonts w:ascii="Times New Roman" w:hAnsi="Times New Roman" w:eastAsia="宋体" w:cs="Times New Roman"/>
                <w:iCs/>
                <w:color w:val="auto"/>
                <w:spacing w:val="-11"/>
                <w:position w:val="2"/>
                <w:sz w:val="24"/>
              </w:rPr>
              <w:t>A（r）</w:t>
            </w:r>
            <w:r>
              <w:rPr>
                <w:rFonts w:ascii="Times New Roman" w:hAnsi="Times New Roman" w:eastAsia="宋体" w:cs="Times New Roman"/>
                <w:iCs/>
                <w:color w:val="auto"/>
                <w:spacing w:val="-1"/>
                <w:position w:val="2"/>
                <w:sz w:val="24"/>
              </w:rPr>
              <w:t>=</w:t>
            </w:r>
            <w:r>
              <w:rPr>
                <w:rFonts w:ascii="Times New Roman" w:hAnsi="Times New Roman" w:eastAsia="宋体" w:cs="Times New Roman"/>
                <w:iCs/>
                <w:color w:val="auto"/>
                <w:position w:val="2"/>
                <w:sz w:val="24"/>
              </w:rPr>
              <w:t>Lr</w:t>
            </w:r>
            <w:r>
              <w:rPr>
                <w:rFonts w:ascii="Times New Roman" w:hAnsi="Times New Roman" w:eastAsia="宋体" w:cs="Times New Roman"/>
                <w:iCs/>
                <w:color w:val="auto"/>
                <w:spacing w:val="-2"/>
                <w:w w:val="104"/>
                <w:sz w:val="24"/>
              </w:rPr>
              <w:t>0</w:t>
            </w:r>
            <w:r>
              <w:rPr>
                <w:rFonts w:ascii="Times New Roman" w:hAnsi="Times New Roman" w:eastAsia="宋体" w:cs="Times New Roman"/>
                <w:iCs/>
                <w:color w:val="auto"/>
                <w:spacing w:val="-1"/>
                <w:position w:val="2"/>
                <w:sz w:val="24"/>
              </w:rPr>
              <w:t>-</w:t>
            </w:r>
            <w:r>
              <w:rPr>
                <w:rFonts w:ascii="Times New Roman" w:hAnsi="Times New Roman" w:eastAsia="宋体" w:cs="Times New Roman"/>
                <w:iCs/>
                <w:color w:val="auto"/>
                <w:position w:val="2"/>
                <w:sz w:val="24"/>
              </w:rPr>
              <w:t>20l</w:t>
            </w:r>
            <w:r>
              <w:rPr>
                <w:rFonts w:ascii="Times New Roman" w:hAnsi="Times New Roman" w:eastAsia="宋体" w:cs="Times New Roman"/>
                <w:iCs/>
                <w:color w:val="auto"/>
                <w:spacing w:val="-11"/>
                <w:position w:val="2"/>
                <w:sz w:val="24"/>
              </w:rPr>
              <w:t>g（r/r</w:t>
            </w:r>
            <w:r>
              <w:rPr>
                <w:rFonts w:ascii="Times New Roman" w:hAnsi="Times New Roman" w:eastAsia="宋体" w:cs="Times New Roman"/>
                <w:iCs/>
                <w:color w:val="auto"/>
                <w:spacing w:val="-11"/>
                <w:position w:val="2"/>
                <w:sz w:val="24"/>
                <w:vertAlign w:val="subscript"/>
              </w:rPr>
              <w:t>0</w:t>
            </w:r>
            <w:r>
              <w:rPr>
                <w:rFonts w:ascii="Times New Roman" w:hAnsi="Times New Roman" w:eastAsia="宋体" w:cs="Times New Roman"/>
                <w:iCs/>
                <w:color w:val="auto"/>
                <w:spacing w:val="-11"/>
                <w:position w:val="2"/>
                <w:sz w:val="24"/>
              </w:rPr>
              <w:t>）-</w:t>
            </w:r>
            <w:r>
              <w:rPr>
                <w:rFonts w:ascii="Times New Roman" w:hAnsi="Times New Roman" w:eastAsia="微软雅黑" w:cs="Times New Roman"/>
                <w:iCs/>
                <w:color w:val="auto"/>
                <w:spacing w:val="-11"/>
                <w:position w:val="2"/>
                <w:sz w:val="24"/>
              </w:rPr>
              <w:t>∆</w:t>
            </w:r>
            <w:r>
              <w:rPr>
                <w:rFonts w:ascii="Times New Roman" w:hAnsi="Times New Roman" w:eastAsia="宋体" w:cs="Times New Roman"/>
                <w:iCs/>
                <w:color w:val="auto"/>
                <w:spacing w:val="-11"/>
                <w:position w:val="2"/>
                <w:sz w:val="24"/>
              </w:rPr>
              <w:t>L</w:t>
            </w:r>
          </w:p>
          <w:p>
            <w:pPr>
              <w:pStyle w:val="13"/>
              <w:spacing w:line="360" w:lineRule="auto"/>
              <w:ind w:firstLine="480" w:firstLineChars="200"/>
              <w:rPr>
                <w:color w:val="auto"/>
                <w:sz w:val="24"/>
              </w:rPr>
            </w:pPr>
            <w:r>
              <w:rPr>
                <w:color w:val="auto"/>
                <w:sz w:val="24"/>
              </w:rPr>
              <w:t>式中：</w:t>
            </w:r>
            <w:r>
              <w:rPr>
                <w:i/>
                <w:color w:val="auto"/>
                <w:sz w:val="24"/>
              </w:rPr>
              <w:t>LA（r）</w:t>
            </w:r>
            <w:r>
              <w:rPr>
                <w:color w:val="auto"/>
                <w:sz w:val="24"/>
              </w:rPr>
              <w:t>——距声源 r 米处受声点的 A 声级；</w:t>
            </w:r>
          </w:p>
          <w:p>
            <w:pPr>
              <w:pStyle w:val="13"/>
              <w:spacing w:after="0" w:line="360" w:lineRule="auto"/>
              <w:ind w:firstLine="1080" w:firstLineChars="450"/>
              <w:rPr>
                <w:color w:val="auto"/>
                <w:sz w:val="24"/>
              </w:rPr>
            </w:pPr>
            <w:r>
              <w:rPr>
                <w:i/>
                <w:color w:val="auto"/>
                <w:sz w:val="24"/>
              </w:rPr>
              <w:t>r</w:t>
            </w:r>
            <w:r>
              <w:rPr>
                <w:color w:val="auto"/>
                <w:sz w:val="24"/>
              </w:rPr>
              <w:t>——参考点声源强度；</w:t>
            </w:r>
          </w:p>
          <w:p>
            <w:pPr>
              <w:pStyle w:val="13"/>
              <w:spacing w:after="0" w:line="360" w:lineRule="auto"/>
              <w:ind w:firstLine="1053" w:firstLineChars="450"/>
              <w:rPr>
                <w:color w:val="auto"/>
                <w:sz w:val="24"/>
              </w:rPr>
            </w:pPr>
            <w:r>
              <w:rPr>
                <w:i/>
                <w:color w:val="auto"/>
                <w:spacing w:val="-3"/>
                <w:position w:val="2"/>
                <w:sz w:val="24"/>
              </w:rPr>
              <w:t>r</w:t>
            </w:r>
            <w:r>
              <w:rPr>
                <w:i/>
                <w:color w:val="auto"/>
                <w:spacing w:val="-2"/>
                <w:w w:val="104"/>
                <w:sz w:val="24"/>
                <w:vertAlign w:val="subscript"/>
              </w:rPr>
              <w:t>0</w:t>
            </w:r>
            <w:r>
              <w:rPr>
                <w:color w:val="auto"/>
                <w:position w:val="2"/>
                <w:sz w:val="24"/>
              </w:rPr>
              <w:t>——预测受声点与源之间的距离（m）；</w:t>
            </w:r>
          </w:p>
          <w:p>
            <w:pPr>
              <w:pStyle w:val="13"/>
              <w:spacing w:after="0" w:line="360" w:lineRule="auto"/>
              <w:ind w:firstLine="981" w:firstLineChars="450"/>
              <w:rPr>
                <w:color w:val="auto"/>
                <w:sz w:val="24"/>
              </w:rPr>
            </w:pPr>
            <w:r>
              <w:rPr>
                <w:rFonts w:eastAsia="微软雅黑"/>
                <w:iCs/>
                <w:color w:val="auto"/>
                <w:spacing w:val="-11"/>
                <w:position w:val="2"/>
                <w:sz w:val="24"/>
              </w:rPr>
              <w:t>∆</w:t>
            </w:r>
            <w:r>
              <w:rPr>
                <w:iCs/>
                <w:color w:val="auto"/>
                <w:spacing w:val="-11"/>
                <w:position w:val="2"/>
                <w:sz w:val="24"/>
              </w:rPr>
              <w:t>L</w:t>
            </w:r>
            <w:r>
              <w:rPr>
                <w:color w:val="auto"/>
                <w:spacing w:val="-7"/>
                <w:sz w:val="24"/>
              </w:rPr>
              <w:t>——其它衰减因素。影响</w:t>
            </w:r>
            <w:r>
              <w:rPr>
                <w:rFonts w:eastAsia="微软雅黑"/>
                <w:iCs/>
                <w:color w:val="auto"/>
                <w:spacing w:val="-11"/>
                <w:position w:val="2"/>
                <w:sz w:val="24"/>
              </w:rPr>
              <w:t>∆</w:t>
            </w:r>
            <w:r>
              <w:rPr>
                <w:iCs/>
                <w:color w:val="auto"/>
                <w:spacing w:val="-11"/>
                <w:position w:val="2"/>
                <w:sz w:val="24"/>
              </w:rPr>
              <w:t>L</w:t>
            </w:r>
            <w:r>
              <w:rPr>
                <w:i/>
                <w:color w:val="auto"/>
                <w:spacing w:val="-33"/>
                <w:sz w:val="24"/>
              </w:rPr>
              <w:t xml:space="preserve"> </w:t>
            </w:r>
            <w:r>
              <w:rPr>
                <w:color w:val="auto"/>
                <w:sz w:val="24"/>
              </w:rPr>
              <w:t>取值的因素很多，主要考虑厂房隔声、空压</w:t>
            </w:r>
            <w:r>
              <w:rPr>
                <w:color w:val="auto"/>
                <w:spacing w:val="-3"/>
                <w:sz w:val="24"/>
              </w:rPr>
              <w:t>机房等墙体隔声的影响及其他衰减因素，取</w:t>
            </w:r>
            <w:r>
              <w:rPr>
                <w:color w:val="auto"/>
                <w:sz w:val="24"/>
              </w:rPr>
              <w:t>15d</w:t>
            </w:r>
            <w:r>
              <w:rPr>
                <w:color w:val="auto"/>
                <w:spacing w:val="-2"/>
                <w:sz w:val="24"/>
              </w:rPr>
              <w:t>B</w:t>
            </w:r>
            <w:r>
              <w:rPr>
                <w:color w:val="auto"/>
                <w:sz w:val="24"/>
              </w:rPr>
              <w:t>（</w:t>
            </w:r>
            <w:r>
              <w:rPr>
                <w:color w:val="auto"/>
                <w:spacing w:val="-1"/>
                <w:sz w:val="24"/>
              </w:rPr>
              <w:t>A）。</w:t>
            </w:r>
          </w:p>
          <w:p>
            <w:pPr>
              <w:pStyle w:val="13"/>
              <w:spacing w:line="360" w:lineRule="auto"/>
              <w:ind w:firstLine="480" w:firstLineChars="200"/>
              <w:rPr>
                <w:color w:val="auto"/>
                <w:sz w:val="24"/>
              </w:rPr>
            </w:pPr>
            <w:r>
              <w:rPr>
                <w:color w:val="auto"/>
                <w:sz w:val="24"/>
              </w:rPr>
              <w:t>噪声叠加公式：</w:t>
            </w:r>
          </w:p>
          <w:p>
            <w:pPr>
              <w:spacing w:line="360" w:lineRule="auto"/>
              <w:ind w:firstLine="480" w:firstLineChars="200"/>
              <w:jc w:val="center"/>
              <w:rPr>
                <w:rFonts w:ascii="Times New Roman" w:hAnsi="Times New Roman" w:eastAsia="宋体" w:cs="Times New Roman"/>
                <w:color w:val="auto"/>
                <w:sz w:val="24"/>
              </w:rPr>
            </w:pPr>
            <w:r>
              <w:rPr>
                <w:rFonts w:ascii="Times New Roman" w:hAnsi="Times New Roman" w:eastAsia="宋体" w:cs="Times New Roman"/>
                <w:i/>
                <w:color w:val="auto"/>
                <w:sz w:val="24"/>
              </w:rPr>
              <w:t>L</w:t>
            </w:r>
            <w:r>
              <w:rPr>
                <w:rFonts w:ascii="Times New Roman" w:hAnsi="Times New Roman" w:eastAsia="宋体" w:cs="Times New Roman"/>
                <w:i/>
                <w:color w:val="auto"/>
                <w:spacing w:val="-1"/>
                <w:sz w:val="24"/>
              </w:rPr>
              <w:t>e</w:t>
            </w:r>
            <w:r>
              <w:rPr>
                <w:rFonts w:ascii="Times New Roman" w:hAnsi="Times New Roman" w:eastAsia="宋体" w:cs="Times New Roman"/>
                <w:i/>
                <w:color w:val="auto"/>
                <w:sz w:val="24"/>
              </w:rPr>
              <w:t>q</w:t>
            </w:r>
            <w:r>
              <w:rPr>
                <w:rFonts w:ascii="Times New Roman" w:hAnsi="Times New Roman" w:eastAsia="宋体" w:cs="Times New Roman"/>
                <w:color w:val="auto"/>
                <w:spacing w:val="-1"/>
                <w:sz w:val="24"/>
              </w:rPr>
              <w:t>=</w:t>
            </w:r>
            <w:r>
              <w:rPr>
                <w:rFonts w:ascii="Times New Roman" w:hAnsi="Times New Roman" w:eastAsia="宋体" w:cs="Times New Roman"/>
                <w:color w:val="auto"/>
                <w:sz w:val="24"/>
              </w:rPr>
              <w:t>10</w:t>
            </w:r>
            <w:r>
              <w:rPr>
                <w:rFonts w:ascii="Times New Roman" w:hAnsi="Times New Roman" w:eastAsia="宋体" w:cs="Times New Roman"/>
                <w:i/>
                <w:color w:val="auto"/>
                <w:sz w:val="24"/>
              </w:rPr>
              <w:t>l</w:t>
            </w:r>
            <w:r>
              <w:rPr>
                <w:rFonts w:ascii="Times New Roman" w:hAnsi="Times New Roman" w:eastAsia="宋体" w:cs="Times New Roman"/>
                <w:i/>
                <w:color w:val="auto"/>
                <w:spacing w:val="-11"/>
                <w:sz w:val="24"/>
              </w:rPr>
              <w:t>g</w:t>
            </w:r>
            <w:r>
              <w:rPr>
                <w:rFonts w:ascii="Times New Roman" w:hAnsi="Times New Roman" w:eastAsia="宋体" w:cs="Times New Roman"/>
                <w:i/>
                <w:color w:val="auto"/>
                <w:spacing w:val="-66"/>
                <w:w w:val="96"/>
                <w:sz w:val="24"/>
              </w:rPr>
              <w:t>∑</w:t>
            </w:r>
            <w:r>
              <w:rPr>
                <w:rFonts w:ascii="Times New Roman" w:hAnsi="Times New Roman" w:eastAsia="宋体" w:cs="Times New Roman"/>
                <w:color w:val="auto"/>
                <w:sz w:val="24"/>
              </w:rPr>
              <w:t>（10</w:t>
            </w:r>
            <w:r>
              <w:rPr>
                <w:rFonts w:ascii="Times New Roman" w:hAnsi="Times New Roman" w:eastAsia="宋体" w:cs="Times New Roman"/>
                <w:color w:val="auto"/>
                <w:spacing w:val="1"/>
                <w:w w:val="104"/>
                <w:position w:val="8"/>
                <w:sz w:val="24"/>
              </w:rPr>
              <w:t>0</w:t>
            </w:r>
            <w:r>
              <w:rPr>
                <w:rFonts w:ascii="Times New Roman" w:hAnsi="Times New Roman" w:eastAsia="宋体" w:cs="Times New Roman"/>
                <w:color w:val="auto"/>
                <w:spacing w:val="-1"/>
                <w:w w:val="104"/>
                <w:position w:val="8"/>
                <w:sz w:val="24"/>
              </w:rPr>
              <w:t>.</w:t>
            </w:r>
            <w:r>
              <w:rPr>
                <w:rFonts w:ascii="Times New Roman" w:hAnsi="Times New Roman" w:eastAsia="宋体" w:cs="Times New Roman"/>
                <w:color w:val="auto"/>
                <w:spacing w:val="-2"/>
                <w:w w:val="104"/>
                <w:position w:val="8"/>
                <w:sz w:val="24"/>
              </w:rPr>
              <w:t>1</w:t>
            </w:r>
            <w:r>
              <w:rPr>
                <w:rFonts w:ascii="Times New Roman" w:hAnsi="Times New Roman" w:eastAsia="宋体" w:cs="Times New Roman"/>
                <w:i/>
                <w:color w:val="auto"/>
                <w:spacing w:val="-1"/>
                <w:w w:val="104"/>
                <w:position w:val="8"/>
                <w:sz w:val="24"/>
              </w:rPr>
              <w:t>L</w:t>
            </w:r>
            <w:r>
              <w:rPr>
                <w:rFonts w:ascii="Times New Roman" w:hAnsi="Times New Roman" w:eastAsia="宋体" w:cs="Times New Roman"/>
                <w:i/>
                <w:color w:val="auto"/>
                <w:spacing w:val="-2"/>
                <w:w w:val="104"/>
                <w:position w:val="8"/>
                <w:sz w:val="24"/>
                <w:vertAlign w:val="subscript"/>
              </w:rPr>
              <w:t>1</w:t>
            </w:r>
            <w:r>
              <w:rPr>
                <w:rFonts w:ascii="Times New Roman" w:hAnsi="Times New Roman" w:eastAsia="宋体" w:cs="Times New Roman"/>
                <w:color w:val="auto"/>
                <w:spacing w:val="-1"/>
                <w:sz w:val="24"/>
              </w:rPr>
              <w:t>+1</w:t>
            </w:r>
            <w:r>
              <w:rPr>
                <w:rFonts w:ascii="Times New Roman" w:hAnsi="Times New Roman" w:eastAsia="宋体" w:cs="Times New Roman"/>
                <w:color w:val="auto"/>
                <w:sz w:val="24"/>
              </w:rPr>
              <w:t>0</w:t>
            </w:r>
            <w:r>
              <w:rPr>
                <w:rFonts w:ascii="Times New Roman" w:hAnsi="Times New Roman" w:eastAsia="宋体" w:cs="Times New Roman"/>
                <w:color w:val="auto"/>
                <w:spacing w:val="1"/>
                <w:w w:val="104"/>
                <w:position w:val="8"/>
                <w:sz w:val="24"/>
              </w:rPr>
              <w:t>0</w:t>
            </w:r>
            <w:r>
              <w:rPr>
                <w:rFonts w:ascii="Times New Roman" w:hAnsi="Times New Roman" w:eastAsia="宋体" w:cs="Times New Roman"/>
                <w:color w:val="auto"/>
                <w:spacing w:val="-1"/>
                <w:w w:val="104"/>
                <w:position w:val="8"/>
                <w:sz w:val="24"/>
              </w:rPr>
              <w:t>.</w:t>
            </w:r>
            <w:r>
              <w:rPr>
                <w:rFonts w:ascii="Times New Roman" w:hAnsi="Times New Roman" w:eastAsia="宋体" w:cs="Times New Roman"/>
                <w:color w:val="auto"/>
                <w:spacing w:val="-2"/>
                <w:w w:val="104"/>
                <w:position w:val="8"/>
                <w:sz w:val="24"/>
              </w:rPr>
              <w:t>1</w:t>
            </w:r>
            <w:r>
              <w:rPr>
                <w:rFonts w:ascii="Times New Roman" w:hAnsi="Times New Roman" w:eastAsia="宋体" w:cs="Times New Roman"/>
                <w:i/>
                <w:color w:val="auto"/>
                <w:spacing w:val="-1"/>
                <w:w w:val="104"/>
                <w:position w:val="8"/>
                <w:sz w:val="24"/>
              </w:rPr>
              <w:t>L</w:t>
            </w:r>
            <w:r>
              <w:rPr>
                <w:rFonts w:ascii="Times New Roman" w:hAnsi="Times New Roman" w:eastAsia="宋体" w:cs="Times New Roman"/>
                <w:i/>
                <w:color w:val="auto"/>
                <w:spacing w:val="-2"/>
                <w:w w:val="104"/>
                <w:position w:val="8"/>
                <w:sz w:val="24"/>
                <w:vertAlign w:val="subscript"/>
              </w:rPr>
              <w:t>2</w:t>
            </w:r>
            <w:r>
              <w:rPr>
                <w:rFonts w:ascii="Times New Roman" w:hAnsi="Times New Roman" w:eastAsia="宋体" w:cs="Times New Roman"/>
                <w:color w:val="auto"/>
                <w:spacing w:val="1"/>
                <w:sz w:val="24"/>
              </w:rPr>
              <w:t>+</w:t>
            </w:r>
            <w:r>
              <w:rPr>
                <w:rFonts w:ascii="Times New Roman" w:hAnsi="Times New Roman" w:eastAsia="宋体" w:cs="Times New Roman"/>
                <w:color w:val="auto"/>
                <w:sz w:val="24"/>
              </w:rPr>
              <w:t>…</w:t>
            </w:r>
            <w:r>
              <w:rPr>
                <w:rFonts w:ascii="Times New Roman" w:hAnsi="Times New Roman" w:eastAsia="宋体" w:cs="Times New Roman"/>
                <w:color w:val="auto"/>
                <w:spacing w:val="-1"/>
                <w:sz w:val="24"/>
              </w:rPr>
              <w:t>+</w:t>
            </w:r>
            <w:r>
              <w:rPr>
                <w:rFonts w:ascii="Times New Roman" w:hAnsi="Times New Roman" w:eastAsia="宋体" w:cs="Times New Roman"/>
                <w:color w:val="auto"/>
                <w:sz w:val="24"/>
              </w:rPr>
              <w:t>10</w:t>
            </w:r>
            <w:r>
              <w:rPr>
                <w:rFonts w:ascii="Times New Roman" w:hAnsi="Times New Roman" w:eastAsia="宋体" w:cs="Times New Roman"/>
                <w:color w:val="auto"/>
                <w:spacing w:val="1"/>
                <w:w w:val="104"/>
                <w:position w:val="8"/>
                <w:sz w:val="24"/>
              </w:rPr>
              <w:t>0</w:t>
            </w:r>
            <w:r>
              <w:rPr>
                <w:rFonts w:ascii="Times New Roman" w:hAnsi="Times New Roman" w:eastAsia="宋体" w:cs="Times New Roman"/>
                <w:color w:val="auto"/>
                <w:spacing w:val="-1"/>
                <w:w w:val="104"/>
                <w:position w:val="8"/>
                <w:sz w:val="24"/>
              </w:rPr>
              <w:t>.</w:t>
            </w:r>
            <w:r>
              <w:rPr>
                <w:rFonts w:ascii="Times New Roman" w:hAnsi="Times New Roman" w:eastAsia="宋体" w:cs="Times New Roman"/>
                <w:color w:val="auto"/>
                <w:spacing w:val="-2"/>
                <w:w w:val="104"/>
                <w:position w:val="8"/>
                <w:sz w:val="24"/>
              </w:rPr>
              <w:t>1</w:t>
            </w:r>
            <w:r>
              <w:rPr>
                <w:rFonts w:ascii="Times New Roman" w:hAnsi="Times New Roman" w:eastAsia="宋体" w:cs="Times New Roman"/>
                <w:i/>
                <w:color w:val="auto"/>
                <w:spacing w:val="-1"/>
                <w:w w:val="104"/>
                <w:position w:val="8"/>
                <w:sz w:val="24"/>
              </w:rPr>
              <w:t>Li</w:t>
            </w:r>
            <w:r>
              <w:rPr>
                <w:rFonts w:ascii="Times New Roman" w:hAnsi="Times New Roman" w:eastAsia="宋体" w:cs="Times New Roman"/>
                <w:color w:val="auto"/>
                <w:sz w:val="24"/>
              </w:rPr>
              <w:t>）</w:t>
            </w:r>
          </w:p>
          <w:p>
            <w:pPr>
              <w:pStyle w:val="13"/>
              <w:spacing w:line="360" w:lineRule="auto"/>
              <w:ind w:firstLine="480" w:firstLineChars="200"/>
              <w:rPr>
                <w:color w:val="auto"/>
                <w:sz w:val="24"/>
              </w:rPr>
            </w:pPr>
            <w:r>
              <w:rPr>
                <w:color w:val="auto"/>
                <w:sz w:val="24"/>
              </w:rPr>
              <w:t>式中：</w:t>
            </w:r>
            <w:r>
              <w:rPr>
                <w:i/>
                <w:color w:val="auto"/>
                <w:spacing w:val="-2"/>
                <w:sz w:val="24"/>
              </w:rPr>
              <w:t>L</w:t>
            </w:r>
            <w:r>
              <w:rPr>
                <w:i/>
                <w:color w:val="auto"/>
                <w:sz w:val="24"/>
              </w:rPr>
              <w:t>i</w:t>
            </w:r>
            <w:r>
              <w:rPr>
                <w:color w:val="auto"/>
                <w:sz w:val="24"/>
              </w:rPr>
              <w:t>——其中单个噪声源的声级数，dB（</w:t>
            </w:r>
            <w:r>
              <w:rPr>
                <w:color w:val="auto"/>
                <w:spacing w:val="-1"/>
                <w:sz w:val="24"/>
              </w:rPr>
              <w:t>A）；</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i/>
                <w:color w:val="auto"/>
                <w:sz w:val="24"/>
              </w:rPr>
              <w:t>Leq</w:t>
            </w:r>
            <w:r>
              <w:rPr>
                <w:rFonts w:ascii="Times New Roman" w:hAnsi="Times New Roman" w:eastAsia="宋体" w:cs="Times New Roman"/>
                <w:color w:val="auto"/>
                <w:sz w:val="24"/>
              </w:rPr>
              <w:t>——噪声源叠加后的值。</w:t>
            </w:r>
          </w:p>
          <w:p>
            <w:pPr>
              <w:pStyle w:val="225"/>
              <w:tabs>
                <w:tab w:val="left" w:pos="1231"/>
              </w:tabs>
              <w:spacing w:before="160"/>
              <w:ind w:left="628" w:firstLine="0"/>
              <w:jc w:val="left"/>
              <w:rPr>
                <w:rFonts w:ascii="Times New Roman" w:hAnsi="Times New Roman" w:cs="Times New Roman"/>
                <w:b/>
                <w:bCs/>
                <w:color w:val="auto"/>
                <w:sz w:val="24"/>
              </w:rPr>
            </w:pPr>
            <w:r>
              <w:rPr>
                <w:rFonts w:ascii="Times New Roman" w:hAnsi="Times New Roman" w:cs="Times New Roman"/>
                <w:b/>
                <w:bCs/>
                <w:color w:val="auto"/>
                <w:sz w:val="24"/>
              </w:rPr>
              <w:t>（2）预测结果</w:t>
            </w:r>
          </w:p>
          <w:p>
            <w:pPr>
              <w:pStyle w:val="218"/>
              <w:spacing w:line="360" w:lineRule="auto"/>
              <w:ind w:firstLine="480" w:firstLineChars="200"/>
              <w:jc w:val="both"/>
              <w:rPr>
                <w:rFonts w:hint="default" w:ascii="Times New Roman" w:hAnsi="Times New Roman" w:eastAsia="宋体" w:cs="Times New Roman"/>
                <w:color w:val="auto"/>
              </w:rPr>
            </w:pPr>
            <w:r>
              <w:rPr>
                <w:rFonts w:hint="default" w:ascii="Times New Roman" w:hAnsi="Times New Roman" w:eastAsia="宋体" w:cs="Times New Roman"/>
                <w:color w:val="auto"/>
              </w:rPr>
              <w:t>根据以上预测模式，预测本项目各噪声源点经距离衰减后至厂界噪声值预测结果见下表。</w:t>
            </w:r>
          </w:p>
          <w:p>
            <w:pPr>
              <w:pStyle w:val="6"/>
              <w:tabs>
                <w:tab w:val="left" w:pos="981"/>
              </w:tabs>
              <w:ind w:firstLine="482"/>
              <w:jc w:val="center"/>
              <w:rPr>
                <w:rFonts w:ascii="Times New Roman" w:hAnsi="Times New Roman" w:eastAsia="宋体"/>
                <w:color w:val="auto"/>
                <w:szCs w:val="24"/>
              </w:rPr>
            </w:pPr>
            <w:r>
              <w:rPr>
                <w:rFonts w:ascii="Times New Roman" w:hAnsi="Times New Roman" w:eastAsia="宋体"/>
                <w:color w:val="auto"/>
                <w:szCs w:val="24"/>
              </w:rPr>
              <w:t>表</w:t>
            </w:r>
            <w:r>
              <w:rPr>
                <w:rFonts w:ascii="Times New Roman" w:hAnsi="Times New Roman" w:eastAsia="宋体"/>
                <w:color w:val="auto"/>
                <w:spacing w:val="-62"/>
                <w:szCs w:val="24"/>
              </w:rPr>
              <w:t xml:space="preserve"> </w:t>
            </w:r>
            <w:r>
              <w:rPr>
                <w:rFonts w:ascii="Times New Roman" w:hAnsi="Times New Roman" w:eastAsia="宋体"/>
                <w:color w:val="auto"/>
                <w:szCs w:val="24"/>
              </w:rPr>
              <w:t>7-14 本项目四周厂界噪声预测值</w:t>
            </w:r>
          </w:p>
          <w:tbl>
            <w:tblPr>
              <w:tblStyle w:val="39"/>
              <w:tblW w:w="96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1126"/>
              <w:gridCol w:w="919"/>
              <w:gridCol w:w="909"/>
              <w:gridCol w:w="911"/>
              <w:gridCol w:w="926"/>
              <w:gridCol w:w="913"/>
              <w:gridCol w:w="909"/>
              <w:gridCol w:w="913"/>
              <w:gridCol w:w="8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06" w:type="dxa"/>
                  <w:vMerge w:val="restart"/>
                  <w:vAlign w:val="center"/>
                </w:tcPr>
                <w:p>
                  <w:pPr>
                    <w:pStyle w:val="21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噪声源</w:t>
                  </w:r>
                </w:p>
              </w:tc>
              <w:tc>
                <w:tcPr>
                  <w:tcW w:w="1126" w:type="dxa"/>
                  <w:vMerge w:val="restart"/>
                  <w:vAlign w:val="center"/>
                </w:tcPr>
                <w:p>
                  <w:pPr>
                    <w:pStyle w:val="21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降噪后声源值dB（A）</w:t>
                  </w:r>
                </w:p>
              </w:tc>
              <w:tc>
                <w:tcPr>
                  <w:tcW w:w="3665" w:type="dxa"/>
                  <w:gridSpan w:val="4"/>
                  <w:vAlign w:val="center"/>
                </w:tcPr>
                <w:p>
                  <w:pPr>
                    <w:pStyle w:val="21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与各厂界外1m 的距离（m）</w:t>
                  </w:r>
                </w:p>
              </w:tc>
              <w:tc>
                <w:tcPr>
                  <w:tcW w:w="3594" w:type="dxa"/>
                  <w:gridSpan w:val="4"/>
                  <w:vAlign w:val="center"/>
                </w:tcPr>
                <w:p>
                  <w:pPr>
                    <w:pStyle w:val="21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厂界噪声贡献值 dB（A）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06" w:type="dxa"/>
                  <w:vMerge w:val="continue"/>
                  <w:tcBorders>
                    <w:top w:val="nil"/>
                  </w:tcBorders>
                  <w:vAlign w:val="center"/>
                </w:tcPr>
                <w:p>
                  <w:pPr>
                    <w:pStyle w:val="218"/>
                    <w:rPr>
                      <w:rFonts w:hint="default" w:ascii="Times New Roman" w:hAnsi="Times New Roman" w:eastAsia="宋体" w:cs="Times New Roman"/>
                      <w:color w:val="auto"/>
                      <w:sz w:val="21"/>
                      <w:szCs w:val="21"/>
                    </w:rPr>
                  </w:pPr>
                </w:p>
              </w:tc>
              <w:tc>
                <w:tcPr>
                  <w:tcW w:w="1126" w:type="dxa"/>
                  <w:vMerge w:val="continue"/>
                  <w:tcBorders>
                    <w:top w:val="nil"/>
                  </w:tcBorders>
                  <w:vAlign w:val="center"/>
                </w:tcPr>
                <w:p>
                  <w:pPr>
                    <w:pStyle w:val="218"/>
                    <w:rPr>
                      <w:rFonts w:hint="default" w:ascii="Times New Roman" w:hAnsi="Times New Roman" w:eastAsia="宋体" w:cs="Times New Roman"/>
                      <w:color w:val="auto"/>
                      <w:sz w:val="21"/>
                      <w:szCs w:val="21"/>
                    </w:rPr>
                  </w:pPr>
                </w:p>
              </w:tc>
              <w:tc>
                <w:tcPr>
                  <w:tcW w:w="91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911"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9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85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汽车举升设备</w:t>
                  </w:r>
                </w:p>
              </w:tc>
              <w:tc>
                <w:tcPr>
                  <w:tcW w:w="11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91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30.2</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w:t>
                  </w:r>
                </w:p>
              </w:tc>
              <w:tc>
                <w:tcPr>
                  <w:tcW w:w="911"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24.8</w:t>
                  </w:r>
                </w:p>
              </w:tc>
              <w:tc>
                <w:tcPr>
                  <w:tcW w:w="9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30.8</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35.39986</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40.9176</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37.11097</w:t>
                  </w:r>
                </w:p>
              </w:tc>
              <w:tc>
                <w:tcPr>
                  <w:tcW w:w="85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35.22899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CO</w:t>
                  </w:r>
                  <w:r>
                    <w:rPr>
                      <w:rFonts w:ascii="Times New Roman" w:hAnsi="Times New Roman" w:eastAsia="宋体" w:cs="Times New Roman"/>
                      <w:color w:val="auto"/>
                      <w:szCs w:val="21"/>
                      <w:vertAlign w:val="subscript"/>
                    </w:rPr>
                    <w:t>2</w:t>
                  </w:r>
                  <w:r>
                    <w:rPr>
                      <w:rFonts w:ascii="Times New Roman" w:hAnsi="Times New Roman" w:eastAsia="宋体" w:cs="Times New Roman"/>
                      <w:color w:val="auto"/>
                      <w:szCs w:val="21"/>
                    </w:rPr>
                    <w:t>保护焊机</w:t>
                  </w:r>
                </w:p>
              </w:tc>
              <w:tc>
                <w:tcPr>
                  <w:tcW w:w="11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91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19.2</w:t>
                  </w:r>
                </w:p>
              </w:tc>
              <w:tc>
                <w:tcPr>
                  <w:tcW w:w="911"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45.2</w:t>
                  </w:r>
                </w:p>
              </w:tc>
              <w:tc>
                <w:tcPr>
                  <w:tcW w:w="9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15.6</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52.9588</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39.33398</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31.89723</w:t>
                  </w:r>
                </w:p>
              </w:tc>
              <w:tc>
                <w:tcPr>
                  <w:tcW w:w="85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41.13751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空气压缩机</w:t>
                  </w:r>
                </w:p>
              </w:tc>
              <w:tc>
                <w:tcPr>
                  <w:tcW w:w="11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91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911"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38.2</w:t>
                  </w:r>
                </w:p>
              </w:tc>
              <w:tc>
                <w:tcPr>
                  <w:tcW w:w="9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51.0206</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52.9588</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33.35873</w:t>
                  </w:r>
                </w:p>
              </w:tc>
              <w:tc>
                <w:tcPr>
                  <w:tcW w:w="85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34.11864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风机</w:t>
                  </w:r>
                </w:p>
              </w:tc>
              <w:tc>
                <w:tcPr>
                  <w:tcW w:w="11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91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7.2</w:t>
                  </w:r>
                </w:p>
              </w:tc>
              <w:tc>
                <w:tcPr>
                  <w:tcW w:w="911"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8.8</w:t>
                  </w:r>
                </w:p>
              </w:tc>
              <w:tc>
                <w:tcPr>
                  <w:tcW w:w="9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39.6</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55.45757</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47.85335</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46.11034</w:t>
                  </w:r>
                </w:p>
              </w:tc>
              <w:tc>
                <w:tcPr>
                  <w:tcW w:w="85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33.0461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097" w:type="dxa"/>
                  <w:gridSpan w:val="6"/>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本项目噪声贡献值</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58.32</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54.46</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46.96</w:t>
                  </w:r>
                </w:p>
              </w:tc>
              <w:tc>
                <w:tcPr>
                  <w:tcW w:w="85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43.21</w:t>
                  </w:r>
                </w:p>
              </w:tc>
            </w:tr>
          </w:tbl>
          <w:p>
            <w:pPr>
              <w:pStyle w:val="6"/>
              <w:tabs>
                <w:tab w:val="left" w:pos="981"/>
              </w:tabs>
              <w:spacing w:before="156" w:beforeLines="50" w:after="41"/>
              <w:ind w:right="91" w:firstLine="482"/>
              <w:jc w:val="center"/>
              <w:rPr>
                <w:rFonts w:ascii="Times New Roman" w:hAnsi="Times New Roman" w:eastAsia="宋体"/>
                <w:color w:val="auto"/>
                <w:szCs w:val="24"/>
              </w:rPr>
            </w:pPr>
            <w:r>
              <w:rPr>
                <w:rFonts w:ascii="Times New Roman" w:hAnsi="Times New Roman" w:eastAsia="宋体"/>
                <w:color w:val="auto"/>
                <w:szCs w:val="24"/>
              </w:rPr>
              <w:t>表</w:t>
            </w:r>
            <w:r>
              <w:rPr>
                <w:rFonts w:ascii="Times New Roman" w:hAnsi="Times New Roman" w:eastAsia="宋体"/>
                <w:color w:val="auto"/>
                <w:spacing w:val="-62"/>
                <w:szCs w:val="24"/>
              </w:rPr>
              <w:t xml:space="preserve"> </w:t>
            </w:r>
            <w:r>
              <w:rPr>
                <w:rFonts w:ascii="Times New Roman" w:hAnsi="Times New Roman" w:eastAsia="宋体"/>
                <w:color w:val="auto"/>
                <w:szCs w:val="24"/>
              </w:rPr>
              <w:t>7-15  各厂界及保护目标噪声预测值（考虑</w:t>
            </w:r>
            <w:r>
              <w:rPr>
                <w:rFonts w:ascii="Cambria Math" w:hAnsi="Cambria Math" w:eastAsia="宋体" w:cs="Cambria Math"/>
                <w:color w:val="auto"/>
                <w:szCs w:val="24"/>
              </w:rPr>
              <w:t>△</w:t>
            </w:r>
            <w:r>
              <w:rPr>
                <w:rFonts w:ascii="Times New Roman" w:hAnsi="Times New Roman" w:eastAsia="宋体"/>
                <w:color w:val="auto"/>
                <w:szCs w:val="24"/>
              </w:rPr>
              <w:t>L） 单位：dB(A</w:t>
            </w:r>
          </w:p>
          <w:tbl>
            <w:tblPr>
              <w:tblStyle w:val="39"/>
              <w:tblW w:w="96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9"/>
              <w:gridCol w:w="1293"/>
              <w:gridCol w:w="1936"/>
              <w:gridCol w:w="1936"/>
              <w:gridCol w:w="1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预测点</w:t>
                  </w:r>
                </w:p>
              </w:tc>
              <w:tc>
                <w:tcPr>
                  <w:tcW w:w="129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时间段</w:t>
                  </w:r>
                </w:p>
              </w:tc>
              <w:tc>
                <w:tcPr>
                  <w:tcW w:w="1936"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贡献值</w:t>
                  </w:r>
                </w:p>
              </w:tc>
              <w:tc>
                <w:tcPr>
                  <w:tcW w:w="1936"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标准值</w:t>
                  </w:r>
                </w:p>
              </w:tc>
              <w:tc>
                <w:tcPr>
                  <w:tcW w:w="1936"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达标情况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厂界东</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58.32</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厂界南</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54.46</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厂界西</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46.96</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厂界北</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43.21</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国家统计局德宏调查队</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23.51</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芒市人民政府发展和改革局</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15.71</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rPr>
                    <w:t>榕树小区</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19.73</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翡翠小区</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18.20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bl>
          <w:p>
            <w:pPr>
              <w:pStyle w:val="13"/>
              <w:spacing w:before="156" w:beforeLines="50" w:after="0" w:line="360" w:lineRule="auto"/>
              <w:ind w:firstLine="436" w:firstLineChars="200"/>
              <w:rPr>
                <w:color w:val="auto"/>
                <w:spacing w:val="-2"/>
                <w:sz w:val="24"/>
              </w:rPr>
            </w:pPr>
            <w:r>
              <w:rPr>
                <w:color w:val="auto"/>
                <w:spacing w:val="-11"/>
                <w:sz w:val="24"/>
              </w:rPr>
              <w:t>根据预测可知，本项目厂界噪声以及项目区厂界噪声预测值满足《工业企业厂界环境</w:t>
            </w:r>
            <w:r>
              <w:rPr>
                <w:color w:val="auto"/>
                <w:spacing w:val="-18"/>
                <w:sz w:val="24"/>
              </w:rPr>
              <w:t>噪声排放标准》</w:t>
            </w:r>
            <w:r>
              <w:rPr>
                <w:color w:val="auto"/>
                <w:sz w:val="24"/>
              </w:rPr>
              <w:t>（GB12348-2008）2</w:t>
            </w:r>
            <w:r>
              <w:rPr>
                <w:color w:val="auto"/>
                <w:spacing w:val="-1"/>
                <w:sz w:val="24"/>
              </w:rPr>
              <w:t>类标准要求，因此，项目产生的噪声对周边环境影响不</w:t>
            </w:r>
            <w:r>
              <w:rPr>
                <w:color w:val="auto"/>
                <w:spacing w:val="-2"/>
                <w:sz w:val="24"/>
              </w:rPr>
              <w:t>大。</w:t>
            </w:r>
          </w:p>
          <w:p>
            <w:pPr>
              <w:pStyle w:val="13"/>
              <w:spacing w:line="360" w:lineRule="auto"/>
              <w:ind w:firstLine="472" w:firstLineChars="200"/>
              <w:rPr>
                <w:color w:val="auto"/>
                <w:spacing w:val="-12"/>
                <w:sz w:val="24"/>
              </w:rPr>
            </w:pPr>
            <w:r>
              <w:rPr>
                <w:color w:val="auto"/>
                <w:spacing w:val="-2"/>
                <w:sz w:val="24"/>
              </w:rPr>
              <w:t>项目周围噪声敏感目标主要为项目</w:t>
            </w:r>
            <w:r>
              <w:rPr>
                <w:rFonts w:hint="eastAsia"/>
                <w:color w:val="auto"/>
                <w:spacing w:val="-2"/>
                <w:sz w:val="24"/>
              </w:rPr>
              <w:t>东侧5</w:t>
            </w:r>
            <w:r>
              <w:rPr>
                <w:color w:val="auto"/>
                <w:spacing w:val="-2"/>
                <w:sz w:val="24"/>
              </w:rPr>
              <w:t>5</w:t>
            </w:r>
            <w:r>
              <w:rPr>
                <w:rFonts w:hint="eastAsia"/>
                <w:color w:val="auto"/>
                <w:spacing w:val="-2"/>
                <w:sz w:val="24"/>
              </w:rPr>
              <w:t>m的国家统计局德宏调查队、东北侧1</w:t>
            </w:r>
            <w:r>
              <w:rPr>
                <w:color w:val="auto"/>
                <w:spacing w:val="-2"/>
                <w:sz w:val="24"/>
              </w:rPr>
              <w:t>35</w:t>
            </w:r>
            <w:r>
              <w:rPr>
                <w:rFonts w:hint="eastAsia"/>
                <w:color w:val="auto"/>
                <w:spacing w:val="-2"/>
                <w:sz w:val="24"/>
              </w:rPr>
              <w:t>m的芒市人民政府发展和改革局和8</w:t>
            </w:r>
            <w:r>
              <w:rPr>
                <w:color w:val="auto"/>
                <w:spacing w:val="-2"/>
                <w:sz w:val="24"/>
              </w:rPr>
              <w:t>5</w:t>
            </w:r>
            <w:r>
              <w:rPr>
                <w:rFonts w:hint="eastAsia"/>
                <w:color w:val="auto"/>
                <w:spacing w:val="-2"/>
                <w:sz w:val="24"/>
              </w:rPr>
              <w:t>m的榕树小区、南侧6</w:t>
            </w:r>
            <w:r>
              <w:rPr>
                <w:color w:val="auto"/>
                <w:spacing w:val="-2"/>
                <w:sz w:val="24"/>
              </w:rPr>
              <w:t>5</w:t>
            </w:r>
            <w:r>
              <w:rPr>
                <w:rFonts w:hint="eastAsia"/>
                <w:color w:val="auto"/>
                <w:spacing w:val="-2"/>
                <w:sz w:val="24"/>
              </w:rPr>
              <w:t>m的翡翠小区</w:t>
            </w:r>
            <w:r>
              <w:rPr>
                <w:color w:val="auto"/>
                <w:spacing w:val="-12"/>
                <w:sz w:val="24"/>
              </w:rPr>
              <w:t>，根据预测可知，项目区噪声保护目标噪声预测值满足《工业企业厂界环境噪声排放标准》（GB12348-2008）2类标准要求。</w:t>
            </w:r>
          </w:p>
          <w:p>
            <w:pPr>
              <w:pStyle w:val="13"/>
              <w:spacing w:after="0" w:line="360" w:lineRule="auto"/>
              <w:ind w:firstLine="432" w:firstLineChars="200"/>
              <w:rPr>
                <w:color w:val="auto"/>
                <w:sz w:val="24"/>
              </w:rPr>
            </w:pPr>
            <w:r>
              <w:rPr>
                <w:color w:val="auto"/>
                <w:spacing w:val="-12"/>
                <w:sz w:val="24"/>
              </w:rPr>
              <w:t>环评要求项目合理布设生产设</w:t>
            </w:r>
            <w:r>
              <w:rPr>
                <w:color w:val="auto"/>
                <w:spacing w:val="-13"/>
                <w:sz w:val="24"/>
              </w:rPr>
              <w:t>备，采取建筑隔声、基础减震等措施，并设置空压机房，尽量减小项目噪声对周围敏感目</w:t>
            </w:r>
            <w:r>
              <w:rPr>
                <w:color w:val="auto"/>
                <w:sz w:val="24"/>
              </w:rPr>
              <w:t>标的影响。</w:t>
            </w:r>
          </w:p>
          <w:p>
            <w:pPr>
              <w:pStyle w:val="13"/>
              <w:spacing w:after="0" w:line="360" w:lineRule="auto"/>
              <w:ind w:firstLine="460" w:firstLineChars="200"/>
              <w:rPr>
                <w:color w:val="auto"/>
                <w:sz w:val="24"/>
              </w:rPr>
            </w:pPr>
            <w:r>
              <w:rPr>
                <w:color w:val="auto"/>
                <w:spacing w:val="-5"/>
                <w:sz w:val="24"/>
              </w:rPr>
              <w:t>厂区进出车辆噪声约为6</w:t>
            </w:r>
            <w:r>
              <w:rPr>
                <w:color w:val="auto"/>
                <w:sz w:val="24"/>
              </w:rPr>
              <w:t>0</w:t>
            </w:r>
            <w:r>
              <w:rPr>
                <w:color w:val="auto"/>
                <w:spacing w:val="-1"/>
                <w:sz w:val="24"/>
              </w:rPr>
              <w:t>~</w:t>
            </w:r>
            <w:r>
              <w:rPr>
                <w:color w:val="auto"/>
                <w:sz w:val="24"/>
              </w:rPr>
              <w:t>75d</w:t>
            </w:r>
            <w:r>
              <w:rPr>
                <w:color w:val="auto"/>
                <w:spacing w:val="3"/>
                <w:sz w:val="24"/>
              </w:rPr>
              <w:t>B</w:t>
            </w:r>
            <w:r>
              <w:rPr>
                <w:color w:val="auto"/>
                <w:spacing w:val="2"/>
                <w:sz w:val="24"/>
              </w:rPr>
              <w:t>（</w:t>
            </w:r>
            <w:r>
              <w:rPr>
                <w:color w:val="auto"/>
                <w:spacing w:val="1"/>
                <w:sz w:val="24"/>
              </w:rPr>
              <w:t>A</w:t>
            </w:r>
            <w:r>
              <w:rPr>
                <w:color w:val="auto"/>
                <w:spacing w:val="-116"/>
                <w:sz w:val="24"/>
              </w:rPr>
              <w:t>）</w:t>
            </w:r>
            <w:r>
              <w:rPr>
                <w:color w:val="auto"/>
                <w:spacing w:val="1"/>
                <w:sz w:val="24"/>
              </w:rPr>
              <w:t>，其为移动噪声源，影响具有瞬时性。为了减</w:t>
            </w:r>
            <w:r>
              <w:rPr>
                <w:color w:val="auto"/>
                <w:spacing w:val="-7"/>
                <w:sz w:val="24"/>
              </w:rPr>
              <w:t>小进出车辆产生噪声的影响，项目应采取以下措施：进出项目区的车辆必须减速行驶，车</w:t>
            </w:r>
            <w:r>
              <w:rPr>
                <w:color w:val="auto"/>
                <w:spacing w:val="-13"/>
                <w:sz w:val="24"/>
              </w:rPr>
              <w:t>速应低于</w:t>
            </w:r>
            <w:r>
              <w:rPr>
                <w:color w:val="auto"/>
                <w:sz w:val="24"/>
              </w:rPr>
              <w:t>20km/h；车辆进出严禁鸣喇叭。</w:t>
            </w:r>
          </w:p>
          <w:p>
            <w:pPr>
              <w:pStyle w:val="13"/>
              <w:spacing w:after="0" w:line="360" w:lineRule="auto"/>
              <w:ind w:firstLine="440" w:firstLineChars="200"/>
              <w:rPr>
                <w:color w:val="auto"/>
                <w:sz w:val="24"/>
              </w:rPr>
            </w:pPr>
            <w:r>
              <w:rPr>
                <w:color w:val="auto"/>
                <w:spacing w:val="-10"/>
                <w:sz w:val="24"/>
              </w:rPr>
              <w:t>根据以上预测结果，为减小项目运营噪声对周边环境及人员的影响，环评要求建设单</w:t>
            </w:r>
            <w:r>
              <w:rPr>
                <w:color w:val="auto"/>
                <w:sz w:val="24"/>
              </w:rPr>
              <w:t>位严格执行以下措施：</w:t>
            </w:r>
          </w:p>
          <w:p>
            <w:pPr>
              <w:pStyle w:val="225"/>
              <w:tabs>
                <w:tab w:val="left" w:pos="991"/>
              </w:tabs>
              <w:spacing w:before="0" w:line="360" w:lineRule="auto"/>
              <w:ind w:left="0" w:firstLine="480" w:firstLineChars="200"/>
              <w:jc w:val="left"/>
              <w:rPr>
                <w:rFonts w:ascii="Times New Roman" w:hAnsi="Times New Roman" w:cs="Times New Roman"/>
                <w:color w:val="auto"/>
                <w:sz w:val="24"/>
              </w:rPr>
            </w:pPr>
            <w:r>
              <w:rPr>
                <w:rFonts w:hint="eastAsia"/>
                <w:color w:val="auto"/>
                <w:sz w:val="24"/>
              </w:rPr>
              <w:t>①</w:t>
            </w:r>
            <w:r>
              <w:rPr>
                <w:rFonts w:ascii="Times New Roman" w:hAnsi="Times New Roman" w:cs="Times New Roman"/>
                <w:color w:val="auto"/>
                <w:sz w:val="24"/>
              </w:rPr>
              <w:t>在设备选型时：选用噪声小、振动小的设备，确保车间、厂区达到噪声排放标准限值要求。</w:t>
            </w:r>
          </w:p>
          <w:p>
            <w:pPr>
              <w:pStyle w:val="225"/>
              <w:tabs>
                <w:tab w:val="left" w:pos="991"/>
              </w:tabs>
              <w:spacing w:before="0" w:line="360" w:lineRule="auto"/>
              <w:ind w:left="0" w:firstLine="476" w:firstLineChars="200"/>
              <w:jc w:val="left"/>
              <w:rPr>
                <w:rFonts w:ascii="Times New Roman" w:hAnsi="Times New Roman" w:cs="Times New Roman"/>
                <w:color w:val="auto"/>
                <w:sz w:val="24"/>
              </w:rPr>
            </w:pPr>
            <w:r>
              <w:rPr>
                <w:rFonts w:hint="eastAsia"/>
                <w:color w:val="auto"/>
                <w:spacing w:val="-1"/>
                <w:sz w:val="24"/>
              </w:rPr>
              <w:t>②</w:t>
            </w:r>
            <w:r>
              <w:rPr>
                <w:rFonts w:ascii="Times New Roman" w:hAnsi="Times New Roman" w:cs="Times New Roman"/>
                <w:color w:val="auto"/>
                <w:spacing w:val="-1"/>
                <w:sz w:val="24"/>
              </w:rPr>
              <w:t>厂房屏蔽：所有设备均应置于厂房内，并合理布局，尽量布置于厂房内远离环境</w:t>
            </w:r>
            <w:r>
              <w:rPr>
                <w:rFonts w:ascii="Times New Roman" w:hAnsi="Times New Roman" w:cs="Times New Roman"/>
                <w:color w:val="auto"/>
                <w:sz w:val="24"/>
              </w:rPr>
              <w:t>保护目标的一侧，以求减小对环境保护目标的影响；</w:t>
            </w:r>
          </w:p>
          <w:p>
            <w:pPr>
              <w:pStyle w:val="225"/>
              <w:tabs>
                <w:tab w:val="left" w:pos="991"/>
              </w:tabs>
              <w:spacing w:before="0" w:line="360" w:lineRule="auto"/>
              <w:ind w:left="0" w:firstLine="480" w:firstLineChars="200"/>
              <w:jc w:val="left"/>
              <w:rPr>
                <w:rFonts w:ascii="Times New Roman" w:hAnsi="Times New Roman" w:cs="Times New Roman"/>
                <w:color w:val="auto"/>
                <w:sz w:val="24"/>
              </w:rPr>
            </w:pPr>
            <w:r>
              <w:rPr>
                <w:rFonts w:hint="eastAsia"/>
                <w:color w:val="auto"/>
                <w:sz w:val="24"/>
              </w:rPr>
              <w:t>③</w:t>
            </w:r>
            <w:r>
              <w:rPr>
                <w:rFonts w:ascii="Times New Roman" w:hAnsi="Times New Roman" w:cs="Times New Roman"/>
                <w:color w:val="auto"/>
                <w:sz w:val="24"/>
              </w:rPr>
              <w:t>设备减振：对振动较大的设备，应设置减震垫；</w:t>
            </w:r>
          </w:p>
          <w:p>
            <w:pPr>
              <w:pStyle w:val="225"/>
              <w:tabs>
                <w:tab w:val="left" w:pos="991"/>
              </w:tabs>
              <w:spacing w:before="0" w:line="360" w:lineRule="auto"/>
              <w:ind w:left="0" w:firstLine="480" w:firstLineChars="200"/>
              <w:jc w:val="left"/>
              <w:rPr>
                <w:rFonts w:ascii="Times New Roman" w:hAnsi="Times New Roman" w:cs="Times New Roman"/>
                <w:color w:val="auto"/>
                <w:sz w:val="24"/>
              </w:rPr>
            </w:pPr>
            <w:r>
              <w:rPr>
                <w:rFonts w:hint="eastAsia"/>
                <w:color w:val="auto"/>
                <w:sz w:val="24"/>
              </w:rPr>
              <w:t>④</w:t>
            </w:r>
            <w:r>
              <w:rPr>
                <w:rFonts w:ascii="Times New Roman" w:hAnsi="Times New Roman" w:cs="Times New Roman"/>
                <w:color w:val="auto"/>
                <w:sz w:val="24"/>
              </w:rPr>
              <w:t>高噪声设备应单独设置机房，如空压机、风机等。</w:t>
            </w:r>
          </w:p>
          <w:p>
            <w:pPr>
              <w:pStyle w:val="13"/>
              <w:spacing w:after="0" w:line="360" w:lineRule="auto"/>
              <w:ind w:firstLine="440" w:firstLineChars="200"/>
              <w:rPr>
                <w:color w:val="auto"/>
                <w:sz w:val="24"/>
              </w:rPr>
            </w:pPr>
            <w:r>
              <w:rPr>
                <w:color w:val="auto"/>
                <w:spacing w:val="-10"/>
                <w:sz w:val="24"/>
              </w:rPr>
              <w:t>综上所述，项目运营期产生的噪声在采取建筑隔声、距离衰减、空气吸收及必要的降</w:t>
            </w:r>
            <w:r>
              <w:rPr>
                <w:color w:val="auto"/>
                <w:sz w:val="24"/>
              </w:rPr>
              <w:t>噪措施后，对周围声环境影响可降至最小。</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3、运营期水环境影响分析</w:t>
            </w:r>
          </w:p>
          <w:p>
            <w:pPr>
              <w:widowControl/>
              <w:spacing w:line="36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color w:val="auto"/>
                <w:sz w:val="24"/>
              </w:rPr>
              <w:t>本项目运营期废水主要为员工办公、生活废水，来访顾客生活废水。</w:t>
            </w:r>
            <w:r>
              <w:rPr>
                <w:rFonts w:ascii="Times New Roman" w:hAnsi="Times New Roman" w:eastAsia="宋体" w:cs="Times New Roman"/>
                <w:bCs/>
                <w:color w:val="auto"/>
                <w:sz w:val="24"/>
                <w:szCs w:val="32"/>
              </w:rPr>
              <w:t>根据工程分析，</w:t>
            </w:r>
            <w:r>
              <w:rPr>
                <w:rFonts w:ascii="Times New Roman" w:hAnsi="Times New Roman" w:eastAsia="宋体" w:cs="Times New Roman"/>
                <w:bCs/>
                <w:color w:val="auto"/>
                <w:sz w:val="24"/>
              </w:rPr>
              <w:t>项目区产生的废水量为1.392m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/d，0.04176万m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/a。</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3.1废水产排情况及处置措施</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hint="eastAsia" w:ascii="宋体" w:hAnsi="宋体" w:eastAsia="宋体" w:cs="宋体"/>
                <w:b/>
                <w:bCs/>
                <w:color w:val="auto"/>
                <w:sz w:val="24"/>
                <w:szCs w:val="32"/>
              </w:rPr>
              <w:t>①</w:t>
            </w:r>
            <w:r>
              <w:rPr>
                <w:rFonts w:ascii="Times New Roman" w:hAnsi="Times New Roman" w:eastAsia="宋体" w:cs="Times New Roman"/>
                <w:b/>
                <w:bCs/>
                <w:color w:val="auto"/>
                <w:sz w:val="24"/>
                <w:szCs w:val="32"/>
              </w:rPr>
              <w:t>雨水系统</w:t>
            </w:r>
          </w:p>
          <w:p>
            <w:pPr>
              <w:widowControl/>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项目区实行雨污分流制，厂房加盖彩钢瓦</w:t>
            </w:r>
            <w:r>
              <w:rPr>
                <w:rFonts w:ascii="Times New Roman" w:hAnsi="Times New Roman" w:eastAsia="宋体" w:cs="Times New Roman"/>
                <w:bCs/>
                <w:color w:val="auto"/>
                <w:sz w:val="24"/>
              </w:rPr>
              <w:t>。</w:t>
            </w:r>
          </w:p>
          <w:p>
            <w:pPr>
              <w:widowControl/>
              <w:spacing w:line="360" w:lineRule="auto"/>
              <w:ind w:firstLine="482" w:firstLineChars="200"/>
              <w:jc w:val="left"/>
              <w:rPr>
                <w:rFonts w:ascii="Times New Roman" w:hAnsi="Times New Roman" w:eastAsia="宋体" w:cs="Times New Roman"/>
                <w:b/>
                <w:color w:val="auto"/>
                <w:kern w:val="0"/>
                <w:sz w:val="24"/>
              </w:rPr>
            </w:pPr>
            <w:r>
              <w:rPr>
                <w:rFonts w:hint="eastAsia" w:ascii="宋体" w:hAnsi="宋体" w:eastAsia="宋体" w:cs="宋体"/>
                <w:b/>
                <w:color w:val="auto"/>
                <w:kern w:val="0"/>
                <w:sz w:val="24"/>
              </w:rPr>
              <w:t>②</w:t>
            </w:r>
            <w:r>
              <w:rPr>
                <w:rFonts w:ascii="Times New Roman" w:hAnsi="Times New Roman" w:eastAsia="宋体" w:cs="Times New Roman"/>
                <w:b/>
                <w:color w:val="auto"/>
                <w:kern w:val="0"/>
                <w:sz w:val="24"/>
              </w:rPr>
              <w:t>污水系统</w:t>
            </w:r>
          </w:p>
          <w:p>
            <w:pPr>
              <w:widowControl/>
              <w:spacing w:line="360" w:lineRule="auto"/>
              <w:ind w:firstLine="482" w:firstLineChars="200"/>
              <w:jc w:val="left"/>
              <w:rPr>
                <w:rFonts w:ascii="Times New Roman" w:hAnsi="Times New Roman" w:eastAsia="宋体" w:cs="Times New Roman"/>
                <w:bCs/>
                <w:color w:val="auto"/>
                <w:sz w:val="24"/>
              </w:rPr>
            </w:pPr>
            <w:r>
              <w:rPr>
                <w:rFonts w:ascii="Times New Roman" w:hAnsi="Times New Roman" w:eastAsia="宋体" w:cs="Times New Roman"/>
                <w:b/>
                <w:bCs/>
                <w:color w:val="auto"/>
                <w:sz w:val="24"/>
              </w:rPr>
              <w:t>生活污水：</w:t>
            </w:r>
            <w:r>
              <w:rPr>
                <w:rFonts w:ascii="Times New Roman" w:hAnsi="Times New Roman" w:eastAsia="宋体" w:cs="Times New Roman"/>
                <w:bCs/>
                <w:color w:val="auto"/>
                <w:sz w:val="24"/>
              </w:rPr>
              <w:t>排入化粪池（项目区东北侧15m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）处理后</w:t>
            </w:r>
            <w:r>
              <w:rPr>
                <w:rFonts w:hint="eastAsia" w:ascii="Times New Roman" w:hAnsi="Times New Roman" w:eastAsia="宋体" w:cs="Times New Roman"/>
                <w:bCs/>
                <w:color w:val="auto"/>
                <w:sz w:val="24"/>
              </w:rPr>
              <w:t>定期委托环卫部门清掏</w:t>
            </w:r>
            <w:r>
              <w:rPr>
                <w:rFonts w:ascii="Times New Roman" w:hAnsi="Times New Roman" w:eastAsia="宋体" w:cs="Times New Roman"/>
                <w:bCs/>
                <w:color w:val="auto"/>
                <w:sz w:val="24"/>
              </w:rPr>
              <w:t>。</w:t>
            </w:r>
          </w:p>
          <w:p>
            <w:pPr>
              <w:widowControl/>
              <w:spacing w:line="360" w:lineRule="auto"/>
              <w:ind w:firstLine="482" w:firstLineChars="200"/>
              <w:jc w:val="left"/>
              <w:rPr>
                <w:rFonts w:ascii="Times New Roman" w:hAnsi="Times New Roman" w:eastAsia="宋体" w:cs="Times New Roman"/>
                <w:b/>
                <w:color w:val="auto"/>
                <w:sz w:val="24"/>
              </w:rPr>
            </w:pPr>
            <w:r>
              <w:rPr>
                <w:rFonts w:hint="eastAsia" w:ascii="Times New Roman" w:hAnsi="Times New Roman" w:eastAsia="宋体" w:cs="Times New Roman"/>
                <w:b/>
                <w:bCs/>
                <w:color w:val="auto"/>
                <w:sz w:val="24"/>
              </w:rPr>
              <w:t>项目无</w:t>
            </w:r>
            <w:r>
              <w:rPr>
                <w:rFonts w:ascii="Times New Roman" w:hAnsi="Times New Roman" w:eastAsia="宋体" w:cs="Times New Roman"/>
                <w:b/>
                <w:bCs/>
                <w:color w:val="auto"/>
                <w:sz w:val="24"/>
              </w:rPr>
              <w:t>生产废水</w:t>
            </w:r>
            <w:r>
              <w:rPr>
                <w:rFonts w:hint="eastAsia" w:ascii="Times New Roman" w:hAnsi="Times New Roman" w:eastAsia="宋体" w:cs="Times New Roman"/>
                <w:b/>
                <w:bCs/>
                <w:color w:val="auto"/>
                <w:sz w:val="24"/>
              </w:rPr>
              <w:t>产生。</w:t>
            </w:r>
          </w:p>
          <w:p>
            <w:pPr>
              <w:spacing w:line="360" w:lineRule="auto"/>
              <w:ind w:firstLine="482" w:firstLineChars="200"/>
              <w:textAlignment w:val="baseline"/>
              <w:rPr>
                <w:rFonts w:ascii="Times New Roman" w:hAnsi="Times New Roman" w:eastAsia="宋体" w:cs="Times New Roman"/>
                <w:b/>
                <w:color w:val="auto"/>
                <w:sz w:val="24"/>
              </w:rPr>
            </w:pPr>
            <w:r>
              <w:rPr>
                <w:rFonts w:ascii="Times New Roman" w:hAnsi="Times New Roman" w:eastAsia="宋体" w:cs="Times New Roman"/>
                <w:b/>
                <w:color w:val="auto"/>
                <w:sz w:val="24"/>
              </w:rPr>
              <w:t>3.2地表水评价等级</w:t>
            </w:r>
          </w:p>
          <w:p>
            <w:pPr>
              <w:adjustRightInd w:val="0"/>
              <w:snapToGrid w:val="0"/>
              <w:spacing w:line="360" w:lineRule="auto"/>
              <w:ind w:firstLine="480" w:firstLineChars="200"/>
              <w:rPr>
                <w:rFonts w:ascii="Times New Roman" w:hAnsi="Times New Roman" w:eastAsia="宋体" w:cs="Times New Roman"/>
                <w:b/>
                <w:color w:val="auto"/>
                <w:sz w:val="24"/>
              </w:rPr>
            </w:pPr>
            <w:r>
              <w:rPr>
                <w:rFonts w:ascii="Times New Roman" w:hAnsi="Times New Roman" w:eastAsia="宋体" w:cs="Times New Roman"/>
                <w:color w:val="auto"/>
                <w:sz w:val="24"/>
              </w:rPr>
              <w:t>本项目废水不外排，根据《环境影响评价技术导则 地表水环境》（HJ2.3-2018）中5.2 评价等级确定，本项目评价等级为：三级B，三级B不进行地表水环境影响预测，仅对废水间接外排的可行性进行分析及依托污水处理设施环境可行性分析。</w:t>
            </w:r>
          </w:p>
          <w:p>
            <w:pPr>
              <w:autoSpaceDE w:val="0"/>
              <w:autoSpaceDN w:val="0"/>
              <w:adjustRightInd w:val="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表7-16  地表水环境影响等级判定表</w:t>
            </w:r>
          </w:p>
          <w:tbl>
            <w:tblPr>
              <w:tblStyle w:val="40"/>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0"/>
              <w:gridCol w:w="323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Merge w:val="restart"/>
                  <w:vAlign w:val="center"/>
                </w:tcPr>
                <w:p>
                  <w:pPr>
                    <w:autoSpaceDE w:val="0"/>
                    <w:autoSpaceDN w:val="0"/>
                    <w:adjustRightIn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评价等级</w:t>
                  </w:r>
                </w:p>
              </w:tc>
              <w:tc>
                <w:tcPr>
                  <w:tcW w:w="6462" w:type="dxa"/>
                  <w:gridSpan w:val="2"/>
                  <w:vAlign w:val="center"/>
                </w:tcPr>
                <w:p>
                  <w:pPr>
                    <w:autoSpaceDE w:val="0"/>
                    <w:autoSpaceDN w:val="0"/>
                    <w:adjustRightIn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Merge w:val="continue"/>
                  <w:vAlign w:val="center"/>
                </w:tcPr>
                <w:p>
                  <w:pPr>
                    <w:autoSpaceDE w:val="0"/>
                    <w:autoSpaceDN w:val="0"/>
                    <w:adjustRightInd w:val="0"/>
                    <w:jc w:val="center"/>
                    <w:rPr>
                      <w:rFonts w:ascii="Times New Roman" w:hAnsi="Times New Roman" w:eastAsia="宋体" w:cs="Times New Roman"/>
                      <w:color w:val="auto"/>
                      <w:szCs w:val="21"/>
                    </w:rPr>
                  </w:pP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排放方式</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废水排放量Q/（m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/d）</w:t>
                  </w:r>
                </w:p>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水污染物当量数W/（无量纲）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一级</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直接排放</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Q≥20000或W≥600000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二级</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直接排放</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三级A</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直接排放</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Q＜200且W＜6000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三级B</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间接排放</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bl>
          <w:p>
            <w:pPr>
              <w:adjustRightInd w:val="0"/>
              <w:snapToGrid w:val="0"/>
              <w:spacing w:before="156" w:beforeLines="50" w:line="360" w:lineRule="auto"/>
              <w:ind w:firstLine="482" w:firstLineChars="200"/>
              <w:rPr>
                <w:rFonts w:ascii="Times New Roman" w:hAnsi="Times New Roman" w:eastAsia="宋体" w:cs="Times New Roman"/>
                <w:b/>
                <w:color w:val="auto"/>
                <w:sz w:val="24"/>
                <w:lang w:val="zh-CN"/>
              </w:rPr>
            </w:pPr>
            <w:r>
              <w:rPr>
                <w:rFonts w:ascii="Times New Roman" w:hAnsi="Times New Roman" w:eastAsia="宋体" w:cs="Times New Roman"/>
                <w:b/>
                <w:color w:val="auto"/>
                <w:sz w:val="24"/>
              </w:rPr>
              <w:t>3</w:t>
            </w:r>
            <w:r>
              <w:rPr>
                <w:rFonts w:ascii="Times New Roman" w:hAnsi="Times New Roman" w:eastAsia="宋体" w:cs="Times New Roman"/>
                <w:b/>
                <w:color w:val="auto"/>
                <w:sz w:val="24"/>
                <w:lang w:val="zh-CN"/>
              </w:rPr>
              <w:t>.3废水处置措施可行性分析</w:t>
            </w:r>
          </w:p>
          <w:p>
            <w:pPr>
              <w:spacing w:line="360" w:lineRule="auto"/>
              <w:ind w:firstLine="482" w:firstLineChars="200"/>
              <w:rPr>
                <w:rFonts w:ascii="Times New Roman" w:hAnsi="Times New Roman" w:eastAsia="宋体" w:cs="Times New Roman"/>
                <w:b/>
                <w:color w:val="auto"/>
                <w:sz w:val="24"/>
                <w:lang w:val="zh-CN"/>
              </w:rPr>
            </w:pPr>
            <w:r>
              <w:rPr>
                <w:rFonts w:ascii="Times New Roman" w:hAnsi="Times New Roman" w:eastAsia="宋体" w:cs="Times New Roman"/>
                <w:b/>
                <w:color w:val="auto"/>
                <w:sz w:val="24"/>
                <w:lang w:val="zh-CN"/>
              </w:rPr>
              <w:t>化粪池设置合理性分析</w:t>
            </w:r>
          </w:p>
          <w:p>
            <w:pPr>
              <w:spacing w:line="360" w:lineRule="auto"/>
              <w:ind w:firstLine="480" w:firstLineChars="200"/>
              <w:rPr>
                <w:rFonts w:ascii="Times New Roman" w:hAnsi="Times New Roman" w:eastAsia="宋体" w:cs="Times New Roman"/>
                <w:bCs/>
                <w:color w:val="auto"/>
                <w:sz w:val="24"/>
                <w:lang w:val="zh-CN"/>
              </w:rPr>
            </w:pPr>
            <w:r>
              <w:rPr>
                <w:rFonts w:ascii="Times New Roman" w:hAnsi="Times New Roman" w:eastAsia="宋体" w:cs="Times New Roman"/>
                <w:bCs/>
                <w:color w:val="auto"/>
                <w:sz w:val="24"/>
                <w:lang w:val="zh-CN"/>
              </w:rPr>
              <w:t>项目运营期产生的生活污水需采用化粪池进行预处理。根据《建筑给水排水设计规范》（GBJ15-88）要求：化粪池有效停留时间取12～24h。污水的排放量变化大会影响化粪池的污水处理效果，预留污水有效停留时间有利于保证化粪池污水处理效果，因此，本项目化粪池污水有效停留时间应不小于24h。化粪池处理规模以项目运营期的废水产生量为基数并考虑 20%的余量取定。根据水平衡分析本项目运营期生活污水产生量为1.392m</w:t>
            </w:r>
            <w:r>
              <w:rPr>
                <w:rFonts w:ascii="Times New Roman" w:hAnsi="Times New Roman" w:eastAsia="宋体" w:cs="Times New Roman"/>
                <w:bCs/>
                <w:color w:val="auto"/>
                <w:sz w:val="24"/>
                <w:vertAlign w:val="superscript"/>
                <w:lang w:val="zh-CN"/>
              </w:rPr>
              <w:t>3</w:t>
            </w:r>
            <w:r>
              <w:rPr>
                <w:rFonts w:ascii="Times New Roman" w:hAnsi="Times New Roman" w:eastAsia="宋体" w:cs="Times New Roman"/>
                <w:bCs/>
                <w:color w:val="auto"/>
                <w:sz w:val="24"/>
                <w:lang w:val="zh-CN"/>
              </w:rPr>
              <w:t>/d，化粪池有效容积应不小于1.68m</w:t>
            </w:r>
            <w:r>
              <w:rPr>
                <w:rFonts w:ascii="Times New Roman" w:hAnsi="Times New Roman" w:eastAsia="宋体" w:cs="Times New Roman"/>
                <w:bCs/>
                <w:color w:val="auto"/>
                <w:sz w:val="24"/>
                <w:vertAlign w:val="superscript"/>
                <w:lang w:val="zh-CN"/>
              </w:rPr>
              <w:t>3</w:t>
            </w:r>
            <w:r>
              <w:rPr>
                <w:rFonts w:ascii="Times New Roman" w:hAnsi="Times New Roman" w:eastAsia="宋体" w:cs="Times New Roman"/>
                <w:bCs/>
                <w:color w:val="auto"/>
                <w:sz w:val="24"/>
                <w:lang w:val="zh-CN"/>
              </w:rPr>
              <w:t>。</w:t>
            </w:r>
          </w:p>
          <w:p>
            <w:pPr>
              <w:spacing w:line="360" w:lineRule="auto"/>
              <w:ind w:firstLine="480" w:firstLineChars="200"/>
              <w:rPr>
                <w:rFonts w:ascii="Times New Roman" w:hAnsi="Times New Roman" w:eastAsia="宋体" w:cs="Times New Roman"/>
                <w:bCs/>
                <w:color w:val="auto"/>
                <w:sz w:val="24"/>
                <w:lang w:val="zh-CN"/>
              </w:rPr>
            </w:pPr>
            <w:r>
              <w:rPr>
                <w:rFonts w:ascii="Times New Roman" w:hAnsi="Times New Roman" w:eastAsia="宋体" w:cs="Times New Roman"/>
                <w:bCs/>
                <w:color w:val="auto"/>
                <w:sz w:val="24"/>
                <w:lang w:val="zh-CN"/>
              </w:rPr>
              <w:t>目前，项目区东北侧建有1个容积为15m</w:t>
            </w:r>
            <w:r>
              <w:rPr>
                <w:rFonts w:ascii="Times New Roman" w:hAnsi="Times New Roman" w:eastAsia="宋体" w:cs="Times New Roman"/>
                <w:bCs/>
                <w:color w:val="auto"/>
                <w:sz w:val="24"/>
                <w:vertAlign w:val="superscript"/>
                <w:lang w:val="zh-CN"/>
              </w:rPr>
              <w:t>3</w:t>
            </w:r>
            <w:r>
              <w:rPr>
                <w:rFonts w:ascii="Times New Roman" w:hAnsi="Times New Roman" w:eastAsia="宋体" w:cs="Times New Roman"/>
                <w:bCs/>
                <w:color w:val="auto"/>
                <w:sz w:val="24"/>
                <w:lang w:val="zh-CN"/>
              </w:rPr>
              <w:t>的化粪池处理项目产生的生活污水，</w:t>
            </w:r>
            <w:r>
              <w:rPr>
                <w:rFonts w:hint="eastAsia" w:ascii="Times New Roman" w:hAnsi="Times New Roman" w:eastAsia="宋体" w:cs="Times New Roman"/>
                <w:bCs/>
                <w:color w:val="auto"/>
                <w:sz w:val="24"/>
                <w:lang w:val="zh-CN"/>
              </w:rPr>
              <w:t>能够容纳7~</w:t>
            </w:r>
            <w:r>
              <w:rPr>
                <w:rFonts w:ascii="Times New Roman" w:hAnsi="Times New Roman" w:eastAsia="宋体" w:cs="Times New Roman"/>
                <w:bCs/>
                <w:color w:val="auto"/>
                <w:sz w:val="24"/>
                <w:lang w:val="zh-CN"/>
              </w:rPr>
              <w:t>15</w:t>
            </w:r>
            <w:r>
              <w:rPr>
                <w:rFonts w:hint="eastAsia" w:ascii="Times New Roman" w:hAnsi="Times New Roman" w:eastAsia="宋体" w:cs="Times New Roman"/>
                <w:bCs/>
                <w:color w:val="auto"/>
                <w:sz w:val="24"/>
                <w:lang w:val="zh-CN"/>
              </w:rPr>
              <w:t>天的生活污水量，化粪池设置可行</w:t>
            </w:r>
            <w:r>
              <w:rPr>
                <w:rFonts w:ascii="Times New Roman" w:hAnsi="Times New Roman" w:eastAsia="宋体" w:cs="Times New Roman"/>
                <w:bCs/>
                <w:color w:val="auto"/>
                <w:sz w:val="24"/>
                <w:lang w:val="zh-CN"/>
              </w:rPr>
              <w:t>。</w:t>
            </w:r>
          </w:p>
          <w:p>
            <w:pPr>
              <w:pStyle w:val="2"/>
              <w:spacing w:line="360" w:lineRule="auto"/>
              <w:ind w:firstLine="482" w:firstLineChars="200"/>
              <w:rPr>
                <w:rFonts w:ascii="Times New Roman" w:hAnsi="Times New Roman"/>
                <w:b/>
                <w:color w:val="auto"/>
                <w:sz w:val="24"/>
                <w:szCs w:val="24"/>
                <w:lang w:val="zh-CN"/>
              </w:rPr>
            </w:pPr>
            <w:r>
              <w:rPr>
                <w:rFonts w:ascii="Times New Roman" w:hAnsi="Times New Roman"/>
                <w:b/>
                <w:color w:val="auto"/>
                <w:sz w:val="24"/>
                <w:szCs w:val="24"/>
                <w:lang w:val="zh-CN"/>
              </w:rPr>
              <w:t>3.4项目内废水对环境的影响</w:t>
            </w:r>
          </w:p>
          <w:p>
            <w:pPr>
              <w:pStyle w:val="2"/>
              <w:spacing w:line="360" w:lineRule="auto"/>
              <w:ind w:firstLine="482" w:firstLineChars="200"/>
              <w:rPr>
                <w:rFonts w:ascii="Times New Roman" w:hAnsi="Times New Roman"/>
                <w:color w:val="auto"/>
                <w:sz w:val="24"/>
                <w:szCs w:val="24"/>
                <w:lang w:val="zh-CN"/>
              </w:rPr>
            </w:pPr>
            <w:r>
              <w:rPr>
                <w:rFonts w:ascii="Times New Roman" w:hAnsi="Times New Roman"/>
                <w:b/>
                <w:color w:val="auto"/>
                <w:sz w:val="24"/>
                <w:szCs w:val="24"/>
                <w:lang w:val="zh-CN"/>
              </w:rPr>
              <w:t>地表水：</w:t>
            </w:r>
            <w:r>
              <w:rPr>
                <w:rFonts w:ascii="Times New Roman" w:hAnsi="Times New Roman"/>
                <w:color w:val="auto"/>
                <w:sz w:val="24"/>
                <w:szCs w:val="24"/>
                <w:lang w:val="zh-CN"/>
              </w:rPr>
              <w:t>距离项目区最近的地表水体为项目西面约1.5km的芒市大河，本项目位于城市建成区，采用雨污分流制，厂房加盖彩钢瓦。</w:t>
            </w:r>
            <w:commentRangeStart w:id="3"/>
            <w:r>
              <w:rPr>
                <w:rFonts w:ascii="Times New Roman" w:hAnsi="Times New Roman"/>
                <w:color w:val="auto"/>
                <w:sz w:val="24"/>
                <w:szCs w:val="24"/>
                <w:lang w:val="zh-CN"/>
              </w:rPr>
              <w:t>项目产生的生活污水经化粪池处理后</w:t>
            </w:r>
            <w:r>
              <w:rPr>
                <w:rFonts w:hint="eastAsia" w:ascii="Times New Roman" w:hAnsi="Times New Roman"/>
                <w:color w:val="auto"/>
                <w:sz w:val="24"/>
                <w:szCs w:val="24"/>
                <w:lang w:val="zh-CN"/>
              </w:rPr>
              <w:t>定期委托环卫部门清运，不外排</w:t>
            </w:r>
            <w:r>
              <w:rPr>
                <w:rFonts w:ascii="Times New Roman" w:hAnsi="Times New Roman"/>
                <w:color w:val="auto"/>
                <w:sz w:val="24"/>
                <w:szCs w:val="24"/>
                <w:lang w:val="zh-CN"/>
              </w:rPr>
              <w:t>。因此，项目内的污水不会进入芒市大河，对其环境影响较小。</w:t>
            </w:r>
            <w:commentRangeEnd w:id="3"/>
            <w:r>
              <w:rPr>
                <w:color w:val="auto"/>
              </w:rPr>
              <w:commentReference w:id="3"/>
            </w:r>
          </w:p>
          <w:p>
            <w:pPr>
              <w:pStyle w:val="2"/>
              <w:spacing w:line="360" w:lineRule="auto"/>
              <w:ind w:firstLine="482" w:firstLineChars="200"/>
              <w:rPr>
                <w:rFonts w:ascii="Times New Roman" w:hAnsi="Times New Roman"/>
                <w:color w:val="auto"/>
                <w:sz w:val="24"/>
                <w:szCs w:val="24"/>
                <w:lang w:val="zh-CN"/>
              </w:rPr>
            </w:pPr>
            <w:r>
              <w:rPr>
                <w:rFonts w:ascii="Times New Roman" w:hAnsi="Times New Roman"/>
                <w:b/>
                <w:color w:val="auto"/>
                <w:sz w:val="24"/>
                <w:szCs w:val="24"/>
                <w:lang w:val="zh-CN"/>
              </w:rPr>
              <w:t>地下水：</w:t>
            </w:r>
            <w:r>
              <w:rPr>
                <w:rFonts w:ascii="Times New Roman" w:hAnsi="Times New Roman"/>
                <w:color w:val="auto"/>
                <w:sz w:val="24"/>
                <w:szCs w:val="24"/>
                <w:lang w:val="zh-CN"/>
              </w:rPr>
              <w:t>本项目可能会对地下水造成影响的主要为危废渗滤液，渗滤液下渗进入地下水系统，污染地下水水质。项目位于城市建成区，地面已硬化，项目危险废物暂存间设置于厂区西南侧，并做防渗等处理，故危废渗滤液下渗至地表及地下的可能性极小，对地下水的影响轻微。</w:t>
            </w:r>
          </w:p>
          <w:p>
            <w:pPr>
              <w:pStyle w:val="2"/>
              <w:spacing w:line="360" w:lineRule="auto"/>
              <w:ind w:firstLine="480" w:firstLineChars="200"/>
              <w:rPr>
                <w:rFonts w:ascii="Times New Roman" w:hAnsi="Times New Roman"/>
                <w:color w:val="auto"/>
                <w:sz w:val="24"/>
                <w:szCs w:val="24"/>
                <w:lang w:val="zh-CN"/>
              </w:rPr>
            </w:pPr>
            <w:r>
              <w:rPr>
                <w:rFonts w:ascii="Times New Roman" w:hAnsi="Times New Roman"/>
                <w:color w:val="auto"/>
                <w:sz w:val="24"/>
                <w:szCs w:val="24"/>
                <w:lang w:val="zh-CN"/>
              </w:rPr>
              <w:t>综上所述，项目内产生废水能有效处理，对周围地表水、地下水的环境影响较小。</w:t>
            </w:r>
          </w:p>
          <w:p>
            <w:pPr>
              <w:keepNext/>
              <w:keepLines/>
              <w:spacing w:line="360" w:lineRule="auto"/>
              <w:ind w:firstLine="482" w:firstLineChars="200"/>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4、运营期固体废弃物环境影响分析</w:t>
            </w:r>
          </w:p>
          <w:p>
            <w:pPr>
              <w:adjustRightInd w:val="0"/>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（1）固体废物的产生量及种类</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工程分析可知，建设项目产生的固体废物主要包括危险废物、一般固废和生活垃圾。危险废物主要有废油漆桶、废稀释剂桶、废固化剂桶，废机油、废过滤棉，废活性炭，焊渣、废旧电池、UV灯管、废砂纸等；一般固废主要有废旧零部件、包装固废、废含油抹布，废含油棉纱手套、废装饰品等。</w:t>
            </w:r>
          </w:p>
          <w:p>
            <w:pPr>
              <w:adjustRightInd w:val="0"/>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（2）固体废物的危害</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固体废物对环境的影响主要是由于固体废物的堆存及处置方式不当，造成占用土地，破坏景观，污染环境空气、土壤、地表水、地下水等。因此，固体废物需经妥善处置，才可以减少对环境的影响。</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产生的固体废物含有一般固废、危险废物、生活垃圾。其中危险废物的产生种类较多，产生量也不少。危险废物在处置前，必须在厂内堆存一段时间。由于企业产生的危险废物成分复杂，分类收集、分类堆存及管理不当，均有可能对周围景观和环境空气产生一定影响，废物中的有害物质被雨水淋溶排入环境，污染周围地下水和土壤。为防止固体废物无序堆放，企业产生的危险废物应分类收集暂存并及时进行处置。</w:t>
            </w:r>
          </w:p>
          <w:p>
            <w:pPr>
              <w:adjustRightInd w:val="0"/>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（3）固体废物的处理处置</w:t>
            </w:r>
          </w:p>
          <w:p>
            <w:pPr>
              <w:adjustRightInd w:val="0"/>
              <w:snapToGrid w:val="0"/>
              <w:spacing w:line="360" w:lineRule="auto"/>
              <w:ind w:firstLine="482" w:firstLineChars="200"/>
              <w:rPr>
                <w:rFonts w:ascii="Times New Roman" w:hAnsi="Times New Roman" w:eastAsia="宋体" w:cs="Times New Roman"/>
                <w:b/>
                <w:color w:val="auto"/>
                <w:sz w:val="24"/>
              </w:rPr>
            </w:pPr>
            <w:r>
              <w:rPr>
                <w:rFonts w:hint="eastAsia" w:ascii="宋体" w:hAnsi="宋体" w:eastAsia="宋体" w:cs="宋体"/>
                <w:b/>
                <w:color w:val="auto"/>
                <w:sz w:val="24"/>
              </w:rPr>
              <w:t>①</w:t>
            </w:r>
            <w:r>
              <w:rPr>
                <w:rFonts w:ascii="Times New Roman" w:hAnsi="Times New Roman" w:eastAsia="宋体" w:cs="Times New Roman"/>
                <w:b/>
                <w:color w:val="auto"/>
                <w:sz w:val="24"/>
              </w:rPr>
              <w:t>一般固废</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的固体废物种类繁多，对各固体废物均采取了处理处置措施，根据企业实际生产情况并参照同类行业固废的处置方法，废旧零部件和废装饰品收集后交由回收站收购；包装固废集中收集于垃圾桶内委托环卫部门进行清运；项目一般固废的处置率为100%，对环境影响不大。</w:t>
            </w:r>
          </w:p>
          <w:p>
            <w:pPr>
              <w:adjustRightInd w:val="0"/>
              <w:snapToGrid w:val="0"/>
              <w:spacing w:line="360" w:lineRule="auto"/>
              <w:ind w:firstLine="482" w:firstLineChars="200"/>
              <w:rPr>
                <w:rFonts w:ascii="Times New Roman" w:hAnsi="Times New Roman" w:eastAsia="宋体" w:cs="Times New Roman"/>
                <w:b/>
                <w:color w:val="auto"/>
                <w:sz w:val="24"/>
              </w:rPr>
            </w:pPr>
            <w:r>
              <w:rPr>
                <w:rFonts w:hint="eastAsia" w:ascii="宋体" w:hAnsi="宋体" w:eastAsia="宋体" w:cs="宋体"/>
                <w:b/>
                <w:color w:val="auto"/>
                <w:sz w:val="24"/>
              </w:rPr>
              <w:t>②</w:t>
            </w:r>
            <w:r>
              <w:rPr>
                <w:rFonts w:ascii="Times New Roman" w:hAnsi="Times New Roman" w:eastAsia="宋体" w:cs="Times New Roman"/>
                <w:b/>
                <w:color w:val="auto"/>
                <w:sz w:val="24"/>
              </w:rPr>
              <w:t>生活垃圾</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项目产生的生活垃圾需经垃圾袋、桶分类收集投放到指定地点，并同化粪池污泥一起委托环卫部门定期清运收集处理，对环境影响不大。</w:t>
            </w:r>
          </w:p>
          <w:p>
            <w:pPr>
              <w:adjustRightInd w:val="0"/>
              <w:snapToGrid w:val="0"/>
              <w:spacing w:line="360" w:lineRule="auto"/>
              <w:ind w:firstLine="482" w:firstLineChars="200"/>
              <w:rPr>
                <w:rFonts w:ascii="Times New Roman" w:hAnsi="Times New Roman" w:eastAsia="宋体" w:cs="Times New Roman"/>
                <w:b/>
                <w:color w:val="auto"/>
                <w:sz w:val="24"/>
              </w:rPr>
            </w:pPr>
            <w:r>
              <w:rPr>
                <w:rFonts w:hint="eastAsia" w:ascii="宋体" w:hAnsi="宋体" w:eastAsia="宋体" w:cs="宋体"/>
                <w:b/>
                <w:color w:val="auto"/>
                <w:sz w:val="24"/>
              </w:rPr>
              <w:t>③</w:t>
            </w:r>
            <w:r>
              <w:rPr>
                <w:rFonts w:ascii="Times New Roman" w:hAnsi="Times New Roman" w:eastAsia="宋体" w:cs="Times New Roman"/>
                <w:b/>
                <w:color w:val="auto"/>
                <w:sz w:val="24"/>
              </w:rPr>
              <w:t>危险废物</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危险废物按照《危险废物贮存污染控制标准》（GB18597-2001）的要求，项目设置1间建筑面积为33m</w:t>
            </w:r>
            <w:r>
              <w:rPr>
                <w:rFonts w:ascii="Times New Roman" w:hAnsi="Times New Roman" w:eastAsia="宋体" w:cs="Times New Roman"/>
                <w:color w:val="auto"/>
                <w:sz w:val="24"/>
                <w:vertAlign w:val="superscript"/>
              </w:rPr>
              <w:t>2</w:t>
            </w:r>
            <w:r>
              <w:rPr>
                <w:rFonts w:ascii="Times New Roman" w:hAnsi="Times New Roman" w:eastAsia="宋体" w:cs="Times New Roman"/>
                <w:color w:val="auto"/>
                <w:sz w:val="24"/>
              </w:rPr>
              <w:t>的危废暂存间对项目产生的危险废物进行暂存，暂存后定期委托有资质单位处置。危险废物管理过程须做到以下几点：</w:t>
            </w:r>
          </w:p>
          <w:p>
            <w:pPr>
              <w:adjustRightInd w:val="0"/>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A、收集过程：</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项目所产生的危险废物必须单独收集，严禁和一般固体废物混装。</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根据工程分析可知，本项目产生的危险废物包括：HW22 含铜废物（焊渣）、HW49其他废物 900-039-49（废活性炭和废过滤棉）、HW08 废矿物油与含矿物油废物 900-249-08（废机油）、HW49 其他废物 900-041-49（废油漆桶、废稀释剂桶、废固化剂桶、废砂纸）；W49其他废物 900-039-49（废旧电池）共五类，因此，建设单位必须按相应要求分别对各种危险废物进行单独收集，并标明其危险代码，防止混装。</w:t>
            </w:r>
          </w:p>
          <w:p>
            <w:pPr>
              <w:adjustRightInd w:val="0"/>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B、贮存过程：</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Ⅰ、要做好暂存间的防渗、防泄漏工作。</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Ⅱ、废机油需用符合标准的容器盛装，容器上需粘贴符合《危险废物贮存污染控制标准》（GB18597-2001）附录A所示的标签。</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Ⅲ、危废暂存间必须按GB15562.2《环境保护图形标志—固体废物贮存（处置）场》的规定设置警示标志。</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Ⅴ、装载危险废物的容器要满足相应的强度要求，必须完好无损。</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 xml:space="preserve">Ⅵ、盛装危险废物的容器材质和衬里要与危险废物性质相容（不相互反应）。 </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 xml:space="preserve">Ⅶ、盛装危险废物容器都应有防漏裙脚或储漏盘，防漏裙脚或储漏盘的材料要与危险废物相容。 </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Ⅷ、作好危险废物贮存情况的记录，记录上须注明危险废物的名称、来源、数量、特性和包装容器的类别、入库日期、存放库位、废物出库日期及接收单位名称。记录和货单在危险废物处置后继续保留三年。</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Ⅸ、必须定期对所贮存的危险废物包装容器进行检查，发现破损，应及时采取措施清理更换。</w:t>
            </w:r>
          </w:p>
          <w:p>
            <w:pPr>
              <w:adjustRightInd w:val="0"/>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C、委托转移：</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委托有资质的单位处理过程中必须严格按照《危险废物转移联单管理办法》相关要求，严格执行危险废物转移联单制度，设置台账。</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综上所述，本项目产生的各种固体废物中，废旧零部件和废装饰品收集后交由回收站收购；包装固废集中收集于垃圾桶内委托环卫部门清运；生活垃圾经垃圾袋、桶分类收集投放到指定地点，并同化粪池污泥一起委托环卫部门定期清运收集处理。危险废物暂存间严格按照（GB18597-2001）《危险废物贮存污染控制标准》的规定设计建造，</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危险废物分类妥善存储，委托有资质单位进行处置。厂方切实落实好报告提出的管理和处理措施，项目产生的固体废物对环境影响不大。</w:t>
            </w:r>
          </w:p>
          <w:p>
            <w:pPr>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5、土壤环境影响分析</w:t>
            </w:r>
          </w:p>
          <w:p>
            <w:pPr>
              <w:adjustRightInd w:val="0"/>
              <w:snapToGrid w:val="0"/>
              <w:spacing w:line="360" w:lineRule="auto"/>
              <w:ind w:firstLine="480" w:firstLineChars="200"/>
              <w:rPr>
                <w:rFonts w:ascii="Times New Roman" w:hAnsi="Times New Roman" w:eastAsia="宋体" w:cs="Times New Roman"/>
                <w:b/>
                <w:color w:val="auto"/>
                <w:sz w:val="24"/>
              </w:rPr>
            </w:pPr>
            <w:r>
              <w:rPr>
                <w:rFonts w:ascii="Times New Roman" w:hAnsi="Times New Roman" w:eastAsia="宋体" w:cs="Times New Roman"/>
                <w:color w:val="auto"/>
                <w:sz w:val="24"/>
              </w:rPr>
              <w:t>本项目汽修建设项目，总占地面积为1300m</w:t>
            </w:r>
            <w:r>
              <w:rPr>
                <w:rFonts w:ascii="Times New Roman" w:hAnsi="Times New Roman" w:eastAsia="宋体" w:cs="Times New Roman"/>
                <w:color w:val="auto"/>
                <w:sz w:val="24"/>
                <w:vertAlign w:val="superscript"/>
              </w:rPr>
              <w:t>2</w:t>
            </w:r>
            <w:r>
              <w:rPr>
                <w:rFonts w:ascii="Times New Roman" w:hAnsi="Times New Roman" w:eastAsia="宋体" w:cs="Times New Roman"/>
                <w:color w:val="auto"/>
                <w:sz w:val="24"/>
              </w:rPr>
              <w:t>，根据查阅《环境影响评价技术导则 土壤环境（试行）》（HJ 964-2018）附录A表1土壤环境影响评价项目类别，本项目属于社会事业与服务业中其他，土壤环境影响评价项目类别为Ⅳ类，可不开展土壤环境影响评价工作。</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6、地下水环境污染防控措施</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（1）分区防控措施</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本次改造涉及区域，依据生产功能划分，主要是生产、维修、存储、污水处理环节，将改造涉及区域分为重点防渗区、一般防渗区和简单防渗区，其中本项目重点防渗区主要是一般固废和危险固废暂存间，一般防渗区主要是维修区，简单防渗区厂区其余硬化地方。</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（2）已采取的防渗措施</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a、现有的隔油沉淀池、危废暂存间等区域已经采取相应的防渗措施。</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b、厂区已经实施雨污分流，雨水进入周边雨水管网，污水收集处理后进入锦华路（胞波路）污水管网，最后进入芒市第一污水处理厂处理。</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c、现有的危废暂存间设置为封闭式，设有必要的防风、防雨、防晒及防渗漏措施，危废分类暂存，废矿物油和污泥暂存区还设有漏液收集设施，并且液体危险废物装存在专用的收集桶内，安排专人进行管理，加强日常管理，危废暂存间设置符合《危险废物储存污染控制标准》（GB18597-2001）及其修改单相关要求，危险废物委托资质单位清运处置。则项目运营期产生的危险废物对地下水不会造成影响。</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（3）建立地下水环境监测系统</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根据调查，根据区域地下水流向（东北向西南方向），在项目厂区下游设置1个监测井。</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地下水监测频率为每年2次，监测因子为pH、SS、COD、石油类、二甲苯等。</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地下水监测必须由具有资质的监测单位实施，并且要严格按照国家地下水监测的相关技术规范进行，要保证监测的结果真实可信。</w:t>
            </w:r>
          </w:p>
          <w:p>
            <w:pPr>
              <w:spacing w:line="360" w:lineRule="auto"/>
              <w:ind w:firstLine="482"/>
              <w:rPr>
                <w:rFonts w:ascii="Times New Roman" w:hAnsi="Times New Roman" w:eastAsia="宋体" w:cs="Times New Roman"/>
                <w:b/>
                <w:bCs/>
                <w:color w:val="auto"/>
                <w:sz w:val="24"/>
              </w:rPr>
            </w:pPr>
            <w:r>
              <w:rPr>
                <w:rFonts w:ascii="Times New Roman" w:hAnsi="Times New Roman" w:eastAsia="宋体" w:cs="Times New Roman"/>
                <w:b/>
                <w:bCs/>
                <w:color w:val="auto"/>
                <w:sz w:val="24"/>
              </w:rPr>
              <w:t>7、环境风险影响分析</w:t>
            </w:r>
            <w:bookmarkStart w:id="32" w:name="_Toc20790"/>
            <w:bookmarkStart w:id="33" w:name="_Toc3120"/>
          </w:p>
          <w:p>
            <w:pPr>
              <w:spacing w:line="360" w:lineRule="auto"/>
              <w:ind w:firstLine="482"/>
              <w:rPr>
                <w:rFonts w:ascii="Times New Roman" w:hAnsi="Times New Roman" w:eastAsia="宋体" w:cs="Times New Roman"/>
                <w:b/>
                <w:bCs/>
                <w:color w:val="auto"/>
                <w:sz w:val="24"/>
              </w:rPr>
            </w:pPr>
            <w:r>
              <w:rPr>
                <w:rFonts w:ascii="Times New Roman" w:hAnsi="Times New Roman" w:eastAsia="宋体" w:cs="Times New Roman"/>
                <w:b/>
                <w:bCs/>
                <w:color w:val="auto"/>
                <w:sz w:val="24"/>
              </w:rPr>
              <w:t>（1）物质危险性识别</w:t>
            </w:r>
          </w:p>
          <w:p>
            <w:pPr>
              <w:spacing w:line="360" w:lineRule="auto"/>
              <w:ind w:firstLine="482"/>
              <w:rPr>
                <w:rFonts w:ascii="Times New Roman" w:hAnsi="Times New Roman" w:eastAsia="宋体" w:cs="Times New Roman"/>
                <w:color w:val="auto"/>
                <w:sz w:val="24"/>
              </w:rPr>
            </w:pPr>
            <w:r>
              <w:rPr>
                <w:rFonts w:ascii="Times New Roman" w:hAnsi="Times New Roman" w:eastAsia="宋体" w:cs="Times New Roman"/>
                <w:color w:val="auto"/>
                <w:sz w:val="24"/>
              </w:rPr>
              <w:t>根据本项目的工艺特点，本项目喷漆过程中使用的油漆和稀释剂属于有毒有害、易燃物质，机油属于易燃物质，在油漆、稀释剂、机油等贮运、应用等环节存在着对人类生活及周围环境污染的潜在危害，必须按照有关规定进行管理。</w:t>
            </w:r>
          </w:p>
          <w:p>
            <w:pPr>
              <w:spacing w:line="360" w:lineRule="auto"/>
              <w:ind w:firstLine="482"/>
              <w:rPr>
                <w:rFonts w:ascii="Times New Roman" w:hAnsi="Times New Roman" w:eastAsia="宋体" w:cs="Times New Roman"/>
                <w:b/>
                <w:bCs/>
                <w:color w:val="auto"/>
                <w:sz w:val="24"/>
              </w:rPr>
            </w:pPr>
            <w:r>
              <w:rPr>
                <w:rFonts w:ascii="Times New Roman" w:hAnsi="Times New Roman" w:eastAsia="宋体" w:cs="Times New Roman"/>
                <w:b/>
                <w:bCs/>
                <w:color w:val="auto"/>
                <w:sz w:val="24"/>
              </w:rPr>
              <w:t>（2）重大危险源识别</w:t>
            </w:r>
          </w:p>
          <w:p>
            <w:pPr>
              <w:spacing w:line="360" w:lineRule="auto"/>
              <w:ind w:firstLine="482"/>
              <w:rPr>
                <w:rFonts w:ascii="Times New Roman" w:hAnsi="Times New Roman" w:eastAsia="宋体" w:cs="Times New Roman"/>
                <w:color w:val="auto"/>
                <w:sz w:val="24"/>
              </w:rPr>
            </w:pPr>
            <w:r>
              <w:rPr>
                <w:rFonts w:ascii="Times New Roman" w:hAnsi="Times New Roman" w:eastAsia="宋体" w:cs="Times New Roman"/>
                <w:color w:val="auto"/>
                <w:sz w:val="24"/>
              </w:rPr>
              <w:t>项目内油漆及稀释剂预计最大储存量为0.37t，存放量较少。根据《危险化学品重大危险源辨识》GB18218-2018中易燃液体：23℃≤闪点＜60℃的液体临界量为5000t，油漆和稀释剂日常存储了远小于临界量，不构成为重大危险源。</w:t>
            </w:r>
          </w:p>
          <w:p>
            <w:pPr>
              <w:spacing w:line="360" w:lineRule="auto"/>
              <w:ind w:firstLine="482"/>
              <w:rPr>
                <w:rFonts w:ascii="Times New Roman" w:hAnsi="Times New Roman" w:eastAsia="宋体" w:cs="Times New Roman"/>
                <w:b/>
                <w:bCs/>
                <w:color w:val="auto"/>
                <w:sz w:val="24"/>
              </w:rPr>
            </w:pPr>
            <w:r>
              <w:rPr>
                <w:rFonts w:ascii="Times New Roman" w:hAnsi="Times New Roman" w:eastAsia="宋体" w:cs="Times New Roman"/>
                <w:b/>
                <w:bCs/>
                <w:color w:val="auto"/>
                <w:sz w:val="24"/>
              </w:rPr>
              <w:t>（3）环境风险评价</w:t>
            </w:r>
          </w:p>
          <w:p>
            <w:pPr>
              <w:spacing w:line="360" w:lineRule="auto"/>
              <w:ind w:firstLine="482"/>
              <w:rPr>
                <w:rFonts w:ascii="Times New Roman" w:hAnsi="Times New Roman" w:eastAsia="宋体" w:cs="Times New Roman"/>
                <w:color w:val="auto"/>
                <w:sz w:val="24"/>
              </w:rPr>
            </w:pPr>
            <w:r>
              <w:rPr>
                <w:rFonts w:ascii="Times New Roman" w:hAnsi="Times New Roman" w:eastAsia="宋体" w:cs="Times New Roman"/>
                <w:color w:val="auto"/>
                <w:sz w:val="24"/>
              </w:rPr>
              <w:t>项目在原料油漆、稀释剂在储存和使用过程发生泄漏，有毒有害物质会对人员造成伤害， 对地表水、土壤及大气污染；机油在储存中发生火灾时，产生的有害气体易造成环境空气污染，发生火灾对人员伤害。</w:t>
            </w:r>
          </w:p>
          <w:p>
            <w:pPr>
              <w:spacing w:line="360" w:lineRule="auto"/>
              <w:ind w:firstLine="482"/>
              <w:rPr>
                <w:rFonts w:ascii="Times New Roman" w:hAnsi="Times New Roman" w:eastAsia="宋体" w:cs="Times New Roman"/>
                <w:b/>
                <w:bCs/>
                <w:color w:val="auto"/>
                <w:sz w:val="24"/>
              </w:rPr>
            </w:pPr>
            <w:r>
              <w:rPr>
                <w:rFonts w:ascii="Times New Roman" w:hAnsi="Times New Roman" w:eastAsia="宋体" w:cs="Times New Roman"/>
                <w:b/>
                <w:bCs/>
                <w:color w:val="auto"/>
                <w:sz w:val="24"/>
              </w:rPr>
              <w:t>（4）评价等级</w:t>
            </w:r>
          </w:p>
          <w:p>
            <w:pPr>
              <w:spacing w:line="360" w:lineRule="auto"/>
              <w:ind w:firstLine="482"/>
              <w:rPr>
                <w:rFonts w:ascii="Times New Roman" w:hAnsi="Times New Roman" w:eastAsia="宋体" w:cs="Times New Roman"/>
                <w:color w:val="auto"/>
                <w:sz w:val="24"/>
              </w:rPr>
            </w:pPr>
            <w:r>
              <w:rPr>
                <w:rFonts w:ascii="Times New Roman" w:hAnsi="Times New Roman" w:eastAsia="宋体" w:cs="Times New Roman"/>
                <w:color w:val="auto"/>
                <w:sz w:val="24"/>
              </w:rPr>
              <w:t>根据《建设项目环境风险评价技术导则》（HJ/T169-2018），环境风险评价工作等级划分情况见下表：</w:t>
            </w:r>
            <w:bookmarkEnd w:id="32"/>
            <w:bookmarkEnd w:id="33"/>
            <w:r>
              <w:rPr>
                <w:rFonts w:ascii="Times New Roman" w:hAnsi="Times New Roman" w:eastAsia="宋体" w:cs="Times New Roman"/>
                <w:color w:val="auto"/>
                <w:sz w:val="24"/>
              </w:rPr>
              <w:t xml:space="preserve"> </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表7-17 评价工作级别判定表</w:t>
            </w:r>
          </w:p>
          <w:tbl>
            <w:tblPr>
              <w:tblStyle w:val="39"/>
              <w:tblW w:w="9693" w:type="dxa"/>
              <w:jc w:val="center"/>
              <w:tblLayout w:type="fixed"/>
              <w:tblCellMar>
                <w:top w:w="0" w:type="dxa"/>
                <w:left w:w="0" w:type="dxa"/>
                <w:bottom w:w="0" w:type="dxa"/>
                <w:right w:w="0" w:type="dxa"/>
              </w:tblCellMar>
            </w:tblPr>
            <w:tblGrid>
              <w:gridCol w:w="1683"/>
              <w:gridCol w:w="1946"/>
              <w:gridCol w:w="2103"/>
              <w:gridCol w:w="2115"/>
              <w:gridCol w:w="1846"/>
            </w:tblGrid>
            <w:tr>
              <w:tblPrEx>
                <w:tblCellMar>
                  <w:top w:w="0" w:type="dxa"/>
                  <w:left w:w="0" w:type="dxa"/>
                  <w:bottom w:w="0" w:type="dxa"/>
                  <w:right w:w="0" w:type="dxa"/>
                </w:tblCellMar>
              </w:tblPrEx>
              <w:trPr>
                <w:trHeight w:val="363" w:hRule="atLeast"/>
                <w:jc w:val="center"/>
              </w:trPr>
              <w:tc>
                <w:tcPr>
                  <w:tcW w:w="1683" w:type="dxa"/>
                  <w:tcBorders>
                    <w:top w:val="single" w:color="000000" w:sz="4" w:space="0"/>
                    <w:left w:val="single" w:color="000000" w:sz="4" w:space="0"/>
                    <w:right w:val="single" w:color="000000" w:sz="4" w:space="0"/>
                  </w:tcBorders>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环境风险潜势</w:t>
                  </w:r>
                </w:p>
              </w:tc>
              <w:tc>
                <w:tcPr>
                  <w:tcW w:w="1946" w:type="dxa"/>
                  <w:tcBorders>
                    <w:top w:val="single" w:color="000000" w:sz="4" w:space="0"/>
                    <w:left w:val="single" w:color="000000" w:sz="4" w:space="0"/>
                    <w:bottom w:val="single" w:color="000000" w:sz="4" w:space="0"/>
                    <w:right w:val="single" w:color="auto" w:sz="4" w:space="0"/>
                  </w:tcBorders>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rPr>
                    <w:t>Ⅳ、Ⅳ</w:t>
                  </w:r>
                  <w:r>
                    <w:rPr>
                      <w:rFonts w:hint="default" w:ascii="Times New Roman" w:hAnsi="Times New Roman" w:eastAsia="宋体" w:cs="Times New Roman"/>
                      <w:color w:val="auto"/>
                      <w:vertAlign w:val="superscript"/>
                    </w:rPr>
                    <w:t>+</w:t>
                  </w:r>
                </w:p>
              </w:tc>
              <w:tc>
                <w:tcPr>
                  <w:tcW w:w="2103" w:type="dxa"/>
                  <w:tcBorders>
                    <w:top w:val="single" w:color="000000" w:sz="4" w:space="0"/>
                    <w:left w:val="single" w:color="auto" w:sz="4" w:space="0"/>
                    <w:bottom w:val="single" w:color="000000" w:sz="4" w:space="0"/>
                    <w:right w:val="single" w:color="auto" w:sz="4" w:space="0"/>
                  </w:tcBorders>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rPr>
                    <w:t>Ⅲ</w:t>
                  </w:r>
                </w:p>
              </w:tc>
              <w:tc>
                <w:tcPr>
                  <w:tcW w:w="2115" w:type="dxa"/>
                  <w:tcBorders>
                    <w:top w:val="single" w:color="000000" w:sz="4" w:space="0"/>
                    <w:left w:val="single" w:color="auto" w:sz="4" w:space="0"/>
                    <w:bottom w:val="single" w:color="000000" w:sz="4" w:space="0"/>
                    <w:right w:val="single" w:color="auto" w:sz="4" w:space="0"/>
                  </w:tcBorders>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rPr>
                    <w:t>Ⅱ</w:t>
                  </w:r>
                </w:p>
              </w:tc>
              <w:tc>
                <w:tcPr>
                  <w:tcW w:w="1846" w:type="dxa"/>
                  <w:tcBorders>
                    <w:top w:val="single" w:color="000000" w:sz="4" w:space="0"/>
                    <w:left w:val="single" w:color="auto" w:sz="4" w:space="0"/>
                    <w:bottom w:val="single" w:color="000000" w:sz="4" w:space="0"/>
                    <w:right w:val="single" w:color="000000" w:sz="4" w:space="0"/>
                  </w:tcBorders>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rPr>
                    <w:t>Ⅰ</w:t>
                  </w:r>
                </w:p>
              </w:tc>
            </w:tr>
            <w:tr>
              <w:trPr>
                <w:trHeight w:val="363"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评价工作等级</w:t>
                  </w:r>
                </w:p>
              </w:tc>
              <w:tc>
                <w:tcPr>
                  <w:tcW w:w="1946" w:type="dxa"/>
                  <w:tcBorders>
                    <w:top w:val="single" w:color="000000" w:sz="4" w:space="0"/>
                    <w:left w:val="single" w:color="000000" w:sz="4" w:space="0"/>
                    <w:bottom w:val="single" w:color="000000" w:sz="4" w:space="0"/>
                    <w:right w:val="single" w:color="auto" w:sz="4" w:space="0"/>
                  </w:tcBorders>
                  <w:shd w:val="clear" w:color="auto" w:fill="auto"/>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一</w:t>
                  </w:r>
                </w:p>
              </w:tc>
              <w:tc>
                <w:tcPr>
                  <w:tcW w:w="2103"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二</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三</w:t>
                  </w:r>
                </w:p>
              </w:tc>
              <w:tc>
                <w:tcPr>
                  <w:tcW w:w="1846" w:type="dxa"/>
                  <w:tcBorders>
                    <w:top w:val="single" w:color="000000" w:sz="4" w:space="0"/>
                    <w:left w:val="single" w:color="000000" w:sz="4" w:space="0"/>
                    <w:bottom w:val="single" w:color="000000" w:sz="4" w:space="0"/>
                    <w:right w:val="single" w:color="000000" w:sz="4" w:space="0"/>
                  </w:tcBorders>
                  <w:shd w:val="clear" w:color="auto" w:fill="D6D6D6"/>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简单分析</w:t>
                  </w:r>
                  <w:r>
                    <w:rPr>
                      <w:rFonts w:hint="default" w:ascii="Times New Roman" w:hAnsi="Times New Roman" w:eastAsia="宋体" w:cs="Times New Roman"/>
                      <w:color w:val="auto"/>
                      <w:sz w:val="21"/>
                      <w:vertAlign w:val="superscript"/>
                    </w:rPr>
                    <w:t>a</w:t>
                  </w:r>
                </w:p>
              </w:tc>
            </w:tr>
            <w:tr>
              <w:trPr>
                <w:trHeight w:val="363" w:hRule="atLeast"/>
                <w:jc w:val="center"/>
              </w:trPr>
              <w:tc>
                <w:tcPr>
                  <w:tcW w:w="9693" w:type="dxa"/>
                  <w:gridSpan w:val="5"/>
                  <w:tcBorders>
                    <w:top w:val="single" w:color="000000" w:sz="4" w:space="0"/>
                    <w:left w:val="single" w:color="000000" w:sz="4" w:space="0"/>
                    <w:bottom w:val="single" w:color="000000" w:sz="4" w:space="0"/>
                    <w:right w:val="single" w:color="000000" w:sz="4" w:space="0"/>
                  </w:tcBorders>
                  <w:vAlign w:val="center"/>
                </w:tcPr>
                <w:p>
                  <w:pPr>
                    <w:pStyle w:val="218"/>
                    <w:jc w:val="left"/>
                    <w:rPr>
                      <w:rFonts w:hint="default" w:ascii="Times New Roman" w:hAnsi="Times New Roman" w:eastAsia="宋体" w:cs="Times New Roman"/>
                      <w:color w:val="auto"/>
                      <w:sz w:val="21"/>
                    </w:rPr>
                  </w:pPr>
                  <w:r>
                    <w:rPr>
                      <w:rFonts w:hint="default" w:ascii="Times New Roman" w:hAnsi="Times New Roman" w:eastAsia="宋体" w:cs="Times New Roman"/>
                      <w:color w:val="auto"/>
                      <w:sz w:val="21"/>
                      <w:vertAlign w:val="superscript"/>
                    </w:rPr>
                    <w:t>a</w:t>
                  </w:r>
                  <w:r>
                    <w:rPr>
                      <w:rFonts w:hint="default" w:ascii="Times New Roman" w:hAnsi="Times New Roman" w:eastAsia="宋体" w:cs="Times New Roman"/>
                      <w:color w:val="auto"/>
                      <w:sz w:val="21"/>
                    </w:rPr>
                    <w:t>是相当于详细评价工作内容而言，在描述危险物质、环境影响途径、环境危害后果、风险防范措施等方面给出定性的说明。见附录A。</w:t>
                  </w:r>
                </w:p>
              </w:tc>
            </w:tr>
          </w:tbl>
          <w:p>
            <w:pPr>
              <w:spacing w:before="156" w:beforeLines="50"/>
              <w:jc w:val="center"/>
              <w:rPr>
                <w:rFonts w:ascii="Times New Roman" w:hAnsi="Times New Roman" w:eastAsia="宋体" w:cs="Times New Roman"/>
                <w:b/>
                <w:bCs/>
                <w:color w:val="auto"/>
                <w:sz w:val="24"/>
              </w:rPr>
            </w:pPr>
            <w:bookmarkStart w:id="34" w:name="_Toc9422"/>
            <w:bookmarkStart w:id="35" w:name="_Toc28828"/>
            <w:bookmarkStart w:id="36" w:name="_Toc11592"/>
            <w:r>
              <w:rPr>
                <w:rFonts w:ascii="Times New Roman" w:hAnsi="Times New Roman" w:eastAsia="宋体" w:cs="Times New Roman"/>
                <w:b/>
                <w:bCs/>
                <w:color w:val="auto"/>
                <w:sz w:val="24"/>
              </w:rPr>
              <w:t>表7-18  建设项目环境风险潜势划分</w:t>
            </w:r>
          </w:p>
          <w:tbl>
            <w:tblPr>
              <w:tblStyle w:val="39"/>
              <w:tblW w:w="96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1"/>
              <w:gridCol w:w="1836"/>
              <w:gridCol w:w="1945"/>
              <w:gridCol w:w="1947"/>
              <w:gridCol w:w="1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261" w:type="dxa"/>
                  <w:vMerge w:val="restart"/>
                </w:tcPr>
                <w:p>
                  <w:pPr>
                    <w:pStyle w:val="218"/>
                    <w:spacing w:before="6"/>
                    <w:rPr>
                      <w:rFonts w:hint="default" w:ascii="Times New Roman" w:hAnsi="Times New Roman" w:eastAsia="宋体" w:cs="Times New Roman"/>
                      <w:b/>
                      <w:color w:val="auto"/>
                      <w:sz w:val="20"/>
                    </w:rPr>
                  </w:pPr>
                </w:p>
                <w:p>
                  <w:pPr>
                    <w:pStyle w:val="218"/>
                    <w:ind w:left="594"/>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环境敏感程度</w:t>
                  </w:r>
                </w:p>
              </w:tc>
              <w:tc>
                <w:tcPr>
                  <w:tcW w:w="7434" w:type="dxa"/>
                  <w:gridSpan w:val="4"/>
                </w:tcPr>
                <w:p>
                  <w:pPr>
                    <w:pStyle w:val="218"/>
                    <w:spacing w:before="78" w:line="262" w:lineRule="exact"/>
                    <w:ind w:left="2476" w:right="2249"/>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危险物质及工艺系统危险性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261" w:type="dxa"/>
                  <w:vMerge w:val="continue"/>
                  <w:tcBorders>
                    <w:top w:val="nil"/>
                  </w:tcBorders>
                </w:tcPr>
                <w:p>
                  <w:pPr>
                    <w:rPr>
                      <w:rFonts w:ascii="Times New Roman" w:hAnsi="Times New Roman" w:eastAsia="宋体" w:cs="Times New Roman"/>
                      <w:color w:val="auto"/>
                      <w:sz w:val="2"/>
                      <w:szCs w:val="2"/>
                    </w:rPr>
                  </w:pPr>
                </w:p>
              </w:tc>
              <w:tc>
                <w:tcPr>
                  <w:tcW w:w="1836" w:type="dxa"/>
                </w:tcPr>
                <w:p>
                  <w:pPr>
                    <w:pStyle w:val="218"/>
                    <w:spacing w:before="77" w:line="262" w:lineRule="exact"/>
                    <w:ind w:left="106"/>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极高危害（P1）</w:t>
                  </w:r>
                </w:p>
              </w:tc>
              <w:tc>
                <w:tcPr>
                  <w:tcW w:w="1945" w:type="dxa"/>
                </w:tcPr>
                <w:p>
                  <w:pPr>
                    <w:pStyle w:val="218"/>
                    <w:spacing w:before="77" w:line="262" w:lineRule="exact"/>
                    <w:ind w:left="297" w:right="69"/>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高度危害（P2）</w:t>
                  </w:r>
                </w:p>
              </w:tc>
              <w:tc>
                <w:tcPr>
                  <w:tcW w:w="1947" w:type="dxa"/>
                </w:tcPr>
                <w:p>
                  <w:pPr>
                    <w:pStyle w:val="218"/>
                    <w:spacing w:before="77" w:line="262" w:lineRule="exact"/>
                    <w:ind w:left="298" w:right="70"/>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中度危害（P3）</w:t>
                  </w:r>
                </w:p>
              </w:tc>
              <w:tc>
                <w:tcPr>
                  <w:tcW w:w="1706" w:type="dxa"/>
                </w:tcPr>
                <w:p>
                  <w:pPr>
                    <w:pStyle w:val="218"/>
                    <w:spacing w:before="77" w:line="262" w:lineRule="exact"/>
                    <w:ind w:left="107"/>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轻度危害（P4）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261" w:type="dxa"/>
                </w:tcPr>
                <w:p>
                  <w:pPr>
                    <w:pStyle w:val="218"/>
                    <w:spacing w:before="77" w:line="263" w:lineRule="exact"/>
                    <w:jc w:val="right"/>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环境高度敏感区（E1）</w:t>
                  </w:r>
                </w:p>
              </w:tc>
              <w:tc>
                <w:tcPr>
                  <w:tcW w:w="1836" w:type="dxa"/>
                </w:tcPr>
                <w:p>
                  <w:pPr>
                    <w:pStyle w:val="218"/>
                    <w:spacing w:before="77" w:line="263" w:lineRule="exact"/>
                    <w:ind w:left="816" w:right="59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Ⅳ+</w:t>
                  </w:r>
                </w:p>
              </w:tc>
              <w:tc>
                <w:tcPr>
                  <w:tcW w:w="1945" w:type="dxa"/>
                </w:tcPr>
                <w:p>
                  <w:pPr>
                    <w:pStyle w:val="218"/>
                    <w:spacing w:before="77" w:line="263" w:lineRule="exact"/>
                    <w:ind w:left="218"/>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Ⅳ</w:t>
                  </w:r>
                </w:p>
              </w:tc>
              <w:tc>
                <w:tcPr>
                  <w:tcW w:w="1947" w:type="dxa"/>
                </w:tcPr>
                <w:p>
                  <w:pPr>
                    <w:pStyle w:val="218"/>
                    <w:spacing w:before="91"/>
                    <w:ind w:left="217"/>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Ш</w:t>
                  </w:r>
                </w:p>
              </w:tc>
              <w:tc>
                <w:tcPr>
                  <w:tcW w:w="1706" w:type="dxa"/>
                </w:tcPr>
                <w:p>
                  <w:pPr>
                    <w:pStyle w:val="218"/>
                    <w:spacing w:before="91"/>
                    <w:ind w:left="218"/>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261" w:type="dxa"/>
                </w:tcPr>
                <w:p>
                  <w:pPr>
                    <w:pStyle w:val="218"/>
                    <w:spacing w:before="79" w:line="261" w:lineRule="exact"/>
                    <w:jc w:val="right"/>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环境中度敏感区（E2）</w:t>
                  </w:r>
                </w:p>
              </w:tc>
              <w:tc>
                <w:tcPr>
                  <w:tcW w:w="1836" w:type="dxa"/>
                </w:tcPr>
                <w:p>
                  <w:pPr>
                    <w:pStyle w:val="218"/>
                    <w:spacing w:before="79" w:line="261" w:lineRule="exact"/>
                    <w:ind w:left="218"/>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Ⅳ</w:t>
                  </w:r>
                </w:p>
              </w:tc>
              <w:tc>
                <w:tcPr>
                  <w:tcW w:w="1945" w:type="dxa"/>
                </w:tcPr>
                <w:p>
                  <w:pPr>
                    <w:pStyle w:val="218"/>
                    <w:spacing w:before="93"/>
                    <w:ind w:left="220"/>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Ш</w:t>
                  </w:r>
                </w:p>
              </w:tc>
              <w:tc>
                <w:tcPr>
                  <w:tcW w:w="1947" w:type="dxa"/>
                </w:tcPr>
                <w:p>
                  <w:pPr>
                    <w:pStyle w:val="218"/>
                    <w:spacing w:before="93"/>
                    <w:ind w:left="217"/>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Ш</w:t>
                  </w:r>
                </w:p>
              </w:tc>
              <w:tc>
                <w:tcPr>
                  <w:tcW w:w="1706" w:type="dxa"/>
                </w:tcPr>
                <w:p>
                  <w:pPr>
                    <w:pStyle w:val="218"/>
                    <w:spacing w:before="79" w:line="261" w:lineRule="exact"/>
                    <w:ind w:left="216"/>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261" w:type="dxa"/>
                </w:tcPr>
                <w:p>
                  <w:pPr>
                    <w:pStyle w:val="218"/>
                    <w:spacing w:before="79" w:line="261" w:lineRule="exact"/>
                    <w:jc w:val="right"/>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环境低度敏感区（E3）</w:t>
                  </w:r>
                </w:p>
              </w:tc>
              <w:tc>
                <w:tcPr>
                  <w:tcW w:w="1836" w:type="dxa"/>
                </w:tcPr>
                <w:p>
                  <w:pPr>
                    <w:pStyle w:val="218"/>
                    <w:spacing w:before="92"/>
                    <w:ind w:left="220"/>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Ш</w:t>
                  </w:r>
                </w:p>
              </w:tc>
              <w:tc>
                <w:tcPr>
                  <w:tcW w:w="1945" w:type="dxa"/>
                </w:tcPr>
                <w:p>
                  <w:pPr>
                    <w:pStyle w:val="218"/>
                    <w:spacing w:before="92"/>
                    <w:ind w:left="220"/>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Ш</w:t>
                  </w:r>
                </w:p>
              </w:tc>
              <w:tc>
                <w:tcPr>
                  <w:tcW w:w="1947" w:type="dxa"/>
                </w:tcPr>
                <w:p>
                  <w:pPr>
                    <w:pStyle w:val="218"/>
                    <w:spacing w:before="79" w:line="261" w:lineRule="exact"/>
                    <w:ind w:left="215"/>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Ⅱ</w:t>
                  </w:r>
                </w:p>
              </w:tc>
              <w:tc>
                <w:tcPr>
                  <w:tcW w:w="1706" w:type="dxa"/>
                </w:tcPr>
                <w:p>
                  <w:pPr>
                    <w:pStyle w:val="218"/>
                    <w:spacing w:before="92"/>
                    <w:ind w:left="220"/>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95" w:type="dxa"/>
                  <w:gridSpan w:val="5"/>
                </w:tcPr>
                <w:p>
                  <w:pPr>
                    <w:pStyle w:val="218"/>
                    <w:spacing w:before="78" w:line="262" w:lineRule="exact"/>
                    <w:ind w:left="107"/>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注：Ⅳ+为极高环境风险</w:t>
                  </w:r>
                </w:p>
              </w:tc>
            </w:tr>
          </w:tbl>
          <w:p>
            <w:pPr>
              <w:pStyle w:val="38"/>
              <w:spacing w:after="0" w:line="360" w:lineRule="auto"/>
              <w:ind w:left="0" w:leftChars="0" w:firstLine="482"/>
              <w:rPr>
                <w:b/>
                <w:bCs/>
                <w:color w:val="auto"/>
                <w:sz w:val="24"/>
              </w:rPr>
            </w:pPr>
            <w:r>
              <w:rPr>
                <w:b/>
                <w:bCs/>
                <w:color w:val="auto"/>
                <w:sz w:val="24"/>
              </w:rPr>
              <w:t>Q值确定：</w:t>
            </w:r>
          </w:p>
          <w:p>
            <w:pPr>
              <w:pStyle w:val="37"/>
              <w:spacing w:after="0"/>
              <w:ind w:firstLine="240"/>
              <w:rPr>
                <w:color w:val="auto"/>
              </w:rPr>
            </w:pPr>
            <w:r>
              <w:rPr>
                <w:color w:val="auto"/>
              </w:rPr>
              <w:t>根据《建设项目环境风险评价技术导则》（HJ169-2018）中对危险物质的临界量辨别，辨别结果见下表。</w:t>
            </w:r>
          </w:p>
          <w:p>
            <w:pPr>
              <w:tabs>
                <w:tab w:val="left" w:pos="1337"/>
              </w:tabs>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表7-19  危险物质的临界量辨别一览表</w:t>
            </w:r>
          </w:p>
          <w:tbl>
            <w:tblPr>
              <w:tblStyle w:val="39"/>
              <w:tblW w:w="96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1"/>
              <w:gridCol w:w="2367"/>
              <w:gridCol w:w="1973"/>
              <w:gridCol w:w="1952"/>
              <w:gridCol w:w="1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871" w:type="dxa"/>
                  <w:vAlign w:val="center"/>
                </w:tcPr>
                <w:p>
                  <w:pPr>
                    <w:pStyle w:val="218"/>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名称</w:t>
                  </w:r>
                </w:p>
              </w:tc>
              <w:tc>
                <w:tcPr>
                  <w:tcW w:w="2367" w:type="dxa"/>
                  <w:vAlign w:val="center"/>
                </w:tcPr>
                <w:p>
                  <w:pPr>
                    <w:pStyle w:val="218"/>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类别</w:t>
                  </w:r>
                </w:p>
              </w:tc>
              <w:tc>
                <w:tcPr>
                  <w:tcW w:w="1973" w:type="dxa"/>
                  <w:vAlign w:val="center"/>
                </w:tcPr>
                <w:p>
                  <w:pPr>
                    <w:pStyle w:val="218"/>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临界值（t）</w:t>
                  </w:r>
                </w:p>
              </w:tc>
              <w:tc>
                <w:tcPr>
                  <w:tcW w:w="1952" w:type="dxa"/>
                  <w:vAlign w:val="center"/>
                </w:tcPr>
                <w:p>
                  <w:pPr>
                    <w:pStyle w:val="218"/>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暂存最大量</w:t>
                  </w:r>
                </w:p>
              </w:tc>
              <w:tc>
                <w:tcPr>
                  <w:tcW w:w="1530" w:type="dxa"/>
                  <w:vAlign w:val="center"/>
                </w:tcPr>
                <w:p>
                  <w:pPr>
                    <w:pStyle w:val="218"/>
                    <w:ind w:right="321"/>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q/Q</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71" w:type="dxa"/>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油漆、稀释剂、机油、固化剂、废机油</w:t>
                  </w:r>
                </w:p>
              </w:tc>
              <w:tc>
                <w:tcPr>
                  <w:tcW w:w="2367" w:type="dxa"/>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易燃</w:t>
                  </w:r>
                </w:p>
              </w:tc>
              <w:tc>
                <w:tcPr>
                  <w:tcW w:w="1973" w:type="dxa"/>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5000</w:t>
                  </w:r>
                </w:p>
              </w:tc>
              <w:tc>
                <w:tcPr>
                  <w:tcW w:w="1952" w:type="dxa"/>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≤0.37t</w:t>
                  </w:r>
                </w:p>
              </w:tc>
              <w:tc>
                <w:tcPr>
                  <w:tcW w:w="1530" w:type="dxa"/>
                  <w:vAlign w:val="center"/>
                </w:tcPr>
                <w:p>
                  <w:pPr>
                    <w:pStyle w:val="218"/>
                    <w:ind w:right="321"/>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0.000074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163" w:type="dxa"/>
                  <w:gridSpan w:val="4"/>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项目Q值Σ</w:t>
                  </w:r>
                </w:p>
              </w:tc>
              <w:tc>
                <w:tcPr>
                  <w:tcW w:w="1530" w:type="dxa"/>
                  <w:vAlign w:val="center"/>
                </w:tcPr>
                <w:p>
                  <w:pPr>
                    <w:pStyle w:val="218"/>
                    <w:ind w:right="321"/>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0.000074</w:t>
                  </w:r>
                </w:p>
              </w:tc>
            </w:tr>
          </w:tbl>
          <w:p>
            <w:pPr>
              <w:pStyle w:val="37"/>
              <w:ind w:firstLine="240"/>
              <w:rPr>
                <w:color w:val="auto"/>
              </w:rPr>
            </w:pPr>
            <w:r>
              <w:rPr>
                <w:color w:val="auto"/>
              </w:rPr>
              <w:t>根据《建设项目环境风险评价技术导则》（HJ169-2018）的规定，当存在多种危险物质是，可按下式计算物质总量与临界量比值（Q）：</w:t>
            </w:r>
          </w:p>
          <w:p>
            <w:pPr>
              <w:pStyle w:val="37"/>
              <w:ind w:firstLine="0" w:firstLineChars="0"/>
              <w:jc w:val="center"/>
              <w:rPr>
                <w:color w:val="auto"/>
              </w:rPr>
            </w:pPr>
            <w:r>
              <w:rPr>
                <w:color w:val="auto"/>
                <w:sz w:val="20"/>
              </w:rPr>
              <w:drawing>
                <wp:inline distT="0" distB="0" distL="0" distR="0">
                  <wp:extent cx="1245870" cy="447675"/>
                  <wp:effectExtent l="0" t="0" r="11430" b="9525"/>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jpeg"/>
                          <pic:cNvPicPr>
                            <a:picLocks noChangeAspect="1"/>
                          </pic:cNvPicPr>
                        </pic:nvPicPr>
                        <pic:blipFill>
                          <a:blip r:embed="rId17" cstate="print"/>
                          <a:stretch>
                            <a:fillRect/>
                          </a:stretch>
                        </pic:blipFill>
                        <pic:spPr>
                          <a:xfrm>
                            <a:off x="0" y="0"/>
                            <a:ext cx="1246054" cy="448056"/>
                          </a:xfrm>
                          <a:prstGeom prst="rect">
                            <a:avLst/>
                          </a:prstGeom>
                        </pic:spPr>
                      </pic:pic>
                    </a:graphicData>
                  </a:graphic>
                </wp:inline>
              </w:drawing>
            </w:r>
          </w:p>
          <w:p>
            <w:pPr>
              <w:pStyle w:val="37"/>
              <w:spacing w:after="0"/>
              <w:ind w:firstLine="480" w:firstLineChars="200"/>
              <w:rPr>
                <w:color w:val="auto"/>
              </w:rPr>
            </w:pPr>
            <w:r>
              <w:rPr>
                <w:color w:val="auto"/>
              </w:rPr>
              <w:t>式中：q1、q2……qn——每种危险物质的最大存在总量，t；</w:t>
            </w:r>
          </w:p>
          <w:p>
            <w:pPr>
              <w:pStyle w:val="37"/>
              <w:spacing w:after="0"/>
              <w:ind w:firstLine="480" w:firstLineChars="200"/>
              <w:rPr>
                <w:color w:val="auto"/>
              </w:rPr>
            </w:pPr>
            <w:r>
              <w:rPr>
                <w:color w:val="auto"/>
              </w:rPr>
              <w:t>Q1、Q2……Qn——每种危险物质的临界量，t。</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经计算，本项目的危险物质总量与临界量比值Q=0.000114＜1，根据《建设项目环境风险评价技术导则》（HJ169-2018）附录C，当Q＜1时，该项目环境风险潜势为Ⅰ。</w:t>
            </w:r>
          </w:p>
          <w:p>
            <w:pPr>
              <w:pStyle w:val="38"/>
              <w:spacing w:line="360" w:lineRule="auto"/>
              <w:ind w:left="0" w:leftChars="0" w:firstLine="480"/>
              <w:rPr>
                <w:color w:val="auto"/>
              </w:rPr>
            </w:pPr>
            <w:r>
              <w:rPr>
                <w:color w:val="auto"/>
                <w:sz w:val="24"/>
              </w:rPr>
              <w:t>根据表7-14评价工作等级划分可知，当项目环境风险潜势为Ⅰ时，确定本项目环境风险评价等级为简单分析。简单分析基本内容按根据《建设项目环境风险评价技术导则》（HJ169-2018）附录A进行分析。故本项目涉及油漆、稀释剂及机油不构成重大危险源。</w:t>
            </w:r>
          </w:p>
          <w:p>
            <w:pPr>
              <w:pStyle w:val="37"/>
              <w:spacing w:after="0"/>
              <w:ind w:firstLine="482" w:firstLineChars="200"/>
              <w:rPr>
                <w:b/>
                <w:bCs/>
                <w:color w:val="auto"/>
              </w:rPr>
            </w:pPr>
            <w:r>
              <w:rPr>
                <w:b/>
                <w:bCs/>
                <w:color w:val="auto"/>
              </w:rPr>
              <w:t>（5）环境敏感目标</w:t>
            </w:r>
          </w:p>
          <w:p>
            <w:pPr>
              <w:pStyle w:val="37"/>
              <w:spacing w:after="0"/>
              <w:ind w:firstLine="480" w:firstLineChars="200"/>
              <w:rPr>
                <w:color w:val="auto"/>
              </w:rPr>
            </w:pPr>
            <w:r>
              <w:rPr>
                <w:color w:val="auto"/>
              </w:rPr>
              <w:t>项目周边主要为</w:t>
            </w:r>
            <w:r>
              <w:rPr>
                <w:rFonts w:hint="eastAsia"/>
                <w:color w:val="auto"/>
              </w:rPr>
              <w:t>敏感目标见表3</w:t>
            </w:r>
            <w:r>
              <w:rPr>
                <w:color w:val="auto"/>
              </w:rPr>
              <w:t>-2</w:t>
            </w:r>
            <w:r>
              <w:rPr>
                <w:rFonts w:hint="eastAsia"/>
                <w:color w:val="auto"/>
              </w:rPr>
              <w:t>。</w:t>
            </w:r>
          </w:p>
          <w:p>
            <w:pPr>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（6）风险管理</w:t>
            </w:r>
          </w:p>
          <w:p>
            <w:pPr>
              <w:pStyle w:val="37"/>
              <w:spacing w:after="0"/>
              <w:ind w:firstLine="482" w:firstLineChars="200"/>
              <w:rPr>
                <w:b/>
                <w:bCs/>
                <w:color w:val="auto"/>
              </w:rPr>
            </w:pPr>
            <w:r>
              <w:rPr>
                <w:b/>
                <w:bCs/>
                <w:color w:val="auto"/>
              </w:rPr>
              <w:t>油漆、稀释剂风险管理：</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油漆、稀释剂存放区全部进行防渗、防漏处理，确保事故状态下，也不会有污染物向外泄漏，对外界环境造成污染。仓库内、喷漆车间内严禁烟火，电器与设备采用防爆设备。</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经常检查，及时处理。油漆储存间不得混存其他物品，包装用品要及时清除。油漆、稀释剂桶要排放整齐，品种分清，库内要留通道，库门不得堵塞。库房内温度不能超过摄氏35℃。储存间要保持通风干燥，严禁在库房内配料操作，配足消防器材。储存间房门向外开， 不得堵塞。周围不得堆放易燃物品，及时清除杂草和树叶等物。</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应急处理：迅速撤离火灾污染区人员至上风处，并立即进行隔离，小泄漏时隔离50米，大泄漏时隔离150米，严格限制出入。应急处理人员戴自给正压式呼吸器，穿防毒服。尽可能切断泄漏源。合理通风，加速扩散。</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防护措施：空气中浓度超标时，建议佩戴空气呼吸器或氧气呼吸器。紧急事态抢救或撤离时，必须佩戴氧气呼吸器。工作现场禁止吸烟、进食和饮水。工作毕，淋浴更衣。保持良好的卫生习惯。进入高浓度区作业，须有人监护。</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急救措施：当人体吸入有毒气体引起中毒，须迅速脱离现场至空气新鲜处；情节严重的要立即就医。</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灭火方法：消防人员必须佩戴过滤式防毒面具（全面罩）或隔离式呼吸器、穿全身防火防毒服，用灭火器紧急处理，及时报告，根据情况向厂内应急中心求救或拨打</w:t>
            </w:r>
            <w:r>
              <w:rPr>
                <w:rFonts w:hint="eastAsia" w:ascii="Times New Roman" w:hAnsi="Times New Roman" w:eastAsia="宋体" w:cs="Times New Roman"/>
                <w:color w:val="auto"/>
                <w:sz w:val="24"/>
              </w:rPr>
              <w:t>1</w:t>
            </w:r>
            <w:r>
              <w:rPr>
                <w:rFonts w:ascii="Times New Roman" w:hAnsi="Times New Roman" w:eastAsia="宋体" w:cs="Times New Roman"/>
                <w:color w:val="auto"/>
                <w:sz w:val="24"/>
              </w:rPr>
              <w:t>19。</w:t>
            </w:r>
          </w:p>
          <w:p>
            <w:pPr>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机油风险管理</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机油及维修产生的废机油需有专门的房间储存，全部进行防渗、防漏处理，存放区严禁烟火，电器与设备采用防爆设备。</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应急处理：迅速撤离火灾污染区人员至上风处，并立即进行隔离，若发生爆炸事故， 撤离距离需加长，并严格限制出入。</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灭火方法：消防人员必须全身佩戴防火防毒服，用灭火器紧急处理，及时报告，根据情况向厂内应急中心求救或拨打119。</w:t>
            </w:r>
          </w:p>
          <w:p>
            <w:pPr>
              <w:spacing w:line="360" w:lineRule="auto"/>
              <w:ind w:firstLine="480" w:firstLineChars="200"/>
              <w:rPr>
                <w:rFonts w:ascii="Times New Roman" w:hAnsi="Times New Roman" w:eastAsia="宋体" w:cs="Times New Roman"/>
                <w:b/>
                <w:bCs/>
                <w:color w:val="auto"/>
                <w:sz w:val="24"/>
              </w:rPr>
            </w:pPr>
            <w:r>
              <w:rPr>
                <w:rFonts w:ascii="Times New Roman" w:hAnsi="Times New Roman" w:eastAsia="宋体" w:cs="Times New Roman"/>
                <w:color w:val="auto"/>
                <w:sz w:val="24"/>
              </w:rPr>
              <w:t>制定处理池操作管理规程，并对相关人员进行培训，配备相关措施。</w:t>
            </w:r>
          </w:p>
          <w:bookmarkEnd w:id="34"/>
          <w:bookmarkEnd w:id="35"/>
          <w:bookmarkEnd w:id="36"/>
          <w:p>
            <w:pPr>
              <w:spacing w:line="360" w:lineRule="auto"/>
              <w:ind w:firstLine="482" w:firstLineChars="200"/>
              <w:rPr>
                <w:rFonts w:ascii="Times New Roman" w:hAnsi="Times New Roman" w:eastAsia="宋体" w:cs="Times New Roman"/>
                <w:b/>
                <w:bCs/>
                <w:color w:val="auto"/>
                <w:sz w:val="24"/>
              </w:rPr>
            </w:pPr>
            <w:bookmarkStart w:id="37" w:name="_Toc13485"/>
            <w:bookmarkStart w:id="38" w:name="_Toc6061"/>
            <w:bookmarkStart w:id="39" w:name="_Toc25195"/>
            <w:r>
              <w:rPr>
                <w:rFonts w:ascii="Times New Roman" w:hAnsi="Times New Roman" w:eastAsia="宋体" w:cs="Times New Roman"/>
                <w:b/>
                <w:bCs/>
                <w:color w:val="auto"/>
                <w:sz w:val="24"/>
              </w:rPr>
              <w:t>（7）风险应急预案</w:t>
            </w:r>
            <w:bookmarkEnd w:id="37"/>
            <w:bookmarkEnd w:id="38"/>
            <w:bookmarkEnd w:id="39"/>
          </w:p>
          <w:p>
            <w:pPr>
              <w:pStyle w:val="219"/>
              <w:adjustRightInd/>
              <w:snapToGrid/>
              <w:spacing w:before="0" w:beforeLines="0" w:line="360" w:lineRule="auto"/>
              <w:ind w:firstLineChars="200"/>
              <w:rPr>
                <w:color w:val="auto"/>
              </w:rPr>
            </w:pPr>
            <w:r>
              <w:rPr>
                <w:color w:val="auto"/>
              </w:rPr>
              <w:t>针对本项目可能发生的突发事故，建设单位应编制突发环境事件应急预案，将风险事故率降低到最小，而企业在出现突发事故时，有一定计划进行抢险、救援，使事故产生的影响范围得以减小，财产损失率及人员伤亡率降到最低，对项目运营影响程度降到最低。本报告建议项目制定的突发环境事件应急预案格式及主要内容见下表。</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表7-20  突发环境事件应急预案内容及要求</w:t>
            </w:r>
          </w:p>
          <w:tbl>
            <w:tblPr>
              <w:tblStyle w:val="39"/>
              <w:tblW w:w="96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0"/>
              <w:gridCol w:w="2442"/>
              <w:gridCol w:w="64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750"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序号</w:t>
                  </w:r>
                </w:p>
              </w:tc>
              <w:tc>
                <w:tcPr>
                  <w:tcW w:w="2442"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项目</w:t>
                  </w:r>
                </w:p>
              </w:tc>
              <w:tc>
                <w:tcPr>
                  <w:tcW w:w="6497"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内容及要求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总则</w:t>
                  </w:r>
                </w:p>
              </w:tc>
              <w:tc>
                <w:tcPr>
                  <w:tcW w:w="6497" w:type="dxa"/>
                </w:tcPr>
                <w:p>
                  <w:pPr>
                    <w:rPr>
                      <w:rFonts w:ascii="Times New Roman" w:hAnsi="Times New Roman" w:eastAsia="宋体" w:cs="Times New Roman"/>
                      <w:color w:val="auto"/>
                    </w:rPr>
                  </w:pPr>
                  <w:r>
                    <w:rPr>
                      <w:rFonts w:ascii="Times New Roman" w:hAnsi="Times New Roman" w:eastAsia="宋体" w:cs="Times New Roman"/>
                      <w:color w:val="auto"/>
                    </w:rPr>
                    <w:t>按照企业突发环境事件的严重性、可控性、影响范围和紧急程度，对突发环境事件进行分级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危险源概况</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详述危险源类型、数量及其分布状况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应急计划区</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贮藏区、影响区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应急组织</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工厂、地区应急组织机构、人员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5</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应急状态分类及应急响应程序</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规定事故的级别及相应的应急分类响应程序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6</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应急设施，设施与材料</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事故现场、邻近区域、控制防火区域、控制和清除污染措施及相应设备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7</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应急通讯、通知和交通</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规定应急状态下的通讯方式、通知方式和交通保障、管制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8</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应急环境监测及事故后评价</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由专业队伍负责对事故现场进行监测，对事故性质、参数与后果进行评价，为指挥部门提供决策依据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9</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应急防护措施</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事故现场：控制事故、防止扩大、蔓延及连锁反应。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10</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撤离组织计划、医疗救护与公众健康</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事故现场：现场及邻近人员撤离组织计划及救护；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11</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应急状态终止与恢复措施</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规定应急状态终止程序</w:t>
                  </w:r>
                </w:p>
                <w:p>
                  <w:pPr>
                    <w:rPr>
                      <w:rFonts w:ascii="Times New Roman" w:hAnsi="Times New Roman" w:eastAsia="宋体" w:cs="Times New Roman"/>
                      <w:color w:val="auto"/>
                    </w:rPr>
                  </w:pPr>
                  <w:r>
                    <w:rPr>
                      <w:rFonts w:ascii="Times New Roman" w:hAnsi="Times New Roman" w:eastAsia="宋体" w:cs="Times New Roman"/>
                      <w:color w:val="auto"/>
                    </w:rPr>
                    <w:t>事故现场善后处理，恢复措施</w:t>
                  </w:r>
                </w:p>
                <w:p>
                  <w:pPr>
                    <w:rPr>
                      <w:rFonts w:ascii="Times New Roman" w:hAnsi="Times New Roman" w:eastAsia="宋体" w:cs="Times New Roman"/>
                      <w:color w:val="auto"/>
                    </w:rPr>
                  </w:pPr>
                  <w:r>
                    <w:rPr>
                      <w:rFonts w:ascii="Times New Roman" w:hAnsi="Times New Roman" w:eastAsia="宋体" w:cs="Times New Roman"/>
                      <w:color w:val="auto"/>
                    </w:rPr>
                    <w:t>邻近区域解除事故警戒及善后恢复措施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12</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人员培训与演练</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应急计划制定后，平时安排人员培训与演练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13</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记录和报告</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设置应急事故专门记录、建立档案和专门报告制度，设专门部门和专人负责管理</w:t>
                  </w:r>
                </w:p>
              </w:tc>
            </w:tr>
          </w:tbl>
          <w:p>
            <w:pPr>
              <w:ind w:firstLine="482"/>
              <w:rPr>
                <w:rFonts w:ascii="Times New Roman" w:hAnsi="Times New Roman" w:eastAsia="宋体" w:cs="Times New Roman"/>
                <w:b/>
                <w:bCs/>
                <w:color w:val="auto"/>
                <w:sz w:val="24"/>
              </w:rPr>
            </w:pPr>
            <w:bookmarkStart w:id="40" w:name="_Toc9499"/>
            <w:bookmarkStart w:id="41" w:name="_Toc19450"/>
            <w:bookmarkStart w:id="42" w:name="_Toc21631"/>
            <w:r>
              <w:rPr>
                <w:rFonts w:ascii="Times New Roman" w:hAnsi="Times New Roman" w:eastAsia="宋体" w:cs="Times New Roman"/>
                <w:b/>
                <w:bCs/>
                <w:color w:val="auto"/>
                <w:sz w:val="24"/>
              </w:rPr>
              <w:t>（8）结论</w:t>
            </w:r>
            <w:bookmarkEnd w:id="40"/>
            <w:bookmarkEnd w:id="41"/>
            <w:bookmarkEnd w:id="42"/>
          </w:p>
          <w:p>
            <w:pPr>
              <w:pStyle w:val="13"/>
              <w:spacing w:line="360" w:lineRule="auto"/>
              <w:ind w:firstLine="480" w:firstLineChars="200"/>
              <w:rPr>
                <w:color w:val="auto"/>
                <w:sz w:val="24"/>
              </w:rPr>
            </w:pPr>
            <w:r>
              <w:rPr>
                <w:color w:val="auto"/>
                <w:sz w:val="24"/>
              </w:rPr>
              <w:t>综上所述，本项目通过采取本报告中的一些措施后，可在较大程度上避免风险的产生。同时项目建设方应针对本报告提出的环境风险，进行完善应急预案的制定，可在较短时间内控制风险对环境的影响范围和程度。因此项目方在项目建设阶段就应充分考虑风险的发生及处理措施、方案，将环境风险降至低限，避免危害周围环境和人群健康。项目的环境风险在可防控的范围内。</w:t>
            </w:r>
          </w:p>
          <w:p>
            <w:pPr>
              <w:pStyle w:val="13"/>
              <w:spacing w:line="360" w:lineRule="auto"/>
              <w:ind w:firstLine="420" w:firstLineChars="200"/>
              <w:rPr>
                <w:color w:val="auto"/>
              </w:rPr>
            </w:pPr>
          </w:p>
        </w:tc>
      </w:tr>
    </w:tbl>
    <w:p>
      <w:pPr>
        <w:widowControl/>
        <w:jc w:val="left"/>
        <w:rPr>
          <w:rFonts w:ascii="Times New Roman" w:hAnsi="Times New Roman" w:eastAsia="宋体" w:cs="Times New Roman"/>
          <w:b/>
          <w:bCs/>
          <w:color w:val="auto"/>
          <w:kern w:val="44"/>
          <w:sz w:val="28"/>
          <w:szCs w:val="28"/>
        </w:rPr>
      </w:pPr>
      <w:r>
        <w:rPr>
          <w:rFonts w:ascii="Times New Roman" w:hAnsi="Times New Roman" w:eastAsia="宋体" w:cs="Times New Roman"/>
          <w:b/>
          <w:bCs/>
          <w:color w:val="auto"/>
          <w:kern w:val="44"/>
          <w:sz w:val="28"/>
          <w:szCs w:val="28"/>
        </w:rPr>
        <w:br w:type="page"/>
      </w:r>
    </w:p>
    <w:p>
      <w:pPr>
        <w:keepNext/>
        <w:keepLines/>
        <w:jc w:val="left"/>
        <w:outlineLvl w:val="0"/>
        <w:rPr>
          <w:rFonts w:ascii="Times New Roman" w:hAnsi="Times New Roman" w:eastAsia="宋体" w:cs="Times New Roman"/>
          <w:b/>
          <w:bCs/>
          <w:color w:val="auto"/>
          <w:kern w:val="44"/>
          <w:sz w:val="30"/>
          <w:szCs w:val="30"/>
        </w:rPr>
      </w:pPr>
      <w:bookmarkStart w:id="43" w:name="_Toc47258301"/>
      <w:r>
        <w:rPr>
          <w:rFonts w:ascii="Times New Roman" w:hAnsi="Times New Roman" w:eastAsia="宋体" w:cs="Times New Roman"/>
          <w:b/>
          <w:bCs/>
          <w:color w:val="auto"/>
          <w:kern w:val="44"/>
          <w:sz w:val="30"/>
          <w:szCs w:val="30"/>
        </w:rPr>
        <w:t>表八、建设项目拟采取的防治措施及预期治理效果</w:t>
      </w:r>
      <w:bookmarkEnd w:id="43"/>
    </w:p>
    <w:tbl>
      <w:tblPr>
        <w:tblStyle w:val="39"/>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77"/>
        <w:gridCol w:w="515"/>
        <w:gridCol w:w="742"/>
        <w:gridCol w:w="610"/>
        <w:gridCol w:w="1188"/>
        <w:gridCol w:w="3611"/>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2" w:type="dxa"/>
            <w:gridSpan w:val="2"/>
            <w:tcBorders>
              <w:tl2br w:val="single" w:color="auto" w:sz="4" w:space="0"/>
            </w:tcBorders>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rPr>
              <w:t xml:space="preserve"> </w:t>
            </w:r>
            <w:r>
              <w:rPr>
                <w:rFonts w:ascii="Times New Roman" w:hAnsi="Times New Roman" w:eastAsia="宋体" w:cs="Times New Roman"/>
                <w:b/>
                <w:bCs/>
                <w:color w:val="auto"/>
                <w:szCs w:val="21"/>
                <w:lang w:val="zh-CN"/>
              </w:rPr>
              <w:t>内容</w:t>
            </w:r>
          </w:p>
          <w:p>
            <w:pP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类型</w:t>
            </w:r>
          </w:p>
        </w:tc>
        <w:tc>
          <w:tcPr>
            <w:tcW w:w="742" w:type="dxa"/>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排放源</w:t>
            </w:r>
          </w:p>
        </w:tc>
        <w:tc>
          <w:tcPr>
            <w:tcW w:w="1798" w:type="dxa"/>
            <w:gridSpan w:val="2"/>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污染物</w:t>
            </w:r>
          </w:p>
        </w:tc>
        <w:tc>
          <w:tcPr>
            <w:tcW w:w="3611" w:type="dxa"/>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防治措施</w:t>
            </w:r>
          </w:p>
        </w:tc>
        <w:tc>
          <w:tcPr>
            <w:tcW w:w="2425" w:type="dxa"/>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废气</w:t>
            </w:r>
          </w:p>
        </w:tc>
        <w:tc>
          <w:tcPr>
            <w:tcW w:w="515" w:type="dxa"/>
            <w:vMerge w:val="restart"/>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w:t>
            </w:r>
          </w:p>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营</w:t>
            </w:r>
          </w:p>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期</w:t>
            </w:r>
          </w:p>
        </w:tc>
        <w:tc>
          <w:tcPr>
            <w:tcW w:w="74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打磨</w:t>
            </w:r>
          </w:p>
        </w:tc>
        <w:tc>
          <w:tcPr>
            <w:tcW w:w="1798" w:type="dxa"/>
            <w:gridSpan w:val="2"/>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打磨粉尘</w:t>
            </w:r>
          </w:p>
        </w:tc>
        <w:tc>
          <w:tcPr>
            <w:tcW w:w="3611"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position w:val="2"/>
                <w:szCs w:val="21"/>
              </w:rPr>
              <w:t>打磨设备自带收尘设施（收尘效率为80%）收集粉尘进入布袋，收集后暂存危废暂存间，定期交由有资质单位处置。其余未经收集的20%以无组织的形式排放。</w:t>
            </w:r>
          </w:p>
        </w:tc>
        <w:tc>
          <w:tcPr>
            <w:tcW w:w="2425" w:type="dxa"/>
            <w:vMerge w:val="restart"/>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达GB16297-1996《大气污染物综合排放标准》表2</w:t>
            </w:r>
            <w:commentRangeStart w:id="4"/>
            <w:r>
              <w:rPr>
                <w:rFonts w:ascii="Times New Roman" w:hAnsi="Times New Roman" w:eastAsia="宋体" w:cs="Times New Roman"/>
                <w:color w:val="auto"/>
                <w:szCs w:val="21"/>
              </w:rPr>
              <w:t>二级标准</w:t>
            </w:r>
            <w:commentRangeEnd w:id="4"/>
            <w:r>
              <w:rPr>
                <w:color w:val="auto"/>
              </w:rPr>
              <w:commentReference w:id="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焊接</w:t>
            </w:r>
          </w:p>
        </w:tc>
        <w:tc>
          <w:tcPr>
            <w:tcW w:w="1798" w:type="dxa"/>
            <w:gridSpan w:val="2"/>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焊接烟尘</w:t>
            </w:r>
          </w:p>
        </w:tc>
        <w:tc>
          <w:tcPr>
            <w:tcW w:w="3611"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通过移动式粉尘净化器净化（净化效率90%）后在车间内无组织排放。</w:t>
            </w:r>
          </w:p>
        </w:tc>
        <w:tc>
          <w:tcPr>
            <w:tcW w:w="2425" w:type="dxa"/>
            <w:vMerge w:val="continue"/>
            <w:vAlign w:val="center"/>
          </w:tcPr>
          <w:p>
            <w:pPr>
              <w:widowControl/>
              <w:jc w:val="center"/>
              <w:rPr>
                <w:rFonts w:ascii="Times New Roman" w:hAnsi="Times New Roman" w:eastAsia="宋体"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汽车尾气</w:t>
            </w:r>
          </w:p>
        </w:tc>
        <w:tc>
          <w:tcPr>
            <w:tcW w:w="1798" w:type="dxa"/>
            <w:gridSpan w:val="2"/>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CO、NO</w:t>
            </w:r>
            <w:r>
              <w:rPr>
                <w:rFonts w:ascii="Times New Roman" w:hAnsi="Times New Roman" w:eastAsia="宋体" w:cs="Times New Roman"/>
                <w:color w:val="auto"/>
                <w:szCs w:val="21"/>
                <w:vertAlign w:val="subscript"/>
              </w:rPr>
              <w:t>x</w:t>
            </w:r>
          </w:p>
        </w:tc>
        <w:tc>
          <w:tcPr>
            <w:tcW w:w="361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自然稀释扩散</w:t>
            </w:r>
          </w:p>
        </w:tc>
        <w:tc>
          <w:tcPr>
            <w:tcW w:w="242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对环境影响小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喷烤漆房废气</w:t>
            </w:r>
          </w:p>
        </w:tc>
        <w:tc>
          <w:tcPr>
            <w:tcW w:w="610"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有组织</w:t>
            </w:r>
          </w:p>
        </w:tc>
        <w:tc>
          <w:tcPr>
            <w:tcW w:w="118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3611" w:type="dxa"/>
            <w:vMerge w:val="restart"/>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喷烤漆房密闭式设置，设置1套废气净化系统（过滤棉+UV光氧催化+活性炭+1根15m高排气筒）。</w:t>
            </w:r>
          </w:p>
        </w:tc>
        <w:tc>
          <w:tcPr>
            <w:tcW w:w="2425" w:type="dxa"/>
            <w:vMerge w:val="restart"/>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lang w:bidi="ar"/>
              </w:rPr>
              <w:t>达《大气污染物综合排放标准》（GB16297-1996）表2中新污染源二级标准限值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610" w:type="dxa"/>
            <w:vMerge w:val="continue"/>
            <w:vAlign w:val="center"/>
          </w:tcPr>
          <w:p>
            <w:pPr>
              <w:jc w:val="center"/>
              <w:rPr>
                <w:rFonts w:ascii="Times New Roman" w:hAnsi="Times New Roman" w:eastAsia="宋体" w:cs="Times New Roman"/>
                <w:color w:val="auto"/>
                <w:szCs w:val="21"/>
              </w:rPr>
            </w:pPr>
          </w:p>
        </w:tc>
        <w:tc>
          <w:tcPr>
            <w:tcW w:w="1188" w:type="dxa"/>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颗粒物</w:t>
            </w:r>
          </w:p>
        </w:tc>
        <w:tc>
          <w:tcPr>
            <w:tcW w:w="3611" w:type="dxa"/>
            <w:vMerge w:val="continue"/>
            <w:vAlign w:val="center"/>
          </w:tcPr>
          <w:p>
            <w:pPr>
              <w:widowControl/>
              <w:jc w:val="center"/>
              <w:rPr>
                <w:rFonts w:ascii="Times New Roman" w:hAnsi="Times New Roman" w:eastAsia="宋体" w:cs="Times New Roman"/>
                <w:color w:val="auto"/>
                <w:szCs w:val="21"/>
              </w:rPr>
            </w:pPr>
          </w:p>
        </w:tc>
        <w:tc>
          <w:tcPr>
            <w:tcW w:w="2425" w:type="dxa"/>
            <w:vMerge w:val="continue"/>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610" w:type="dxa"/>
            <w:vMerge w:val="continue"/>
            <w:vAlign w:val="center"/>
          </w:tcPr>
          <w:p>
            <w:pPr>
              <w:jc w:val="center"/>
              <w:rPr>
                <w:rFonts w:ascii="Times New Roman" w:hAnsi="Times New Roman" w:eastAsia="宋体" w:cs="Times New Roman"/>
                <w:color w:val="auto"/>
                <w:szCs w:val="21"/>
              </w:rPr>
            </w:pPr>
          </w:p>
        </w:tc>
        <w:tc>
          <w:tcPr>
            <w:tcW w:w="1188" w:type="dxa"/>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p>
        </w:tc>
        <w:tc>
          <w:tcPr>
            <w:tcW w:w="3611" w:type="dxa"/>
            <w:vMerge w:val="continue"/>
            <w:vAlign w:val="center"/>
          </w:tcPr>
          <w:p>
            <w:pPr>
              <w:widowControl/>
              <w:jc w:val="center"/>
              <w:rPr>
                <w:rFonts w:ascii="Times New Roman" w:hAnsi="Times New Roman" w:eastAsia="宋体" w:cs="Times New Roman"/>
                <w:color w:val="auto"/>
                <w:position w:val="2"/>
                <w:szCs w:val="21"/>
              </w:rPr>
            </w:pPr>
          </w:p>
        </w:tc>
        <w:tc>
          <w:tcPr>
            <w:tcW w:w="2425" w:type="dxa"/>
            <w:vAlign w:val="center"/>
          </w:tcPr>
          <w:p>
            <w:pPr>
              <w:widowControl/>
              <w:jc w:val="center"/>
              <w:rPr>
                <w:rFonts w:ascii="Times New Roman" w:hAnsi="Times New Roman" w:eastAsia="宋体" w:cs="Times New Roman"/>
                <w:color w:val="auto"/>
                <w:position w:val="2"/>
                <w:szCs w:val="21"/>
              </w:rPr>
            </w:pPr>
            <w:r>
              <w:rPr>
                <w:rFonts w:ascii="Times New Roman" w:hAnsi="Times New Roman" w:eastAsia="宋体" w:cs="Times New Roman"/>
                <w:color w:val="auto"/>
                <w:szCs w:val="21"/>
                <w:lang w:bidi="ar"/>
              </w:rPr>
              <w:t>达《大气污染物综合排放标准》（GB16297-1996）表2中</w:t>
            </w:r>
            <w:r>
              <w:rPr>
                <w:rFonts w:ascii="Times New Roman" w:hAnsi="Times New Roman" w:eastAsia="宋体" w:cs="Times New Roman"/>
                <w:color w:val="auto"/>
                <w:szCs w:val="21"/>
              </w:rPr>
              <w:t>非甲烷总烃有组织二级标准限值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610"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18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3611" w:type="dxa"/>
            <w:vMerge w:val="restart"/>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自然稀释扩散</w:t>
            </w:r>
          </w:p>
        </w:tc>
        <w:tc>
          <w:tcPr>
            <w:tcW w:w="2425" w:type="dxa"/>
            <w:vMerge w:val="restart"/>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lang w:bidi="ar"/>
              </w:rPr>
              <w:t>达《大气污染物综合排放标准》（GB16297-1996）表2中新污染源</w:t>
            </w:r>
            <w:commentRangeStart w:id="5"/>
            <w:r>
              <w:rPr>
                <w:rFonts w:ascii="Times New Roman" w:hAnsi="Times New Roman" w:eastAsia="宋体" w:cs="Times New Roman"/>
                <w:color w:val="auto"/>
                <w:szCs w:val="21"/>
                <w:lang w:bidi="ar"/>
              </w:rPr>
              <w:t>二级标准限值</w:t>
            </w:r>
            <w:commentRangeEnd w:id="5"/>
            <w:r>
              <w:rPr>
                <w:color w:val="auto"/>
              </w:rPr>
              <w:commentReference w:id="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610" w:type="dxa"/>
            <w:vMerge w:val="continue"/>
            <w:vAlign w:val="center"/>
          </w:tcPr>
          <w:p>
            <w:pPr>
              <w:jc w:val="center"/>
              <w:rPr>
                <w:rFonts w:ascii="Times New Roman" w:hAnsi="Times New Roman" w:eastAsia="宋体" w:cs="Times New Roman"/>
                <w:color w:val="auto"/>
                <w:szCs w:val="21"/>
              </w:rPr>
            </w:pPr>
          </w:p>
        </w:tc>
        <w:tc>
          <w:tcPr>
            <w:tcW w:w="1188" w:type="dxa"/>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颗粒物</w:t>
            </w:r>
          </w:p>
        </w:tc>
        <w:tc>
          <w:tcPr>
            <w:tcW w:w="3611" w:type="dxa"/>
            <w:vMerge w:val="continue"/>
            <w:vAlign w:val="center"/>
          </w:tcPr>
          <w:p>
            <w:pPr>
              <w:widowControl/>
              <w:jc w:val="center"/>
              <w:rPr>
                <w:rFonts w:ascii="Times New Roman" w:hAnsi="Times New Roman" w:eastAsia="宋体" w:cs="Times New Roman"/>
                <w:color w:val="auto"/>
                <w:szCs w:val="21"/>
              </w:rPr>
            </w:pPr>
          </w:p>
        </w:tc>
        <w:tc>
          <w:tcPr>
            <w:tcW w:w="2425" w:type="dxa"/>
            <w:vMerge w:val="continue"/>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610" w:type="dxa"/>
            <w:vMerge w:val="continue"/>
            <w:vAlign w:val="center"/>
          </w:tcPr>
          <w:p>
            <w:pPr>
              <w:jc w:val="center"/>
              <w:rPr>
                <w:rFonts w:ascii="Times New Roman" w:hAnsi="Times New Roman" w:eastAsia="宋体" w:cs="Times New Roman"/>
                <w:color w:val="auto"/>
                <w:szCs w:val="21"/>
              </w:rPr>
            </w:pPr>
          </w:p>
        </w:tc>
        <w:tc>
          <w:tcPr>
            <w:tcW w:w="1188" w:type="dxa"/>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p>
        </w:tc>
        <w:tc>
          <w:tcPr>
            <w:tcW w:w="3611" w:type="dxa"/>
            <w:vMerge w:val="continue"/>
            <w:vAlign w:val="center"/>
          </w:tcPr>
          <w:p>
            <w:pPr>
              <w:widowControl/>
              <w:jc w:val="center"/>
              <w:rPr>
                <w:rFonts w:ascii="Times New Roman" w:hAnsi="Times New Roman" w:eastAsia="宋体" w:cs="Times New Roman"/>
                <w:color w:val="auto"/>
                <w:position w:val="2"/>
                <w:szCs w:val="21"/>
              </w:rPr>
            </w:pPr>
          </w:p>
        </w:tc>
        <w:tc>
          <w:tcPr>
            <w:tcW w:w="2425" w:type="dxa"/>
            <w:vAlign w:val="center"/>
          </w:tcPr>
          <w:p>
            <w:pPr>
              <w:widowControl/>
              <w:jc w:val="center"/>
              <w:rPr>
                <w:rFonts w:ascii="Times New Roman" w:hAnsi="Times New Roman" w:eastAsia="宋体" w:cs="Times New Roman"/>
                <w:color w:val="auto"/>
                <w:position w:val="2"/>
                <w:szCs w:val="21"/>
              </w:rPr>
            </w:pPr>
            <w:r>
              <w:rPr>
                <w:rFonts w:ascii="Times New Roman" w:hAnsi="Times New Roman" w:eastAsia="宋体" w:cs="Times New Roman"/>
                <w:color w:val="auto"/>
                <w:szCs w:val="21"/>
              </w:rPr>
              <w:t>达《挥发性有机污染物无组织排放标准》（GB 37822-2019）表A.1中的无组织排放监控浓度限值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废水</w:t>
            </w:r>
          </w:p>
        </w:tc>
        <w:tc>
          <w:tcPr>
            <w:tcW w:w="515" w:type="dxa"/>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w:t>
            </w:r>
          </w:p>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营</w:t>
            </w:r>
          </w:p>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期</w:t>
            </w:r>
          </w:p>
        </w:tc>
        <w:tc>
          <w:tcPr>
            <w:tcW w:w="742"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生活污水</w:t>
            </w:r>
          </w:p>
        </w:tc>
        <w:tc>
          <w:tcPr>
            <w:tcW w:w="1798" w:type="dxa"/>
            <w:gridSpan w:val="2"/>
            <w:shd w:val="clear" w:color="auto" w:fill="auto"/>
            <w:vAlign w:val="center"/>
          </w:tcPr>
          <w:p>
            <w:pP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COD、BOD</w:t>
            </w:r>
            <w:r>
              <w:rPr>
                <w:rFonts w:ascii="Times New Roman" w:hAnsi="Times New Roman" w:eastAsia="宋体" w:cs="Times New Roman"/>
                <w:color w:val="auto"/>
                <w:szCs w:val="21"/>
                <w:vertAlign w:val="subscript"/>
                <w:lang w:val="zh-CN"/>
              </w:rPr>
              <w:t>5</w:t>
            </w:r>
            <w:r>
              <w:rPr>
                <w:rFonts w:ascii="Times New Roman" w:hAnsi="Times New Roman" w:eastAsia="宋体" w:cs="Times New Roman"/>
                <w:color w:val="auto"/>
                <w:szCs w:val="21"/>
                <w:lang w:val="zh-CN"/>
              </w:rPr>
              <w:t>、SS、</w:t>
            </w: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r>
              <w:rPr>
                <w:rFonts w:ascii="Times New Roman" w:hAnsi="Times New Roman" w:eastAsia="宋体" w:cs="Times New Roman"/>
                <w:color w:val="auto"/>
                <w:kern w:val="0"/>
                <w:szCs w:val="21"/>
                <w:lang w:val="zh-CN"/>
              </w:rPr>
              <w:t>总磷</w:t>
            </w:r>
          </w:p>
        </w:tc>
        <w:tc>
          <w:tcPr>
            <w:tcW w:w="3611" w:type="dxa"/>
            <w:shd w:val="clear" w:color="auto" w:fill="auto"/>
            <w:vAlign w:val="center"/>
          </w:tcPr>
          <w:p>
            <w:pPr>
              <w:jc w:val="center"/>
              <w:rPr>
                <w:rFonts w:ascii="Times New Roman" w:hAnsi="Times New Roman" w:eastAsia="宋体" w:cs="Times New Roman"/>
                <w:bCs/>
                <w:color w:val="auto"/>
                <w:szCs w:val="21"/>
                <w:lang w:val="zh-CN"/>
              </w:rPr>
            </w:pPr>
            <w:commentRangeStart w:id="6"/>
            <w:r>
              <w:rPr>
                <w:rFonts w:ascii="Times New Roman" w:hAnsi="Times New Roman" w:eastAsia="宋体" w:cs="Times New Roman"/>
                <w:bCs/>
                <w:color w:val="auto"/>
                <w:szCs w:val="21"/>
              </w:rPr>
              <w:t>生活污水排入化粪池（项目区东北侧15m</w:t>
            </w:r>
            <w:r>
              <w:rPr>
                <w:rFonts w:ascii="Times New Roman" w:hAnsi="Times New Roman" w:eastAsia="宋体" w:cs="Times New Roman"/>
                <w:bCs/>
                <w:color w:val="auto"/>
                <w:szCs w:val="21"/>
                <w:vertAlign w:val="superscript"/>
              </w:rPr>
              <w:t>3</w:t>
            </w:r>
            <w:r>
              <w:rPr>
                <w:rFonts w:ascii="Times New Roman" w:hAnsi="Times New Roman" w:eastAsia="宋体" w:cs="Times New Roman"/>
                <w:bCs/>
                <w:color w:val="auto"/>
                <w:szCs w:val="21"/>
              </w:rPr>
              <w:t>），</w:t>
            </w:r>
            <w:r>
              <w:rPr>
                <w:rFonts w:hint="eastAsia" w:ascii="Times New Roman" w:hAnsi="Times New Roman" w:eastAsia="宋体" w:cs="Times New Roman"/>
                <w:bCs/>
                <w:color w:val="auto"/>
                <w:szCs w:val="21"/>
              </w:rPr>
              <w:t>定期委托环卫部门清运</w:t>
            </w:r>
            <w:r>
              <w:rPr>
                <w:rFonts w:ascii="Times New Roman" w:hAnsi="Times New Roman" w:eastAsia="宋体" w:cs="Times New Roman"/>
                <w:bCs/>
                <w:color w:val="auto"/>
                <w:szCs w:val="21"/>
              </w:rPr>
              <w:t>。</w:t>
            </w:r>
          </w:p>
        </w:tc>
        <w:tc>
          <w:tcPr>
            <w:tcW w:w="2425" w:type="dxa"/>
            <w:shd w:val="clear" w:color="auto" w:fill="auto"/>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color w:val="auto"/>
                <w:kern w:val="0"/>
                <w:szCs w:val="21"/>
              </w:rPr>
              <w:t>不外排</w:t>
            </w:r>
            <w:commentRangeEnd w:id="6"/>
            <w:r>
              <w:rPr>
                <w:color w:val="auto"/>
              </w:rPr>
              <w:commentReference w:id="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固体废物</w:t>
            </w:r>
          </w:p>
        </w:tc>
        <w:tc>
          <w:tcPr>
            <w:tcW w:w="515" w:type="dxa"/>
            <w:vMerge w:val="restart"/>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w:t>
            </w:r>
          </w:p>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营</w:t>
            </w:r>
          </w:p>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期</w:t>
            </w:r>
          </w:p>
        </w:tc>
        <w:tc>
          <w:tcPr>
            <w:tcW w:w="742"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厂区</w:t>
            </w:r>
          </w:p>
        </w:tc>
        <w:tc>
          <w:tcPr>
            <w:tcW w:w="1798"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生活垃圾</w:t>
            </w:r>
          </w:p>
        </w:tc>
        <w:tc>
          <w:tcPr>
            <w:tcW w:w="3611" w:type="dxa"/>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bCs/>
                <w:color w:val="auto"/>
                <w:szCs w:val="21"/>
              </w:rPr>
              <w:t>委托环卫部门进行清运</w:t>
            </w:r>
          </w:p>
        </w:tc>
        <w:tc>
          <w:tcPr>
            <w:tcW w:w="2425" w:type="dxa"/>
            <w:vMerge w:val="restart"/>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处置率达100%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废旧零部件</w:t>
            </w:r>
          </w:p>
        </w:tc>
        <w:tc>
          <w:tcPr>
            <w:tcW w:w="3611" w:type="dxa"/>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bCs/>
                <w:color w:val="auto"/>
                <w:szCs w:val="21"/>
              </w:rPr>
              <w:t>收集后交由回收站收购</w:t>
            </w: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4"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包装固废</w:t>
            </w:r>
          </w:p>
        </w:tc>
        <w:tc>
          <w:tcPr>
            <w:tcW w:w="3611"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2"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废装饰品</w:t>
            </w:r>
          </w:p>
        </w:tc>
        <w:tc>
          <w:tcPr>
            <w:tcW w:w="3611"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收集后交由回收站收购</w:t>
            </w: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3"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化粪池污泥</w:t>
            </w:r>
          </w:p>
        </w:tc>
        <w:tc>
          <w:tcPr>
            <w:tcW w:w="3611"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废含油抹布</w:t>
            </w:r>
          </w:p>
        </w:tc>
        <w:tc>
          <w:tcPr>
            <w:tcW w:w="3611"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4"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废含油棉纱、手套</w:t>
            </w:r>
          </w:p>
        </w:tc>
        <w:tc>
          <w:tcPr>
            <w:tcW w:w="3611"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废油漆桶、废稀释剂桶、废固化剂桶</w:t>
            </w:r>
          </w:p>
        </w:tc>
        <w:tc>
          <w:tcPr>
            <w:tcW w:w="3611"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bCs/>
                <w:color w:val="auto"/>
                <w:szCs w:val="21"/>
              </w:rPr>
              <w:t>设置危废暂存间，危废分质、分类，采用密闭防腐蚀容器收集并单独暂存于危废暂存间，委托有资质单位清运处置</w:t>
            </w: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废活性炭和废过滤棉</w:t>
            </w:r>
          </w:p>
        </w:tc>
        <w:tc>
          <w:tcPr>
            <w:tcW w:w="3611" w:type="dxa"/>
            <w:vMerge w:val="continue"/>
            <w:vAlign w:val="center"/>
          </w:tcPr>
          <w:p>
            <w:pPr>
              <w:jc w:val="center"/>
              <w:rPr>
                <w:rFonts w:ascii="Times New Roman" w:hAnsi="Times New Roman" w:eastAsia="宋体" w:cs="Times New Roman"/>
                <w:color w:val="auto"/>
                <w:szCs w:val="21"/>
              </w:rPr>
            </w:pP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2"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废机油</w:t>
            </w:r>
          </w:p>
        </w:tc>
        <w:tc>
          <w:tcPr>
            <w:tcW w:w="3611" w:type="dxa"/>
            <w:vMerge w:val="continue"/>
            <w:vAlign w:val="center"/>
          </w:tcPr>
          <w:p>
            <w:pPr>
              <w:jc w:val="center"/>
              <w:rPr>
                <w:rFonts w:ascii="Times New Roman" w:hAnsi="Times New Roman" w:eastAsia="宋体" w:cs="Times New Roman"/>
                <w:color w:val="auto"/>
                <w:szCs w:val="21"/>
              </w:rPr>
            </w:pP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3"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隔油沉淀池油污及污泥</w:t>
            </w:r>
          </w:p>
        </w:tc>
        <w:tc>
          <w:tcPr>
            <w:tcW w:w="3611" w:type="dxa"/>
            <w:vMerge w:val="continue"/>
            <w:vAlign w:val="center"/>
          </w:tcPr>
          <w:p>
            <w:pPr>
              <w:jc w:val="center"/>
              <w:rPr>
                <w:rFonts w:ascii="Times New Roman" w:hAnsi="Times New Roman" w:eastAsia="宋体" w:cs="Times New Roman"/>
                <w:color w:val="auto"/>
                <w:szCs w:val="21"/>
              </w:rPr>
            </w:pP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rPr>
            </w:pPr>
          </w:p>
        </w:tc>
        <w:tc>
          <w:tcPr>
            <w:tcW w:w="515" w:type="dxa"/>
            <w:vMerge w:val="continue"/>
            <w:vAlign w:val="center"/>
          </w:tcPr>
          <w:p>
            <w:pPr>
              <w:jc w:val="center"/>
              <w:rPr>
                <w:rFonts w:ascii="Times New Roman" w:hAnsi="Times New Roman" w:eastAsia="宋体" w:cs="Times New Roman"/>
                <w:color w:val="auto"/>
                <w:szCs w:val="21"/>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废旧电池</w:t>
            </w:r>
          </w:p>
        </w:tc>
        <w:tc>
          <w:tcPr>
            <w:tcW w:w="3611" w:type="dxa"/>
            <w:vMerge w:val="continue"/>
            <w:vAlign w:val="center"/>
          </w:tcPr>
          <w:p>
            <w:pPr>
              <w:jc w:val="center"/>
              <w:rPr>
                <w:rFonts w:ascii="Times New Roman" w:hAnsi="Times New Roman" w:eastAsia="宋体" w:cs="Times New Roman"/>
                <w:color w:val="auto"/>
                <w:szCs w:val="21"/>
              </w:rPr>
            </w:pP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rPr>
            </w:pPr>
          </w:p>
        </w:tc>
        <w:tc>
          <w:tcPr>
            <w:tcW w:w="515" w:type="dxa"/>
            <w:vMerge w:val="continue"/>
            <w:vAlign w:val="center"/>
          </w:tcPr>
          <w:p>
            <w:pPr>
              <w:jc w:val="center"/>
              <w:rPr>
                <w:rFonts w:ascii="Times New Roman" w:hAnsi="Times New Roman" w:eastAsia="宋体" w:cs="Times New Roman"/>
                <w:color w:val="auto"/>
                <w:szCs w:val="21"/>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焊渣</w:t>
            </w:r>
          </w:p>
        </w:tc>
        <w:tc>
          <w:tcPr>
            <w:tcW w:w="3611" w:type="dxa"/>
            <w:vMerge w:val="continue"/>
            <w:vAlign w:val="center"/>
          </w:tcPr>
          <w:p>
            <w:pPr>
              <w:jc w:val="center"/>
              <w:rPr>
                <w:rFonts w:ascii="Times New Roman" w:hAnsi="Times New Roman" w:eastAsia="宋体" w:cs="Times New Roman"/>
                <w:color w:val="auto"/>
                <w:szCs w:val="21"/>
              </w:rPr>
            </w:pP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4"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UV灯管</w:t>
            </w:r>
          </w:p>
        </w:tc>
        <w:tc>
          <w:tcPr>
            <w:tcW w:w="3611" w:type="dxa"/>
            <w:vMerge w:val="continue"/>
            <w:vAlign w:val="center"/>
          </w:tcPr>
          <w:p>
            <w:pPr>
              <w:jc w:val="center"/>
              <w:rPr>
                <w:rFonts w:ascii="Times New Roman" w:hAnsi="Times New Roman" w:eastAsia="宋体" w:cs="Times New Roman"/>
                <w:color w:val="auto"/>
                <w:szCs w:val="21"/>
              </w:rPr>
            </w:pP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4"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废砂纸</w:t>
            </w:r>
          </w:p>
        </w:tc>
        <w:tc>
          <w:tcPr>
            <w:tcW w:w="3611" w:type="dxa"/>
            <w:vMerge w:val="continue"/>
            <w:vAlign w:val="center"/>
          </w:tcPr>
          <w:p>
            <w:pPr>
              <w:jc w:val="center"/>
              <w:rPr>
                <w:rFonts w:ascii="Times New Roman" w:hAnsi="Times New Roman" w:eastAsia="宋体" w:cs="Times New Roman"/>
                <w:color w:val="auto"/>
                <w:szCs w:val="21"/>
              </w:rPr>
            </w:pP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噪声</w:t>
            </w:r>
          </w:p>
        </w:tc>
        <w:tc>
          <w:tcPr>
            <w:tcW w:w="51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运营期</w:t>
            </w:r>
          </w:p>
        </w:tc>
        <w:tc>
          <w:tcPr>
            <w:tcW w:w="74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车辆、维修设备</w:t>
            </w:r>
          </w:p>
        </w:tc>
        <w:tc>
          <w:tcPr>
            <w:tcW w:w="1798"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噪声</w:t>
            </w:r>
          </w:p>
        </w:tc>
        <w:tc>
          <w:tcPr>
            <w:tcW w:w="3611"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color w:val="auto"/>
                <w:szCs w:val="21"/>
              </w:rPr>
              <w:t>减振基座、设备消声、厂房墙壁吸音、距离衰减</w:t>
            </w:r>
            <w:r>
              <w:rPr>
                <w:rFonts w:ascii="Times New Roman" w:hAnsi="Times New Roman" w:eastAsia="宋体" w:cs="Times New Roman"/>
                <w:color w:val="auto"/>
                <w:szCs w:val="21"/>
                <w:lang w:val="zh-CN"/>
              </w:rPr>
              <w:t>。</w:t>
            </w:r>
            <w:r>
              <w:rPr>
                <w:rFonts w:ascii="Times New Roman" w:hAnsi="Times New Roman" w:eastAsia="宋体" w:cs="Times New Roman"/>
                <w:color w:val="auto"/>
                <w:szCs w:val="21"/>
              </w:rPr>
              <w:t>车辆限速、禁鸣。</w:t>
            </w:r>
          </w:p>
        </w:tc>
        <w:tc>
          <w:tcPr>
            <w:tcW w:w="2425"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color w:val="auto"/>
                <w:szCs w:val="21"/>
              </w:rPr>
              <w:t>达GB12348-2008《工业企业厂界环境噪声排放标准》2、4类标准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568" w:type="dxa"/>
            <w:gridSpan w:val="7"/>
            <w:vAlign w:val="center"/>
          </w:tcPr>
          <w:p>
            <w:pPr>
              <w:spacing w:line="360" w:lineRule="auto"/>
              <w:ind w:firstLine="34" w:firstLineChars="14"/>
              <w:rPr>
                <w:rFonts w:ascii="Times New Roman" w:hAnsi="Times New Roman" w:eastAsia="宋体" w:cs="Times New Roman"/>
                <w:b/>
                <w:color w:val="auto"/>
                <w:sz w:val="24"/>
              </w:rPr>
            </w:pPr>
            <w:r>
              <w:rPr>
                <w:rFonts w:ascii="Times New Roman" w:hAnsi="Times New Roman" w:eastAsia="宋体" w:cs="Times New Roman"/>
                <w:b/>
                <w:color w:val="auto"/>
                <w:sz w:val="24"/>
              </w:rPr>
              <w:t>生态保护措施及预期效果</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项目选址为城市建成区，周围生态环境结构单一，项目应作好三废的处置工作，并对周围的植被进行爱护，不随便损坏周围的绿化。</w:t>
            </w:r>
          </w:p>
          <w:p>
            <w:pPr>
              <w:pStyle w:val="38"/>
              <w:ind w:left="0" w:leftChars="0" w:firstLine="0" w:firstLineChars="0"/>
              <w:rPr>
                <w:b/>
                <w:color w:val="auto"/>
                <w:szCs w:val="21"/>
              </w:rPr>
            </w:pPr>
          </w:p>
          <w:p>
            <w:pPr>
              <w:pStyle w:val="37"/>
              <w:spacing w:line="240" w:lineRule="auto"/>
              <w:ind w:firstLine="0" w:firstLineChars="0"/>
              <w:rPr>
                <w:b/>
                <w:color w:val="auto"/>
                <w:sz w:val="21"/>
                <w:szCs w:val="21"/>
              </w:rPr>
            </w:pPr>
          </w:p>
          <w:p>
            <w:pPr>
              <w:rPr>
                <w:rFonts w:ascii="Times New Roman" w:hAnsi="Times New Roman" w:eastAsia="宋体" w:cs="Times New Roman"/>
                <w:b/>
                <w:color w:val="auto"/>
                <w:szCs w:val="21"/>
              </w:rPr>
            </w:pPr>
          </w:p>
          <w:p>
            <w:pPr>
              <w:pStyle w:val="38"/>
              <w:ind w:left="0" w:leftChars="0" w:firstLine="0" w:firstLineChars="0"/>
              <w:rPr>
                <w:b/>
                <w:color w:val="auto"/>
                <w:szCs w:val="21"/>
              </w:rPr>
            </w:pPr>
          </w:p>
          <w:p>
            <w:pPr>
              <w:pStyle w:val="37"/>
              <w:spacing w:line="240" w:lineRule="auto"/>
              <w:ind w:firstLine="0" w:firstLineChars="0"/>
              <w:rPr>
                <w:b/>
                <w:color w:val="auto"/>
                <w:sz w:val="21"/>
                <w:szCs w:val="21"/>
              </w:rPr>
            </w:pPr>
          </w:p>
          <w:p>
            <w:pPr>
              <w:rPr>
                <w:rFonts w:ascii="Times New Roman" w:hAnsi="Times New Roman" w:eastAsia="宋体" w:cs="Times New Roman"/>
                <w:color w:val="auto"/>
                <w:szCs w:val="21"/>
              </w:rPr>
            </w:pPr>
          </w:p>
          <w:p>
            <w:pPr>
              <w:snapToGrid w:val="0"/>
              <w:rPr>
                <w:rFonts w:ascii="Times New Roman" w:hAnsi="Times New Roman" w:eastAsia="宋体" w:cs="Times New Roman"/>
                <w:bCs/>
                <w:color w:val="auto"/>
                <w:szCs w:val="21"/>
              </w:rPr>
            </w:pPr>
          </w:p>
        </w:tc>
      </w:tr>
    </w:tbl>
    <w:p>
      <w:pPr>
        <w:rPr>
          <w:rFonts w:ascii="Times New Roman" w:hAnsi="Times New Roman" w:eastAsia="宋体" w:cs="Times New Roman"/>
          <w:color w:val="auto"/>
        </w:rPr>
      </w:pPr>
      <w:r>
        <w:rPr>
          <w:rFonts w:ascii="Times New Roman" w:hAnsi="Times New Roman" w:eastAsia="宋体" w:cs="Times New Roman"/>
          <w:color w:val="auto"/>
        </w:rPr>
        <w:br w:type="page"/>
      </w:r>
    </w:p>
    <w:p>
      <w:pPr>
        <w:keepNext/>
        <w:keepLines/>
        <w:spacing w:line="360" w:lineRule="auto"/>
        <w:outlineLvl w:val="0"/>
        <w:rPr>
          <w:rFonts w:ascii="Times New Roman" w:hAnsi="Times New Roman" w:eastAsia="宋体" w:cs="Times New Roman"/>
          <w:b/>
          <w:bCs/>
          <w:color w:val="auto"/>
          <w:kern w:val="44"/>
          <w:sz w:val="30"/>
          <w:szCs w:val="30"/>
        </w:rPr>
      </w:pPr>
      <w:bookmarkStart w:id="44" w:name="_Toc47258302"/>
      <w:r>
        <w:rPr>
          <w:rFonts w:ascii="Times New Roman" w:hAnsi="Times New Roman" w:eastAsia="宋体" w:cs="Times New Roman"/>
          <w:b/>
          <w:bCs/>
          <w:color w:val="auto"/>
          <w:kern w:val="44"/>
          <w:sz w:val="30"/>
          <w:szCs w:val="30"/>
        </w:rPr>
        <w:t>表九、结论与建议</w:t>
      </w:r>
      <w:bookmarkEnd w:id="44"/>
    </w:p>
    <w:tbl>
      <w:tblPr>
        <w:tblStyle w:val="39"/>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
        <w:gridCol w:w="9364"/>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4" w:type="dxa"/>
          <w:trHeight w:val="13227" w:hRule="atLeast"/>
          <w:jc w:val="center"/>
        </w:trPr>
        <w:tc>
          <w:tcPr>
            <w:tcW w:w="9857" w:type="dxa"/>
            <w:gridSpan w:val="2"/>
            <w:vAlign w:val="center"/>
          </w:tcPr>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一、环境影响评价结论</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通过对该项目的工程分析和环境影响分析可得如下结论。</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1、关于产业政策</w:t>
            </w:r>
          </w:p>
          <w:p>
            <w:pPr>
              <w:pStyle w:val="218"/>
              <w:spacing w:line="360" w:lineRule="auto"/>
              <w:ind w:firstLine="440" w:firstLineChars="200"/>
              <w:jc w:val="both"/>
              <w:rPr>
                <w:rFonts w:hint="default" w:ascii="Times New Roman" w:hAnsi="Times New Roman" w:eastAsia="宋体" w:cs="Times New Roman"/>
                <w:color w:val="auto"/>
                <w:spacing w:val="-6"/>
              </w:rPr>
            </w:pPr>
            <w:r>
              <w:rPr>
                <w:rFonts w:hint="default" w:ascii="Times New Roman" w:hAnsi="Times New Roman" w:eastAsia="宋体" w:cs="Times New Roman"/>
                <w:color w:val="auto"/>
                <w:spacing w:val="-10"/>
              </w:rPr>
              <w:t>本项目为《国民经济行业与代码》</w:t>
            </w:r>
            <w:r>
              <w:rPr>
                <w:rFonts w:hint="default" w:ascii="Times New Roman" w:hAnsi="Times New Roman" w:eastAsia="宋体" w:cs="Times New Roman"/>
                <w:color w:val="auto"/>
                <w:spacing w:val="-3"/>
              </w:rPr>
              <w:t>（GB/T4754—2017）</w:t>
            </w:r>
            <w:r>
              <w:rPr>
                <w:rFonts w:hint="default" w:ascii="Times New Roman" w:hAnsi="Times New Roman" w:eastAsia="宋体" w:cs="Times New Roman"/>
                <w:color w:val="auto"/>
              </w:rPr>
              <w:t>中的汽车新车零售以及汽车修理</w:t>
            </w:r>
            <w:r>
              <w:rPr>
                <w:rFonts w:hint="default" w:ascii="Times New Roman" w:hAnsi="Times New Roman" w:eastAsia="宋体" w:cs="Times New Roman"/>
                <w:color w:val="auto"/>
                <w:spacing w:val="-7"/>
              </w:rPr>
              <w:t>与维护项目，项目主要进行小型轿车、</w:t>
            </w:r>
            <w:r>
              <w:rPr>
                <w:rFonts w:hint="default" w:ascii="Times New Roman" w:hAnsi="Times New Roman" w:eastAsia="宋体" w:cs="Times New Roman"/>
                <w:color w:val="auto"/>
              </w:rPr>
              <w:t>SUV</w:t>
            </w:r>
            <w:r>
              <w:rPr>
                <w:rFonts w:hint="default" w:ascii="Times New Roman" w:hAnsi="Times New Roman" w:eastAsia="宋体" w:cs="Times New Roman"/>
                <w:color w:val="auto"/>
                <w:spacing w:val="-6"/>
              </w:rPr>
              <w:t>汽车的修理与维护等。对照《产业结构调整指导目录（2019 年本）（修改后2020年1月1日实行）》，项目不在鼓励类、限制类和淘汰类目录内。同时，根据国发[2005]40号《促进产业结构调整暂行规定》第十三条：《产业结构调整指导目录》由鼓励、限制和淘汰三类目录组成。不属于鼓励类、限制类和淘汰类，且符合国家有关法律、法规和政策规定的，为允许类。允许类不列入《产业结构调整指导目录》，故本项目属于允许类。</w:t>
            </w:r>
          </w:p>
          <w:p>
            <w:pPr>
              <w:adjustRightInd w:val="0"/>
              <w:spacing w:line="360" w:lineRule="auto"/>
              <w:ind w:firstLine="396" w:firstLineChars="200"/>
              <w:rPr>
                <w:rFonts w:ascii="Times New Roman" w:hAnsi="Times New Roman" w:eastAsia="宋体" w:cs="Times New Roman"/>
                <w:snapToGrid w:val="0"/>
                <w:color w:val="auto"/>
                <w:kern w:val="0"/>
                <w:sz w:val="24"/>
                <w:szCs w:val="20"/>
              </w:rPr>
            </w:pPr>
            <w:r>
              <w:rPr>
                <w:rFonts w:ascii="Times New Roman" w:hAnsi="Times New Roman" w:eastAsia="宋体" w:cs="Times New Roman"/>
                <w:color w:val="auto"/>
                <w:spacing w:val="-6"/>
              </w:rPr>
              <w:t>综上，项目的建设符合国家现行的产业政策。</w:t>
            </w:r>
          </w:p>
          <w:p>
            <w:pPr>
              <w:keepNext/>
              <w:keepLines/>
              <w:spacing w:line="360" w:lineRule="auto"/>
              <w:ind w:left="420" w:left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2、项目选址合理性</w:t>
            </w:r>
          </w:p>
          <w:p>
            <w:pPr>
              <w:tabs>
                <w:tab w:val="left" w:pos="2395"/>
              </w:tabs>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本项目位于云南省德宏州芒市胞波路203号，项目选址与《德宏州域城镇体系规划（2011—2030）》的总体规划定位分析不冲突，选址可行。</w:t>
            </w:r>
          </w:p>
          <w:p>
            <w:pPr>
              <w:keepNext/>
              <w:keepLines/>
              <w:spacing w:line="360" w:lineRule="auto"/>
              <w:ind w:firstLine="480" w:firstLineChars="200"/>
              <w:jc w:val="left"/>
              <w:outlineLvl w:val="2"/>
              <w:rPr>
                <w:rFonts w:ascii="Times New Roman" w:hAnsi="Times New Roman" w:eastAsia="宋体" w:cs="Times New Roman"/>
                <w:color w:val="auto"/>
                <w:sz w:val="24"/>
              </w:rPr>
            </w:pPr>
            <w:r>
              <w:rPr>
                <w:rFonts w:ascii="Times New Roman" w:hAnsi="Times New Roman" w:eastAsia="宋体" w:cs="Times New Roman"/>
                <w:color w:val="auto"/>
                <w:sz w:val="24"/>
              </w:rPr>
              <w:t>项目生产过程中产生的污染物有废气、生活污水、噪声和固体废弃物，在采取环评提出的治理措施后，产生的污染物对环境的影响可得到有效控制，不会对周围环境产显著影响。</w:t>
            </w:r>
          </w:p>
          <w:p>
            <w:pPr>
              <w:keepNext/>
              <w:keepLines/>
              <w:spacing w:line="360" w:lineRule="auto"/>
              <w:ind w:firstLine="480" w:firstLineChars="200"/>
              <w:jc w:val="left"/>
              <w:outlineLvl w:val="2"/>
              <w:rPr>
                <w:rFonts w:ascii="Times New Roman" w:hAnsi="Times New Roman" w:eastAsia="宋体" w:cs="Times New Roman"/>
                <w:color w:val="auto"/>
                <w:sz w:val="24"/>
              </w:rPr>
            </w:pPr>
            <w:r>
              <w:rPr>
                <w:rFonts w:ascii="Times New Roman" w:hAnsi="Times New Roman" w:eastAsia="宋体" w:cs="Times New Roman"/>
                <w:color w:val="auto"/>
                <w:sz w:val="24"/>
              </w:rPr>
              <w:t>因此，项目选址合理。</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 xml:space="preserve">3、项目平面布置合理性分析 </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位于云南省德宏州芒市胞波路203号，主要包括1栋钢结构厂房，按功能划主要分为四轮定位区、保养区、维修区、接待办公区等功能区；所有建筑及区域划分均沿厂房边界设置，从西南侧依次设置有一般固废间、危废暂存间机电维修间、休息室、仓库、钣喷维修间、空压间、喷烤漆房、打磨间、双膜施工间、办公区及会议室等。项目厂区内有一长直通道，项目内各建筑均沿该通道两侧分布，方便人员及车辆的进出及调运。</w:t>
            </w:r>
          </w:p>
          <w:p>
            <w:pPr>
              <w:keepNext/>
              <w:keepLines/>
              <w:spacing w:line="360" w:lineRule="auto"/>
              <w:ind w:firstLine="480" w:firstLineChars="200"/>
              <w:jc w:val="left"/>
              <w:outlineLvl w:val="2"/>
              <w:rPr>
                <w:rFonts w:ascii="Times New Roman" w:hAnsi="Times New Roman" w:eastAsia="宋体" w:cs="Times New Roman"/>
                <w:b/>
                <w:color w:val="auto"/>
                <w:sz w:val="24"/>
              </w:rPr>
            </w:pPr>
            <w:r>
              <w:rPr>
                <w:rFonts w:ascii="Times New Roman" w:hAnsi="Times New Roman" w:eastAsia="宋体" w:cs="Times New Roman"/>
                <w:color w:val="auto"/>
                <w:sz w:val="24"/>
              </w:rPr>
              <w:t>综上，本项目平面布局合理。</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4、环境质量现状</w:t>
            </w:r>
          </w:p>
          <w:p>
            <w:pPr>
              <w:adjustRightInd w:val="0"/>
              <w:spacing w:line="360" w:lineRule="auto"/>
              <w:ind w:firstLine="482" w:firstLineChars="200"/>
              <w:jc w:val="left"/>
              <w:rPr>
                <w:rFonts w:ascii="Times New Roman" w:hAnsi="Times New Roman" w:eastAsia="宋体" w:cs="Times New Roman"/>
                <w:b/>
                <w:bCs/>
                <w:color w:val="auto"/>
                <w:sz w:val="24"/>
              </w:rPr>
            </w:pPr>
            <w:r>
              <w:rPr>
                <w:rFonts w:ascii="Times New Roman" w:hAnsi="Times New Roman" w:eastAsia="宋体" w:cs="Times New Roman"/>
                <w:b/>
                <w:bCs/>
                <w:color w:val="auto"/>
                <w:sz w:val="24"/>
              </w:rPr>
              <w:t>（1）环境空气</w:t>
            </w:r>
          </w:p>
          <w:p>
            <w:pPr>
              <w:adjustRightInd w:val="0"/>
              <w:spacing w:line="360" w:lineRule="auto"/>
              <w:ind w:firstLine="480" w:firstLineChars="200"/>
              <w:jc w:val="left"/>
              <w:rPr>
                <w:rFonts w:ascii="Times New Roman" w:hAnsi="Times New Roman" w:eastAsia="宋体" w:cs="Times New Roman"/>
                <w:snapToGrid w:val="0"/>
                <w:color w:val="auto"/>
                <w:kern w:val="0"/>
                <w:sz w:val="24"/>
              </w:rPr>
            </w:pPr>
            <w:r>
              <w:rPr>
                <w:rFonts w:ascii="Times New Roman" w:hAnsi="Times New Roman" w:eastAsia="宋体" w:cs="Times New Roman"/>
                <w:color w:val="auto"/>
                <w:sz w:val="24"/>
              </w:rPr>
              <w:t>根据《德宏州2019年环境质量状况公报》，项目区</w:t>
            </w:r>
            <w:r>
              <w:rPr>
                <w:rFonts w:ascii="Times New Roman" w:hAnsi="Times New Roman" w:eastAsia="宋体" w:cs="Times New Roman"/>
                <w:snapToGrid w:val="0"/>
                <w:color w:val="auto"/>
                <w:kern w:val="0"/>
                <w:sz w:val="24"/>
              </w:rPr>
              <w:t>环境空气能达到《环境空气质量标准》（GB3095-2012）二级标准。</w:t>
            </w:r>
          </w:p>
          <w:p>
            <w:pPr>
              <w:adjustRightInd w:val="0"/>
              <w:spacing w:line="360" w:lineRule="auto"/>
              <w:ind w:firstLine="482" w:firstLineChars="200"/>
              <w:jc w:val="left"/>
              <w:rPr>
                <w:rFonts w:ascii="Times New Roman" w:hAnsi="Times New Roman" w:eastAsia="宋体" w:cs="Times New Roman"/>
                <w:b/>
                <w:bCs/>
                <w:snapToGrid w:val="0"/>
                <w:color w:val="auto"/>
                <w:kern w:val="0"/>
                <w:sz w:val="24"/>
              </w:rPr>
            </w:pPr>
            <w:r>
              <w:rPr>
                <w:rFonts w:ascii="Times New Roman" w:hAnsi="Times New Roman" w:eastAsia="宋体" w:cs="Times New Roman"/>
                <w:b/>
                <w:bCs/>
                <w:snapToGrid w:val="0"/>
                <w:color w:val="auto"/>
                <w:kern w:val="0"/>
                <w:sz w:val="24"/>
              </w:rPr>
              <w:t>（2）地表水</w:t>
            </w:r>
          </w:p>
          <w:p>
            <w:pPr>
              <w:adjustRightInd w:val="0"/>
              <w:spacing w:line="360" w:lineRule="auto"/>
              <w:ind w:firstLine="480" w:firstLineChars="200"/>
              <w:jc w:val="left"/>
              <w:rPr>
                <w:rFonts w:ascii="Times New Roman" w:hAnsi="Times New Roman" w:eastAsia="宋体" w:cs="Times New Roman"/>
                <w:snapToGrid w:val="0"/>
                <w:color w:val="auto"/>
                <w:kern w:val="0"/>
                <w:sz w:val="24"/>
                <w:szCs w:val="20"/>
                <w:lang w:val="zh-CN"/>
              </w:rPr>
            </w:pPr>
            <w:r>
              <w:rPr>
                <w:rFonts w:ascii="Times New Roman" w:hAnsi="Times New Roman" w:eastAsia="宋体" w:cs="Times New Roman"/>
                <w:snapToGrid w:val="0"/>
                <w:color w:val="auto"/>
                <w:kern w:val="0"/>
                <w:sz w:val="24"/>
                <w:szCs w:val="20"/>
                <w:lang w:val="zh-CN"/>
              </w:rPr>
              <w:t>根据《德宏州2019年环境质量公报》，2019年芒市大河木康断面满足区划要求，年均评价为Ⅲ类水质，属于达标区。</w:t>
            </w:r>
          </w:p>
          <w:p>
            <w:pPr>
              <w:pStyle w:val="38"/>
              <w:spacing w:after="0" w:line="360" w:lineRule="auto"/>
              <w:ind w:left="0" w:leftChars="0" w:firstLine="482"/>
              <w:rPr>
                <w:b/>
                <w:bCs/>
                <w:color w:val="auto"/>
                <w:sz w:val="24"/>
              </w:rPr>
            </w:pPr>
            <w:r>
              <w:rPr>
                <w:b/>
                <w:bCs/>
                <w:color w:val="auto"/>
                <w:sz w:val="24"/>
              </w:rPr>
              <w:t>（3）声环境</w:t>
            </w:r>
          </w:p>
          <w:p>
            <w:pPr>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bCs/>
                <w:color w:val="auto"/>
                <w:sz w:val="24"/>
              </w:rPr>
              <w:t>根据《德宏州2019年环境质量公报》以及现场踏勘，项目区域声环境质量现状良好，可达GB3096-2008《声环境质量标准》2类区标准。</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5、环境影响评价结论</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（1）施工期环境影响结论</w:t>
            </w:r>
          </w:p>
          <w:p>
            <w:pPr>
              <w:spacing w:line="360" w:lineRule="auto"/>
              <w:ind w:firstLine="480" w:firstLineChars="200"/>
              <w:rPr>
                <w:rFonts w:ascii="Times New Roman" w:hAnsi="Times New Roman" w:eastAsia="宋体" w:cs="Times New Roman"/>
                <w:b/>
                <w:color w:val="auto"/>
                <w:sz w:val="24"/>
              </w:rPr>
            </w:pPr>
            <w:r>
              <w:rPr>
                <w:rFonts w:ascii="Times New Roman" w:hAnsi="Times New Roman" w:eastAsia="宋体" w:cs="Times New Roman"/>
                <w:color w:val="auto"/>
                <w:sz w:val="24"/>
              </w:rPr>
              <w:t>本项目无施工期，对环境不产生影响。</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（2）运营期环境影响分析</w:t>
            </w:r>
          </w:p>
          <w:p>
            <w:pPr>
              <w:spacing w:line="360" w:lineRule="auto"/>
              <w:ind w:firstLine="482" w:firstLineChars="200"/>
              <w:rPr>
                <w:rFonts w:ascii="Times New Roman" w:hAnsi="Times New Roman" w:eastAsia="宋体" w:cs="Times New Roman"/>
                <w:b/>
                <w:color w:val="auto"/>
                <w:sz w:val="24"/>
              </w:rPr>
            </w:pPr>
            <w:r>
              <w:rPr>
                <w:rFonts w:hint="eastAsia" w:ascii="宋体" w:hAnsi="宋体" w:eastAsia="宋体" w:cs="宋体"/>
                <w:b/>
                <w:color w:val="auto"/>
                <w:sz w:val="24"/>
              </w:rPr>
              <w:t>①</w:t>
            </w:r>
            <w:r>
              <w:rPr>
                <w:rFonts w:ascii="Times New Roman" w:hAnsi="Times New Roman" w:eastAsia="宋体" w:cs="Times New Roman"/>
                <w:b/>
                <w:color w:val="auto"/>
                <w:sz w:val="24"/>
              </w:rPr>
              <w:t>大气环境影响分析</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项目运营期产生废气主要为打磨粉尘、喷烤漆房废气、焊接时产生的焊接烟尘、汽车在进出厂和调试过程中排放的汽车尾气。</w:t>
            </w:r>
          </w:p>
          <w:p>
            <w:pPr>
              <w:adjustRightInd w:val="0"/>
              <w:snapToGrid w:val="0"/>
              <w:spacing w:line="360" w:lineRule="auto"/>
              <w:ind w:firstLine="482" w:firstLineChars="200"/>
              <w:rPr>
                <w:rFonts w:ascii="Times New Roman" w:hAnsi="Times New Roman" w:eastAsia="宋体" w:cs="Times New Roman"/>
                <w:bCs/>
                <w:color w:val="auto"/>
                <w:sz w:val="24"/>
              </w:rPr>
            </w:pPr>
            <w:r>
              <w:rPr>
                <w:rFonts w:ascii="Times New Roman" w:hAnsi="Times New Roman" w:eastAsia="宋体" w:cs="Times New Roman"/>
                <w:b/>
                <w:color w:val="auto"/>
                <w:position w:val="2"/>
                <w:sz w:val="24"/>
              </w:rPr>
              <w:t>打磨粉尘：</w:t>
            </w:r>
            <w:r>
              <w:rPr>
                <w:rFonts w:ascii="Times New Roman" w:hAnsi="Times New Roman" w:eastAsia="宋体" w:cs="Times New Roman"/>
                <w:bCs/>
                <w:color w:val="auto"/>
                <w:position w:val="2"/>
                <w:sz w:val="24"/>
              </w:rPr>
              <w:t>打磨设备自带收尘设施收集粉尘进入布袋，收集后暂存危废暂存间，定期交由有资质单位处置。其余未经收集的以无组织的形式排放，根据预测此部分无组织废气能够达标排放，</w:t>
            </w:r>
            <w:r>
              <w:rPr>
                <w:rFonts w:ascii="Times New Roman" w:hAnsi="Times New Roman" w:eastAsia="宋体" w:cs="Times New Roman"/>
                <w:color w:val="auto"/>
                <w:sz w:val="24"/>
              </w:rPr>
              <w:t>对周围大气环境影响较小。</w:t>
            </w:r>
          </w:p>
          <w:p>
            <w:pPr>
              <w:adjustRightInd w:val="0"/>
              <w:snapToGrid w:val="0"/>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焊接烟尘：</w:t>
            </w:r>
            <w:r>
              <w:rPr>
                <w:rFonts w:ascii="Times New Roman" w:hAnsi="Times New Roman" w:eastAsia="宋体" w:cs="Times New Roman"/>
                <w:color w:val="auto"/>
                <w:sz w:val="24"/>
              </w:rPr>
              <w:t>焊接烟尘产生量较小，通过移动式粉尘净化器净化后在车间内无组织排放，</w:t>
            </w:r>
            <w:r>
              <w:rPr>
                <w:rFonts w:ascii="Times New Roman" w:hAnsi="Times New Roman" w:eastAsia="宋体" w:cs="Times New Roman"/>
                <w:bCs/>
                <w:color w:val="auto"/>
                <w:position w:val="2"/>
                <w:sz w:val="24"/>
              </w:rPr>
              <w:t>根据预测此部分无组织废气能够达标排放，</w:t>
            </w:r>
            <w:r>
              <w:rPr>
                <w:rFonts w:ascii="Times New Roman" w:hAnsi="Times New Roman" w:eastAsia="宋体" w:cs="Times New Roman"/>
                <w:color w:val="auto"/>
                <w:sz w:val="24"/>
              </w:rPr>
              <w:t>对周围大气环境影响较小。</w:t>
            </w:r>
          </w:p>
          <w:p>
            <w:pPr>
              <w:adjustRightInd w:val="0"/>
              <w:snapToGrid w:val="0"/>
              <w:spacing w:line="360" w:lineRule="auto"/>
              <w:ind w:firstLine="482" w:firstLineChars="200"/>
              <w:rPr>
                <w:rFonts w:ascii="Times New Roman" w:hAnsi="Times New Roman" w:eastAsia="宋体" w:cs="Times New Roman"/>
                <w:color w:val="auto"/>
                <w:sz w:val="24"/>
              </w:rPr>
            </w:pPr>
            <w:r>
              <w:rPr>
                <w:rFonts w:ascii="Times New Roman" w:hAnsi="Times New Roman" w:eastAsia="宋体" w:cs="Times New Roman"/>
                <w:b/>
                <w:bCs/>
                <w:color w:val="auto"/>
                <w:sz w:val="24"/>
              </w:rPr>
              <w:t>喷烤漆房废气：</w:t>
            </w:r>
            <w:r>
              <w:rPr>
                <w:rFonts w:ascii="Times New Roman" w:hAnsi="Times New Roman" w:eastAsia="宋体" w:cs="Times New Roman"/>
                <w:color w:val="auto"/>
                <w:position w:val="2"/>
                <w:sz w:val="24"/>
              </w:rPr>
              <w:t>喷烤漆房为密闭式设置，</w:t>
            </w:r>
            <w:r>
              <w:rPr>
                <w:rFonts w:ascii="Times New Roman" w:hAnsi="Times New Roman" w:eastAsia="宋体" w:cs="Times New Roman"/>
                <w:color w:val="auto"/>
                <w:sz w:val="24"/>
              </w:rPr>
              <w:t>每间喷烤漆房的油漆废气都在引风机的作用下通过</w:t>
            </w:r>
            <w:r>
              <w:rPr>
                <w:rFonts w:ascii="Times New Roman" w:hAnsi="Times New Roman" w:eastAsia="宋体" w:cs="Times New Roman"/>
                <w:color w:val="auto"/>
                <w:position w:val="2"/>
                <w:sz w:val="24"/>
              </w:rPr>
              <w:t>过滤棉+UV光氧催化+活性炭吸附+</w:t>
            </w:r>
            <w:r>
              <w:rPr>
                <w:rFonts w:ascii="Times New Roman" w:hAnsi="Times New Roman" w:eastAsia="宋体" w:cs="Times New Roman"/>
                <w:color w:val="auto"/>
                <w:sz w:val="24"/>
              </w:rPr>
              <w:t>15m高的排气筒排出。根据预测，喷烤漆房废气能够达标排放，对周围大气环境影响较小。</w:t>
            </w:r>
          </w:p>
          <w:p>
            <w:pPr>
              <w:adjustRightInd w:val="0"/>
              <w:snapToGrid w:val="0"/>
              <w:spacing w:line="360" w:lineRule="auto"/>
              <w:ind w:firstLine="482" w:firstLineChars="200"/>
              <w:rPr>
                <w:rFonts w:ascii="Times New Roman" w:hAnsi="Times New Roman" w:eastAsia="宋体" w:cs="Times New Roman"/>
                <w:color w:val="auto"/>
                <w:sz w:val="24"/>
              </w:rPr>
            </w:pPr>
            <w:r>
              <w:rPr>
                <w:rFonts w:ascii="Times New Roman" w:hAnsi="Times New Roman" w:eastAsia="宋体" w:cs="Times New Roman"/>
                <w:b/>
                <w:bCs/>
                <w:color w:val="auto"/>
                <w:sz w:val="24"/>
              </w:rPr>
              <w:t>汽车尾气：</w:t>
            </w:r>
            <w:r>
              <w:rPr>
                <w:rFonts w:ascii="Times New Roman" w:hAnsi="Times New Roman" w:eastAsia="宋体" w:cs="Times New Roman"/>
                <w:color w:val="auto"/>
                <w:sz w:val="24"/>
              </w:rPr>
              <w:t>项目运营期车辆进出过程中产生的少量汽车尾气，汽车尾气中主要污染物是CO、HC、NOx，进出汽车不多，仅为校内教职工车辆，排放量不大，属无组织间歇性排放。对周围环境的影响不大。</w:t>
            </w:r>
          </w:p>
          <w:p>
            <w:pPr>
              <w:adjustRightInd w:val="0"/>
              <w:snapToGrid w:val="0"/>
              <w:spacing w:line="360" w:lineRule="auto"/>
              <w:ind w:firstLine="482" w:firstLineChars="200"/>
              <w:rPr>
                <w:rFonts w:ascii="Times New Roman" w:hAnsi="Times New Roman" w:eastAsia="宋体" w:cs="Times New Roman"/>
                <w:b/>
                <w:bCs/>
                <w:color w:val="auto"/>
                <w:sz w:val="24"/>
              </w:rPr>
            </w:pPr>
            <w:r>
              <w:rPr>
                <w:rFonts w:hint="eastAsia" w:ascii="宋体" w:hAnsi="宋体" w:eastAsia="宋体" w:cs="宋体"/>
                <w:b/>
                <w:bCs/>
                <w:color w:val="auto"/>
                <w:sz w:val="24"/>
              </w:rPr>
              <w:t>②</w:t>
            </w:r>
            <w:r>
              <w:rPr>
                <w:rFonts w:ascii="Times New Roman" w:hAnsi="Times New Roman" w:eastAsia="宋体" w:cs="Times New Roman"/>
                <w:b/>
                <w:bCs/>
                <w:color w:val="auto"/>
                <w:sz w:val="24"/>
              </w:rPr>
              <w:t>地表水环境影响分析</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本项目运营期废水主要为员工办公、生活废水，来访顾客生活废水</w:t>
            </w:r>
            <w:r>
              <w:rPr>
                <w:rFonts w:hint="eastAsia" w:ascii="Times New Roman" w:hAnsi="Times New Roman" w:eastAsia="宋体" w:cs="Times New Roman"/>
                <w:color w:val="auto"/>
                <w:sz w:val="24"/>
              </w:rPr>
              <w:t>，无生产废水</w:t>
            </w:r>
            <w:r>
              <w:rPr>
                <w:rFonts w:ascii="Times New Roman" w:hAnsi="Times New Roman" w:eastAsia="宋体" w:cs="Times New Roman"/>
                <w:color w:val="auto"/>
                <w:sz w:val="24"/>
              </w:rPr>
              <w:t>。</w:t>
            </w:r>
          </w:p>
          <w:p>
            <w:pPr>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color w:val="auto"/>
                <w:sz w:val="24"/>
              </w:rPr>
              <w:t>项目区实行雨污分流制，</w:t>
            </w:r>
            <w:r>
              <w:rPr>
                <w:rFonts w:ascii="Times New Roman" w:hAnsi="Times New Roman" w:eastAsia="宋体" w:cs="Times New Roman"/>
                <w:bCs/>
                <w:color w:val="auto"/>
                <w:sz w:val="24"/>
              </w:rPr>
              <w:t>项目区实行雨污分流制，厂房加盖彩钢瓦。</w:t>
            </w:r>
            <w:commentRangeStart w:id="7"/>
            <w:r>
              <w:rPr>
                <w:rFonts w:ascii="Times New Roman" w:hAnsi="Times New Roman" w:eastAsia="宋体" w:cs="Times New Roman"/>
                <w:bCs/>
                <w:color w:val="auto"/>
                <w:sz w:val="24"/>
              </w:rPr>
              <w:t>生活污水排入化粪池（项目区东北侧15m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w:t>
            </w:r>
            <w:r>
              <w:rPr>
                <w:rFonts w:hint="eastAsia" w:ascii="Times New Roman" w:hAnsi="Times New Roman" w:eastAsia="宋体" w:cs="Times New Roman"/>
                <w:bCs/>
                <w:color w:val="auto"/>
                <w:sz w:val="24"/>
              </w:rPr>
              <w:t>处理后定期委托环卫部门清运</w:t>
            </w:r>
            <w:r>
              <w:rPr>
                <w:rFonts w:ascii="Times New Roman" w:hAnsi="Times New Roman" w:eastAsia="宋体" w:cs="Times New Roman"/>
                <w:bCs/>
                <w:color w:val="auto"/>
                <w:sz w:val="24"/>
              </w:rPr>
              <w:t>。</w:t>
            </w:r>
            <w:commentRangeEnd w:id="7"/>
            <w:r>
              <w:rPr>
                <w:color w:val="auto"/>
              </w:rPr>
              <w:commentReference w:id="7"/>
            </w:r>
          </w:p>
          <w:p>
            <w:pPr>
              <w:adjustRightInd w:val="0"/>
              <w:snapToGrid w:val="0"/>
              <w:spacing w:line="360" w:lineRule="auto"/>
              <w:ind w:firstLine="482" w:firstLineChars="200"/>
              <w:rPr>
                <w:rFonts w:ascii="Times New Roman" w:hAnsi="Times New Roman" w:eastAsia="宋体" w:cs="Times New Roman"/>
                <w:b/>
                <w:bCs/>
                <w:color w:val="auto"/>
                <w:sz w:val="24"/>
              </w:rPr>
            </w:pPr>
            <w:r>
              <w:rPr>
                <w:rFonts w:hint="eastAsia" w:ascii="宋体" w:hAnsi="宋体" w:eastAsia="宋体" w:cs="宋体"/>
                <w:b/>
                <w:bCs/>
                <w:color w:val="auto"/>
                <w:sz w:val="24"/>
              </w:rPr>
              <w:t>③</w:t>
            </w:r>
            <w:r>
              <w:rPr>
                <w:rFonts w:ascii="Times New Roman" w:hAnsi="Times New Roman" w:eastAsia="宋体" w:cs="Times New Roman"/>
                <w:b/>
                <w:bCs/>
                <w:color w:val="auto"/>
                <w:sz w:val="24"/>
              </w:rPr>
              <w:t>噪声环境影响分析</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根据噪声预测结果可知，项目产生的噪声在经过厂房墙体隔声、距离衰减后，厂界可满足《工业企业厂界环境噪声排放标准》（GB12348-2008）中2类标准，即：昼间≤60dB(A)，对周围环境影响小。</w:t>
            </w:r>
          </w:p>
          <w:p>
            <w:pPr>
              <w:adjustRightInd w:val="0"/>
              <w:snapToGrid w:val="0"/>
              <w:spacing w:line="360" w:lineRule="auto"/>
              <w:ind w:firstLine="482" w:firstLineChars="200"/>
              <w:rPr>
                <w:rFonts w:ascii="Times New Roman" w:hAnsi="Times New Roman" w:eastAsia="宋体" w:cs="Times New Roman"/>
                <w:b/>
                <w:bCs/>
                <w:color w:val="auto"/>
                <w:sz w:val="24"/>
              </w:rPr>
            </w:pPr>
            <w:r>
              <w:rPr>
                <w:rFonts w:hint="eastAsia" w:ascii="宋体" w:hAnsi="宋体" w:eastAsia="宋体" w:cs="宋体"/>
                <w:b/>
                <w:bCs/>
                <w:color w:val="auto"/>
                <w:sz w:val="24"/>
              </w:rPr>
              <w:t>④</w:t>
            </w:r>
            <w:r>
              <w:rPr>
                <w:rFonts w:ascii="Times New Roman" w:hAnsi="Times New Roman" w:eastAsia="宋体" w:cs="Times New Roman"/>
                <w:b/>
                <w:bCs/>
                <w:color w:val="auto"/>
                <w:sz w:val="24"/>
              </w:rPr>
              <w:t>固体废弃物影响分析</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产生的固体废弃物包括生活垃圾、一般固废和危险废物。其中生活垃圾由环卫部门清运；一般固废：包装固废、化粪池污泥、废含油抹布、废含油棉纱、手套由环卫部门清运，废旧零部件、废装饰品收集后交由回收站收购；危险废物：废油漆桶、废稀释剂桶、废固化剂桶、废活性炭和废过滤棉、废机油、隔油沉淀池油污及污泥、废旧电池、焊渣、UV灯管、废砂纸收集后暂存于危废暂存间，定期委托有资质单位清运处置。</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项目产生的固体废物处置率100%。对环境影响较小。</w:t>
            </w:r>
          </w:p>
          <w:p>
            <w:pPr>
              <w:pStyle w:val="13"/>
              <w:spacing w:after="0" w:line="360" w:lineRule="auto"/>
              <w:ind w:firstLine="482" w:firstLineChars="200"/>
              <w:rPr>
                <w:b/>
                <w:bCs/>
                <w:color w:val="auto"/>
                <w:sz w:val="24"/>
              </w:rPr>
            </w:pPr>
            <w:r>
              <w:rPr>
                <w:b/>
                <w:bCs/>
                <w:color w:val="auto"/>
                <w:sz w:val="24"/>
              </w:rPr>
              <w:t>6、总结论</w:t>
            </w:r>
          </w:p>
          <w:p>
            <w:pPr>
              <w:pStyle w:val="13"/>
              <w:spacing w:after="0" w:line="360" w:lineRule="auto"/>
              <w:ind w:firstLine="480" w:firstLineChars="200"/>
              <w:rPr>
                <w:color w:val="auto"/>
                <w:sz w:val="24"/>
              </w:rPr>
            </w:pPr>
            <w:r>
              <w:rPr>
                <w:color w:val="auto"/>
                <w:sz w:val="24"/>
              </w:rPr>
              <w:t>本项目为汽修项目，项目的建设不会降低项目所在区域环境功能，污染物处置符合达标排放原则，项目性质符合产业政策，选址符合区域规划。</w:t>
            </w:r>
          </w:p>
          <w:p>
            <w:pPr>
              <w:pStyle w:val="13"/>
              <w:spacing w:after="0" w:line="360" w:lineRule="auto"/>
              <w:ind w:firstLine="480" w:firstLineChars="200"/>
              <w:rPr>
                <w:color w:val="auto"/>
                <w:sz w:val="24"/>
              </w:rPr>
            </w:pPr>
            <w:r>
              <w:rPr>
                <w:color w:val="auto"/>
                <w:sz w:val="24"/>
              </w:rPr>
              <w:t>本项目必须执行国家规定“三同时”的原则，在项目建设过程中，只要认真落实设计和本评价提出的环境保护对策措施，在项目建设和运营过程中，强化环保意识，严格进行环保管理，保证雨污分流及相应的环保措施的正常运行，做到污染物达标排放，总量控制。同时，培训专职的环保管理人员加强环境保护工作，本项目的实施可以做到社会效益、经济效益和环境效益三者的和谐统一、协调发展。</w:t>
            </w:r>
          </w:p>
          <w:p>
            <w:pPr>
              <w:pStyle w:val="13"/>
              <w:spacing w:after="0" w:line="360" w:lineRule="auto"/>
              <w:ind w:firstLine="480" w:firstLineChars="200"/>
              <w:rPr>
                <w:color w:val="auto"/>
                <w:sz w:val="24"/>
              </w:rPr>
            </w:pPr>
            <w:r>
              <w:rPr>
                <w:color w:val="auto"/>
                <w:sz w:val="24"/>
              </w:rPr>
              <w:t>从环境保护角度评价，本项目的建设可行。</w:t>
            </w:r>
          </w:p>
          <w:p>
            <w:pPr>
              <w:spacing w:line="360" w:lineRule="auto"/>
              <w:ind w:left="480"/>
              <w:rPr>
                <w:rFonts w:ascii="Times New Roman" w:hAnsi="Times New Roman" w:eastAsia="宋体" w:cs="Times New Roman"/>
                <w:b/>
                <w:color w:val="auto"/>
                <w:sz w:val="24"/>
              </w:rPr>
            </w:pPr>
            <w:r>
              <w:rPr>
                <w:rFonts w:ascii="Times New Roman" w:hAnsi="Times New Roman" w:eastAsia="宋体" w:cs="Times New Roman"/>
                <w:b/>
                <w:color w:val="auto"/>
                <w:sz w:val="24"/>
              </w:rPr>
              <w:t>二、建议</w:t>
            </w:r>
          </w:p>
          <w:p>
            <w:pPr>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为将本项目对环境影响降至最低程度，改善和提高评价区环境质量，提出以下要求：</w:t>
            </w:r>
          </w:p>
          <w:p>
            <w:pPr>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（1）建设单位在项目实施过程中，务必认真落实本项目的各项治理措施，确保建设项目的污染物排放量达到污染物排放总量控制指标的要求。</w:t>
            </w:r>
          </w:p>
          <w:p>
            <w:pPr>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（2）应进一步完善各类规章制度，加强科学管理和操作人员责任心，杜绝因操作不当而产生的各类污染事故发生。</w:t>
            </w:r>
          </w:p>
          <w:p>
            <w:pPr>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（3）加强项目区内各类污染治理设施的管理和维护，提高操作人员的责任心和环保意识，确保治理设施运行的可靠性、稳定性。</w:t>
            </w:r>
          </w:p>
          <w:p>
            <w:pPr>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（4）运营过程中剩余的原材料及产品废料要尽量作为资源回收利用，并按照监测计划要求进行项目污染源及厂区环境监测。</w:t>
            </w:r>
          </w:p>
          <w:p>
            <w:pPr>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bCs/>
                <w:color w:val="auto"/>
                <w:sz w:val="24"/>
              </w:rPr>
              <w:t>（5）项目竣工后，建设单位应当按照国务院环境保护行政主管部门规定的标准和程序，自主对配套建设的环境保护设施进行验收，编制验收报告。</w:t>
            </w:r>
          </w:p>
          <w:p>
            <w:pPr>
              <w:spacing w:line="360" w:lineRule="auto"/>
              <w:ind w:firstLine="482"/>
              <w:rPr>
                <w:rFonts w:ascii="Times New Roman" w:hAnsi="Times New Roman" w:eastAsia="宋体" w:cs="Times New Roman"/>
                <w:b/>
                <w:color w:val="auto"/>
                <w:sz w:val="24"/>
              </w:rPr>
            </w:pPr>
            <w:r>
              <w:rPr>
                <w:rFonts w:ascii="Times New Roman" w:hAnsi="Times New Roman" w:eastAsia="宋体" w:cs="Times New Roman"/>
                <w:b/>
                <w:color w:val="auto"/>
                <w:sz w:val="24"/>
              </w:rPr>
              <w:t>三、环保竣工验收及监测计划</w:t>
            </w:r>
          </w:p>
          <w:p>
            <w:pPr>
              <w:spacing w:line="360" w:lineRule="auto"/>
              <w:ind w:firstLine="482"/>
              <w:rPr>
                <w:rFonts w:ascii="Times New Roman" w:hAnsi="Times New Roman" w:eastAsia="宋体" w:cs="Times New Roman"/>
                <w:b/>
                <w:color w:val="auto"/>
                <w:sz w:val="24"/>
              </w:rPr>
            </w:pPr>
            <w:r>
              <w:rPr>
                <w:rFonts w:ascii="Times New Roman" w:hAnsi="Times New Roman" w:eastAsia="宋体" w:cs="Times New Roman"/>
                <w:b/>
                <w:color w:val="auto"/>
                <w:sz w:val="24"/>
              </w:rPr>
              <w:t>1、环境监察计划</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遵循国家及当地政府关于环境保护的方针、政策、法令、法规，应将项目的环境管理纳入项目日常管理之中。本项目制定了环境管理计划如表9-1。</w:t>
            </w:r>
          </w:p>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表9-1  环境管理计划</w:t>
            </w:r>
          </w:p>
          <w:tbl>
            <w:tblPr>
              <w:tblStyle w:val="40"/>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1" w:type="dxa"/>
                  <w:tcBorders>
                    <w:tl2br w:val="nil"/>
                    <w:tr2bl w:val="nil"/>
                  </w:tcBorders>
                  <w:vAlign w:val="center"/>
                </w:tcPr>
                <w:p>
                  <w:pPr>
                    <w:adjustRightInd w:val="0"/>
                    <w:snapToGrid w:val="0"/>
                    <w:jc w:val="center"/>
                    <w:outlineLvl w:val="2"/>
                    <w:rPr>
                      <w:rFonts w:ascii="Times New Roman" w:hAnsi="Times New Roman" w:eastAsia="宋体" w:cs="Times New Roman"/>
                      <w:b/>
                      <w:color w:val="auto"/>
                      <w:szCs w:val="21"/>
                    </w:rPr>
                  </w:pPr>
                  <w:r>
                    <w:rPr>
                      <w:rFonts w:ascii="Times New Roman" w:hAnsi="Times New Roman" w:eastAsia="宋体" w:cs="Times New Roman"/>
                      <w:b/>
                      <w:color w:val="auto"/>
                      <w:szCs w:val="21"/>
                    </w:rPr>
                    <w:t>阶段</w:t>
                  </w:r>
                </w:p>
              </w:tc>
              <w:tc>
                <w:tcPr>
                  <w:tcW w:w="7848" w:type="dxa"/>
                  <w:tcBorders>
                    <w:tl2br w:val="nil"/>
                    <w:tr2bl w:val="nil"/>
                  </w:tcBorders>
                  <w:vAlign w:val="center"/>
                </w:tcPr>
                <w:p>
                  <w:pPr>
                    <w:adjustRightInd w:val="0"/>
                    <w:snapToGrid w:val="0"/>
                    <w:jc w:val="center"/>
                    <w:outlineLvl w:val="2"/>
                    <w:rPr>
                      <w:rFonts w:ascii="Times New Roman" w:hAnsi="Times New Roman" w:eastAsia="宋体" w:cs="Times New Roman"/>
                      <w:b/>
                      <w:color w:val="auto"/>
                      <w:szCs w:val="21"/>
                    </w:rPr>
                  </w:pPr>
                  <w:r>
                    <w:rPr>
                      <w:rFonts w:ascii="Times New Roman" w:hAnsi="Times New Roman" w:eastAsia="宋体" w:cs="Times New Roman"/>
                      <w:b/>
                      <w:color w:val="auto"/>
                      <w:szCs w:val="21"/>
                    </w:rPr>
                    <w:t>环境管理工作主要内容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1" w:type="dxa"/>
                  <w:tcBorders>
                    <w:tl2br w:val="nil"/>
                    <w:tr2bl w:val="nil"/>
                  </w:tcBorders>
                  <w:vAlign w:val="center"/>
                </w:tcPr>
                <w:p>
                  <w:pPr>
                    <w:adjustRightInd w:val="0"/>
                    <w:snapToGrid w:val="0"/>
                    <w:jc w:val="center"/>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管理机构职能</w:t>
                  </w:r>
                </w:p>
              </w:tc>
              <w:tc>
                <w:tcPr>
                  <w:tcW w:w="7848" w:type="dxa"/>
                  <w:tcBorders>
                    <w:tl2br w:val="nil"/>
                    <w:tr2bl w:val="nil"/>
                  </w:tcBorders>
                  <w:vAlign w:val="center"/>
                </w:tcPr>
                <w:p>
                  <w:pPr>
                    <w:adjustRightInd w:val="0"/>
                    <w:snapToGrid w:val="0"/>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根据国家建设项目环境管理规定，认真落实各项环保手续，完成各级主管部门对本企业提出的环境管理要求，对本企业内部各项管理计划的执行及完成情况进行监督、控制，确保环境管理工作真正发挥作用。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1" w:type="dxa"/>
                  <w:tcBorders>
                    <w:tl2br w:val="nil"/>
                    <w:tr2bl w:val="nil"/>
                  </w:tcBorders>
                  <w:vAlign w:val="center"/>
                </w:tcPr>
                <w:p>
                  <w:pPr>
                    <w:adjustRightInd w:val="0"/>
                    <w:snapToGrid w:val="0"/>
                    <w:jc w:val="center"/>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生产运行期</w:t>
                  </w:r>
                </w:p>
              </w:tc>
              <w:tc>
                <w:tcPr>
                  <w:tcW w:w="7848" w:type="dxa"/>
                  <w:tcBorders>
                    <w:tl2br w:val="nil"/>
                    <w:tr2bl w:val="nil"/>
                  </w:tcBorders>
                  <w:vAlign w:val="center"/>
                </w:tcPr>
                <w:p>
                  <w:pPr>
                    <w:adjustRightInd w:val="0"/>
                    <w:snapToGrid w:val="0"/>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（1）严格执行各项生产及环境管理制度，保证生产的正常运行；</w:t>
                  </w:r>
                </w:p>
                <w:p>
                  <w:pPr>
                    <w:adjustRightInd w:val="0"/>
                    <w:snapToGrid w:val="0"/>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（2）设立环保设施运行卡，对环保设施定期进行检查、维护，做到勤查、勤记、勤养护，按照监测计划定期组织进行项目区内的污染源监测，对不达标的环保设施应立即进行查找原因，及时处理；</w:t>
                  </w:r>
                </w:p>
                <w:p>
                  <w:pPr>
                    <w:adjustRightInd w:val="0"/>
                    <w:snapToGrid w:val="0"/>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（3）不断加强技术培训，组织企业内部之间进行技术交流，提高业务水平，保持企业内部职工素质稳定；</w:t>
                  </w:r>
                </w:p>
                <w:p>
                  <w:pPr>
                    <w:adjustRightInd w:val="0"/>
                    <w:snapToGrid w:val="0"/>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（4）重视群众监督作用，提高企业职工环保意识，鼓励职工及外部人员对生产状况提出意见，并通过积极吸收宝贵意见来提高企业环境管理水平；</w:t>
                  </w:r>
                </w:p>
                <w:p>
                  <w:pPr>
                    <w:adjustRightInd w:val="0"/>
                    <w:snapToGrid w:val="0"/>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（5）积极配合环保部门的检查。</w:t>
                  </w:r>
                </w:p>
              </w:tc>
            </w:tr>
          </w:tbl>
          <w:p>
            <w:pPr>
              <w:widowControl/>
              <w:snapToGrid w:val="0"/>
              <w:spacing w:before="156" w:beforeLines="50" w:line="360" w:lineRule="auto"/>
              <w:ind w:firstLine="482" w:firstLineChars="200"/>
              <w:jc w:val="left"/>
              <w:rPr>
                <w:rFonts w:ascii="Times New Roman" w:hAnsi="Times New Roman" w:eastAsia="宋体" w:cs="Times New Roman"/>
                <w:b/>
                <w:color w:val="auto"/>
                <w:sz w:val="24"/>
                <w:szCs w:val="21"/>
              </w:rPr>
            </w:pPr>
            <w:r>
              <w:rPr>
                <w:rFonts w:ascii="Times New Roman" w:hAnsi="Times New Roman" w:eastAsia="宋体" w:cs="Times New Roman"/>
                <w:b/>
                <w:color w:val="auto"/>
                <w:sz w:val="24"/>
                <w:szCs w:val="21"/>
              </w:rPr>
              <w:t>2、环境监测</w:t>
            </w:r>
          </w:p>
          <w:p>
            <w:pPr>
              <w:adjustRightInd w:val="0"/>
              <w:snapToGrid w:val="0"/>
              <w:ind w:firstLine="480"/>
              <w:rPr>
                <w:rFonts w:ascii="Times New Roman" w:hAnsi="Times New Roman" w:eastAsia="宋体" w:cs="Times New Roman"/>
                <w:b/>
                <w:color w:val="auto"/>
                <w:sz w:val="24"/>
                <w:szCs w:val="21"/>
              </w:rPr>
            </w:pPr>
            <w:r>
              <w:rPr>
                <w:rFonts w:ascii="Times New Roman" w:hAnsi="Times New Roman" w:eastAsia="宋体" w:cs="Times New Roman"/>
                <w:bCs/>
                <w:color w:val="auto"/>
                <w:sz w:val="24"/>
              </w:rPr>
              <w:t>根据项目污染排放特征及区域环境特点，项目环境监测重点在运行期，建议监测内容详见下表。</w:t>
            </w:r>
          </w:p>
          <w:p>
            <w:pPr>
              <w:adjustRightInd w:val="0"/>
              <w:snapToGrid w:val="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表9-2  环境监测计划表</w:t>
            </w:r>
          </w:p>
          <w:tbl>
            <w:tblPr>
              <w:tblStyle w:val="39"/>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826"/>
              <w:gridCol w:w="847"/>
              <w:gridCol w:w="1228"/>
              <w:gridCol w:w="1100"/>
              <w:gridCol w:w="1092"/>
              <w:gridCol w:w="3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26" w:type="dxa"/>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监测时段</w:t>
                  </w:r>
                </w:p>
              </w:tc>
              <w:tc>
                <w:tcPr>
                  <w:tcW w:w="826" w:type="dxa"/>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监测对象</w:t>
                  </w:r>
                </w:p>
              </w:tc>
              <w:tc>
                <w:tcPr>
                  <w:tcW w:w="2075" w:type="dxa"/>
                  <w:gridSpan w:val="2"/>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监测地点</w:t>
                  </w:r>
                </w:p>
              </w:tc>
              <w:tc>
                <w:tcPr>
                  <w:tcW w:w="1100" w:type="dxa"/>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监测项目</w:t>
                  </w:r>
                </w:p>
              </w:tc>
              <w:tc>
                <w:tcPr>
                  <w:tcW w:w="1092" w:type="dxa"/>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监测频率</w:t>
                  </w:r>
                </w:p>
              </w:tc>
              <w:tc>
                <w:tcPr>
                  <w:tcW w:w="3636" w:type="dxa"/>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6" w:type="dxa"/>
                  <w:vMerge w:val="restart"/>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运营期</w:t>
                  </w:r>
                </w:p>
              </w:tc>
              <w:tc>
                <w:tcPr>
                  <w:tcW w:w="826" w:type="dxa"/>
                  <w:vMerge w:val="restart"/>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废气</w:t>
                  </w:r>
                </w:p>
              </w:tc>
              <w:tc>
                <w:tcPr>
                  <w:tcW w:w="847"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有组织</w:t>
                  </w:r>
                </w:p>
              </w:tc>
              <w:tc>
                <w:tcPr>
                  <w:tcW w:w="1228"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喷喷烤漆房废气排气筒</w:t>
                  </w:r>
                </w:p>
              </w:tc>
              <w:tc>
                <w:tcPr>
                  <w:tcW w:w="1100" w:type="dxa"/>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二甲苯、颗粒物、</w:t>
                  </w:r>
                  <w:r>
                    <w:rPr>
                      <w:rFonts w:hint="eastAsia" w:ascii="Times New Roman" w:hAnsi="Times New Roman" w:eastAsia="宋体" w:cs="Times New Roman"/>
                      <w:color w:val="auto"/>
                      <w:szCs w:val="21"/>
                    </w:rPr>
                    <w:t>非甲烷总烃</w:t>
                  </w:r>
                </w:p>
              </w:tc>
              <w:tc>
                <w:tcPr>
                  <w:tcW w:w="1092"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按国家规定进行</w:t>
                  </w:r>
                </w:p>
              </w:tc>
              <w:tc>
                <w:tcPr>
                  <w:tcW w:w="3636" w:type="dxa"/>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二甲苯、颗粒物</w:t>
                  </w:r>
                  <w:r>
                    <w:rPr>
                      <w:rFonts w:ascii="Times New Roman" w:hAnsi="Times New Roman" w:eastAsia="宋体" w:cs="Times New Roman"/>
                      <w:color w:val="auto"/>
                      <w:szCs w:val="21"/>
                      <w:lang w:bidi="ar"/>
                    </w:rPr>
                    <w:t>执行《大气污染物综合排放标准》（GB16297-1996）表2中新污染源二级标准限值；</w:t>
                  </w:r>
                  <w:r>
                    <w:rPr>
                      <w:rFonts w:ascii="Times New Roman" w:hAnsi="Times New Roman" w:eastAsia="宋体" w:cs="Times New Roman"/>
                      <w:color w:val="auto"/>
                      <w:szCs w:val="21"/>
                    </w:rPr>
                    <w:t>VOCs参照</w:t>
                  </w:r>
                  <w:r>
                    <w:rPr>
                      <w:rFonts w:ascii="Times New Roman" w:hAnsi="Times New Roman" w:eastAsia="宋体" w:cs="Times New Roman"/>
                      <w:color w:val="auto"/>
                      <w:szCs w:val="21"/>
                      <w:lang w:bidi="ar"/>
                    </w:rPr>
                    <w:t>《大气污染物综合排放标准》（GB16297-1996）表2中</w:t>
                  </w:r>
                  <w:r>
                    <w:rPr>
                      <w:rFonts w:ascii="Times New Roman" w:hAnsi="Times New Roman" w:eastAsia="宋体" w:cs="Times New Roman"/>
                      <w:color w:val="auto"/>
                      <w:szCs w:val="21"/>
                    </w:rPr>
                    <w:t>非甲烷总烃有组织二级标准限值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6" w:type="dxa"/>
                  <w:vMerge w:val="continue"/>
                  <w:vAlign w:val="center"/>
                </w:tcPr>
                <w:p>
                  <w:pPr>
                    <w:widowControl/>
                    <w:jc w:val="center"/>
                    <w:rPr>
                      <w:rFonts w:ascii="Times New Roman" w:hAnsi="Times New Roman" w:eastAsia="宋体" w:cs="Times New Roman"/>
                      <w:color w:val="auto"/>
                    </w:rPr>
                  </w:pPr>
                </w:p>
              </w:tc>
              <w:tc>
                <w:tcPr>
                  <w:tcW w:w="826" w:type="dxa"/>
                  <w:vMerge w:val="continue"/>
                  <w:vAlign w:val="center"/>
                </w:tcPr>
                <w:p>
                  <w:pPr>
                    <w:widowControl/>
                    <w:jc w:val="center"/>
                    <w:rPr>
                      <w:rFonts w:ascii="Times New Roman" w:hAnsi="Times New Roman" w:eastAsia="宋体" w:cs="Times New Roman"/>
                      <w:color w:val="auto"/>
                    </w:rPr>
                  </w:pPr>
                </w:p>
              </w:tc>
              <w:tc>
                <w:tcPr>
                  <w:tcW w:w="847"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无组织</w:t>
                  </w:r>
                </w:p>
              </w:tc>
              <w:tc>
                <w:tcPr>
                  <w:tcW w:w="1228"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厂界上风向1个，下风向3个</w:t>
                  </w:r>
                </w:p>
              </w:tc>
              <w:tc>
                <w:tcPr>
                  <w:tcW w:w="1100"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二甲苯、颗粒物、</w:t>
                  </w:r>
                  <w:r>
                    <w:rPr>
                      <w:rFonts w:hint="eastAsia" w:ascii="Times New Roman" w:hAnsi="Times New Roman" w:eastAsia="宋体" w:cs="Times New Roman"/>
                      <w:color w:val="auto"/>
                      <w:szCs w:val="21"/>
                    </w:rPr>
                    <w:t>非甲烷总烃</w:t>
                  </w:r>
                </w:p>
              </w:tc>
              <w:tc>
                <w:tcPr>
                  <w:tcW w:w="1092"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按国家规定进行</w:t>
                  </w:r>
                </w:p>
              </w:tc>
              <w:tc>
                <w:tcPr>
                  <w:tcW w:w="3636"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二甲苯、颗粒物</w:t>
                  </w:r>
                  <w:r>
                    <w:rPr>
                      <w:rFonts w:ascii="Times New Roman" w:hAnsi="Times New Roman" w:eastAsia="宋体" w:cs="Times New Roman"/>
                      <w:color w:val="auto"/>
                      <w:szCs w:val="21"/>
                      <w:lang w:bidi="ar"/>
                    </w:rPr>
                    <w:t>执行《大气污染物综合排放标准》（GB16297-1996）表2中新污染源二级标准限值；</w:t>
                  </w:r>
                  <w:r>
                    <w:rPr>
                      <w:rFonts w:ascii="Times New Roman" w:hAnsi="Times New Roman" w:eastAsia="宋体" w:cs="Times New Roman"/>
                      <w:color w:val="auto"/>
                      <w:szCs w:val="21"/>
                    </w:rPr>
                    <w:t>VOCs执行《挥发性有机污染物无组织排放标准》（GB 37822-2019）表A.1中的无组织排放监控浓度限值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26" w:type="dxa"/>
                  <w:vMerge w:val="continue"/>
                  <w:vAlign w:val="center"/>
                </w:tcPr>
                <w:p>
                  <w:pPr>
                    <w:widowControl/>
                    <w:jc w:val="center"/>
                    <w:rPr>
                      <w:rFonts w:ascii="Times New Roman" w:hAnsi="Times New Roman" w:eastAsia="宋体" w:cs="Times New Roman"/>
                      <w:color w:val="auto"/>
                      <w:kern w:val="0"/>
                      <w:szCs w:val="21"/>
                    </w:rPr>
                  </w:pPr>
                </w:p>
              </w:tc>
              <w:tc>
                <w:tcPr>
                  <w:tcW w:w="826"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噪声</w:t>
                  </w:r>
                </w:p>
              </w:tc>
              <w:tc>
                <w:tcPr>
                  <w:tcW w:w="2075" w:type="dxa"/>
                  <w:gridSpan w:val="2"/>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厂界四周</w:t>
                  </w:r>
                </w:p>
              </w:tc>
              <w:tc>
                <w:tcPr>
                  <w:tcW w:w="1100"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等效声级LegdB(A)</w:t>
                  </w:r>
                </w:p>
              </w:tc>
              <w:tc>
                <w:tcPr>
                  <w:tcW w:w="1092"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按国家规定进行</w:t>
                  </w:r>
                </w:p>
              </w:tc>
              <w:tc>
                <w:tcPr>
                  <w:tcW w:w="3636"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GB12348-2008《工业企业厂界噪声排放标准》2、4类标准</w:t>
                  </w:r>
                </w:p>
              </w:tc>
            </w:tr>
          </w:tbl>
          <w:p>
            <w:pPr>
              <w:widowControl/>
              <w:snapToGrid w:val="0"/>
              <w:spacing w:before="156" w:beforeLines="50" w:line="360" w:lineRule="auto"/>
              <w:ind w:firstLine="482" w:firstLineChars="200"/>
              <w:jc w:val="left"/>
              <w:rPr>
                <w:rFonts w:ascii="Times New Roman" w:hAnsi="Times New Roman" w:eastAsia="宋体" w:cs="Times New Roman"/>
                <w:b/>
                <w:color w:val="auto"/>
                <w:sz w:val="24"/>
              </w:rPr>
            </w:pPr>
            <w:r>
              <w:rPr>
                <w:rFonts w:ascii="Times New Roman" w:hAnsi="Times New Roman" w:eastAsia="宋体" w:cs="Times New Roman"/>
                <w:b/>
                <w:color w:val="auto"/>
                <w:sz w:val="24"/>
              </w:rPr>
              <w:t>3、环境保护竣工验收</w:t>
            </w:r>
          </w:p>
          <w:p>
            <w:pPr>
              <w:widowControl/>
              <w:snapToGrid w:val="0"/>
              <w:spacing w:line="360" w:lineRule="auto"/>
              <w:ind w:firstLine="480" w:firstLineChars="200"/>
              <w:jc w:val="left"/>
              <w:outlineLvl w:val="0"/>
              <w:rPr>
                <w:rFonts w:ascii="Times New Roman" w:hAnsi="Times New Roman" w:eastAsia="宋体" w:cs="Times New Roman"/>
                <w:b/>
                <w:color w:val="auto"/>
                <w:sz w:val="24"/>
              </w:rPr>
            </w:pPr>
            <w:bookmarkStart w:id="45" w:name="_Toc47258306"/>
            <w:r>
              <w:rPr>
                <w:rFonts w:ascii="Times New Roman" w:hAnsi="Times New Roman" w:eastAsia="宋体" w:cs="Times New Roman"/>
                <w:color w:val="auto"/>
                <w:sz w:val="24"/>
                <w:szCs w:val="21"/>
              </w:rPr>
              <w:t>根据建设单位项目“三同时”原则，在项目建设过程中，环境污染防治设施应与主体工程同时设计、同时施工、同时投入使用，拟建项目建成运营时，应对环保设施进行验收。项目环保竣工验收清单见下表。</w:t>
            </w:r>
            <w:bookmarkEnd w:id="45"/>
          </w:p>
          <w:p>
            <w:pPr>
              <w:adjustRightInd w:val="0"/>
              <w:snapToGrid w:val="0"/>
              <w:ind w:firstLine="482"/>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表9-3  竣工验收一览表</w:t>
            </w:r>
          </w:p>
          <w:tbl>
            <w:tblPr>
              <w:tblStyle w:val="39"/>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765"/>
              <w:gridCol w:w="628"/>
              <w:gridCol w:w="1115"/>
              <w:gridCol w:w="3838"/>
              <w:gridCol w:w="2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项目</w:t>
                  </w:r>
                </w:p>
              </w:tc>
              <w:tc>
                <w:tcPr>
                  <w:tcW w:w="765" w:type="dxa"/>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排放源</w:t>
                  </w:r>
                </w:p>
              </w:tc>
              <w:tc>
                <w:tcPr>
                  <w:tcW w:w="1743" w:type="dxa"/>
                  <w:gridSpan w:val="2"/>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污染物</w:t>
                  </w:r>
                </w:p>
              </w:tc>
              <w:tc>
                <w:tcPr>
                  <w:tcW w:w="3838" w:type="dxa"/>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防治措施</w:t>
                  </w:r>
                </w:p>
              </w:tc>
              <w:tc>
                <w:tcPr>
                  <w:tcW w:w="2514" w:type="dxa"/>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废气</w:t>
                  </w:r>
                </w:p>
              </w:tc>
              <w:tc>
                <w:tcPr>
                  <w:tcW w:w="76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打磨</w:t>
                  </w:r>
                </w:p>
              </w:tc>
              <w:tc>
                <w:tcPr>
                  <w:tcW w:w="1743" w:type="dxa"/>
                  <w:gridSpan w:val="2"/>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打磨粉尘</w:t>
                  </w:r>
                </w:p>
              </w:tc>
              <w:tc>
                <w:tcPr>
                  <w:tcW w:w="383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position w:val="2"/>
                      <w:szCs w:val="21"/>
                    </w:rPr>
                    <w:t>打磨设备自带收尘设施（收尘效率为80%）收集粉尘进入布袋，收集后暂存危废暂存间，定期交由有资质单位处置。其余未经收集的20%以无组织的形式排放。</w:t>
                  </w:r>
                </w:p>
              </w:tc>
              <w:tc>
                <w:tcPr>
                  <w:tcW w:w="2514" w:type="dxa"/>
                  <w:vMerge w:val="restart"/>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达GB16297-1996《大气污染物综合排放标准》表2二级标准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焊接</w:t>
                  </w:r>
                </w:p>
              </w:tc>
              <w:tc>
                <w:tcPr>
                  <w:tcW w:w="1743" w:type="dxa"/>
                  <w:gridSpan w:val="2"/>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焊接烟尘</w:t>
                  </w:r>
                </w:p>
              </w:tc>
              <w:tc>
                <w:tcPr>
                  <w:tcW w:w="3838"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通过移动式粉尘净化器净化（净化效率90%）后在车间内无组织排放。</w:t>
                  </w:r>
                </w:p>
              </w:tc>
              <w:tc>
                <w:tcPr>
                  <w:tcW w:w="2514" w:type="dxa"/>
                  <w:vMerge w:val="continue"/>
                  <w:vAlign w:val="center"/>
                </w:tcPr>
                <w:p>
                  <w:pPr>
                    <w:widowControl/>
                    <w:jc w:val="center"/>
                    <w:rPr>
                      <w:rFonts w:ascii="Times New Roman" w:hAnsi="Times New Roman" w:eastAsia="宋体"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喷烤漆房废气</w:t>
                  </w:r>
                </w:p>
              </w:tc>
              <w:tc>
                <w:tcPr>
                  <w:tcW w:w="62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有组织</w:t>
                  </w:r>
                </w:p>
              </w:tc>
              <w:tc>
                <w:tcPr>
                  <w:tcW w:w="1115" w:type="dxa"/>
                  <w:vAlign w:val="center"/>
                </w:tcPr>
                <w:p>
                  <w:pPr>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3838" w:type="dxa"/>
                  <w:vMerge w:val="restart"/>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喷烤漆房密闭式设置，设置1套废气净化系统（过滤棉+UV光氧催化+活性炭+1根15m高排气筒）。</w:t>
                  </w:r>
                </w:p>
              </w:tc>
              <w:tc>
                <w:tcPr>
                  <w:tcW w:w="2514" w:type="dxa"/>
                  <w:vMerge w:val="restart"/>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lang w:bidi="ar"/>
                    </w:rPr>
                    <w:t>达《大气污染物综合排放标准》（GB16297-1996）表2中新污染源二级标准限值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628" w:type="dxa"/>
                  <w:vMerge w:val="continue"/>
                  <w:vAlign w:val="center"/>
                </w:tcPr>
                <w:p>
                  <w:pPr>
                    <w:jc w:val="center"/>
                    <w:rPr>
                      <w:rFonts w:ascii="Times New Roman" w:hAnsi="Times New Roman" w:eastAsia="宋体" w:cs="Times New Roman"/>
                      <w:color w:val="auto"/>
                      <w:szCs w:val="21"/>
                    </w:rPr>
                  </w:pPr>
                </w:p>
              </w:tc>
              <w:tc>
                <w:tcPr>
                  <w:tcW w:w="1115"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颗粒物</w:t>
                  </w:r>
                </w:p>
              </w:tc>
              <w:tc>
                <w:tcPr>
                  <w:tcW w:w="3838" w:type="dxa"/>
                  <w:vMerge w:val="continue"/>
                  <w:vAlign w:val="center"/>
                </w:tcPr>
                <w:p>
                  <w:pPr>
                    <w:widowControl/>
                    <w:spacing w:line="360" w:lineRule="exact"/>
                    <w:jc w:val="center"/>
                    <w:rPr>
                      <w:rFonts w:ascii="Times New Roman" w:hAnsi="Times New Roman" w:eastAsia="宋体" w:cs="Times New Roman"/>
                      <w:color w:val="auto"/>
                      <w:szCs w:val="21"/>
                    </w:rPr>
                  </w:pPr>
                </w:p>
              </w:tc>
              <w:tc>
                <w:tcPr>
                  <w:tcW w:w="2514" w:type="dxa"/>
                  <w:vMerge w:val="continue"/>
                  <w:vAlign w:val="center"/>
                </w:tcPr>
                <w:p>
                  <w:pPr>
                    <w:widowControl/>
                    <w:spacing w:line="360" w:lineRule="exact"/>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628" w:type="dxa"/>
                  <w:vMerge w:val="continue"/>
                  <w:vAlign w:val="center"/>
                </w:tcPr>
                <w:p>
                  <w:pPr>
                    <w:jc w:val="center"/>
                    <w:rPr>
                      <w:rFonts w:ascii="Times New Roman" w:hAnsi="Times New Roman" w:eastAsia="宋体" w:cs="Times New Roman"/>
                      <w:color w:val="auto"/>
                      <w:szCs w:val="21"/>
                    </w:rPr>
                  </w:pPr>
                </w:p>
              </w:tc>
              <w:tc>
                <w:tcPr>
                  <w:tcW w:w="1115"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p>
              </w:tc>
              <w:tc>
                <w:tcPr>
                  <w:tcW w:w="3838" w:type="dxa"/>
                  <w:vMerge w:val="continue"/>
                  <w:vAlign w:val="center"/>
                </w:tcPr>
                <w:p>
                  <w:pPr>
                    <w:widowControl/>
                    <w:spacing w:line="360" w:lineRule="exact"/>
                    <w:jc w:val="center"/>
                    <w:rPr>
                      <w:rFonts w:ascii="Times New Roman" w:hAnsi="Times New Roman" w:eastAsia="宋体" w:cs="Times New Roman"/>
                      <w:color w:val="auto"/>
                      <w:position w:val="2"/>
                      <w:szCs w:val="21"/>
                    </w:rPr>
                  </w:pPr>
                </w:p>
              </w:tc>
              <w:tc>
                <w:tcPr>
                  <w:tcW w:w="2514" w:type="dxa"/>
                  <w:vAlign w:val="center"/>
                </w:tcPr>
                <w:p>
                  <w:pPr>
                    <w:widowControl/>
                    <w:spacing w:line="360" w:lineRule="exact"/>
                    <w:jc w:val="center"/>
                    <w:rPr>
                      <w:rFonts w:ascii="Times New Roman" w:hAnsi="Times New Roman" w:eastAsia="宋体" w:cs="Times New Roman"/>
                      <w:color w:val="auto"/>
                      <w:position w:val="2"/>
                      <w:szCs w:val="21"/>
                    </w:rPr>
                  </w:pPr>
                  <w:r>
                    <w:rPr>
                      <w:rFonts w:ascii="Times New Roman" w:hAnsi="Times New Roman" w:eastAsia="宋体" w:cs="Times New Roman"/>
                      <w:color w:val="auto"/>
                      <w:szCs w:val="21"/>
                      <w:lang w:bidi="ar"/>
                    </w:rPr>
                    <w:t>达《大气污染物综合排放标准》（GB16297-1996）表2中</w:t>
                  </w:r>
                  <w:r>
                    <w:rPr>
                      <w:rFonts w:ascii="Times New Roman" w:hAnsi="Times New Roman" w:eastAsia="宋体" w:cs="Times New Roman"/>
                      <w:color w:val="auto"/>
                      <w:szCs w:val="21"/>
                    </w:rPr>
                    <w:t>非甲烷总烃有组织二级标准限值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62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115" w:type="dxa"/>
                  <w:vAlign w:val="center"/>
                </w:tcPr>
                <w:p>
                  <w:pPr>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3838" w:type="dxa"/>
                  <w:vMerge w:val="restart"/>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自然稀释扩散</w:t>
                  </w:r>
                </w:p>
              </w:tc>
              <w:tc>
                <w:tcPr>
                  <w:tcW w:w="2514" w:type="dxa"/>
                  <w:vMerge w:val="restart"/>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lang w:bidi="ar"/>
                    </w:rPr>
                    <w:t>达《大气污染物综合排放标准》（GB16297-1996）表2中新污染源二级标准限值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628" w:type="dxa"/>
                  <w:vMerge w:val="continue"/>
                  <w:vAlign w:val="center"/>
                </w:tcPr>
                <w:p>
                  <w:pPr>
                    <w:jc w:val="center"/>
                    <w:rPr>
                      <w:rFonts w:ascii="Times New Roman" w:hAnsi="Times New Roman" w:eastAsia="宋体" w:cs="Times New Roman"/>
                      <w:color w:val="auto"/>
                      <w:szCs w:val="21"/>
                    </w:rPr>
                  </w:pPr>
                </w:p>
              </w:tc>
              <w:tc>
                <w:tcPr>
                  <w:tcW w:w="1115"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颗粒物</w:t>
                  </w:r>
                </w:p>
              </w:tc>
              <w:tc>
                <w:tcPr>
                  <w:tcW w:w="3838" w:type="dxa"/>
                  <w:vMerge w:val="continue"/>
                  <w:vAlign w:val="center"/>
                </w:tcPr>
                <w:p>
                  <w:pPr>
                    <w:widowControl/>
                    <w:spacing w:line="360" w:lineRule="exact"/>
                    <w:jc w:val="center"/>
                    <w:rPr>
                      <w:rFonts w:ascii="Times New Roman" w:hAnsi="Times New Roman" w:eastAsia="宋体" w:cs="Times New Roman"/>
                      <w:color w:val="auto"/>
                      <w:szCs w:val="21"/>
                    </w:rPr>
                  </w:pPr>
                </w:p>
              </w:tc>
              <w:tc>
                <w:tcPr>
                  <w:tcW w:w="2514" w:type="dxa"/>
                  <w:vMerge w:val="continue"/>
                  <w:vAlign w:val="center"/>
                </w:tcPr>
                <w:p>
                  <w:pPr>
                    <w:widowControl/>
                    <w:spacing w:line="360" w:lineRule="exact"/>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628" w:type="dxa"/>
                  <w:vMerge w:val="continue"/>
                  <w:vAlign w:val="center"/>
                </w:tcPr>
                <w:p>
                  <w:pPr>
                    <w:jc w:val="center"/>
                    <w:rPr>
                      <w:rFonts w:ascii="Times New Roman" w:hAnsi="Times New Roman" w:eastAsia="宋体" w:cs="Times New Roman"/>
                      <w:color w:val="auto"/>
                      <w:szCs w:val="21"/>
                    </w:rPr>
                  </w:pPr>
                </w:p>
              </w:tc>
              <w:tc>
                <w:tcPr>
                  <w:tcW w:w="1115"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p>
              </w:tc>
              <w:tc>
                <w:tcPr>
                  <w:tcW w:w="3838" w:type="dxa"/>
                  <w:vMerge w:val="continue"/>
                  <w:vAlign w:val="center"/>
                </w:tcPr>
                <w:p>
                  <w:pPr>
                    <w:widowControl/>
                    <w:spacing w:line="360" w:lineRule="exact"/>
                    <w:jc w:val="center"/>
                    <w:rPr>
                      <w:rFonts w:ascii="Times New Roman" w:hAnsi="Times New Roman" w:eastAsia="宋体" w:cs="Times New Roman"/>
                      <w:color w:val="auto"/>
                      <w:position w:val="2"/>
                      <w:szCs w:val="21"/>
                    </w:rPr>
                  </w:pPr>
                </w:p>
              </w:tc>
              <w:tc>
                <w:tcPr>
                  <w:tcW w:w="2514" w:type="dxa"/>
                  <w:vAlign w:val="center"/>
                </w:tcPr>
                <w:p>
                  <w:pPr>
                    <w:widowControl/>
                    <w:spacing w:line="360" w:lineRule="exact"/>
                    <w:jc w:val="center"/>
                    <w:rPr>
                      <w:rFonts w:ascii="Times New Roman" w:hAnsi="Times New Roman" w:eastAsia="宋体" w:cs="Times New Roman"/>
                      <w:color w:val="auto"/>
                      <w:position w:val="2"/>
                      <w:szCs w:val="21"/>
                    </w:rPr>
                  </w:pPr>
                  <w:r>
                    <w:rPr>
                      <w:rFonts w:ascii="Times New Roman" w:hAnsi="Times New Roman" w:eastAsia="宋体" w:cs="Times New Roman"/>
                      <w:color w:val="auto"/>
                      <w:szCs w:val="21"/>
                    </w:rPr>
                    <w:t>达《挥发性有机污染物无组织排放标准》（GB 37822-2019）表A.1中的无组织排放监控浓度限值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7" w:hRule="atLeast"/>
                <w:jc w:val="center"/>
              </w:trPr>
              <w:tc>
                <w:tcPr>
                  <w:tcW w:w="765"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废水</w:t>
                  </w:r>
                </w:p>
              </w:tc>
              <w:tc>
                <w:tcPr>
                  <w:tcW w:w="765"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生活污水</w:t>
                  </w:r>
                </w:p>
              </w:tc>
              <w:tc>
                <w:tcPr>
                  <w:tcW w:w="1743" w:type="dxa"/>
                  <w:gridSpan w:val="2"/>
                  <w:shd w:val="clear" w:color="auto" w:fill="auto"/>
                  <w:vAlign w:val="center"/>
                </w:tcPr>
                <w:p>
                  <w:pP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COD、BOD</w:t>
                  </w:r>
                  <w:r>
                    <w:rPr>
                      <w:rFonts w:ascii="Times New Roman" w:hAnsi="Times New Roman" w:eastAsia="宋体" w:cs="Times New Roman"/>
                      <w:color w:val="auto"/>
                      <w:szCs w:val="21"/>
                      <w:vertAlign w:val="subscript"/>
                      <w:lang w:val="zh-CN"/>
                    </w:rPr>
                    <w:t>5</w:t>
                  </w:r>
                  <w:r>
                    <w:rPr>
                      <w:rFonts w:ascii="Times New Roman" w:hAnsi="Times New Roman" w:eastAsia="宋体" w:cs="Times New Roman"/>
                      <w:color w:val="auto"/>
                      <w:szCs w:val="21"/>
                      <w:lang w:val="zh-CN"/>
                    </w:rPr>
                    <w:t>、SS、</w:t>
                  </w: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r>
                    <w:rPr>
                      <w:rFonts w:ascii="Times New Roman" w:hAnsi="Times New Roman" w:eastAsia="宋体" w:cs="Times New Roman"/>
                      <w:color w:val="auto"/>
                      <w:kern w:val="0"/>
                      <w:szCs w:val="21"/>
                      <w:lang w:val="zh-CN"/>
                    </w:rPr>
                    <w:t>总磷</w:t>
                  </w:r>
                </w:p>
              </w:tc>
              <w:tc>
                <w:tcPr>
                  <w:tcW w:w="3838" w:type="dxa"/>
                  <w:shd w:val="clear" w:color="auto" w:fill="auto"/>
                  <w:vAlign w:val="center"/>
                </w:tcPr>
                <w:p>
                  <w:pPr>
                    <w:jc w:val="center"/>
                    <w:rPr>
                      <w:rFonts w:ascii="Times New Roman" w:hAnsi="Times New Roman" w:eastAsia="宋体" w:cs="Times New Roman"/>
                      <w:bCs/>
                      <w:color w:val="auto"/>
                      <w:szCs w:val="21"/>
                      <w:lang w:val="zh-CN"/>
                    </w:rPr>
                  </w:pPr>
                  <w:r>
                    <w:rPr>
                      <w:rFonts w:ascii="Times New Roman" w:hAnsi="Times New Roman" w:eastAsia="宋体" w:cs="Times New Roman"/>
                      <w:bCs/>
                      <w:color w:val="auto"/>
                      <w:szCs w:val="21"/>
                    </w:rPr>
                    <w:t>生活污水排入化粪池（项目区东北侧15m</w:t>
                  </w:r>
                  <w:r>
                    <w:rPr>
                      <w:rFonts w:ascii="Times New Roman" w:hAnsi="Times New Roman" w:eastAsia="宋体" w:cs="Times New Roman"/>
                      <w:bCs/>
                      <w:color w:val="auto"/>
                      <w:szCs w:val="21"/>
                      <w:vertAlign w:val="superscript"/>
                    </w:rPr>
                    <w:t>3</w:t>
                  </w:r>
                  <w:r>
                    <w:rPr>
                      <w:rFonts w:ascii="Times New Roman" w:hAnsi="Times New Roman" w:eastAsia="宋体" w:cs="Times New Roman"/>
                      <w:bCs/>
                      <w:color w:val="auto"/>
                      <w:szCs w:val="21"/>
                    </w:rPr>
                    <w:t>）处理</w:t>
                  </w:r>
                  <w:r>
                    <w:rPr>
                      <w:rFonts w:ascii="Times New Roman" w:hAnsi="Times New Roman" w:eastAsia="宋体" w:cs="Times New Roman"/>
                      <w:color w:val="auto"/>
                      <w:kern w:val="0"/>
                      <w:szCs w:val="21"/>
                    </w:rPr>
                    <w:t>后</w:t>
                  </w:r>
                  <w:r>
                    <w:rPr>
                      <w:rFonts w:hint="eastAsia" w:ascii="Times New Roman" w:hAnsi="Times New Roman" w:eastAsia="宋体" w:cs="Times New Roman"/>
                      <w:color w:val="auto"/>
                      <w:kern w:val="0"/>
                      <w:szCs w:val="21"/>
                    </w:rPr>
                    <w:t>定期委托环卫部门清运</w:t>
                  </w:r>
                  <w:r>
                    <w:rPr>
                      <w:rFonts w:ascii="Times New Roman" w:hAnsi="Times New Roman" w:eastAsia="宋体" w:cs="Times New Roman"/>
                      <w:bCs/>
                      <w:color w:val="auto"/>
                      <w:szCs w:val="21"/>
                    </w:rPr>
                    <w:t>。</w:t>
                  </w:r>
                </w:p>
              </w:tc>
              <w:tc>
                <w:tcPr>
                  <w:tcW w:w="2514" w:type="dxa"/>
                  <w:shd w:val="clear" w:color="auto" w:fill="auto"/>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固体废物</w:t>
                  </w:r>
                </w:p>
              </w:tc>
              <w:tc>
                <w:tcPr>
                  <w:tcW w:w="765"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厂区</w:t>
                  </w:r>
                </w:p>
              </w:tc>
              <w:tc>
                <w:tcPr>
                  <w:tcW w:w="1743"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生活垃圾</w:t>
                  </w:r>
                </w:p>
              </w:tc>
              <w:tc>
                <w:tcPr>
                  <w:tcW w:w="3838" w:type="dxa"/>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bCs/>
                      <w:color w:val="auto"/>
                      <w:szCs w:val="21"/>
                    </w:rPr>
                    <w:t>委托环卫部门进行清运</w:t>
                  </w:r>
                </w:p>
              </w:tc>
              <w:tc>
                <w:tcPr>
                  <w:tcW w:w="2514" w:type="dxa"/>
                  <w:vMerge w:val="restart"/>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处置率达100%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废旧零部件</w:t>
                  </w:r>
                </w:p>
              </w:tc>
              <w:tc>
                <w:tcPr>
                  <w:tcW w:w="3838" w:type="dxa"/>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bCs/>
                      <w:color w:val="auto"/>
                      <w:szCs w:val="21"/>
                    </w:rPr>
                    <w:t>收集后交由回收站收购</w:t>
                  </w: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4"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包装固废</w:t>
                  </w:r>
                </w:p>
              </w:tc>
              <w:tc>
                <w:tcPr>
                  <w:tcW w:w="3838"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2"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废装饰品</w:t>
                  </w:r>
                </w:p>
              </w:tc>
              <w:tc>
                <w:tcPr>
                  <w:tcW w:w="3838"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收集后交由回收站收购</w:t>
                  </w: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3"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化粪池污泥</w:t>
                  </w:r>
                </w:p>
              </w:tc>
              <w:tc>
                <w:tcPr>
                  <w:tcW w:w="3838"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废含油抹布</w:t>
                  </w:r>
                </w:p>
              </w:tc>
              <w:tc>
                <w:tcPr>
                  <w:tcW w:w="3838"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4"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废含油棉纱、手套</w:t>
                  </w:r>
                </w:p>
              </w:tc>
              <w:tc>
                <w:tcPr>
                  <w:tcW w:w="3838"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废油漆桶、废稀释剂桶、废固化剂桶</w:t>
                  </w:r>
                </w:p>
              </w:tc>
              <w:tc>
                <w:tcPr>
                  <w:tcW w:w="383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bCs/>
                      <w:color w:val="auto"/>
                      <w:szCs w:val="21"/>
                    </w:rPr>
                    <w:t>设置危废暂存间，危废分质、分类，采用密闭防腐蚀容器收集并单独暂存于危废暂存间，委托有资质单位清运处置</w:t>
                  </w: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废活性炭和废过滤棉</w:t>
                  </w:r>
                </w:p>
              </w:tc>
              <w:tc>
                <w:tcPr>
                  <w:tcW w:w="3838" w:type="dxa"/>
                  <w:vMerge w:val="continue"/>
                  <w:vAlign w:val="center"/>
                </w:tcPr>
                <w:p>
                  <w:pPr>
                    <w:jc w:val="center"/>
                    <w:rPr>
                      <w:rFonts w:ascii="Times New Roman" w:hAnsi="Times New Roman" w:eastAsia="宋体" w:cs="Times New Roman"/>
                      <w:color w:val="auto"/>
                      <w:szCs w:val="21"/>
                    </w:rPr>
                  </w:pP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2"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废机油</w:t>
                  </w:r>
                </w:p>
              </w:tc>
              <w:tc>
                <w:tcPr>
                  <w:tcW w:w="3838" w:type="dxa"/>
                  <w:vMerge w:val="continue"/>
                  <w:vAlign w:val="center"/>
                </w:tcPr>
                <w:p>
                  <w:pPr>
                    <w:jc w:val="center"/>
                    <w:rPr>
                      <w:rFonts w:ascii="Times New Roman" w:hAnsi="Times New Roman" w:eastAsia="宋体" w:cs="Times New Roman"/>
                      <w:color w:val="auto"/>
                      <w:szCs w:val="21"/>
                    </w:rPr>
                  </w:pP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3"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隔油沉淀池油污及污泥</w:t>
                  </w:r>
                </w:p>
              </w:tc>
              <w:tc>
                <w:tcPr>
                  <w:tcW w:w="3838" w:type="dxa"/>
                  <w:vMerge w:val="continue"/>
                  <w:vAlign w:val="center"/>
                </w:tcPr>
                <w:p>
                  <w:pPr>
                    <w:jc w:val="center"/>
                    <w:rPr>
                      <w:rFonts w:ascii="Times New Roman" w:hAnsi="Times New Roman" w:eastAsia="宋体" w:cs="Times New Roman"/>
                      <w:color w:val="auto"/>
                      <w:szCs w:val="21"/>
                    </w:rPr>
                  </w:pP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废旧电池</w:t>
                  </w:r>
                </w:p>
              </w:tc>
              <w:tc>
                <w:tcPr>
                  <w:tcW w:w="3838" w:type="dxa"/>
                  <w:vMerge w:val="continue"/>
                  <w:vAlign w:val="center"/>
                </w:tcPr>
                <w:p>
                  <w:pPr>
                    <w:jc w:val="center"/>
                    <w:rPr>
                      <w:rFonts w:ascii="Times New Roman" w:hAnsi="Times New Roman" w:eastAsia="宋体" w:cs="Times New Roman"/>
                      <w:color w:val="auto"/>
                      <w:szCs w:val="21"/>
                    </w:rPr>
                  </w:pP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焊渣</w:t>
                  </w:r>
                </w:p>
              </w:tc>
              <w:tc>
                <w:tcPr>
                  <w:tcW w:w="3838" w:type="dxa"/>
                  <w:vMerge w:val="continue"/>
                  <w:vAlign w:val="center"/>
                </w:tcPr>
                <w:p>
                  <w:pPr>
                    <w:jc w:val="center"/>
                    <w:rPr>
                      <w:rFonts w:ascii="Times New Roman" w:hAnsi="Times New Roman" w:eastAsia="宋体" w:cs="Times New Roman"/>
                      <w:color w:val="auto"/>
                      <w:szCs w:val="21"/>
                    </w:rPr>
                  </w:pP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UV灯管</w:t>
                  </w:r>
                </w:p>
              </w:tc>
              <w:tc>
                <w:tcPr>
                  <w:tcW w:w="3838" w:type="dxa"/>
                  <w:vMerge w:val="continue"/>
                  <w:vAlign w:val="center"/>
                </w:tcPr>
                <w:p>
                  <w:pPr>
                    <w:jc w:val="center"/>
                    <w:rPr>
                      <w:rFonts w:ascii="Times New Roman" w:hAnsi="Times New Roman" w:eastAsia="宋体" w:cs="Times New Roman"/>
                      <w:color w:val="auto"/>
                      <w:szCs w:val="21"/>
                    </w:rPr>
                  </w:pP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4"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废砂纸</w:t>
                  </w:r>
                </w:p>
              </w:tc>
              <w:tc>
                <w:tcPr>
                  <w:tcW w:w="3838" w:type="dxa"/>
                  <w:vMerge w:val="continue"/>
                  <w:vAlign w:val="center"/>
                </w:tcPr>
                <w:p>
                  <w:pPr>
                    <w:jc w:val="center"/>
                    <w:rPr>
                      <w:rFonts w:ascii="Times New Roman" w:hAnsi="Times New Roman" w:eastAsia="宋体" w:cs="Times New Roman"/>
                      <w:color w:val="auto"/>
                      <w:szCs w:val="21"/>
                    </w:rPr>
                  </w:pP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噪声</w:t>
                  </w:r>
                </w:p>
              </w:tc>
              <w:tc>
                <w:tcPr>
                  <w:tcW w:w="76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车辆、维修设备</w:t>
                  </w:r>
                </w:p>
              </w:tc>
              <w:tc>
                <w:tcPr>
                  <w:tcW w:w="1743"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噪声</w:t>
                  </w:r>
                </w:p>
              </w:tc>
              <w:tc>
                <w:tcPr>
                  <w:tcW w:w="3838"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color w:val="auto"/>
                      <w:szCs w:val="21"/>
                    </w:rPr>
                    <w:t>减振基座、设备消声、厂房墙壁吸音、距离衰减</w:t>
                  </w:r>
                  <w:r>
                    <w:rPr>
                      <w:rFonts w:ascii="Times New Roman" w:hAnsi="Times New Roman" w:eastAsia="宋体" w:cs="Times New Roman"/>
                      <w:color w:val="auto"/>
                      <w:szCs w:val="21"/>
                      <w:lang w:val="zh-CN"/>
                    </w:rPr>
                    <w:t>。</w:t>
                  </w:r>
                  <w:r>
                    <w:rPr>
                      <w:rFonts w:ascii="Times New Roman" w:hAnsi="Times New Roman" w:eastAsia="宋体" w:cs="Times New Roman"/>
                      <w:color w:val="auto"/>
                      <w:szCs w:val="21"/>
                    </w:rPr>
                    <w:t>车辆限速、禁鸣。</w:t>
                  </w:r>
                </w:p>
              </w:tc>
              <w:tc>
                <w:tcPr>
                  <w:tcW w:w="2514"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color w:val="auto"/>
                      <w:szCs w:val="21"/>
                    </w:rPr>
                    <w:t>达《工业企业厂界环境噪声排放标准》（GB12348-2008）2、4类标准</w:t>
                  </w:r>
                </w:p>
              </w:tc>
            </w:tr>
          </w:tbl>
          <w:p>
            <w:pPr>
              <w:spacing w:line="360" w:lineRule="auto"/>
              <w:ind w:firstLine="480" w:firstLineChars="200"/>
              <w:rPr>
                <w:rFonts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5660" w:hRule="atLeast"/>
          <w:jc w:val="center"/>
        </w:trPr>
        <w:tc>
          <w:tcPr>
            <w:tcW w:w="9498" w:type="dxa"/>
            <w:gridSpan w:val="2"/>
          </w:tcPr>
          <w:p>
            <w:pPr>
              <w:tabs>
                <w:tab w:val="left" w:pos="2395"/>
              </w:tabs>
              <w:spacing w:line="360" w:lineRule="auto"/>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预审意见：</w:t>
            </w: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6015" w:firstLineChars="2140"/>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公  章</w:t>
            </w:r>
          </w:p>
          <w:p>
            <w:pPr>
              <w:tabs>
                <w:tab w:val="left" w:pos="2395"/>
              </w:tabs>
              <w:spacing w:line="360" w:lineRule="auto"/>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5660" w:hRule="atLeast"/>
          <w:jc w:val="center"/>
        </w:trPr>
        <w:tc>
          <w:tcPr>
            <w:tcW w:w="9498" w:type="dxa"/>
            <w:gridSpan w:val="2"/>
          </w:tcPr>
          <w:p>
            <w:pPr>
              <w:rPr>
                <w:rFonts w:ascii="Times New Roman" w:hAnsi="Times New Roman" w:eastAsia="宋体" w:cs="Times New Roman"/>
                <w:b/>
                <w:color w:val="auto"/>
                <w:sz w:val="28"/>
                <w:szCs w:val="28"/>
              </w:rPr>
            </w:pPr>
            <w:r>
              <w:rPr>
                <w:rFonts w:ascii="Times New Roman" w:hAnsi="Times New Roman" w:eastAsia="宋体" w:cs="Times New Roman"/>
                <w:b/>
                <w:color w:val="auto"/>
                <w:sz w:val="28"/>
                <w:szCs w:val="28"/>
              </w:rPr>
              <w:t>下一级环境保护行政主管部门审查意见：</w:t>
            </w: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ind w:firstLine="6606" w:firstLineChars="2350"/>
              <w:rPr>
                <w:rFonts w:ascii="Times New Roman" w:hAnsi="Times New Roman" w:eastAsia="宋体" w:cs="Times New Roman"/>
                <w:b/>
                <w:color w:val="auto"/>
                <w:sz w:val="28"/>
                <w:szCs w:val="28"/>
              </w:rPr>
            </w:pPr>
            <w:r>
              <w:rPr>
                <w:rFonts w:ascii="Times New Roman" w:hAnsi="Times New Roman" w:eastAsia="宋体" w:cs="Times New Roman"/>
                <w:b/>
                <w:color w:val="auto"/>
                <w:sz w:val="28"/>
                <w:szCs w:val="28"/>
              </w:rPr>
              <w:t>公  章</w:t>
            </w:r>
          </w:p>
          <w:p>
            <w:pPr>
              <w:tabs>
                <w:tab w:val="left" w:pos="2395"/>
              </w:tabs>
              <w:spacing w:line="360" w:lineRule="auto"/>
              <w:rPr>
                <w:rFonts w:ascii="Times New Roman" w:hAnsi="Times New Roman" w:eastAsia="宋体" w:cs="Times New Roman"/>
                <w:b/>
                <w:color w:val="auto"/>
                <w:sz w:val="28"/>
                <w:szCs w:val="28"/>
              </w:rPr>
            </w:pPr>
            <w:r>
              <w:rPr>
                <w:rFonts w:ascii="Times New Roman" w:hAnsi="Times New Roman" w:eastAsia="宋体" w:cs="Times New Roman"/>
                <w:b/>
                <w:color w:val="auto"/>
                <w:sz w:val="28"/>
                <w:szCs w:val="28"/>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10338" w:hRule="atLeast"/>
          <w:jc w:val="center"/>
        </w:trPr>
        <w:tc>
          <w:tcPr>
            <w:tcW w:w="9498" w:type="dxa"/>
            <w:gridSpan w:val="2"/>
          </w:tcPr>
          <w:p>
            <w:pPr>
              <w:tabs>
                <w:tab w:val="left" w:pos="2395"/>
              </w:tabs>
              <w:spacing w:line="360" w:lineRule="auto"/>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审批意见：</w:t>
            </w: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6015" w:firstLineChars="2140"/>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公  章</w:t>
            </w:r>
          </w:p>
          <w:p>
            <w:pPr>
              <w:tabs>
                <w:tab w:val="left" w:pos="2395"/>
              </w:tabs>
              <w:spacing w:line="360" w:lineRule="auto"/>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经办人：                                年   月    日</w:t>
            </w:r>
          </w:p>
        </w:tc>
      </w:tr>
    </w:tbl>
    <w:p>
      <w:pPr>
        <w:rPr>
          <w:rFonts w:ascii="Times New Roman" w:hAnsi="Times New Roman" w:eastAsia="宋体" w:cs="Times New Roman"/>
          <w:color w:val="auto"/>
        </w:rPr>
      </w:pPr>
      <w:bookmarkStart w:id="46" w:name="_PictureBullets"/>
      <w:bookmarkEnd w:id="46"/>
    </w:p>
    <w:sectPr>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杨阳" w:date="2020-12-17T11:29:44Z" w:initials="杨">
    <w:p w14:paraId="7D091299">
      <w:pPr>
        <w:pStyle w:val="11"/>
        <w:rPr>
          <w:rFonts w:hint="eastAsia" w:eastAsia="宋体"/>
          <w:lang w:eastAsia="zh-CN"/>
        </w:rPr>
      </w:pPr>
      <w:r>
        <w:rPr>
          <w:rFonts w:hint="eastAsia"/>
          <w:lang w:eastAsia="zh-CN"/>
        </w:rPr>
        <w:t>这个应该是不限于</w:t>
      </w:r>
      <w:r>
        <w:rPr>
          <w:rFonts w:hint="eastAsia"/>
          <w:lang w:val="en-US" w:eastAsia="zh-CN"/>
        </w:rPr>
        <w:t>1800台车的喷漆内容吗？</w:t>
      </w:r>
    </w:p>
  </w:comment>
  <w:comment w:id="1" w:author="杨阳" w:date="2020-12-17T11:33:13Z" w:initials="杨">
    <w:p w14:paraId="787D39BF">
      <w:pPr>
        <w:pStyle w:val="11"/>
        <w:rPr>
          <w:rFonts w:hint="eastAsia" w:eastAsia="宋体"/>
          <w:lang w:eastAsia="zh-CN"/>
        </w:rPr>
      </w:pPr>
      <w:r>
        <w:rPr>
          <w:rFonts w:hint="eastAsia"/>
          <w:lang w:eastAsia="zh-CN"/>
        </w:rPr>
        <w:t>还有无组织排放的标准呢嘛</w:t>
      </w:r>
    </w:p>
  </w:comment>
  <w:comment w:id="2" w:author="杨阳" w:date="2020-12-17T11:35:58Z" w:initials="杨">
    <w:p w14:paraId="608D62D3">
      <w:pPr>
        <w:pStyle w:val="11"/>
        <w:rPr>
          <w:rFonts w:hint="eastAsia" w:eastAsia="宋体"/>
          <w:lang w:eastAsia="zh-CN"/>
        </w:rPr>
      </w:pPr>
      <w:r>
        <w:rPr>
          <w:rFonts w:hint="eastAsia"/>
          <w:lang w:eastAsia="zh-CN"/>
        </w:rPr>
        <w:t>大气环境防护距离好像没有</w:t>
      </w:r>
    </w:p>
  </w:comment>
  <w:comment w:id="3" w:author="杨阳" w:date="2020-12-17T11:39:36Z" w:initials="杨">
    <w:p w14:paraId="2C665FDD">
      <w:pPr>
        <w:pStyle w:val="11"/>
        <w:rPr>
          <w:rFonts w:hint="eastAsia" w:eastAsia="宋体"/>
          <w:lang w:val="en-US" w:eastAsia="zh-CN"/>
        </w:rPr>
      </w:pPr>
      <w:r>
        <w:rPr>
          <w:rFonts w:hint="eastAsia"/>
          <w:lang w:val="en-US" w:eastAsia="zh-CN"/>
        </w:rPr>
        <w:t>与后面提出的质疑一样</w:t>
      </w:r>
    </w:p>
  </w:comment>
  <w:comment w:id="4" w:author="杨阳" w:date="2020-12-17T11:38:00Z" w:initials="杨">
    <w:p w14:paraId="73520B8B">
      <w:pPr>
        <w:pStyle w:val="11"/>
        <w:rPr>
          <w:rFonts w:hint="eastAsia" w:eastAsia="宋体"/>
          <w:lang w:eastAsia="zh-CN"/>
        </w:rPr>
      </w:pPr>
      <w:r>
        <w:rPr>
          <w:rFonts w:hint="eastAsia"/>
          <w:lang w:eastAsia="zh-CN"/>
        </w:rPr>
        <w:t>无组织</w:t>
      </w:r>
    </w:p>
  </w:comment>
  <w:comment w:id="5" w:author="杨阳" w:date="2020-12-17T11:37:48Z" w:initials="杨">
    <w:p w14:paraId="42A7720A">
      <w:pPr>
        <w:pStyle w:val="11"/>
        <w:rPr>
          <w:rFonts w:hint="eastAsia" w:eastAsia="宋体"/>
          <w:lang w:eastAsia="zh-CN"/>
        </w:rPr>
      </w:pPr>
      <w:r>
        <w:rPr>
          <w:rFonts w:hint="eastAsia"/>
          <w:lang w:eastAsia="zh-CN"/>
        </w:rPr>
        <w:t>无组织</w:t>
      </w:r>
    </w:p>
  </w:comment>
  <w:comment w:id="6" w:author="杨阳" w:date="2020-12-17T11:39:14Z" w:initials="杨">
    <w:p w14:paraId="4C425DB7">
      <w:pPr>
        <w:pStyle w:val="11"/>
        <w:rPr>
          <w:rFonts w:hint="eastAsia" w:eastAsia="宋体"/>
          <w:lang w:eastAsia="zh-CN"/>
        </w:rPr>
      </w:pPr>
      <w:r>
        <w:rPr>
          <w:rFonts w:hint="eastAsia"/>
          <w:lang w:eastAsia="zh-CN"/>
        </w:rPr>
        <w:t>确定了吗</w:t>
      </w:r>
      <w:r>
        <w:rPr>
          <w:rFonts w:hint="eastAsia"/>
          <w:lang w:val="en-US" w:eastAsia="zh-CN"/>
        </w:rPr>
        <w:t>?</w:t>
      </w:r>
    </w:p>
  </w:comment>
  <w:comment w:id="7" w:author="杨阳" w:date="2020-12-17T11:38:31Z" w:initials="杨">
    <w:p w14:paraId="7A024E1E">
      <w:pPr>
        <w:pStyle w:val="11"/>
        <w:rPr>
          <w:rFonts w:hint="eastAsia" w:eastAsia="宋体"/>
          <w:lang w:eastAsia="zh-CN"/>
        </w:rPr>
      </w:pPr>
      <w:r>
        <w:rPr>
          <w:rFonts w:hint="eastAsia"/>
          <w:lang w:eastAsia="zh-CN"/>
        </w:rPr>
        <w:t>生活污水清掏？还是入管网？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091299" w15:done="0"/>
  <w15:commentEx w15:paraId="787D39BF" w15:done="0"/>
  <w15:commentEx w15:paraId="608D62D3" w15:done="0"/>
  <w15:commentEx w15:paraId="2C665FDD" w15:done="0"/>
  <w15:commentEx w15:paraId="73520B8B" w15:done="0"/>
  <w15:commentEx w15:paraId="42A7720A" w15:done="0"/>
  <w15:commentEx w15:paraId="4C425DB7" w15:done="0"/>
  <w15:commentEx w15:paraId="7A024E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9479241"/>
    </w:sdtPr>
    <w:sdtEndPr>
      <w:rPr>
        <w:rFonts w:ascii="Times New Roman" w:hAnsi="Times New Roman" w:cs="Times New Roman"/>
      </w:rPr>
    </w:sdtEndPr>
    <w:sdtContent>
      <w:p>
        <w:pPr>
          <w:pStyle w:val="2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65</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Times New Roman" w:hAnsi="Times New Roman" w:cs="Times New Roman"/>
      </w:rPr>
    </w:pPr>
    <w:r>
      <w:rPr>
        <w:rFonts w:ascii="Times New Roman" w:hAnsi="Times New Roman" w:cs="Times New Roman"/>
        <w:b/>
        <w:bCs/>
        <w:sz w:val="21"/>
        <w:szCs w:val="21"/>
      </w:rPr>
      <w:t>芒市汇捷汽车服务有限公司年维修保养1800台汽车建设项目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AF1CD"/>
    <w:multiLevelType w:val="singleLevel"/>
    <w:tmpl w:val="3BCAF1CD"/>
    <w:lvl w:ilvl="0" w:tentative="0">
      <w:start w:val="2"/>
      <w:numFmt w:val="chineseCounting"/>
      <w:suff w:val="nothing"/>
      <w:lvlText w:val="%1、"/>
      <w:lvlJc w:val="left"/>
      <w:rPr>
        <w:rFonts w:hint="eastAsia"/>
      </w:rPr>
    </w:lvl>
  </w:abstractNum>
  <w:abstractNum w:abstractNumId="1">
    <w:nsid w:val="401B7E41"/>
    <w:multiLevelType w:val="multilevel"/>
    <w:tmpl w:val="401B7E41"/>
    <w:lvl w:ilvl="0" w:tentative="0">
      <w:start w:val="1"/>
      <w:numFmt w:val="bullet"/>
      <w:pStyle w:val="63"/>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7E45BDE6"/>
    <w:multiLevelType w:val="singleLevel"/>
    <w:tmpl w:val="7E45BDE6"/>
    <w:lvl w:ilvl="0" w:tentative="0">
      <w:start w:val="1"/>
      <w:numFmt w:val="decimal"/>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阳">
    <w15:presenceInfo w15:providerId="None" w15:userId="杨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F4E"/>
    <w:rsid w:val="00000E0E"/>
    <w:rsid w:val="000014F2"/>
    <w:rsid w:val="00002E2F"/>
    <w:rsid w:val="00003319"/>
    <w:rsid w:val="000079A6"/>
    <w:rsid w:val="00011E96"/>
    <w:rsid w:val="00012B9E"/>
    <w:rsid w:val="00012EBA"/>
    <w:rsid w:val="00016189"/>
    <w:rsid w:val="0001669E"/>
    <w:rsid w:val="00017958"/>
    <w:rsid w:val="0002363E"/>
    <w:rsid w:val="000241CD"/>
    <w:rsid w:val="00024328"/>
    <w:rsid w:val="000250F4"/>
    <w:rsid w:val="000252E1"/>
    <w:rsid w:val="00030E1B"/>
    <w:rsid w:val="00032703"/>
    <w:rsid w:val="00035120"/>
    <w:rsid w:val="000407BC"/>
    <w:rsid w:val="00040C62"/>
    <w:rsid w:val="000416C5"/>
    <w:rsid w:val="000417AA"/>
    <w:rsid w:val="000427F2"/>
    <w:rsid w:val="000452EE"/>
    <w:rsid w:val="00045343"/>
    <w:rsid w:val="0004633C"/>
    <w:rsid w:val="00046753"/>
    <w:rsid w:val="000472DB"/>
    <w:rsid w:val="000475BE"/>
    <w:rsid w:val="00047647"/>
    <w:rsid w:val="00047C47"/>
    <w:rsid w:val="00050621"/>
    <w:rsid w:val="0005079E"/>
    <w:rsid w:val="0005124D"/>
    <w:rsid w:val="000516FE"/>
    <w:rsid w:val="00051DB5"/>
    <w:rsid w:val="0005269C"/>
    <w:rsid w:val="000529CB"/>
    <w:rsid w:val="00053D82"/>
    <w:rsid w:val="00054885"/>
    <w:rsid w:val="000551FA"/>
    <w:rsid w:val="000562F0"/>
    <w:rsid w:val="000569C9"/>
    <w:rsid w:val="0005788B"/>
    <w:rsid w:val="000578F2"/>
    <w:rsid w:val="00057AE6"/>
    <w:rsid w:val="0006299F"/>
    <w:rsid w:val="0006302D"/>
    <w:rsid w:val="0006583B"/>
    <w:rsid w:val="00066C8C"/>
    <w:rsid w:val="0007056A"/>
    <w:rsid w:val="00070D9B"/>
    <w:rsid w:val="00070E29"/>
    <w:rsid w:val="00074B7D"/>
    <w:rsid w:val="0007511A"/>
    <w:rsid w:val="00082AD6"/>
    <w:rsid w:val="00082C43"/>
    <w:rsid w:val="00083100"/>
    <w:rsid w:val="0008419D"/>
    <w:rsid w:val="00084337"/>
    <w:rsid w:val="00084808"/>
    <w:rsid w:val="00084F8A"/>
    <w:rsid w:val="00084FA4"/>
    <w:rsid w:val="00085D83"/>
    <w:rsid w:val="00090AD3"/>
    <w:rsid w:val="000913F8"/>
    <w:rsid w:val="00092E33"/>
    <w:rsid w:val="00092F5C"/>
    <w:rsid w:val="000933C4"/>
    <w:rsid w:val="00095368"/>
    <w:rsid w:val="00095CAB"/>
    <w:rsid w:val="00096667"/>
    <w:rsid w:val="00097A46"/>
    <w:rsid w:val="00097BCD"/>
    <w:rsid w:val="00097C25"/>
    <w:rsid w:val="000A1E2D"/>
    <w:rsid w:val="000A2F61"/>
    <w:rsid w:val="000A3150"/>
    <w:rsid w:val="000A7D82"/>
    <w:rsid w:val="000B0F01"/>
    <w:rsid w:val="000B108A"/>
    <w:rsid w:val="000B1F26"/>
    <w:rsid w:val="000B386B"/>
    <w:rsid w:val="000B4905"/>
    <w:rsid w:val="000B6095"/>
    <w:rsid w:val="000B6338"/>
    <w:rsid w:val="000B64A3"/>
    <w:rsid w:val="000B6582"/>
    <w:rsid w:val="000B667E"/>
    <w:rsid w:val="000B77CD"/>
    <w:rsid w:val="000B7F81"/>
    <w:rsid w:val="000C0A69"/>
    <w:rsid w:val="000C1058"/>
    <w:rsid w:val="000C3760"/>
    <w:rsid w:val="000C535B"/>
    <w:rsid w:val="000C543F"/>
    <w:rsid w:val="000C56D6"/>
    <w:rsid w:val="000C6747"/>
    <w:rsid w:val="000C67C2"/>
    <w:rsid w:val="000D016C"/>
    <w:rsid w:val="000D1C4C"/>
    <w:rsid w:val="000D3B9F"/>
    <w:rsid w:val="000D4847"/>
    <w:rsid w:val="000D52FF"/>
    <w:rsid w:val="000D6DEF"/>
    <w:rsid w:val="000D70EC"/>
    <w:rsid w:val="000D74EB"/>
    <w:rsid w:val="000E1210"/>
    <w:rsid w:val="000E1D6B"/>
    <w:rsid w:val="000E25E5"/>
    <w:rsid w:val="000E391A"/>
    <w:rsid w:val="000E43E2"/>
    <w:rsid w:val="000E451D"/>
    <w:rsid w:val="000E5C9A"/>
    <w:rsid w:val="000E60E9"/>
    <w:rsid w:val="000F0A03"/>
    <w:rsid w:val="000F1A02"/>
    <w:rsid w:val="000F31B0"/>
    <w:rsid w:val="000F32D5"/>
    <w:rsid w:val="000F416D"/>
    <w:rsid w:val="000F4653"/>
    <w:rsid w:val="000F7125"/>
    <w:rsid w:val="000F7D8A"/>
    <w:rsid w:val="00100AF5"/>
    <w:rsid w:val="001010FB"/>
    <w:rsid w:val="001015EC"/>
    <w:rsid w:val="001024FC"/>
    <w:rsid w:val="001025B4"/>
    <w:rsid w:val="0010308E"/>
    <w:rsid w:val="0010328F"/>
    <w:rsid w:val="00103648"/>
    <w:rsid w:val="00104708"/>
    <w:rsid w:val="0010522E"/>
    <w:rsid w:val="00106D1A"/>
    <w:rsid w:val="00107249"/>
    <w:rsid w:val="001102F4"/>
    <w:rsid w:val="00110C61"/>
    <w:rsid w:val="00111133"/>
    <w:rsid w:val="00111FAE"/>
    <w:rsid w:val="00113298"/>
    <w:rsid w:val="00113E5D"/>
    <w:rsid w:val="00113F6F"/>
    <w:rsid w:val="0011643B"/>
    <w:rsid w:val="0011761E"/>
    <w:rsid w:val="00121F10"/>
    <w:rsid w:val="00122240"/>
    <w:rsid w:val="00123104"/>
    <w:rsid w:val="0012383F"/>
    <w:rsid w:val="00123BAF"/>
    <w:rsid w:val="0012737D"/>
    <w:rsid w:val="001327CD"/>
    <w:rsid w:val="00133123"/>
    <w:rsid w:val="00135E31"/>
    <w:rsid w:val="00135F22"/>
    <w:rsid w:val="00135F4D"/>
    <w:rsid w:val="0013624B"/>
    <w:rsid w:val="00136D6E"/>
    <w:rsid w:val="001376B8"/>
    <w:rsid w:val="0013781C"/>
    <w:rsid w:val="0014113D"/>
    <w:rsid w:val="00141ACD"/>
    <w:rsid w:val="00142641"/>
    <w:rsid w:val="001428C3"/>
    <w:rsid w:val="00142C04"/>
    <w:rsid w:val="00147184"/>
    <w:rsid w:val="0015066E"/>
    <w:rsid w:val="00150F2C"/>
    <w:rsid w:val="00151FB7"/>
    <w:rsid w:val="00152748"/>
    <w:rsid w:val="00153C14"/>
    <w:rsid w:val="00157197"/>
    <w:rsid w:val="00157D86"/>
    <w:rsid w:val="00157F6A"/>
    <w:rsid w:val="00160082"/>
    <w:rsid w:val="001610BE"/>
    <w:rsid w:val="00164754"/>
    <w:rsid w:val="00165CA8"/>
    <w:rsid w:val="001679FA"/>
    <w:rsid w:val="00170D55"/>
    <w:rsid w:val="001738A4"/>
    <w:rsid w:val="00174643"/>
    <w:rsid w:val="00175EE1"/>
    <w:rsid w:val="00176551"/>
    <w:rsid w:val="00176EFC"/>
    <w:rsid w:val="0017790E"/>
    <w:rsid w:val="00177E00"/>
    <w:rsid w:val="00181174"/>
    <w:rsid w:val="00182D02"/>
    <w:rsid w:val="0018370C"/>
    <w:rsid w:val="00185E56"/>
    <w:rsid w:val="00190CDF"/>
    <w:rsid w:val="00191A02"/>
    <w:rsid w:val="00193673"/>
    <w:rsid w:val="0019428A"/>
    <w:rsid w:val="00194700"/>
    <w:rsid w:val="00194BB3"/>
    <w:rsid w:val="001958F8"/>
    <w:rsid w:val="00196926"/>
    <w:rsid w:val="001A00ED"/>
    <w:rsid w:val="001A0801"/>
    <w:rsid w:val="001A227C"/>
    <w:rsid w:val="001A3AA5"/>
    <w:rsid w:val="001A41E1"/>
    <w:rsid w:val="001A4F93"/>
    <w:rsid w:val="001A5D79"/>
    <w:rsid w:val="001B03C4"/>
    <w:rsid w:val="001B1226"/>
    <w:rsid w:val="001B258C"/>
    <w:rsid w:val="001B4513"/>
    <w:rsid w:val="001B5FC7"/>
    <w:rsid w:val="001C15AD"/>
    <w:rsid w:val="001C18D9"/>
    <w:rsid w:val="001C220C"/>
    <w:rsid w:val="001C229D"/>
    <w:rsid w:val="001C2A9C"/>
    <w:rsid w:val="001C2CCB"/>
    <w:rsid w:val="001C3796"/>
    <w:rsid w:val="001C6344"/>
    <w:rsid w:val="001C6AE7"/>
    <w:rsid w:val="001C702B"/>
    <w:rsid w:val="001C747A"/>
    <w:rsid w:val="001D0738"/>
    <w:rsid w:val="001D134B"/>
    <w:rsid w:val="001D29BA"/>
    <w:rsid w:val="001D628F"/>
    <w:rsid w:val="001D7CC8"/>
    <w:rsid w:val="001E116E"/>
    <w:rsid w:val="001E13F8"/>
    <w:rsid w:val="001E2B86"/>
    <w:rsid w:val="001E332C"/>
    <w:rsid w:val="001E63C0"/>
    <w:rsid w:val="001E7EF6"/>
    <w:rsid w:val="001F073A"/>
    <w:rsid w:val="001F1435"/>
    <w:rsid w:val="001F1F73"/>
    <w:rsid w:val="001F1FFF"/>
    <w:rsid w:val="00202C25"/>
    <w:rsid w:val="00205C5C"/>
    <w:rsid w:val="00206E99"/>
    <w:rsid w:val="00211D8F"/>
    <w:rsid w:val="00214647"/>
    <w:rsid w:val="002155CD"/>
    <w:rsid w:val="0022111C"/>
    <w:rsid w:val="0022149B"/>
    <w:rsid w:val="00221572"/>
    <w:rsid w:val="00223526"/>
    <w:rsid w:val="0022386B"/>
    <w:rsid w:val="00225637"/>
    <w:rsid w:val="002265DE"/>
    <w:rsid w:val="00226ACA"/>
    <w:rsid w:val="00227B97"/>
    <w:rsid w:val="00230892"/>
    <w:rsid w:val="00232ECD"/>
    <w:rsid w:val="002342DB"/>
    <w:rsid w:val="002408C5"/>
    <w:rsid w:val="0024240D"/>
    <w:rsid w:val="00244423"/>
    <w:rsid w:val="00244591"/>
    <w:rsid w:val="00244AE5"/>
    <w:rsid w:val="002451E2"/>
    <w:rsid w:val="002454B5"/>
    <w:rsid w:val="00250A86"/>
    <w:rsid w:val="00250CB5"/>
    <w:rsid w:val="00251440"/>
    <w:rsid w:val="0025184B"/>
    <w:rsid w:val="00254871"/>
    <w:rsid w:val="00254CB5"/>
    <w:rsid w:val="002560D6"/>
    <w:rsid w:val="00260698"/>
    <w:rsid w:val="00260AEE"/>
    <w:rsid w:val="00260B6A"/>
    <w:rsid w:val="00260C59"/>
    <w:rsid w:val="002616E3"/>
    <w:rsid w:val="002620FC"/>
    <w:rsid w:val="00262631"/>
    <w:rsid w:val="00262FBB"/>
    <w:rsid w:val="002631E0"/>
    <w:rsid w:val="002669A7"/>
    <w:rsid w:val="00270055"/>
    <w:rsid w:val="00270DC1"/>
    <w:rsid w:val="00270ED3"/>
    <w:rsid w:val="0027144C"/>
    <w:rsid w:val="0027147F"/>
    <w:rsid w:val="00271A82"/>
    <w:rsid w:val="00274232"/>
    <w:rsid w:val="00274289"/>
    <w:rsid w:val="00274C60"/>
    <w:rsid w:val="002751AD"/>
    <w:rsid w:val="00275A7C"/>
    <w:rsid w:val="00276055"/>
    <w:rsid w:val="00277C34"/>
    <w:rsid w:val="00281D51"/>
    <w:rsid w:val="0028229E"/>
    <w:rsid w:val="002827DA"/>
    <w:rsid w:val="002830AB"/>
    <w:rsid w:val="00283AF0"/>
    <w:rsid w:val="00283CAF"/>
    <w:rsid w:val="002847FA"/>
    <w:rsid w:val="00284FAE"/>
    <w:rsid w:val="002861DF"/>
    <w:rsid w:val="00286987"/>
    <w:rsid w:val="00291423"/>
    <w:rsid w:val="002919C4"/>
    <w:rsid w:val="00293098"/>
    <w:rsid w:val="00295B85"/>
    <w:rsid w:val="002960B9"/>
    <w:rsid w:val="00296985"/>
    <w:rsid w:val="00297AAA"/>
    <w:rsid w:val="002A1386"/>
    <w:rsid w:val="002A17E3"/>
    <w:rsid w:val="002A3B5A"/>
    <w:rsid w:val="002A4F78"/>
    <w:rsid w:val="002B242E"/>
    <w:rsid w:val="002B5012"/>
    <w:rsid w:val="002B5AF1"/>
    <w:rsid w:val="002C06A0"/>
    <w:rsid w:val="002C079F"/>
    <w:rsid w:val="002C17DC"/>
    <w:rsid w:val="002C2369"/>
    <w:rsid w:val="002C2D5A"/>
    <w:rsid w:val="002C3D0B"/>
    <w:rsid w:val="002C4F77"/>
    <w:rsid w:val="002C52D4"/>
    <w:rsid w:val="002C5341"/>
    <w:rsid w:val="002C5438"/>
    <w:rsid w:val="002C7EDE"/>
    <w:rsid w:val="002D0D00"/>
    <w:rsid w:val="002D1753"/>
    <w:rsid w:val="002D2212"/>
    <w:rsid w:val="002D400F"/>
    <w:rsid w:val="002D4C63"/>
    <w:rsid w:val="002D5893"/>
    <w:rsid w:val="002D5EEE"/>
    <w:rsid w:val="002D61BD"/>
    <w:rsid w:val="002D6900"/>
    <w:rsid w:val="002E2209"/>
    <w:rsid w:val="002E3C54"/>
    <w:rsid w:val="002E5D5E"/>
    <w:rsid w:val="002E71D1"/>
    <w:rsid w:val="002F22EF"/>
    <w:rsid w:val="002F23B8"/>
    <w:rsid w:val="002F2EEA"/>
    <w:rsid w:val="002F3353"/>
    <w:rsid w:val="002F6901"/>
    <w:rsid w:val="0030085F"/>
    <w:rsid w:val="003008C9"/>
    <w:rsid w:val="0030188B"/>
    <w:rsid w:val="00301D6A"/>
    <w:rsid w:val="003029FA"/>
    <w:rsid w:val="00302F32"/>
    <w:rsid w:val="0030353E"/>
    <w:rsid w:val="003038E4"/>
    <w:rsid w:val="00305283"/>
    <w:rsid w:val="00305C67"/>
    <w:rsid w:val="0030683B"/>
    <w:rsid w:val="00306CA8"/>
    <w:rsid w:val="00307F2E"/>
    <w:rsid w:val="0031126F"/>
    <w:rsid w:val="003114C5"/>
    <w:rsid w:val="00312418"/>
    <w:rsid w:val="003124D4"/>
    <w:rsid w:val="003144EC"/>
    <w:rsid w:val="0031512B"/>
    <w:rsid w:val="0031517A"/>
    <w:rsid w:val="00320B06"/>
    <w:rsid w:val="003216C9"/>
    <w:rsid w:val="0032283B"/>
    <w:rsid w:val="00325424"/>
    <w:rsid w:val="00325576"/>
    <w:rsid w:val="00325C23"/>
    <w:rsid w:val="0032648E"/>
    <w:rsid w:val="00326D00"/>
    <w:rsid w:val="003306E7"/>
    <w:rsid w:val="003315A1"/>
    <w:rsid w:val="00331940"/>
    <w:rsid w:val="003322A2"/>
    <w:rsid w:val="00332677"/>
    <w:rsid w:val="00334101"/>
    <w:rsid w:val="00334AF2"/>
    <w:rsid w:val="00340027"/>
    <w:rsid w:val="00342F20"/>
    <w:rsid w:val="00343308"/>
    <w:rsid w:val="003434B9"/>
    <w:rsid w:val="00345219"/>
    <w:rsid w:val="00345427"/>
    <w:rsid w:val="00347212"/>
    <w:rsid w:val="00347DDF"/>
    <w:rsid w:val="00351645"/>
    <w:rsid w:val="0035216A"/>
    <w:rsid w:val="0035316F"/>
    <w:rsid w:val="003544C9"/>
    <w:rsid w:val="0036177E"/>
    <w:rsid w:val="00361A87"/>
    <w:rsid w:val="00361C65"/>
    <w:rsid w:val="0036208B"/>
    <w:rsid w:val="0036228E"/>
    <w:rsid w:val="003624ED"/>
    <w:rsid w:val="00362B8F"/>
    <w:rsid w:val="00362E91"/>
    <w:rsid w:val="00364861"/>
    <w:rsid w:val="00364DEE"/>
    <w:rsid w:val="003676AC"/>
    <w:rsid w:val="00367BC3"/>
    <w:rsid w:val="003700B0"/>
    <w:rsid w:val="003703E8"/>
    <w:rsid w:val="00370A29"/>
    <w:rsid w:val="00371BB6"/>
    <w:rsid w:val="003722DB"/>
    <w:rsid w:val="0037371B"/>
    <w:rsid w:val="003754A2"/>
    <w:rsid w:val="00377E3C"/>
    <w:rsid w:val="003801D1"/>
    <w:rsid w:val="00381CB3"/>
    <w:rsid w:val="00382098"/>
    <w:rsid w:val="00384657"/>
    <w:rsid w:val="00384BAC"/>
    <w:rsid w:val="00385EC2"/>
    <w:rsid w:val="00391395"/>
    <w:rsid w:val="00394420"/>
    <w:rsid w:val="00394BDF"/>
    <w:rsid w:val="00395611"/>
    <w:rsid w:val="00395767"/>
    <w:rsid w:val="00395C28"/>
    <w:rsid w:val="003961A6"/>
    <w:rsid w:val="00396244"/>
    <w:rsid w:val="00396460"/>
    <w:rsid w:val="0039751A"/>
    <w:rsid w:val="00397946"/>
    <w:rsid w:val="00397C0A"/>
    <w:rsid w:val="003A1A22"/>
    <w:rsid w:val="003A2C55"/>
    <w:rsid w:val="003A6DFD"/>
    <w:rsid w:val="003A71E1"/>
    <w:rsid w:val="003B3709"/>
    <w:rsid w:val="003B3F8D"/>
    <w:rsid w:val="003B5CB4"/>
    <w:rsid w:val="003B6D40"/>
    <w:rsid w:val="003B7411"/>
    <w:rsid w:val="003C0B39"/>
    <w:rsid w:val="003C25C6"/>
    <w:rsid w:val="003C29A5"/>
    <w:rsid w:val="003C302B"/>
    <w:rsid w:val="003C3044"/>
    <w:rsid w:val="003C361C"/>
    <w:rsid w:val="003C4AC2"/>
    <w:rsid w:val="003C521F"/>
    <w:rsid w:val="003C7823"/>
    <w:rsid w:val="003D0A89"/>
    <w:rsid w:val="003D22A2"/>
    <w:rsid w:val="003D244A"/>
    <w:rsid w:val="003D3ABB"/>
    <w:rsid w:val="003D3C59"/>
    <w:rsid w:val="003D49D4"/>
    <w:rsid w:val="003D4D9F"/>
    <w:rsid w:val="003D6375"/>
    <w:rsid w:val="003D7728"/>
    <w:rsid w:val="003D779A"/>
    <w:rsid w:val="003E15CC"/>
    <w:rsid w:val="003E21DF"/>
    <w:rsid w:val="003E2E0D"/>
    <w:rsid w:val="003F1253"/>
    <w:rsid w:val="003F18EE"/>
    <w:rsid w:val="003F1FC5"/>
    <w:rsid w:val="003F3D77"/>
    <w:rsid w:val="003F498B"/>
    <w:rsid w:val="003F4D84"/>
    <w:rsid w:val="003F4E06"/>
    <w:rsid w:val="003F53FC"/>
    <w:rsid w:val="003F7897"/>
    <w:rsid w:val="004000EB"/>
    <w:rsid w:val="0040160D"/>
    <w:rsid w:val="00401C2F"/>
    <w:rsid w:val="00401FBC"/>
    <w:rsid w:val="004027AC"/>
    <w:rsid w:val="00403192"/>
    <w:rsid w:val="004052BD"/>
    <w:rsid w:val="004073F4"/>
    <w:rsid w:val="00411298"/>
    <w:rsid w:val="00412859"/>
    <w:rsid w:val="00412D81"/>
    <w:rsid w:val="004138AF"/>
    <w:rsid w:val="00414786"/>
    <w:rsid w:val="00414FD5"/>
    <w:rsid w:val="004161C2"/>
    <w:rsid w:val="004169FA"/>
    <w:rsid w:val="00416AF9"/>
    <w:rsid w:val="00417711"/>
    <w:rsid w:val="004206D7"/>
    <w:rsid w:val="0042075B"/>
    <w:rsid w:val="00420FF6"/>
    <w:rsid w:val="00422017"/>
    <w:rsid w:val="00422683"/>
    <w:rsid w:val="00422CD3"/>
    <w:rsid w:val="00423EFC"/>
    <w:rsid w:val="004241C0"/>
    <w:rsid w:val="00425BB4"/>
    <w:rsid w:val="00427B2B"/>
    <w:rsid w:val="00430788"/>
    <w:rsid w:val="004319A9"/>
    <w:rsid w:val="004358D7"/>
    <w:rsid w:val="00437661"/>
    <w:rsid w:val="00437DD8"/>
    <w:rsid w:val="00440322"/>
    <w:rsid w:val="0044052A"/>
    <w:rsid w:val="004414BE"/>
    <w:rsid w:val="00441E79"/>
    <w:rsid w:val="00442C0E"/>
    <w:rsid w:val="004438E8"/>
    <w:rsid w:val="004453A7"/>
    <w:rsid w:val="00446377"/>
    <w:rsid w:val="004477D0"/>
    <w:rsid w:val="00447A23"/>
    <w:rsid w:val="00450520"/>
    <w:rsid w:val="004510EA"/>
    <w:rsid w:val="00453297"/>
    <w:rsid w:val="00453DD3"/>
    <w:rsid w:val="0045480E"/>
    <w:rsid w:val="00456316"/>
    <w:rsid w:val="0045702D"/>
    <w:rsid w:val="00460415"/>
    <w:rsid w:val="0046125B"/>
    <w:rsid w:val="00462FEF"/>
    <w:rsid w:val="00463728"/>
    <w:rsid w:val="004639AB"/>
    <w:rsid w:val="004642A0"/>
    <w:rsid w:val="0046474B"/>
    <w:rsid w:val="004657CE"/>
    <w:rsid w:val="00466679"/>
    <w:rsid w:val="00470381"/>
    <w:rsid w:val="00471711"/>
    <w:rsid w:val="00472394"/>
    <w:rsid w:val="004728AC"/>
    <w:rsid w:val="00475971"/>
    <w:rsid w:val="00475B16"/>
    <w:rsid w:val="00480E08"/>
    <w:rsid w:val="00481830"/>
    <w:rsid w:val="004827E4"/>
    <w:rsid w:val="00485DDC"/>
    <w:rsid w:val="00485E61"/>
    <w:rsid w:val="004862F6"/>
    <w:rsid w:val="00486ABA"/>
    <w:rsid w:val="00490298"/>
    <w:rsid w:val="00492742"/>
    <w:rsid w:val="00497254"/>
    <w:rsid w:val="004A0132"/>
    <w:rsid w:val="004A0D8A"/>
    <w:rsid w:val="004A2B23"/>
    <w:rsid w:val="004A2CFA"/>
    <w:rsid w:val="004A3C7A"/>
    <w:rsid w:val="004A4089"/>
    <w:rsid w:val="004A5FB4"/>
    <w:rsid w:val="004A6336"/>
    <w:rsid w:val="004B06F2"/>
    <w:rsid w:val="004B0852"/>
    <w:rsid w:val="004B1E8C"/>
    <w:rsid w:val="004B220A"/>
    <w:rsid w:val="004B29FB"/>
    <w:rsid w:val="004B3A54"/>
    <w:rsid w:val="004B46D2"/>
    <w:rsid w:val="004B48E6"/>
    <w:rsid w:val="004B5FE9"/>
    <w:rsid w:val="004B68EA"/>
    <w:rsid w:val="004B704B"/>
    <w:rsid w:val="004B7F2D"/>
    <w:rsid w:val="004C0FFD"/>
    <w:rsid w:val="004C1052"/>
    <w:rsid w:val="004C12DA"/>
    <w:rsid w:val="004C2423"/>
    <w:rsid w:val="004C32E6"/>
    <w:rsid w:val="004C7AD5"/>
    <w:rsid w:val="004D313E"/>
    <w:rsid w:val="004D4102"/>
    <w:rsid w:val="004D4594"/>
    <w:rsid w:val="004D7902"/>
    <w:rsid w:val="004E00E8"/>
    <w:rsid w:val="004E3722"/>
    <w:rsid w:val="004E3C2E"/>
    <w:rsid w:val="004E3D56"/>
    <w:rsid w:val="004E47C6"/>
    <w:rsid w:val="004E589C"/>
    <w:rsid w:val="004E6683"/>
    <w:rsid w:val="004E7444"/>
    <w:rsid w:val="004E7EFA"/>
    <w:rsid w:val="004F0AFF"/>
    <w:rsid w:val="004F0E76"/>
    <w:rsid w:val="004F2600"/>
    <w:rsid w:val="004F2DE4"/>
    <w:rsid w:val="004F41EF"/>
    <w:rsid w:val="004F43E4"/>
    <w:rsid w:val="004F47EF"/>
    <w:rsid w:val="004F4C6C"/>
    <w:rsid w:val="004F5DE5"/>
    <w:rsid w:val="004F62E3"/>
    <w:rsid w:val="004F68ED"/>
    <w:rsid w:val="004F7578"/>
    <w:rsid w:val="004F7DC7"/>
    <w:rsid w:val="0050193F"/>
    <w:rsid w:val="005039F7"/>
    <w:rsid w:val="0050552C"/>
    <w:rsid w:val="005057BB"/>
    <w:rsid w:val="005068C1"/>
    <w:rsid w:val="00506BDA"/>
    <w:rsid w:val="0051255B"/>
    <w:rsid w:val="00513849"/>
    <w:rsid w:val="005138C4"/>
    <w:rsid w:val="005143FE"/>
    <w:rsid w:val="0051565C"/>
    <w:rsid w:val="00515978"/>
    <w:rsid w:val="00515CD6"/>
    <w:rsid w:val="005161FE"/>
    <w:rsid w:val="0051636B"/>
    <w:rsid w:val="00517597"/>
    <w:rsid w:val="005210A6"/>
    <w:rsid w:val="005262E7"/>
    <w:rsid w:val="00530380"/>
    <w:rsid w:val="00530622"/>
    <w:rsid w:val="0053064F"/>
    <w:rsid w:val="00530A54"/>
    <w:rsid w:val="00533EF0"/>
    <w:rsid w:val="005344D6"/>
    <w:rsid w:val="00535323"/>
    <w:rsid w:val="005413EE"/>
    <w:rsid w:val="00544BF6"/>
    <w:rsid w:val="00550964"/>
    <w:rsid w:val="00551087"/>
    <w:rsid w:val="00554551"/>
    <w:rsid w:val="0055534A"/>
    <w:rsid w:val="00556043"/>
    <w:rsid w:val="00556471"/>
    <w:rsid w:val="00556F7B"/>
    <w:rsid w:val="00560466"/>
    <w:rsid w:val="00563906"/>
    <w:rsid w:val="005660BF"/>
    <w:rsid w:val="00566A39"/>
    <w:rsid w:val="005670BF"/>
    <w:rsid w:val="00567700"/>
    <w:rsid w:val="0056787D"/>
    <w:rsid w:val="00572683"/>
    <w:rsid w:val="0057322B"/>
    <w:rsid w:val="00573A83"/>
    <w:rsid w:val="00573AC4"/>
    <w:rsid w:val="00574B7E"/>
    <w:rsid w:val="00577CFE"/>
    <w:rsid w:val="00580518"/>
    <w:rsid w:val="0058065E"/>
    <w:rsid w:val="00582F45"/>
    <w:rsid w:val="005831DE"/>
    <w:rsid w:val="00585F54"/>
    <w:rsid w:val="005865E3"/>
    <w:rsid w:val="005902F2"/>
    <w:rsid w:val="00594A86"/>
    <w:rsid w:val="00595BDA"/>
    <w:rsid w:val="005970BA"/>
    <w:rsid w:val="005970C6"/>
    <w:rsid w:val="00597600"/>
    <w:rsid w:val="00597777"/>
    <w:rsid w:val="00597C1F"/>
    <w:rsid w:val="005A0617"/>
    <w:rsid w:val="005A137A"/>
    <w:rsid w:val="005A3087"/>
    <w:rsid w:val="005A410C"/>
    <w:rsid w:val="005A4321"/>
    <w:rsid w:val="005A4647"/>
    <w:rsid w:val="005A5701"/>
    <w:rsid w:val="005A5B68"/>
    <w:rsid w:val="005A5F74"/>
    <w:rsid w:val="005A6A06"/>
    <w:rsid w:val="005A6AC6"/>
    <w:rsid w:val="005B2178"/>
    <w:rsid w:val="005B2361"/>
    <w:rsid w:val="005B30E9"/>
    <w:rsid w:val="005B3573"/>
    <w:rsid w:val="005B43DC"/>
    <w:rsid w:val="005B58D3"/>
    <w:rsid w:val="005B663B"/>
    <w:rsid w:val="005B715C"/>
    <w:rsid w:val="005C081D"/>
    <w:rsid w:val="005C0D37"/>
    <w:rsid w:val="005C1223"/>
    <w:rsid w:val="005C1CE7"/>
    <w:rsid w:val="005C2E25"/>
    <w:rsid w:val="005C307E"/>
    <w:rsid w:val="005C3DC0"/>
    <w:rsid w:val="005C47CE"/>
    <w:rsid w:val="005C4EBC"/>
    <w:rsid w:val="005C5932"/>
    <w:rsid w:val="005C65A1"/>
    <w:rsid w:val="005C686A"/>
    <w:rsid w:val="005C7399"/>
    <w:rsid w:val="005C76B5"/>
    <w:rsid w:val="005D0A8F"/>
    <w:rsid w:val="005D1006"/>
    <w:rsid w:val="005D19C6"/>
    <w:rsid w:val="005D21A3"/>
    <w:rsid w:val="005D21EF"/>
    <w:rsid w:val="005D2EE1"/>
    <w:rsid w:val="005D32E5"/>
    <w:rsid w:val="005D336A"/>
    <w:rsid w:val="005D3C89"/>
    <w:rsid w:val="005D49A8"/>
    <w:rsid w:val="005D5250"/>
    <w:rsid w:val="005D53F7"/>
    <w:rsid w:val="005D73E2"/>
    <w:rsid w:val="005D7596"/>
    <w:rsid w:val="005D7B52"/>
    <w:rsid w:val="005E0FA1"/>
    <w:rsid w:val="005E1498"/>
    <w:rsid w:val="005E1D5E"/>
    <w:rsid w:val="005E1E32"/>
    <w:rsid w:val="005E51D2"/>
    <w:rsid w:val="005E7EEB"/>
    <w:rsid w:val="005F2C02"/>
    <w:rsid w:val="005F2F00"/>
    <w:rsid w:val="005F3107"/>
    <w:rsid w:val="005F4257"/>
    <w:rsid w:val="005F4767"/>
    <w:rsid w:val="005F5905"/>
    <w:rsid w:val="005F64EC"/>
    <w:rsid w:val="005F71D2"/>
    <w:rsid w:val="005F73D7"/>
    <w:rsid w:val="005F7A13"/>
    <w:rsid w:val="006021B1"/>
    <w:rsid w:val="00603235"/>
    <w:rsid w:val="00604640"/>
    <w:rsid w:val="00604A12"/>
    <w:rsid w:val="00604CCB"/>
    <w:rsid w:val="0060630C"/>
    <w:rsid w:val="00606C8C"/>
    <w:rsid w:val="00606C97"/>
    <w:rsid w:val="00610B93"/>
    <w:rsid w:val="00612E99"/>
    <w:rsid w:val="006141CB"/>
    <w:rsid w:val="00614546"/>
    <w:rsid w:val="00614F86"/>
    <w:rsid w:val="00615293"/>
    <w:rsid w:val="00615948"/>
    <w:rsid w:val="00616645"/>
    <w:rsid w:val="00616ABB"/>
    <w:rsid w:val="00621DEF"/>
    <w:rsid w:val="00621EF9"/>
    <w:rsid w:val="00622C66"/>
    <w:rsid w:val="00625B67"/>
    <w:rsid w:val="0062699F"/>
    <w:rsid w:val="00626BEB"/>
    <w:rsid w:val="00626FE9"/>
    <w:rsid w:val="00630676"/>
    <w:rsid w:val="00633A0B"/>
    <w:rsid w:val="00635A3D"/>
    <w:rsid w:val="00635D47"/>
    <w:rsid w:val="006367A9"/>
    <w:rsid w:val="006367D4"/>
    <w:rsid w:val="00640BB3"/>
    <w:rsid w:val="00641220"/>
    <w:rsid w:val="0064124B"/>
    <w:rsid w:val="006428B5"/>
    <w:rsid w:val="00643A40"/>
    <w:rsid w:val="00646461"/>
    <w:rsid w:val="00646AA1"/>
    <w:rsid w:val="006471C8"/>
    <w:rsid w:val="00647901"/>
    <w:rsid w:val="00647E69"/>
    <w:rsid w:val="00650F4B"/>
    <w:rsid w:val="00651489"/>
    <w:rsid w:val="00652442"/>
    <w:rsid w:val="00652DEC"/>
    <w:rsid w:val="006538D2"/>
    <w:rsid w:val="00654D9C"/>
    <w:rsid w:val="00655974"/>
    <w:rsid w:val="006603AA"/>
    <w:rsid w:val="00660540"/>
    <w:rsid w:val="0066110D"/>
    <w:rsid w:val="006632F1"/>
    <w:rsid w:val="00663D1B"/>
    <w:rsid w:val="006641ED"/>
    <w:rsid w:val="00664276"/>
    <w:rsid w:val="00664C6A"/>
    <w:rsid w:val="006676D8"/>
    <w:rsid w:val="006678BF"/>
    <w:rsid w:val="00670A71"/>
    <w:rsid w:val="00671CB0"/>
    <w:rsid w:val="00671EBB"/>
    <w:rsid w:val="00672742"/>
    <w:rsid w:val="006730FF"/>
    <w:rsid w:val="00673754"/>
    <w:rsid w:val="00673B3E"/>
    <w:rsid w:val="00674BED"/>
    <w:rsid w:val="00676EA2"/>
    <w:rsid w:val="00677025"/>
    <w:rsid w:val="00677A8D"/>
    <w:rsid w:val="00677B79"/>
    <w:rsid w:val="00680B65"/>
    <w:rsid w:val="006817F1"/>
    <w:rsid w:val="006828FD"/>
    <w:rsid w:val="0068665B"/>
    <w:rsid w:val="00687DAF"/>
    <w:rsid w:val="00691688"/>
    <w:rsid w:val="00691EF2"/>
    <w:rsid w:val="00692590"/>
    <w:rsid w:val="00693780"/>
    <w:rsid w:val="00693E13"/>
    <w:rsid w:val="00693ED0"/>
    <w:rsid w:val="00694228"/>
    <w:rsid w:val="006954D2"/>
    <w:rsid w:val="00696AF4"/>
    <w:rsid w:val="0069740E"/>
    <w:rsid w:val="0069763C"/>
    <w:rsid w:val="00697ED1"/>
    <w:rsid w:val="006A174C"/>
    <w:rsid w:val="006A4AA6"/>
    <w:rsid w:val="006A567F"/>
    <w:rsid w:val="006A723A"/>
    <w:rsid w:val="006A7C94"/>
    <w:rsid w:val="006B032D"/>
    <w:rsid w:val="006B5A45"/>
    <w:rsid w:val="006C1901"/>
    <w:rsid w:val="006C378A"/>
    <w:rsid w:val="006C5B3A"/>
    <w:rsid w:val="006C6933"/>
    <w:rsid w:val="006C6CA2"/>
    <w:rsid w:val="006D06AF"/>
    <w:rsid w:val="006D13C2"/>
    <w:rsid w:val="006D1C1C"/>
    <w:rsid w:val="006D2B1B"/>
    <w:rsid w:val="006D2C97"/>
    <w:rsid w:val="006D34CD"/>
    <w:rsid w:val="006D34FF"/>
    <w:rsid w:val="006D3919"/>
    <w:rsid w:val="006D3A3A"/>
    <w:rsid w:val="006D3FEB"/>
    <w:rsid w:val="006D449B"/>
    <w:rsid w:val="006D49CA"/>
    <w:rsid w:val="006D50C5"/>
    <w:rsid w:val="006D5B51"/>
    <w:rsid w:val="006D5B57"/>
    <w:rsid w:val="006E004D"/>
    <w:rsid w:val="006E130C"/>
    <w:rsid w:val="006E2381"/>
    <w:rsid w:val="006E2E00"/>
    <w:rsid w:val="006E3292"/>
    <w:rsid w:val="006E4245"/>
    <w:rsid w:val="006E60DD"/>
    <w:rsid w:val="006E7C13"/>
    <w:rsid w:val="006F03A7"/>
    <w:rsid w:val="006F1297"/>
    <w:rsid w:val="006F39CE"/>
    <w:rsid w:val="006F6238"/>
    <w:rsid w:val="006F781E"/>
    <w:rsid w:val="007001CF"/>
    <w:rsid w:val="0070076C"/>
    <w:rsid w:val="00703EEA"/>
    <w:rsid w:val="007056FF"/>
    <w:rsid w:val="00705CF0"/>
    <w:rsid w:val="00706D1F"/>
    <w:rsid w:val="00707459"/>
    <w:rsid w:val="00707D14"/>
    <w:rsid w:val="007114F1"/>
    <w:rsid w:val="00711A06"/>
    <w:rsid w:val="00712771"/>
    <w:rsid w:val="00714CE1"/>
    <w:rsid w:val="007151D6"/>
    <w:rsid w:val="00715F84"/>
    <w:rsid w:val="00716699"/>
    <w:rsid w:val="00717550"/>
    <w:rsid w:val="00720F77"/>
    <w:rsid w:val="00722DA5"/>
    <w:rsid w:val="00732173"/>
    <w:rsid w:val="00734A13"/>
    <w:rsid w:val="007354D9"/>
    <w:rsid w:val="007377D7"/>
    <w:rsid w:val="00740AB7"/>
    <w:rsid w:val="00742521"/>
    <w:rsid w:val="0074262A"/>
    <w:rsid w:val="00742767"/>
    <w:rsid w:val="007459D8"/>
    <w:rsid w:val="007459ED"/>
    <w:rsid w:val="00751204"/>
    <w:rsid w:val="0075486E"/>
    <w:rsid w:val="007551A0"/>
    <w:rsid w:val="007554F0"/>
    <w:rsid w:val="007559E4"/>
    <w:rsid w:val="0076013A"/>
    <w:rsid w:val="007607F0"/>
    <w:rsid w:val="00760812"/>
    <w:rsid w:val="00762430"/>
    <w:rsid w:val="0076249A"/>
    <w:rsid w:val="00762745"/>
    <w:rsid w:val="00762AD5"/>
    <w:rsid w:val="00764175"/>
    <w:rsid w:val="0076503B"/>
    <w:rsid w:val="0076629C"/>
    <w:rsid w:val="00766CAB"/>
    <w:rsid w:val="00767160"/>
    <w:rsid w:val="00770A95"/>
    <w:rsid w:val="00771B66"/>
    <w:rsid w:val="00773521"/>
    <w:rsid w:val="00773B76"/>
    <w:rsid w:val="00773CF9"/>
    <w:rsid w:val="0077757E"/>
    <w:rsid w:val="00780D82"/>
    <w:rsid w:val="007813D7"/>
    <w:rsid w:val="00781A94"/>
    <w:rsid w:val="007830EE"/>
    <w:rsid w:val="007838DB"/>
    <w:rsid w:val="00784751"/>
    <w:rsid w:val="007847F5"/>
    <w:rsid w:val="00792E5B"/>
    <w:rsid w:val="00792FDC"/>
    <w:rsid w:val="007935C5"/>
    <w:rsid w:val="00793A2D"/>
    <w:rsid w:val="0079533C"/>
    <w:rsid w:val="00795A4B"/>
    <w:rsid w:val="00796F3D"/>
    <w:rsid w:val="007A0B23"/>
    <w:rsid w:val="007A14DD"/>
    <w:rsid w:val="007A4F57"/>
    <w:rsid w:val="007A6330"/>
    <w:rsid w:val="007A63E4"/>
    <w:rsid w:val="007A6607"/>
    <w:rsid w:val="007A6C17"/>
    <w:rsid w:val="007A6C23"/>
    <w:rsid w:val="007B1173"/>
    <w:rsid w:val="007B25AF"/>
    <w:rsid w:val="007B375D"/>
    <w:rsid w:val="007B3F18"/>
    <w:rsid w:val="007B6502"/>
    <w:rsid w:val="007B770C"/>
    <w:rsid w:val="007C2A99"/>
    <w:rsid w:val="007C45F6"/>
    <w:rsid w:val="007C4A9F"/>
    <w:rsid w:val="007C55CE"/>
    <w:rsid w:val="007C7E87"/>
    <w:rsid w:val="007D2E4C"/>
    <w:rsid w:val="007D35F7"/>
    <w:rsid w:val="007D406D"/>
    <w:rsid w:val="007D55B1"/>
    <w:rsid w:val="007D5864"/>
    <w:rsid w:val="007D7D42"/>
    <w:rsid w:val="007E031A"/>
    <w:rsid w:val="007E0567"/>
    <w:rsid w:val="007E0BEE"/>
    <w:rsid w:val="007E6DDA"/>
    <w:rsid w:val="007F1D0F"/>
    <w:rsid w:val="007F3F36"/>
    <w:rsid w:val="007F42B1"/>
    <w:rsid w:val="007F5433"/>
    <w:rsid w:val="007F686C"/>
    <w:rsid w:val="007F79CB"/>
    <w:rsid w:val="00800B6B"/>
    <w:rsid w:val="008030C1"/>
    <w:rsid w:val="008033DC"/>
    <w:rsid w:val="0080343C"/>
    <w:rsid w:val="00803601"/>
    <w:rsid w:val="00803635"/>
    <w:rsid w:val="0080441C"/>
    <w:rsid w:val="00806436"/>
    <w:rsid w:val="0081078B"/>
    <w:rsid w:val="00810B36"/>
    <w:rsid w:val="00812922"/>
    <w:rsid w:val="00816326"/>
    <w:rsid w:val="00816355"/>
    <w:rsid w:val="00816583"/>
    <w:rsid w:val="00816E83"/>
    <w:rsid w:val="00821138"/>
    <w:rsid w:val="008224A3"/>
    <w:rsid w:val="00823502"/>
    <w:rsid w:val="008247D1"/>
    <w:rsid w:val="00824892"/>
    <w:rsid w:val="00824A2A"/>
    <w:rsid w:val="0082641D"/>
    <w:rsid w:val="008275AB"/>
    <w:rsid w:val="00827868"/>
    <w:rsid w:val="00830953"/>
    <w:rsid w:val="008309F7"/>
    <w:rsid w:val="008314BF"/>
    <w:rsid w:val="0083556C"/>
    <w:rsid w:val="008376B5"/>
    <w:rsid w:val="00837E75"/>
    <w:rsid w:val="0084050C"/>
    <w:rsid w:val="008432DF"/>
    <w:rsid w:val="00843FD0"/>
    <w:rsid w:val="00844F7F"/>
    <w:rsid w:val="00845046"/>
    <w:rsid w:val="00845F21"/>
    <w:rsid w:val="008503D4"/>
    <w:rsid w:val="008512B7"/>
    <w:rsid w:val="00851624"/>
    <w:rsid w:val="00852BB8"/>
    <w:rsid w:val="00854AC0"/>
    <w:rsid w:val="00855662"/>
    <w:rsid w:val="008564C5"/>
    <w:rsid w:val="008600E9"/>
    <w:rsid w:val="00863099"/>
    <w:rsid w:val="00863CD7"/>
    <w:rsid w:val="008667A4"/>
    <w:rsid w:val="00866A57"/>
    <w:rsid w:val="00867244"/>
    <w:rsid w:val="0086796B"/>
    <w:rsid w:val="0087008B"/>
    <w:rsid w:val="008711E3"/>
    <w:rsid w:val="00871442"/>
    <w:rsid w:val="0087188E"/>
    <w:rsid w:val="00872DD9"/>
    <w:rsid w:val="00872EE1"/>
    <w:rsid w:val="00874E50"/>
    <w:rsid w:val="00874EFB"/>
    <w:rsid w:val="0087654A"/>
    <w:rsid w:val="00876B17"/>
    <w:rsid w:val="00882F14"/>
    <w:rsid w:val="00885579"/>
    <w:rsid w:val="00885C09"/>
    <w:rsid w:val="00886494"/>
    <w:rsid w:val="00887891"/>
    <w:rsid w:val="0089025E"/>
    <w:rsid w:val="0089539A"/>
    <w:rsid w:val="00897D06"/>
    <w:rsid w:val="008A09C1"/>
    <w:rsid w:val="008A320F"/>
    <w:rsid w:val="008A3A72"/>
    <w:rsid w:val="008A3BA4"/>
    <w:rsid w:val="008A3D85"/>
    <w:rsid w:val="008A4488"/>
    <w:rsid w:val="008A48DB"/>
    <w:rsid w:val="008A5488"/>
    <w:rsid w:val="008A610F"/>
    <w:rsid w:val="008A641E"/>
    <w:rsid w:val="008B21A8"/>
    <w:rsid w:val="008B2677"/>
    <w:rsid w:val="008B2889"/>
    <w:rsid w:val="008B383E"/>
    <w:rsid w:val="008C17C7"/>
    <w:rsid w:val="008C2D2E"/>
    <w:rsid w:val="008C3473"/>
    <w:rsid w:val="008C4BD8"/>
    <w:rsid w:val="008C6A2E"/>
    <w:rsid w:val="008D3BB4"/>
    <w:rsid w:val="008D4F1F"/>
    <w:rsid w:val="008D545F"/>
    <w:rsid w:val="008D5BD1"/>
    <w:rsid w:val="008D696C"/>
    <w:rsid w:val="008D6F4E"/>
    <w:rsid w:val="008D74C4"/>
    <w:rsid w:val="008E0092"/>
    <w:rsid w:val="008E2925"/>
    <w:rsid w:val="008E2AE1"/>
    <w:rsid w:val="008E439A"/>
    <w:rsid w:val="008E583F"/>
    <w:rsid w:val="008E5A18"/>
    <w:rsid w:val="008E7C06"/>
    <w:rsid w:val="008F1EE0"/>
    <w:rsid w:val="008F23EE"/>
    <w:rsid w:val="008F3C97"/>
    <w:rsid w:val="008F488E"/>
    <w:rsid w:val="008F7E93"/>
    <w:rsid w:val="00900A8B"/>
    <w:rsid w:val="00901A93"/>
    <w:rsid w:val="00902493"/>
    <w:rsid w:val="00903A5F"/>
    <w:rsid w:val="0090646C"/>
    <w:rsid w:val="009078AC"/>
    <w:rsid w:val="00907A81"/>
    <w:rsid w:val="00910139"/>
    <w:rsid w:val="0091086D"/>
    <w:rsid w:val="009110B8"/>
    <w:rsid w:val="0091236A"/>
    <w:rsid w:val="00913030"/>
    <w:rsid w:val="009134E7"/>
    <w:rsid w:val="00913512"/>
    <w:rsid w:val="0091362E"/>
    <w:rsid w:val="0091485B"/>
    <w:rsid w:val="00914B12"/>
    <w:rsid w:val="00914CF8"/>
    <w:rsid w:val="009152D3"/>
    <w:rsid w:val="00915CE5"/>
    <w:rsid w:val="00916000"/>
    <w:rsid w:val="009171D4"/>
    <w:rsid w:val="00921230"/>
    <w:rsid w:val="0092170C"/>
    <w:rsid w:val="00922CE1"/>
    <w:rsid w:val="00923D5E"/>
    <w:rsid w:val="00924F20"/>
    <w:rsid w:val="0092693F"/>
    <w:rsid w:val="0092756D"/>
    <w:rsid w:val="00927672"/>
    <w:rsid w:val="0092797E"/>
    <w:rsid w:val="00931C67"/>
    <w:rsid w:val="009321CF"/>
    <w:rsid w:val="00932ADD"/>
    <w:rsid w:val="00933085"/>
    <w:rsid w:val="00933F6C"/>
    <w:rsid w:val="00934167"/>
    <w:rsid w:val="009343F1"/>
    <w:rsid w:val="009344EF"/>
    <w:rsid w:val="00935544"/>
    <w:rsid w:val="009369D8"/>
    <w:rsid w:val="00937F78"/>
    <w:rsid w:val="0094140C"/>
    <w:rsid w:val="009419F5"/>
    <w:rsid w:val="009421BB"/>
    <w:rsid w:val="00942272"/>
    <w:rsid w:val="00943FC4"/>
    <w:rsid w:val="0094458C"/>
    <w:rsid w:val="00944EFB"/>
    <w:rsid w:val="00946169"/>
    <w:rsid w:val="009461CA"/>
    <w:rsid w:val="00946573"/>
    <w:rsid w:val="0094736E"/>
    <w:rsid w:val="00947615"/>
    <w:rsid w:val="00950026"/>
    <w:rsid w:val="00951311"/>
    <w:rsid w:val="009514E3"/>
    <w:rsid w:val="00951A75"/>
    <w:rsid w:val="00953A55"/>
    <w:rsid w:val="009541AD"/>
    <w:rsid w:val="00955007"/>
    <w:rsid w:val="0095504F"/>
    <w:rsid w:val="0095541A"/>
    <w:rsid w:val="00955617"/>
    <w:rsid w:val="0095674D"/>
    <w:rsid w:val="00956AFD"/>
    <w:rsid w:val="00957C5E"/>
    <w:rsid w:val="00960978"/>
    <w:rsid w:val="00960A63"/>
    <w:rsid w:val="00962111"/>
    <w:rsid w:val="00963FEC"/>
    <w:rsid w:val="00964135"/>
    <w:rsid w:val="00966E35"/>
    <w:rsid w:val="00967CBC"/>
    <w:rsid w:val="00967ECA"/>
    <w:rsid w:val="00973016"/>
    <w:rsid w:val="00974083"/>
    <w:rsid w:val="00974196"/>
    <w:rsid w:val="00977AE0"/>
    <w:rsid w:val="00977EE4"/>
    <w:rsid w:val="00980A9E"/>
    <w:rsid w:val="00980CF0"/>
    <w:rsid w:val="00981805"/>
    <w:rsid w:val="00981CAB"/>
    <w:rsid w:val="009829AB"/>
    <w:rsid w:val="00984872"/>
    <w:rsid w:val="00986C28"/>
    <w:rsid w:val="00986D4E"/>
    <w:rsid w:val="00990C6E"/>
    <w:rsid w:val="0099129C"/>
    <w:rsid w:val="00991FF6"/>
    <w:rsid w:val="009944F7"/>
    <w:rsid w:val="009979B4"/>
    <w:rsid w:val="00997B2D"/>
    <w:rsid w:val="00997BE2"/>
    <w:rsid w:val="009A16E5"/>
    <w:rsid w:val="009A1B22"/>
    <w:rsid w:val="009A237B"/>
    <w:rsid w:val="009A2925"/>
    <w:rsid w:val="009A3CA5"/>
    <w:rsid w:val="009A5723"/>
    <w:rsid w:val="009A58D7"/>
    <w:rsid w:val="009A673B"/>
    <w:rsid w:val="009B0B37"/>
    <w:rsid w:val="009B10BB"/>
    <w:rsid w:val="009B1BEF"/>
    <w:rsid w:val="009B30AD"/>
    <w:rsid w:val="009B4A3D"/>
    <w:rsid w:val="009B6A86"/>
    <w:rsid w:val="009B6E08"/>
    <w:rsid w:val="009C06C2"/>
    <w:rsid w:val="009C3047"/>
    <w:rsid w:val="009C43C7"/>
    <w:rsid w:val="009C4F85"/>
    <w:rsid w:val="009C6314"/>
    <w:rsid w:val="009C7409"/>
    <w:rsid w:val="009D053D"/>
    <w:rsid w:val="009D0BCD"/>
    <w:rsid w:val="009D10AF"/>
    <w:rsid w:val="009D1B00"/>
    <w:rsid w:val="009D1B80"/>
    <w:rsid w:val="009D1F35"/>
    <w:rsid w:val="009D45E9"/>
    <w:rsid w:val="009D65B9"/>
    <w:rsid w:val="009D7073"/>
    <w:rsid w:val="009D70A5"/>
    <w:rsid w:val="009D7F5E"/>
    <w:rsid w:val="009E4198"/>
    <w:rsid w:val="009E4827"/>
    <w:rsid w:val="009E4CCC"/>
    <w:rsid w:val="009E653D"/>
    <w:rsid w:val="009E7FCB"/>
    <w:rsid w:val="009F2B5D"/>
    <w:rsid w:val="009F47F3"/>
    <w:rsid w:val="009F67DA"/>
    <w:rsid w:val="009F7C3A"/>
    <w:rsid w:val="009F7F86"/>
    <w:rsid w:val="00A0214C"/>
    <w:rsid w:val="00A03841"/>
    <w:rsid w:val="00A03D6E"/>
    <w:rsid w:val="00A04773"/>
    <w:rsid w:val="00A04ABD"/>
    <w:rsid w:val="00A06B61"/>
    <w:rsid w:val="00A07444"/>
    <w:rsid w:val="00A07890"/>
    <w:rsid w:val="00A07BA7"/>
    <w:rsid w:val="00A07CD2"/>
    <w:rsid w:val="00A1165E"/>
    <w:rsid w:val="00A116E4"/>
    <w:rsid w:val="00A11765"/>
    <w:rsid w:val="00A1193B"/>
    <w:rsid w:val="00A1252D"/>
    <w:rsid w:val="00A126AE"/>
    <w:rsid w:val="00A129B8"/>
    <w:rsid w:val="00A13236"/>
    <w:rsid w:val="00A14AD6"/>
    <w:rsid w:val="00A1512F"/>
    <w:rsid w:val="00A16AA6"/>
    <w:rsid w:val="00A176AA"/>
    <w:rsid w:val="00A17DAC"/>
    <w:rsid w:val="00A227CA"/>
    <w:rsid w:val="00A24CDB"/>
    <w:rsid w:val="00A25DE3"/>
    <w:rsid w:val="00A26F40"/>
    <w:rsid w:val="00A31983"/>
    <w:rsid w:val="00A32D6F"/>
    <w:rsid w:val="00A34ED7"/>
    <w:rsid w:val="00A3581A"/>
    <w:rsid w:val="00A400A5"/>
    <w:rsid w:val="00A419D1"/>
    <w:rsid w:val="00A4296D"/>
    <w:rsid w:val="00A44C1F"/>
    <w:rsid w:val="00A461A0"/>
    <w:rsid w:val="00A463E1"/>
    <w:rsid w:val="00A46638"/>
    <w:rsid w:val="00A46D5D"/>
    <w:rsid w:val="00A516C1"/>
    <w:rsid w:val="00A51C7D"/>
    <w:rsid w:val="00A51C9C"/>
    <w:rsid w:val="00A52A74"/>
    <w:rsid w:val="00A52EC2"/>
    <w:rsid w:val="00A551D6"/>
    <w:rsid w:val="00A57DF7"/>
    <w:rsid w:val="00A606C4"/>
    <w:rsid w:val="00A60FB0"/>
    <w:rsid w:val="00A61197"/>
    <w:rsid w:val="00A625BF"/>
    <w:rsid w:val="00A6278D"/>
    <w:rsid w:val="00A63E5B"/>
    <w:rsid w:val="00A66007"/>
    <w:rsid w:val="00A67C47"/>
    <w:rsid w:val="00A71E6E"/>
    <w:rsid w:val="00A738A1"/>
    <w:rsid w:val="00A73C9A"/>
    <w:rsid w:val="00A76A90"/>
    <w:rsid w:val="00A77057"/>
    <w:rsid w:val="00A77F85"/>
    <w:rsid w:val="00A80B85"/>
    <w:rsid w:val="00A82C56"/>
    <w:rsid w:val="00A83E82"/>
    <w:rsid w:val="00A8468B"/>
    <w:rsid w:val="00A8536E"/>
    <w:rsid w:val="00A87A46"/>
    <w:rsid w:val="00A90152"/>
    <w:rsid w:val="00A90291"/>
    <w:rsid w:val="00A904D1"/>
    <w:rsid w:val="00A90E7A"/>
    <w:rsid w:val="00A912C4"/>
    <w:rsid w:val="00A922A4"/>
    <w:rsid w:val="00A9245A"/>
    <w:rsid w:val="00A93429"/>
    <w:rsid w:val="00A96445"/>
    <w:rsid w:val="00A9755B"/>
    <w:rsid w:val="00AA1B90"/>
    <w:rsid w:val="00AA2CC0"/>
    <w:rsid w:val="00AA44D3"/>
    <w:rsid w:val="00AA4FEA"/>
    <w:rsid w:val="00AA64A2"/>
    <w:rsid w:val="00AA749A"/>
    <w:rsid w:val="00AB1E2B"/>
    <w:rsid w:val="00AB334C"/>
    <w:rsid w:val="00AC0EBB"/>
    <w:rsid w:val="00AC1E92"/>
    <w:rsid w:val="00AC7ED2"/>
    <w:rsid w:val="00AD320A"/>
    <w:rsid w:val="00AD5252"/>
    <w:rsid w:val="00AD56DC"/>
    <w:rsid w:val="00AD673D"/>
    <w:rsid w:val="00AD69EF"/>
    <w:rsid w:val="00AE0549"/>
    <w:rsid w:val="00AE1625"/>
    <w:rsid w:val="00AE16F0"/>
    <w:rsid w:val="00AE2028"/>
    <w:rsid w:val="00AE25E5"/>
    <w:rsid w:val="00AE6BA5"/>
    <w:rsid w:val="00AE6E0E"/>
    <w:rsid w:val="00AE7296"/>
    <w:rsid w:val="00AF10B2"/>
    <w:rsid w:val="00AF7016"/>
    <w:rsid w:val="00AF7938"/>
    <w:rsid w:val="00B0348E"/>
    <w:rsid w:val="00B037D7"/>
    <w:rsid w:val="00B042AF"/>
    <w:rsid w:val="00B05E52"/>
    <w:rsid w:val="00B06C6F"/>
    <w:rsid w:val="00B10167"/>
    <w:rsid w:val="00B10814"/>
    <w:rsid w:val="00B1142F"/>
    <w:rsid w:val="00B1186C"/>
    <w:rsid w:val="00B12E97"/>
    <w:rsid w:val="00B13333"/>
    <w:rsid w:val="00B17B8A"/>
    <w:rsid w:val="00B20337"/>
    <w:rsid w:val="00B20FCC"/>
    <w:rsid w:val="00B21F16"/>
    <w:rsid w:val="00B2390B"/>
    <w:rsid w:val="00B24085"/>
    <w:rsid w:val="00B24FE1"/>
    <w:rsid w:val="00B258C5"/>
    <w:rsid w:val="00B25F53"/>
    <w:rsid w:val="00B26092"/>
    <w:rsid w:val="00B3247A"/>
    <w:rsid w:val="00B326F2"/>
    <w:rsid w:val="00B32760"/>
    <w:rsid w:val="00B32872"/>
    <w:rsid w:val="00B33666"/>
    <w:rsid w:val="00B34DD6"/>
    <w:rsid w:val="00B35569"/>
    <w:rsid w:val="00B36644"/>
    <w:rsid w:val="00B367D9"/>
    <w:rsid w:val="00B369F2"/>
    <w:rsid w:val="00B36AB5"/>
    <w:rsid w:val="00B36F7D"/>
    <w:rsid w:val="00B40FB7"/>
    <w:rsid w:val="00B428DB"/>
    <w:rsid w:val="00B45D42"/>
    <w:rsid w:val="00B51D50"/>
    <w:rsid w:val="00B51D7E"/>
    <w:rsid w:val="00B53EFF"/>
    <w:rsid w:val="00B5590E"/>
    <w:rsid w:val="00B56279"/>
    <w:rsid w:val="00B5643F"/>
    <w:rsid w:val="00B56F3E"/>
    <w:rsid w:val="00B576E8"/>
    <w:rsid w:val="00B6100C"/>
    <w:rsid w:val="00B612F0"/>
    <w:rsid w:val="00B63FC0"/>
    <w:rsid w:val="00B6634C"/>
    <w:rsid w:val="00B66361"/>
    <w:rsid w:val="00B66893"/>
    <w:rsid w:val="00B67332"/>
    <w:rsid w:val="00B7106C"/>
    <w:rsid w:val="00B7131C"/>
    <w:rsid w:val="00B728E4"/>
    <w:rsid w:val="00B72C00"/>
    <w:rsid w:val="00B739D3"/>
    <w:rsid w:val="00B752B6"/>
    <w:rsid w:val="00B76F25"/>
    <w:rsid w:val="00B77227"/>
    <w:rsid w:val="00B77EB0"/>
    <w:rsid w:val="00B80CB7"/>
    <w:rsid w:val="00B815F6"/>
    <w:rsid w:val="00B8201A"/>
    <w:rsid w:val="00B845E3"/>
    <w:rsid w:val="00B845E7"/>
    <w:rsid w:val="00B84824"/>
    <w:rsid w:val="00B851C3"/>
    <w:rsid w:val="00B862BE"/>
    <w:rsid w:val="00B86827"/>
    <w:rsid w:val="00B93931"/>
    <w:rsid w:val="00B94322"/>
    <w:rsid w:val="00B95475"/>
    <w:rsid w:val="00B95683"/>
    <w:rsid w:val="00B95921"/>
    <w:rsid w:val="00B9596D"/>
    <w:rsid w:val="00B96C66"/>
    <w:rsid w:val="00B97688"/>
    <w:rsid w:val="00B97C14"/>
    <w:rsid w:val="00B97EE2"/>
    <w:rsid w:val="00BA1E7A"/>
    <w:rsid w:val="00BA23F2"/>
    <w:rsid w:val="00BA5041"/>
    <w:rsid w:val="00BA5459"/>
    <w:rsid w:val="00BA5E8E"/>
    <w:rsid w:val="00BB01B0"/>
    <w:rsid w:val="00BB0309"/>
    <w:rsid w:val="00BB16F4"/>
    <w:rsid w:val="00BB1957"/>
    <w:rsid w:val="00BB6846"/>
    <w:rsid w:val="00BB7061"/>
    <w:rsid w:val="00BC006D"/>
    <w:rsid w:val="00BC1F26"/>
    <w:rsid w:val="00BC2370"/>
    <w:rsid w:val="00BC29D0"/>
    <w:rsid w:val="00BC395E"/>
    <w:rsid w:val="00BC39CC"/>
    <w:rsid w:val="00BC45C3"/>
    <w:rsid w:val="00BC495D"/>
    <w:rsid w:val="00BC52F5"/>
    <w:rsid w:val="00BC5A49"/>
    <w:rsid w:val="00BC76FE"/>
    <w:rsid w:val="00BD061A"/>
    <w:rsid w:val="00BD2D6C"/>
    <w:rsid w:val="00BD668A"/>
    <w:rsid w:val="00BD6F91"/>
    <w:rsid w:val="00BD7FD4"/>
    <w:rsid w:val="00BE0222"/>
    <w:rsid w:val="00BE0B6A"/>
    <w:rsid w:val="00BE172E"/>
    <w:rsid w:val="00BE1C5D"/>
    <w:rsid w:val="00BE4D69"/>
    <w:rsid w:val="00BE7CCF"/>
    <w:rsid w:val="00BF18BC"/>
    <w:rsid w:val="00BF1B29"/>
    <w:rsid w:val="00BF220E"/>
    <w:rsid w:val="00BF2376"/>
    <w:rsid w:val="00BF2D18"/>
    <w:rsid w:val="00BF3EFE"/>
    <w:rsid w:val="00BF48CB"/>
    <w:rsid w:val="00BF5C07"/>
    <w:rsid w:val="00BF648F"/>
    <w:rsid w:val="00BF6906"/>
    <w:rsid w:val="00C006FE"/>
    <w:rsid w:val="00C078E6"/>
    <w:rsid w:val="00C10BC7"/>
    <w:rsid w:val="00C110DB"/>
    <w:rsid w:val="00C1240C"/>
    <w:rsid w:val="00C1356D"/>
    <w:rsid w:val="00C13D33"/>
    <w:rsid w:val="00C1650C"/>
    <w:rsid w:val="00C17771"/>
    <w:rsid w:val="00C21EE1"/>
    <w:rsid w:val="00C221B3"/>
    <w:rsid w:val="00C24AF9"/>
    <w:rsid w:val="00C24EDA"/>
    <w:rsid w:val="00C24F88"/>
    <w:rsid w:val="00C31580"/>
    <w:rsid w:val="00C318FF"/>
    <w:rsid w:val="00C31C0D"/>
    <w:rsid w:val="00C31F7D"/>
    <w:rsid w:val="00C32505"/>
    <w:rsid w:val="00C3256E"/>
    <w:rsid w:val="00C370CE"/>
    <w:rsid w:val="00C4035C"/>
    <w:rsid w:val="00C42571"/>
    <w:rsid w:val="00C42730"/>
    <w:rsid w:val="00C42874"/>
    <w:rsid w:val="00C42A1D"/>
    <w:rsid w:val="00C431B2"/>
    <w:rsid w:val="00C43C39"/>
    <w:rsid w:val="00C43D9F"/>
    <w:rsid w:val="00C458E0"/>
    <w:rsid w:val="00C47C4F"/>
    <w:rsid w:val="00C50110"/>
    <w:rsid w:val="00C5135B"/>
    <w:rsid w:val="00C52402"/>
    <w:rsid w:val="00C54545"/>
    <w:rsid w:val="00C553B3"/>
    <w:rsid w:val="00C55CD4"/>
    <w:rsid w:val="00C561D8"/>
    <w:rsid w:val="00C5715D"/>
    <w:rsid w:val="00C5790D"/>
    <w:rsid w:val="00C64B77"/>
    <w:rsid w:val="00C65673"/>
    <w:rsid w:val="00C6620F"/>
    <w:rsid w:val="00C6703E"/>
    <w:rsid w:val="00C67C5D"/>
    <w:rsid w:val="00C70D35"/>
    <w:rsid w:val="00C71D7B"/>
    <w:rsid w:val="00C722F7"/>
    <w:rsid w:val="00C73538"/>
    <w:rsid w:val="00C73677"/>
    <w:rsid w:val="00C73CBE"/>
    <w:rsid w:val="00C74145"/>
    <w:rsid w:val="00C7420C"/>
    <w:rsid w:val="00C75E34"/>
    <w:rsid w:val="00C76294"/>
    <w:rsid w:val="00C82AC0"/>
    <w:rsid w:val="00C83FE5"/>
    <w:rsid w:val="00C84557"/>
    <w:rsid w:val="00C86DA4"/>
    <w:rsid w:val="00C90125"/>
    <w:rsid w:val="00C90C00"/>
    <w:rsid w:val="00C9117E"/>
    <w:rsid w:val="00C91932"/>
    <w:rsid w:val="00C91955"/>
    <w:rsid w:val="00C919AC"/>
    <w:rsid w:val="00C92447"/>
    <w:rsid w:val="00C932DA"/>
    <w:rsid w:val="00C9352D"/>
    <w:rsid w:val="00C93798"/>
    <w:rsid w:val="00C94214"/>
    <w:rsid w:val="00C94A9C"/>
    <w:rsid w:val="00C94DC2"/>
    <w:rsid w:val="00C94FED"/>
    <w:rsid w:val="00C9761E"/>
    <w:rsid w:val="00C97BF2"/>
    <w:rsid w:val="00C97EE7"/>
    <w:rsid w:val="00CA42B6"/>
    <w:rsid w:val="00CA4780"/>
    <w:rsid w:val="00CA4A7C"/>
    <w:rsid w:val="00CA5456"/>
    <w:rsid w:val="00CA5584"/>
    <w:rsid w:val="00CA6050"/>
    <w:rsid w:val="00CA6149"/>
    <w:rsid w:val="00CA6F07"/>
    <w:rsid w:val="00CA73B3"/>
    <w:rsid w:val="00CB0E4C"/>
    <w:rsid w:val="00CB4A0A"/>
    <w:rsid w:val="00CB5EE9"/>
    <w:rsid w:val="00CB6269"/>
    <w:rsid w:val="00CB6361"/>
    <w:rsid w:val="00CB7A80"/>
    <w:rsid w:val="00CC1AE4"/>
    <w:rsid w:val="00CC1B84"/>
    <w:rsid w:val="00CC25AA"/>
    <w:rsid w:val="00CC2844"/>
    <w:rsid w:val="00CC2DDB"/>
    <w:rsid w:val="00CC4490"/>
    <w:rsid w:val="00CC5CAE"/>
    <w:rsid w:val="00CC6150"/>
    <w:rsid w:val="00CC636B"/>
    <w:rsid w:val="00CC7655"/>
    <w:rsid w:val="00CD0058"/>
    <w:rsid w:val="00CD0DAF"/>
    <w:rsid w:val="00CD1FE4"/>
    <w:rsid w:val="00CD42B2"/>
    <w:rsid w:val="00CD5B7B"/>
    <w:rsid w:val="00CD5E1D"/>
    <w:rsid w:val="00CE03F1"/>
    <w:rsid w:val="00CE1663"/>
    <w:rsid w:val="00CE354E"/>
    <w:rsid w:val="00CE4F71"/>
    <w:rsid w:val="00CE59CE"/>
    <w:rsid w:val="00CE5DC0"/>
    <w:rsid w:val="00CE67A2"/>
    <w:rsid w:val="00CE77EC"/>
    <w:rsid w:val="00CF0689"/>
    <w:rsid w:val="00CF10C0"/>
    <w:rsid w:val="00CF26BF"/>
    <w:rsid w:val="00CF3534"/>
    <w:rsid w:val="00CF3EEB"/>
    <w:rsid w:val="00CF45FE"/>
    <w:rsid w:val="00CF4A9D"/>
    <w:rsid w:val="00CF4F87"/>
    <w:rsid w:val="00CF554A"/>
    <w:rsid w:val="00CF6377"/>
    <w:rsid w:val="00CF71B4"/>
    <w:rsid w:val="00D00501"/>
    <w:rsid w:val="00D00B3A"/>
    <w:rsid w:val="00D00FDE"/>
    <w:rsid w:val="00D0148A"/>
    <w:rsid w:val="00D016F1"/>
    <w:rsid w:val="00D01CF3"/>
    <w:rsid w:val="00D02565"/>
    <w:rsid w:val="00D04643"/>
    <w:rsid w:val="00D04CB4"/>
    <w:rsid w:val="00D0523F"/>
    <w:rsid w:val="00D0575E"/>
    <w:rsid w:val="00D05BFF"/>
    <w:rsid w:val="00D103E0"/>
    <w:rsid w:val="00D11E0D"/>
    <w:rsid w:val="00D12519"/>
    <w:rsid w:val="00D21850"/>
    <w:rsid w:val="00D230E7"/>
    <w:rsid w:val="00D24868"/>
    <w:rsid w:val="00D24F3F"/>
    <w:rsid w:val="00D25751"/>
    <w:rsid w:val="00D30694"/>
    <w:rsid w:val="00D30F6F"/>
    <w:rsid w:val="00D32618"/>
    <w:rsid w:val="00D346DB"/>
    <w:rsid w:val="00D34C41"/>
    <w:rsid w:val="00D36AC7"/>
    <w:rsid w:val="00D3726C"/>
    <w:rsid w:val="00D37C87"/>
    <w:rsid w:val="00D37E61"/>
    <w:rsid w:val="00D41C8A"/>
    <w:rsid w:val="00D41FD5"/>
    <w:rsid w:val="00D430CE"/>
    <w:rsid w:val="00D469CC"/>
    <w:rsid w:val="00D46AB6"/>
    <w:rsid w:val="00D47B78"/>
    <w:rsid w:val="00D51482"/>
    <w:rsid w:val="00D51928"/>
    <w:rsid w:val="00D51B7B"/>
    <w:rsid w:val="00D52796"/>
    <w:rsid w:val="00D52EED"/>
    <w:rsid w:val="00D53BFB"/>
    <w:rsid w:val="00D54738"/>
    <w:rsid w:val="00D54F6F"/>
    <w:rsid w:val="00D63AC7"/>
    <w:rsid w:val="00D67669"/>
    <w:rsid w:val="00D706C8"/>
    <w:rsid w:val="00D71F88"/>
    <w:rsid w:val="00D7321C"/>
    <w:rsid w:val="00D74492"/>
    <w:rsid w:val="00D7470F"/>
    <w:rsid w:val="00D7496E"/>
    <w:rsid w:val="00D749DD"/>
    <w:rsid w:val="00D74F0D"/>
    <w:rsid w:val="00D75D73"/>
    <w:rsid w:val="00D8100D"/>
    <w:rsid w:val="00D81394"/>
    <w:rsid w:val="00D827D5"/>
    <w:rsid w:val="00D83C42"/>
    <w:rsid w:val="00D85C19"/>
    <w:rsid w:val="00D87648"/>
    <w:rsid w:val="00D87D1B"/>
    <w:rsid w:val="00D9098F"/>
    <w:rsid w:val="00D936AE"/>
    <w:rsid w:val="00D93B4D"/>
    <w:rsid w:val="00D93FE7"/>
    <w:rsid w:val="00D95CC8"/>
    <w:rsid w:val="00D96011"/>
    <w:rsid w:val="00D979D0"/>
    <w:rsid w:val="00D97DD8"/>
    <w:rsid w:val="00DA0CED"/>
    <w:rsid w:val="00DA1EE3"/>
    <w:rsid w:val="00DA2D59"/>
    <w:rsid w:val="00DA31FA"/>
    <w:rsid w:val="00DA4409"/>
    <w:rsid w:val="00DB196B"/>
    <w:rsid w:val="00DB24CF"/>
    <w:rsid w:val="00DB35E7"/>
    <w:rsid w:val="00DB4943"/>
    <w:rsid w:val="00DB565D"/>
    <w:rsid w:val="00DB6CCF"/>
    <w:rsid w:val="00DB7657"/>
    <w:rsid w:val="00DB7A26"/>
    <w:rsid w:val="00DC3F88"/>
    <w:rsid w:val="00DC405C"/>
    <w:rsid w:val="00DC6360"/>
    <w:rsid w:val="00DC6C3B"/>
    <w:rsid w:val="00DD1D8B"/>
    <w:rsid w:val="00DD21D5"/>
    <w:rsid w:val="00DD21F6"/>
    <w:rsid w:val="00DD22DB"/>
    <w:rsid w:val="00DD3576"/>
    <w:rsid w:val="00DD49E0"/>
    <w:rsid w:val="00DD4D2D"/>
    <w:rsid w:val="00DD5492"/>
    <w:rsid w:val="00DD57F1"/>
    <w:rsid w:val="00DD5964"/>
    <w:rsid w:val="00DD73FF"/>
    <w:rsid w:val="00DE0639"/>
    <w:rsid w:val="00DE303F"/>
    <w:rsid w:val="00DE307D"/>
    <w:rsid w:val="00DE3485"/>
    <w:rsid w:val="00DE3786"/>
    <w:rsid w:val="00DE3E65"/>
    <w:rsid w:val="00DE4DE9"/>
    <w:rsid w:val="00DE60E0"/>
    <w:rsid w:val="00DE6902"/>
    <w:rsid w:val="00DE7963"/>
    <w:rsid w:val="00DF0510"/>
    <w:rsid w:val="00DF1D32"/>
    <w:rsid w:val="00DF2D0E"/>
    <w:rsid w:val="00DF319C"/>
    <w:rsid w:val="00DF355F"/>
    <w:rsid w:val="00DF3A36"/>
    <w:rsid w:val="00DF41C7"/>
    <w:rsid w:val="00DF428E"/>
    <w:rsid w:val="00DF44A3"/>
    <w:rsid w:val="00DF5492"/>
    <w:rsid w:val="00DF6178"/>
    <w:rsid w:val="00DF725C"/>
    <w:rsid w:val="00E01152"/>
    <w:rsid w:val="00E025A0"/>
    <w:rsid w:val="00E02F12"/>
    <w:rsid w:val="00E038C0"/>
    <w:rsid w:val="00E042ED"/>
    <w:rsid w:val="00E046A4"/>
    <w:rsid w:val="00E04C34"/>
    <w:rsid w:val="00E06083"/>
    <w:rsid w:val="00E07520"/>
    <w:rsid w:val="00E07D1B"/>
    <w:rsid w:val="00E100C2"/>
    <w:rsid w:val="00E11FE2"/>
    <w:rsid w:val="00E13B2E"/>
    <w:rsid w:val="00E14380"/>
    <w:rsid w:val="00E148A7"/>
    <w:rsid w:val="00E14979"/>
    <w:rsid w:val="00E15591"/>
    <w:rsid w:val="00E15C2F"/>
    <w:rsid w:val="00E15FCB"/>
    <w:rsid w:val="00E16923"/>
    <w:rsid w:val="00E16FE4"/>
    <w:rsid w:val="00E17083"/>
    <w:rsid w:val="00E17AFC"/>
    <w:rsid w:val="00E20842"/>
    <w:rsid w:val="00E20C7C"/>
    <w:rsid w:val="00E21AD4"/>
    <w:rsid w:val="00E21D4C"/>
    <w:rsid w:val="00E2373A"/>
    <w:rsid w:val="00E260AE"/>
    <w:rsid w:val="00E274FC"/>
    <w:rsid w:val="00E27FAD"/>
    <w:rsid w:val="00E3217D"/>
    <w:rsid w:val="00E33016"/>
    <w:rsid w:val="00E339B2"/>
    <w:rsid w:val="00E34249"/>
    <w:rsid w:val="00E362EB"/>
    <w:rsid w:val="00E41541"/>
    <w:rsid w:val="00E42016"/>
    <w:rsid w:val="00E4481B"/>
    <w:rsid w:val="00E50460"/>
    <w:rsid w:val="00E51906"/>
    <w:rsid w:val="00E54111"/>
    <w:rsid w:val="00E54B90"/>
    <w:rsid w:val="00E602BF"/>
    <w:rsid w:val="00E63DE8"/>
    <w:rsid w:val="00E64870"/>
    <w:rsid w:val="00E653F9"/>
    <w:rsid w:val="00E65696"/>
    <w:rsid w:val="00E66A86"/>
    <w:rsid w:val="00E66C9A"/>
    <w:rsid w:val="00E67D63"/>
    <w:rsid w:val="00E67E34"/>
    <w:rsid w:val="00E703BC"/>
    <w:rsid w:val="00E704D4"/>
    <w:rsid w:val="00E70804"/>
    <w:rsid w:val="00E74A4A"/>
    <w:rsid w:val="00E80424"/>
    <w:rsid w:val="00E804A4"/>
    <w:rsid w:val="00E82E7A"/>
    <w:rsid w:val="00E843F4"/>
    <w:rsid w:val="00E84435"/>
    <w:rsid w:val="00E84F6D"/>
    <w:rsid w:val="00E8505F"/>
    <w:rsid w:val="00E86E09"/>
    <w:rsid w:val="00E910E8"/>
    <w:rsid w:val="00E923BC"/>
    <w:rsid w:val="00E927C6"/>
    <w:rsid w:val="00E92FF6"/>
    <w:rsid w:val="00E9395E"/>
    <w:rsid w:val="00E943F5"/>
    <w:rsid w:val="00E966F0"/>
    <w:rsid w:val="00E97090"/>
    <w:rsid w:val="00EA02C5"/>
    <w:rsid w:val="00EA0869"/>
    <w:rsid w:val="00EA2B35"/>
    <w:rsid w:val="00EA520F"/>
    <w:rsid w:val="00EA64BA"/>
    <w:rsid w:val="00EB0E52"/>
    <w:rsid w:val="00EB0FFF"/>
    <w:rsid w:val="00EB1294"/>
    <w:rsid w:val="00EB18FF"/>
    <w:rsid w:val="00EB2081"/>
    <w:rsid w:val="00EB2CF5"/>
    <w:rsid w:val="00EB2EBF"/>
    <w:rsid w:val="00EB2FBC"/>
    <w:rsid w:val="00EB3348"/>
    <w:rsid w:val="00EB6BBF"/>
    <w:rsid w:val="00EC1423"/>
    <w:rsid w:val="00EC1A4E"/>
    <w:rsid w:val="00EC1DAB"/>
    <w:rsid w:val="00EC2CD6"/>
    <w:rsid w:val="00EC37B2"/>
    <w:rsid w:val="00EC3C88"/>
    <w:rsid w:val="00EC4BCE"/>
    <w:rsid w:val="00EC5A98"/>
    <w:rsid w:val="00EC622E"/>
    <w:rsid w:val="00EC687E"/>
    <w:rsid w:val="00EC6D22"/>
    <w:rsid w:val="00ED154A"/>
    <w:rsid w:val="00ED303F"/>
    <w:rsid w:val="00ED41FB"/>
    <w:rsid w:val="00ED4723"/>
    <w:rsid w:val="00ED50F5"/>
    <w:rsid w:val="00ED6FB2"/>
    <w:rsid w:val="00EE1DF7"/>
    <w:rsid w:val="00EE2374"/>
    <w:rsid w:val="00EE2C84"/>
    <w:rsid w:val="00EE4085"/>
    <w:rsid w:val="00EF0651"/>
    <w:rsid w:val="00EF1BE0"/>
    <w:rsid w:val="00EF41CD"/>
    <w:rsid w:val="00EF422E"/>
    <w:rsid w:val="00EF45B6"/>
    <w:rsid w:val="00EF5C7C"/>
    <w:rsid w:val="00EF671F"/>
    <w:rsid w:val="00F00670"/>
    <w:rsid w:val="00F01AB4"/>
    <w:rsid w:val="00F01B23"/>
    <w:rsid w:val="00F03473"/>
    <w:rsid w:val="00F04618"/>
    <w:rsid w:val="00F04619"/>
    <w:rsid w:val="00F07892"/>
    <w:rsid w:val="00F10813"/>
    <w:rsid w:val="00F11FDA"/>
    <w:rsid w:val="00F120D0"/>
    <w:rsid w:val="00F12E95"/>
    <w:rsid w:val="00F13CFF"/>
    <w:rsid w:val="00F15998"/>
    <w:rsid w:val="00F173CF"/>
    <w:rsid w:val="00F20F6A"/>
    <w:rsid w:val="00F2139D"/>
    <w:rsid w:val="00F219D0"/>
    <w:rsid w:val="00F2209A"/>
    <w:rsid w:val="00F224E1"/>
    <w:rsid w:val="00F26DFF"/>
    <w:rsid w:val="00F26EAC"/>
    <w:rsid w:val="00F274B3"/>
    <w:rsid w:val="00F27FFE"/>
    <w:rsid w:val="00F31A02"/>
    <w:rsid w:val="00F31E21"/>
    <w:rsid w:val="00F3324B"/>
    <w:rsid w:val="00F34AC5"/>
    <w:rsid w:val="00F35D49"/>
    <w:rsid w:val="00F36104"/>
    <w:rsid w:val="00F404D4"/>
    <w:rsid w:val="00F4159D"/>
    <w:rsid w:val="00F42C1F"/>
    <w:rsid w:val="00F42F3F"/>
    <w:rsid w:val="00F44CDF"/>
    <w:rsid w:val="00F464B2"/>
    <w:rsid w:val="00F47ED6"/>
    <w:rsid w:val="00F50B6A"/>
    <w:rsid w:val="00F5145C"/>
    <w:rsid w:val="00F51773"/>
    <w:rsid w:val="00F52810"/>
    <w:rsid w:val="00F5301C"/>
    <w:rsid w:val="00F530B8"/>
    <w:rsid w:val="00F537B2"/>
    <w:rsid w:val="00F555C3"/>
    <w:rsid w:val="00F62CEB"/>
    <w:rsid w:val="00F62EB4"/>
    <w:rsid w:val="00F645F4"/>
    <w:rsid w:val="00F64A4B"/>
    <w:rsid w:val="00F65E87"/>
    <w:rsid w:val="00F66BB6"/>
    <w:rsid w:val="00F67028"/>
    <w:rsid w:val="00F70AC0"/>
    <w:rsid w:val="00F71172"/>
    <w:rsid w:val="00F71D60"/>
    <w:rsid w:val="00F73B62"/>
    <w:rsid w:val="00F76275"/>
    <w:rsid w:val="00F77558"/>
    <w:rsid w:val="00F835F6"/>
    <w:rsid w:val="00F83A37"/>
    <w:rsid w:val="00F8553E"/>
    <w:rsid w:val="00F862A9"/>
    <w:rsid w:val="00F864D5"/>
    <w:rsid w:val="00F87386"/>
    <w:rsid w:val="00F92001"/>
    <w:rsid w:val="00F92D3F"/>
    <w:rsid w:val="00F9333C"/>
    <w:rsid w:val="00F93444"/>
    <w:rsid w:val="00F94BBC"/>
    <w:rsid w:val="00F962C5"/>
    <w:rsid w:val="00F96FD1"/>
    <w:rsid w:val="00FA071C"/>
    <w:rsid w:val="00FA0F4E"/>
    <w:rsid w:val="00FA107D"/>
    <w:rsid w:val="00FA10D1"/>
    <w:rsid w:val="00FA197E"/>
    <w:rsid w:val="00FA1AA8"/>
    <w:rsid w:val="00FA1F47"/>
    <w:rsid w:val="00FA2276"/>
    <w:rsid w:val="00FA2313"/>
    <w:rsid w:val="00FA3526"/>
    <w:rsid w:val="00FA4780"/>
    <w:rsid w:val="00FA48AF"/>
    <w:rsid w:val="00FA4A12"/>
    <w:rsid w:val="00FA4B3E"/>
    <w:rsid w:val="00FA5E8A"/>
    <w:rsid w:val="00FA621D"/>
    <w:rsid w:val="00FA7C13"/>
    <w:rsid w:val="00FB3A7B"/>
    <w:rsid w:val="00FB3DCD"/>
    <w:rsid w:val="00FB40EF"/>
    <w:rsid w:val="00FB47FD"/>
    <w:rsid w:val="00FB51F1"/>
    <w:rsid w:val="00FB7958"/>
    <w:rsid w:val="00FC0B1E"/>
    <w:rsid w:val="00FC0E7C"/>
    <w:rsid w:val="00FC2886"/>
    <w:rsid w:val="00FC2EC5"/>
    <w:rsid w:val="00FC4BA2"/>
    <w:rsid w:val="00FC53E3"/>
    <w:rsid w:val="00FC6B51"/>
    <w:rsid w:val="00FD1598"/>
    <w:rsid w:val="00FD21A8"/>
    <w:rsid w:val="00FD264F"/>
    <w:rsid w:val="00FD2698"/>
    <w:rsid w:val="00FD3CA5"/>
    <w:rsid w:val="00FD538F"/>
    <w:rsid w:val="00FD5C64"/>
    <w:rsid w:val="00FD6579"/>
    <w:rsid w:val="00FD6A72"/>
    <w:rsid w:val="00FD7785"/>
    <w:rsid w:val="00FE025D"/>
    <w:rsid w:val="00FE13AE"/>
    <w:rsid w:val="00FE5820"/>
    <w:rsid w:val="00FE6FD1"/>
    <w:rsid w:val="00FF12D2"/>
    <w:rsid w:val="00FF1F5D"/>
    <w:rsid w:val="00FF3AD8"/>
    <w:rsid w:val="00FF4287"/>
    <w:rsid w:val="00FF44D6"/>
    <w:rsid w:val="00FF5509"/>
    <w:rsid w:val="00FF76F9"/>
    <w:rsid w:val="02745E2D"/>
    <w:rsid w:val="02821353"/>
    <w:rsid w:val="02D010B0"/>
    <w:rsid w:val="02D34796"/>
    <w:rsid w:val="02EF30E9"/>
    <w:rsid w:val="03FE3198"/>
    <w:rsid w:val="042B5281"/>
    <w:rsid w:val="047412D0"/>
    <w:rsid w:val="04AA6A42"/>
    <w:rsid w:val="04E87FA6"/>
    <w:rsid w:val="066573A2"/>
    <w:rsid w:val="07092043"/>
    <w:rsid w:val="072A658B"/>
    <w:rsid w:val="08167FA0"/>
    <w:rsid w:val="09220E44"/>
    <w:rsid w:val="092F09F7"/>
    <w:rsid w:val="0941481E"/>
    <w:rsid w:val="09433A4D"/>
    <w:rsid w:val="0A1E7361"/>
    <w:rsid w:val="0A851F41"/>
    <w:rsid w:val="0B5655B8"/>
    <w:rsid w:val="0C997913"/>
    <w:rsid w:val="0CF225DB"/>
    <w:rsid w:val="0D5245D5"/>
    <w:rsid w:val="0D676B5F"/>
    <w:rsid w:val="0E141C79"/>
    <w:rsid w:val="0E386528"/>
    <w:rsid w:val="0E3A3679"/>
    <w:rsid w:val="0E523D93"/>
    <w:rsid w:val="0F9E41CE"/>
    <w:rsid w:val="103A4D8B"/>
    <w:rsid w:val="10A133CD"/>
    <w:rsid w:val="10CB3220"/>
    <w:rsid w:val="10E07BC9"/>
    <w:rsid w:val="114C0FA4"/>
    <w:rsid w:val="11B32ED3"/>
    <w:rsid w:val="12451571"/>
    <w:rsid w:val="1257625B"/>
    <w:rsid w:val="12B414DB"/>
    <w:rsid w:val="134D670D"/>
    <w:rsid w:val="13711781"/>
    <w:rsid w:val="13EC145B"/>
    <w:rsid w:val="147668A8"/>
    <w:rsid w:val="147A7CBF"/>
    <w:rsid w:val="14927F1D"/>
    <w:rsid w:val="15395554"/>
    <w:rsid w:val="158610E8"/>
    <w:rsid w:val="15E23EEE"/>
    <w:rsid w:val="163412C2"/>
    <w:rsid w:val="16F23B60"/>
    <w:rsid w:val="18740B4E"/>
    <w:rsid w:val="18961B85"/>
    <w:rsid w:val="195C148E"/>
    <w:rsid w:val="1AE26D88"/>
    <w:rsid w:val="1B4C3CF2"/>
    <w:rsid w:val="1B8F67D1"/>
    <w:rsid w:val="1BA10A0E"/>
    <w:rsid w:val="1C1C209E"/>
    <w:rsid w:val="1C9F7BC1"/>
    <w:rsid w:val="1CBC2929"/>
    <w:rsid w:val="1DE05FF9"/>
    <w:rsid w:val="1E034608"/>
    <w:rsid w:val="1E162CBF"/>
    <w:rsid w:val="1E1C12D7"/>
    <w:rsid w:val="1E8E331F"/>
    <w:rsid w:val="1ECB1017"/>
    <w:rsid w:val="1F314573"/>
    <w:rsid w:val="1F38563E"/>
    <w:rsid w:val="1FFB3A60"/>
    <w:rsid w:val="20041BC0"/>
    <w:rsid w:val="203201E5"/>
    <w:rsid w:val="207B78E2"/>
    <w:rsid w:val="21526565"/>
    <w:rsid w:val="21A22F85"/>
    <w:rsid w:val="21DA7F9D"/>
    <w:rsid w:val="225827A0"/>
    <w:rsid w:val="23140427"/>
    <w:rsid w:val="256D3E58"/>
    <w:rsid w:val="25A259CD"/>
    <w:rsid w:val="25A60C23"/>
    <w:rsid w:val="26327F31"/>
    <w:rsid w:val="265276B0"/>
    <w:rsid w:val="26791A42"/>
    <w:rsid w:val="27B0091E"/>
    <w:rsid w:val="2894493C"/>
    <w:rsid w:val="2A7B3628"/>
    <w:rsid w:val="2AFF3A6D"/>
    <w:rsid w:val="2B5709D4"/>
    <w:rsid w:val="2B613188"/>
    <w:rsid w:val="2B967655"/>
    <w:rsid w:val="2BA10DA2"/>
    <w:rsid w:val="2C85168B"/>
    <w:rsid w:val="2CBF0E18"/>
    <w:rsid w:val="2DBB698D"/>
    <w:rsid w:val="2E0A5B07"/>
    <w:rsid w:val="2EC74241"/>
    <w:rsid w:val="2ED27DDC"/>
    <w:rsid w:val="2F420BE1"/>
    <w:rsid w:val="301803DE"/>
    <w:rsid w:val="307C7CC0"/>
    <w:rsid w:val="309D4DB2"/>
    <w:rsid w:val="30B66028"/>
    <w:rsid w:val="310170BD"/>
    <w:rsid w:val="31884009"/>
    <w:rsid w:val="32630907"/>
    <w:rsid w:val="32846EDB"/>
    <w:rsid w:val="32C92AC8"/>
    <w:rsid w:val="32F474E6"/>
    <w:rsid w:val="33EC6FE1"/>
    <w:rsid w:val="34425F4C"/>
    <w:rsid w:val="34D003D6"/>
    <w:rsid w:val="357829F9"/>
    <w:rsid w:val="35CF02E0"/>
    <w:rsid w:val="36027BED"/>
    <w:rsid w:val="368A78EA"/>
    <w:rsid w:val="36A01BD4"/>
    <w:rsid w:val="373B38D4"/>
    <w:rsid w:val="37C90860"/>
    <w:rsid w:val="38F06EE0"/>
    <w:rsid w:val="38F803C2"/>
    <w:rsid w:val="396C2BAA"/>
    <w:rsid w:val="3AB518A0"/>
    <w:rsid w:val="3BA87AB9"/>
    <w:rsid w:val="3C215481"/>
    <w:rsid w:val="3C57350F"/>
    <w:rsid w:val="3D745986"/>
    <w:rsid w:val="3D811FD6"/>
    <w:rsid w:val="3E635855"/>
    <w:rsid w:val="3EAC2EE8"/>
    <w:rsid w:val="3ECD65D8"/>
    <w:rsid w:val="3F0E62AD"/>
    <w:rsid w:val="3F10315E"/>
    <w:rsid w:val="3F30526A"/>
    <w:rsid w:val="40A37673"/>
    <w:rsid w:val="40B64BC2"/>
    <w:rsid w:val="412B2840"/>
    <w:rsid w:val="412E5588"/>
    <w:rsid w:val="41B532E4"/>
    <w:rsid w:val="42B54976"/>
    <w:rsid w:val="43034841"/>
    <w:rsid w:val="432F16D8"/>
    <w:rsid w:val="432F37BB"/>
    <w:rsid w:val="433D7940"/>
    <w:rsid w:val="43AE5A0E"/>
    <w:rsid w:val="441D6007"/>
    <w:rsid w:val="446D76BF"/>
    <w:rsid w:val="447F6000"/>
    <w:rsid w:val="453D6C3B"/>
    <w:rsid w:val="48AF2459"/>
    <w:rsid w:val="48BC6675"/>
    <w:rsid w:val="49B42C47"/>
    <w:rsid w:val="4BAB2DA2"/>
    <w:rsid w:val="4C5966A7"/>
    <w:rsid w:val="4C7A5616"/>
    <w:rsid w:val="4CEC1623"/>
    <w:rsid w:val="4D5E786E"/>
    <w:rsid w:val="4DB176B8"/>
    <w:rsid w:val="4E435057"/>
    <w:rsid w:val="4EC01F8B"/>
    <w:rsid w:val="4F10620B"/>
    <w:rsid w:val="4FD37771"/>
    <w:rsid w:val="4FEE024E"/>
    <w:rsid w:val="5036499B"/>
    <w:rsid w:val="50401C9D"/>
    <w:rsid w:val="50E13179"/>
    <w:rsid w:val="52295E32"/>
    <w:rsid w:val="532172BC"/>
    <w:rsid w:val="532751AC"/>
    <w:rsid w:val="53AF1BDF"/>
    <w:rsid w:val="549B085D"/>
    <w:rsid w:val="550216F6"/>
    <w:rsid w:val="55AE17B0"/>
    <w:rsid w:val="55BD59F1"/>
    <w:rsid w:val="55BF3883"/>
    <w:rsid w:val="55F17970"/>
    <w:rsid w:val="562F440E"/>
    <w:rsid w:val="56A8640D"/>
    <w:rsid w:val="57FA5C3D"/>
    <w:rsid w:val="588E0027"/>
    <w:rsid w:val="58A10F7F"/>
    <w:rsid w:val="59095BA3"/>
    <w:rsid w:val="59330898"/>
    <w:rsid w:val="597F164A"/>
    <w:rsid w:val="5A914699"/>
    <w:rsid w:val="5ACF5EA1"/>
    <w:rsid w:val="5B0E461F"/>
    <w:rsid w:val="5CA07471"/>
    <w:rsid w:val="5CAB701E"/>
    <w:rsid w:val="5CBB3770"/>
    <w:rsid w:val="5CCF365C"/>
    <w:rsid w:val="5CE40B83"/>
    <w:rsid w:val="5D2D22BA"/>
    <w:rsid w:val="5D956D87"/>
    <w:rsid w:val="5E78410A"/>
    <w:rsid w:val="61015737"/>
    <w:rsid w:val="61C42875"/>
    <w:rsid w:val="62B42D1D"/>
    <w:rsid w:val="62BA0EB6"/>
    <w:rsid w:val="62F84A73"/>
    <w:rsid w:val="636F6D29"/>
    <w:rsid w:val="63A43242"/>
    <w:rsid w:val="661128BB"/>
    <w:rsid w:val="66E373EA"/>
    <w:rsid w:val="67033D0D"/>
    <w:rsid w:val="677D259D"/>
    <w:rsid w:val="67863D37"/>
    <w:rsid w:val="691909E0"/>
    <w:rsid w:val="69226E91"/>
    <w:rsid w:val="6990317C"/>
    <w:rsid w:val="69E56707"/>
    <w:rsid w:val="6AA1256C"/>
    <w:rsid w:val="6AC0121A"/>
    <w:rsid w:val="6C5C2E76"/>
    <w:rsid w:val="6C8B313E"/>
    <w:rsid w:val="6DD4441A"/>
    <w:rsid w:val="6DDB42CE"/>
    <w:rsid w:val="6F2103D7"/>
    <w:rsid w:val="6F2E6117"/>
    <w:rsid w:val="7028290E"/>
    <w:rsid w:val="70F049EE"/>
    <w:rsid w:val="71410CE9"/>
    <w:rsid w:val="73875839"/>
    <w:rsid w:val="73A417D9"/>
    <w:rsid w:val="742573CD"/>
    <w:rsid w:val="74412774"/>
    <w:rsid w:val="74574531"/>
    <w:rsid w:val="748214B6"/>
    <w:rsid w:val="75EC0FE9"/>
    <w:rsid w:val="76267DA4"/>
    <w:rsid w:val="775E3E82"/>
    <w:rsid w:val="77B639B3"/>
    <w:rsid w:val="77DE269C"/>
    <w:rsid w:val="787F6309"/>
    <w:rsid w:val="78D8151F"/>
    <w:rsid w:val="790A1015"/>
    <w:rsid w:val="799F4AFD"/>
    <w:rsid w:val="79BA6C23"/>
    <w:rsid w:val="79FF2CB7"/>
    <w:rsid w:val="7A262CA8"/>
    <w:rsid w:val="7B5C5E23"/>
    <w:rsid w:val="7B7E1DF8"/>
    <w:rsid w:val="7C342091"/>
    <w:rsid w:val="7C801770"/>
    <w:rsid w:val="7C8D06C9"/>
    <w:rsid w:val="7CCF5FC4"/>
    <w:rsid w:val="7CE82253"/>
    <w:rsid w:val="7D1875A6"/>
    <w:rsid w:val="7D836E14"/>
    <w:rsid w:val="7DA26C21"/>
    <w:rsid w:val="7DA575C5"/>
    <w:rsid w:val="7DD42F37"/>
    <w:rsid w:val="7DF103A8"/>
    <w:rsid w:val="7E092E86"/>
    <w:rsid w:val="7E436630"/>
    <w:rsid w:val="7E936C8A"/>
    <w:rsid w:val="7EAD0545"/>
    <w:rsid w:val="7EB525D0"/>
    <w:rsid w:val="7EBF56A7"/>
    <w:rsid w:val="7F3A637C"/>
    <w:rsid w:val="7FE02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3"/>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54"/>
    <w:qFormat/>
    <w:uiPriority w:val="0"/>
    <w:pPr>
      <w:keepNext/>
      <w:ind w:firstLine="480" w:firstLineChars="200"/>
      <w:outlineLvl w:val="2"/>
    </w:pPr>
    <w:rPr>
      <w:rFonts w:ascii="长城仿宋体" w:hAnsi="宋体" w:eastAsia="长城仿宋体" w:cs="Times New Roman"/>
      <w:b/>
      <w:sz w:val="24"/>
      <w:szCs w:val="28"/>
    </w:rPr>
  </w:style>
  <w:style w:type="character" w:default="1" w:styleId="41">
    <w:name w:val="Default Paragraph Font"/>
    <w:unhideWhenUsed/>
    <w:qFormat/>
    <w:uiPriority w:val="1"/>
  </w:style>
  <w:style w:type="table" w:default="1" w:styleId="39">
    <w:name w:val="Normal Table"/>
    <w:unhideWhenUsed/>
    <w:qFormat/>
    <w:uiPriority w:val="99"/>
    <w:tblPr>
      <w:tblCellMar>
        <w:top w:w="0" w:type="dxa"/>
        <w:left w:w="108" w:type="dxa"/>
        <w:bottom w:w="0" w:type="dxa"/>
        <w:right w:w="108" w:type="dxa"/>
      </w:tblCellMar>
    </w:tblPr>
  </w:style>
  <w:style w:type="paragraph" w:styleId="2">
    <w:name w:val="Plain Text"/>
    <w:basedOn w:val="1"/>
    <w:next w:val="1"/>
    <w:link w:val="57"/>
    <w:qFormat/>
    <w:uiPriority w:val="99"/>
    <w:pPr>
      <w:spacing w:line="240" w:lineRule="atLeast"/>
    </w:pPr>
    <w:rPr>
      <w:rFonts w:ascii="宋体" w:hAnsi="Courier New" w:eastAsia="宋体" w:cs="Times New Roman"/>
      <w:sz w:val="28"/>
      <w:szCs w:val="20"/>
    </w:rPr>
  </w:style>
  <w:style w:type="paragraph" w:styleId="3">
    <w:name w:val="macro"/>
    <w:link w:val="95"/>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paragraph" w:styleId="7">
    <w:name w:val="toc 7"/>
    <w:basedOn w:val="1"/>
    <w:next w:val="1"/>
    <w:unhideWhenUsed/>
    <w:qFormat/>
    <w:uiPriority w:val="0"/>
    <w:pPr>
      <w:ind w:left="2520" w:leftChars="1200"/>
    </w:pPr>
    <w:rPr>
      <w:rFonts w:ascii="Calibri" w:hAnsi="Calibri" w:eastAsia="宋体" w:cs="Times New Roman"/>
      <w:szCs w:val="22"/>
    </w:rPr>
  </w:style>
  <w:style w:type="paragraph" w:styleId="8">
    <w:name w:val="Normal Indent"/>
    <w:basedOn w:val="1"/>
    <w:link w:val="59"/>
    <w:qFormat/>
    <w:uiPriority w:val="0"/>
    <w:pPr>
      <w:ind w:firstLine="420"/>
    </w:pPr>
    <w:rPr>
      <w:rFonts w:ascii="Times New Roman" w:hAnsi="Times New Roman" w:eastAsia="宋体" w:cs="Times New Roman"/>
      <w:sz w:val="24"/>
      <w:szCs w:val="20"/>
    </w:rPr>
  </w:style>
  <w:style w:type="paragraph" w:styleId="9">
    <w:name w:val="caption"/>
    <w:basedOn w:val="1"/>
    <w:next w:val="1"/>
    <w:link w:val="109"/>
    <w:qFormat/>
    <w:uiPriority w:val="0"/>
    <w:pPr>
      <w:adjustRightInd w:val="0"/>
      <w:snapToGrid w:val="0"/>
      <w:spacing w:line="360" w:lineRule="auto"/>
      <w:jc w:val="center"/>
    </w:pPr>
    <w:rPr>
      <w:rFonts w:ascii="Times New Roman" w:hAnsi="Times New Roman" w:eastAsia="宋体" w:cs="Times New Roman"/>
      <w:b/>
      <w:szCs w:val="20"/>
    </w:rPr>
  </w:style>
  <w:style w:type="paragraph" w:styleId="10">
    <w:name w:val="Document Map"/>
    <w:basedOn w:val="1"/>
    <w:link w:val="89"/>
    <w:semiHidden/>
    <w:qFormat/>
    <w:uiPriority w:val="0"/>
    <w:pPr>
      <w:shd w:val="clear" w:color="auto" w:fill="000080"/>
    </w:pPr>
    <w:rPr>
      <w:rFonts w:ascii="Times New Roman" w:hAnsi="Times New Roman" w:eastAsia="宋体" w:cs="Times New Roman"/>
    </w:rPr>
  </w:style>
  <w:style w:type="paragraph" w:styleId="11">
    <w:name w:val="annotation text"/>
    <w:basedOn w:val="1"/>
    <w:link w:val="74"/>
    <w:qFormat/>
    <w:uiPriority w:val="0"/>
    <w:pPr>
      <w:jc w:val="left"/>
    </w:pPr>
    <w:rPr>
      <w:rFonts w:ascii="Times New Roman" w:hAnsi="Times New Roman" w:eastAsia="宋体" w:cs="Times New Roman"/>
    </w:rPr>
  </w:style>
  <w:style w:type="paragraph" w:styleId="12">
    <w:name w:val="Body Text 3"/>
    <w:basedOn w:val="1"/>
    <w:link w:val="68"/>
    <w:qFormat/>
    <w:uiPriority w:val="0"/>
    <w:pPr>
      <w:spacing w:after="120"/>
    </w:pPr>
    <w:rPr>
      <w:rFonts w:ascii="Times New Roman" w:hAnsi="Times New Roman" w:eastAsia="宋体" w:cs="Times New Roman"/>
      <w:sz w:val="16"/>
      <w:szCs w:val="16"/>
    </w:rPr>
  </w:style>
  <w:style w:type="paragraph" w:styleId="13">
    <w:name w:val="Body Text"/>
    <w:basedOn w:val="1"/>
    <w:next w:val="1"/>
    <w:link w:val="56"/>
    <w:qFormat/>
    <w:uiPriority w:val="0"/>
    <w:pPr>
      <w:spacing w:after="120"/>
    </w:pPr>
    <w:rPr>
      <w:rFonts w:ascii="Times New Roman" w:hAnsi="Times New Roman" w:eastAsia="宋体" w:cs="Times New Roman"/>
    </w:rPr>
  </w:style>
  <w:style w:type="paragraph" w:styleId="14">
    <w:name w:val="Body Text Indent"/>
    <w:basedOn w:val="1"/>
    <w:link w:val="61"/>
    <w:qFormat/>
    <w:uiPriority w:val="0"/>
    <w:pPr>
      <w:spacing w:after="120"/>
      <w:ind w:left="420" w:leftChars="200"/>
    </w:pPr>
    <w:rPr>
      <w:rFonts w:ascii="Times New Roman" w:hAnsi="Times New Roman" w:eastAsia="宋体" w:cs="Times New Roman"/>
    </w:rPr>
  </w:style>
  <w:style w:type="paragraph" w:styleId="15">
    <w:name w:val="Block Text"/>
    <w:basedOn w:val="1"/>
    <w:qFormat/>
    <w:uiPriority w:val="0"/>
    <w:pPr>
      <w:spacing w:after="120" w:line="360" w:lineRule="auto"/>
      <w:ind w:left="1440" w:leftChars="700" w:right="1440" w:rightChars="700" w:firstLine="200" w:firstLineChars="200"/>
    </w:pPr>
    <w:rPr>
      <w:rFonts w:ascii="Times New Roman" w:hAnsi="Times New Roman" w:eastAsia="宋体" w:cs="Times New Roman"/>
      <w:sz w:val="24"/>
    </w:rPr>
  </w:style>
  <w:style w:type="paragraph" w:styleId="16">
    <w:name w:val="toc 5"/>
    <w:basedOn w:val="1"/>
    <w:next w:val="1"/>
    <w:unhideWhenUsed/>
    <w:qFormat/>
    <w:uiPriority w:val="0"/>
    <w:pPr>
      <w:ind w:left="1680" w:leftChars="800"/>
    </w:pPr>
    <w:rPr>
      <w:rFonts w:ascii="Calibri" w:hAnsi="Calibri" w:eastAsia="宋体" w:cs="Times New Roman"/>
      <w:szCs w:val="22"/>
    </w:rPr>
  </w:style>
  <w:style w:type="paragraph" w:styleId="17">
    <w:name w:val="toc 3"/>
    <w:basedOn w:val="1"/>
    <w:next w:val="1"/>
    <w:qFormat/>
    <w:uiPriority w:val="0"/>
    <w:pPr>
      <w:jc w:val="center"/>
    </w:pPr>
    <w:rPr>
      <w:rFonts w:ascii="Times New Roman" w:hAnsi="Times New Roman" w:eastAsia="宋体" w:cs="Times New Roman"/>
    </w:rPr>
  </w:style>
  <w:style w:type="paragraph" w:styleId="18">
    <w:name w:val="toc 8"/>
    <w:basedOn w:val="1"/>
    <w:next w:val="1"/>
    <w:unhideWhenUsed/>
    <w:qFormat/>
    <w:uiPriority w:val="0"/>
    <w:pPr>
      <w:ind w:left="2940" w:leftChars="1400"/>
    </w:pPr>
    <w:rPr>
      <w:rFonts w:ascii="Calibri" w:hAnsi="Calibri" w:eastAsia="宋体" w:cs="Times New Roman"/>
      <w:szCs w:val="22"/>
    </w:rPr>
  </w:style>
  <w:style w:type="paragraph" w:styleId="19">
    <w:name w:val="Date"/>
    <w:basedOn w:val="1"/>
    <w:next w:val="1"/>
    <w:link w:val="145"/>
    <w:qFormat/>
    <w:uiPriority w:val="0"/>
    <w:pPr>
      <w:spacing w:line="360" w:lineRule="auto"/>
      <w:ind w:firstLine="200" w:firstLineChars="200"/>
    </w:pPr>
    <w:rPr>
      <w:rFonts w:ascii="Times New Roman" w:hAnsi="Times New Roman" w:eastAsia="宋体" w:cs="Times New Roman"/>
      <w:sz w:val="28"/>
      <w:szCs w:val="20"/>
      <w:lang w:val="zh-CN"/>
    </w:rPr>
  </w:style>
  <w:style w:type="paragraph" w:styleId="20">
    <w:name w:val="Body Text Indent 2"/>
    <w:basedOn w:val="1"/>
    <w:link w:val="73"/>
    <w:qFormat/>
    <w:uiPriority w:val="0"/>
    <w:pPr>
      <w:spacing w:after="120" w:line="480" w:lineRule="auto"/>
      <w:ind w:left="420" w:leftChars="200"/>
    </w:pPr>
    <w:rPr>
      <w:rFonts w:ascii="Times New Roman" w:hAnsi="Times New Roman" w:eastAsia="宋体" w:cs="Times New Roman"/>
    </w:rPr>
  </w:style>
  <w:style w:type="paragraph" w:styleId="21">
    <w:name w:val="Balloon Text"/>
    <w:basedOn w:val="1"/>
    <w:link w:val="65"/>
    <w:qFormat/>
    <w:uiPriority w:val="0"/>
    <w:rPr>
      <w:rFonts w:eastAsia="宋体"/>
      <w:b/>
      <w:bCs/>
      <w:szCs w:val="32"/>
    </w:rPr>
  </w:style>
  <w:style w:type="paragraph" w:styleId="22">
    <w:name w:val="footer"/>
    <w:basedOn w:val="1"/>
    <w:link w:val="52"/>
    <w:unhideWhenUsed/>
    <w:qFormat/>
    <w:uiPriority w:val="99"/>
    <w:pPr>
      <w:tabs>
        <w:tab w:val="center" w:pos="4153"/>
        <w:tab w:val="right" w:pos="8306"/>
      </w:tabs>
      <w:snapToGrid w:val="0"/>
      <w:jc w:val="left"/>
    </w:pPr>
    <w:rPr>
      <w:sz w:val="18"/>
      <w:szCs w:val="18"/>
    </w:rPr>
  </w:style>
  <w:style w:type="paragraph" w:styleId="23">
    <w:name w:val="header"/>
    <w:basedOn w:val="1"/>
    <w:next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rPr>
      <w:rFonts w:ascii="Times New Roman" w:hAnsi="Times New Roman" w:eastAsia="宋体" w:cs="Times New Roman"/>
    </w:rPr>
  </w:style>
  <w:style w:type="paragraph" w:styleId="25">
    <w:name w:val="toc 4"/>
    <w:basedOn w:val="1"/>
    <w:next w:val="1"/>
    <w:unhideWhenUsed/>
    <w:qFormat/>
    <w:uiPriority w:val="0"/>
    <w:pPr>
      <w:ind w:left="1260" w:leftChars="600"/>
    </w:pPr>
    <w:rPr>
      <w:rFonts w:ascii="Calibri" w:hAnsi="Calibri" w:eastAsia="宋体" w:cs="Times New Roman"/>
      <w:szCs w:val="22"/>
    </w:rPr>
  </w:style>
  <w:style w:type="paragraph" w:styleId="26">
    <w:name w:val="Subtitle"/>
    <w:basedOn w:val="1"/>
    <w:next w:val="1"/>
    <w:link w:val="154"/>
    <w:qFormat/>
    <w:uiPriority w:val="0"/>
    <w:pPr>
      <w:spacing w:before="160" w:after="200" w:line="360" w:lineRule="auto"/>
      <w:ind w:firstLine="200" w:firstLineChars="200"/>
      <w:jc w:val="center"/>
      <w:outlineLvl w:val="1"/>
    </w:pPr>
    <w:rPr>
      <w:rFonts w:ascii="Cambria" w:hAnsi="Cambria" w:eastAsia="宋体" w:cs="Times New Roman"/>
      <w:b/>
      <w:bCs/>
      <w:kern w:val="28"/>
      <w:sz w:val="32"/>
      <w:szCs w:val="32"/>
      <w:lang w:val="zh-CN"/>
    </w:rPr>
  </w:style>
  <w:style w:type="paragraph" w:styleId="27">
    <w:name w:val="List"/>
    <w:basedOn w:val="1"/>
    <w:qFormat/>
    <w:uiPriority w:val="0"/>
    <w:pPr>
      <w:ind w:left="200" w:hanging="200" w:hangingChars="200"/>
    </w:pPr>
    <w:rPr>
      <w:rFonts w:ascii="Times New Roman" w:hAnsi="Times New Roman" w:eastAsia="宋体" w:cs="Times New Roman"/>
      <w:szCs w:val="20"/>
    </w:rPr>
  </w:style>
  <w:style w:type="paragraph" w:styleId="28">
    <w:name w:val="toc 6"/>
    <w:basedOn w:val="1"/>
    <w:next w:val="1"/>
    <w:unhideWhenUsed/>
    <w:qFormat/>
    <w:uiPriority w:val="0"/>
    <w:pPr>
      <w:ind w:left="2100" w:leftChars="1000"/>
    </w:pPr>
    <w:rPr>
      <w:rFonts w:ascii="Calibri" w:hAnsi="Calibri" w:eastAsia="宋体" w:cs="Times New Roman"/>
      <w:szCs w:val="22"/>
    </w:rPr>
  </w:style>
  <w:style w:type="paragraph" w:styleId="29">
    <w:name w:val="Body Text Indent 3"/>
    <w:basedOn w:val="1"/>
    <w:link w:val="67"/>
    <w:qFormat/>
    <w:uiPriority w:val="0"/>
    <w:pPr>
      <w:spacing w:after="120"/>
      <w:ind w:left="420" w:leftChars="200"/>
    </w:pPr>
    <w:rPr>
      <w:rFonts w:ascii="Times New Roman" w:hAnsi="Times New Roman" w:eastAsia="宋体" w:cs="Times New Roman"/>
      <w:sz w:val="16"/>
      <w:szCs w:val="16"/>
    </w:rPr>
  </w:style>
  <w:style w:type="paragraph" w:styleId="30">
    <w:name w:val="toc 2"/>
    <w:basedOn w:val="1"/>
    <w:next w:val="1"/>
    <w:qFormat/>
    <w:uiPriority w:val="0"/>
    <w:pPr>
      <w:ind w:left="420" w:leftChars="200"/>
    </w:pPr>
    <w:rPr>
      <w:rFonts w:ascii="Times New Roman" w:hAnsi="Times New Roman" w:eastAsia="宋体" w:cs="Times New Roman"/>
    </w:rPr>
  </w:style>
  <w:style w:type="paragraph" w:styleId="31">
    <w:name w:val="toc 9"/>
    <w:basedOn w:val="1"/>
    <w:next w:val="1"/>
    <w:unhideWhenUsed/>
    <w:qFormat/>
    <w:uiPriority w:val="0"/>
    <w:pPr>
      <w:ind w:left="3360" w:leftChars="1600"/>
    </w:pPr>
    <w:rPr>
      <w:rFonts w:ascii="Calibri" w:hAnsi="Calibri" w:eastAsia="宋体" w:cs="Times New Roman"/>
      <w:szCs w:val="22"/>
    </w:rPr>
  </w:style>
  <w:style w:type="paragraph" w:styleId="32">
    <w:name w:val="Body Text 2"/>
    <w:basedOn w:val="1"/>
    <w:link w:val="70"/>
    <w:qFormat/>
    <w:uiPriority w:val="0"/>
    <w:pPr>
      <w:spacing w:after="120" w:line="480" w:lineRule="auto"/>
    </w:pPr>
    <w:rPr>
      <w:rFonts w:ascii="Times New Roman" w:hAnsi="Times New Roman" w:eastAsia="宋体" w:cs="Times New Roman"/>
    </w:rPr>
  </w:style>
  <w:style w:type="paragraph" w:styleId="33">
    <w:name w:val="HTML Preformatted"/>
    <w:basedOn w:val="1"/>
    <w:link w:val="7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34">
    <w:name w:val="Normal (Web)"/>
    <w:basedOn w:val="1"/>
    <w:qFormat/>
    <w:uiPriority w:val="99"/>
    <w:pPr>
      <w:widowControl/>
      <w:spacing w:before="100" w:beforeAutospacing="1" w:after="100" w:afterAutospacing="1"/>
      <w:jc w:val="left"/>
    </w:pPr>
    <w:rPr>
      <w:rFonts w:ascii="宋体" w:hAnsi="宋体" w:eastAsia="宋体" w:cs="Times New Roman"/>
      <w:kern w:val="0"/>
      <w:sz w:val="24"/>
    </w:rPr>
  </w:style>
  <w:style w:type="paragraph" w:styleId="35">
    <w:name w:val="Title"/>
    <w:basedOn w:val="1"/>
    <w:next w:val="1"/>
    <w:link w:val="50"/>
    <w:qFormat/>
    <w:uiPriority w:val="0"/>
    <w:pPr>
      <w:spacing w:before="240" w:after="60"/>
      <w:jc w:val="center"/>
      <w:outlineLvl w:val="0"/>
    </w:pPr>
    <w:rPr>
      <w:rFonts w:eastAsia="宋体" w:asciiTheme="majorHAnsi" w:hAnsiTheme="majorHAnsi" w:cstheme="majorBidi"/>
      <w:b/>
      <w:bCs/>
      <w:sz w:val="32"/>
      <w:szCs w:val="32"/>
    </w:rPr>
  </w:style>
  <w:style w:type="paragraph" w:styleId="36">
    <w:name w:val="annotation subject"/>
    <w:basedOn w:val="11"/>
    <w:next w:val="11"/>
    <w:link w:val="97"/>
    <w:qFormat/>
    <w:uiPriority w:val="0"/>
    <w:rPr>
      <w:b/>
      <w:bCs/>
    </w:rPr>
  </w:style>
  <w:style w:type="paragraph" w:styleId="37">
    <w:name w:val="Body Text First Indent"/>
    <w:basedOn w:val="13"/>
    <w:next w:val="1"/>
    <w:link w:val="205"/>
    <w:qFormat/>
    <w:uiPriority w:val="0"/>
    <w:pPr>
      <w:spacing w:line="360" w:lineRule="auto"/>
      <w:ind w:firstLine="420" w:firstLineChars="100"/>
    </w:pPr>
    <w:rPr>
      <w:sz w:val="24"/>
    </w:rPr>
  </w:style>
  <w:style w:type="paragraph" w:styleId="38">
    <w:name w:val="Body Text First Indent 2"/>
    <w:basedOn w:val="14"/>
    <w:next w:val="37"/>
    <w:link w:val="62"/>
    <w:qFormat/>
    <w:uiPriority w:val="0"/>
    <w:pPr>
      <w:ind w:firstLine="420" w:firstLineChars="200"/>
    </w:pPr>
  </w:style>
  <w:style w:type="table" w:styleId="40">
    <w:name w:val="Table Grid"/>
    <w:basedOn w:val="39"/>
    <w:qFormat/>
    <w:uiPriority w:val="59"/>
    <w:pPr>
      <w:widowControl w:val="0"/>
      <w:jc w:val="both"/>
    </w:pPr>
    <w:rPr>
      <w:rFonts w:eastAsia="宋体"/>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0"/>
    <w:rPr>
      <w:rFonts w:eastAsia="Times New Roman"/>
      <w:iCs/>
      <w:sz w:val="24"/>
    </w:rPr>
  </w:style>
  <w:style w:type="character" w:styleId="46">
    <w:name w:val="Hyperlink"/>
    <w:qFormat/>
    <w:uiPriority w:val="99"/>
    <w:rPr>
      <w:color w:val="0000FF"/>
      <w:u w:val="single"/>
    </w:rPr>
  </w:style>
  <w:style w:type="character" w:styleId="47">
    <w:name w:val="annotation reference"/>
    <w:semiHidden/>
    <w:qFormat/>
    <w:uiPriority w:val="0"/>
    <w:rPr>
      <w:sz w:val="21"/>
      <w:szCs w:val="21"/>
    </w:rPr>
  </w:style>
  <w:style w:type="paragraph" w:customStyle="1" w:styleId="48">
    <w:name w:val="明显引用1"/>
    <w:basedOn w:val="1"/>
    <w:next w:val="1"/>
    <w:link w:val="158"/>
    <w:qFormat/>
    <w:uiPriority w:val="30"/>
    <w:pPr>
      <w:pBdr>
        <w:bottom w:val="single" w:color="4F81BD" w:sz="4" w:space="4"/>
      </w:pBdr>
      <w:ind w:left="936" w:right="936" w:firstLine="200" w:firstLineChars="200"/>
    </w:pPr>
    <w:rPr>
      <w:rFonts w:ascii="Times New Roman" w:hAnsi="Times New Roman" w:eastAsia="宋体" w:cs="Times New Roman"/>
      <w:b/>
      <w:bCs/>
      <w:iCs/>
      <w:sz w:val="24"/>
      <w:lang w:val="zh-CN"/>
    </w:rPr>
  </w:style>
  <w:style w:type="character" w:customStyle="1" w:styleId="49">
    <w:name w:val="标题 1 字符"/>
    <w:basedOn w:val="41"/>
    <w:link w:val="4"/>
    <w:qFormat/>
    <w:uiPriority w:val="0"/>
    <w:rPr>
      <w:b/>
      <w:bCs/>
      <w:kern w:val="44"/>
      <w:sz w:val="44"/>
      <w:szCs w:val="44"/>
    </w:rPr>
  </w:style>
  <w:style w:type="character" w:customStyle="1" w:styleId="50">
    <w:name w:val="标题 字符"/>
    <w:basedOn w:val="41"/>
    <w:link w:val="35"/>
    <w:qFormat/>
    <w:uiPriority w:val="0"/>
    <w:rPr>
      <w:rFonts w:eastAsia="宋体" w:asciiTheme="majorHAnsi" w:hAnsiTheme="majorHAnsi" w:cstheme="majorBidi"/>
      <w:b/>
      <w:bCs/>
      <w:sz w:val="32"/>
      <w:szCs w:val="32"/>
    </w:rPr>
  </w:style>
  <w:style w:type="character" w:customStyle="1" w:styleId="51">
    <w:name w:val="页眉 字符"/>
    <w:basedOn w:val="41"/>
    <w:link w:val="23"/>
    <w:qFormat/>
    <w:uiPriority w:val="99"/>
    <w:rPr>
      <w:sz w:val="18"/>
      <w:szCs w:val="18"/>
    </w:rPr>
  </w:style>
  <w:style w:type="character" w:customStyle="1" w:styleId="52">
    <w:name w:val="页脚 字符"/>
    <w:basedOn w:val="41"/>
    <w:link w:val="22"/>
    <w:qFormat/>
    <w:uiPriority w:val="99"/>
    <w:rPr>
      <w:sz w:val="18"/>
      <w:szCs w:val="18"/>
    </w:rPr>
  </w:style>
  <w:style w:type="character" w:customStyle="1" w:styleId="53">
    <w:name w:val="标题 2 字符"/>
    <w:basedOn w:val="41"/>
    <w:link w:val="5"/>
    <w:qFormat/>
    <w:uiPriority w:val="0"/>
    <w:rPr>
      <w:rFonts w:ascii="Arial" w:hAnsi="Arial" w:eastAsia="黑体" w:cs="Times New Roman"/>
      <w:b/>
      <w:bCs/>
      <w:sz w:val="32"/>
      <w:szCs w:val="32"/>
    </w:rPr>
  </w:style>
  <w:style w:type="character" w:customStyle="1" w:styleId="54">
    <w:name w:val="标题 3 字符"/>
    <w:basedOn w:val="41"/>
    <w:link w:val="6"/>
    <w:qFormat/>
    <w:uiPriority w:val="0"/>
    <w:rPr>
      <w:rFonts w:ascii="长城仿宋体" w:hAnsi="宋体" w:eastAsia="长城仿宋体" w:cs="Times New Roman"/>
      <w:b/>
      <w:sz w:val="24"/>
      <w:szCs w:val="28"/>
    </w:rPr>
  </w:style>
  <w:style w:type="paragraph" w:customStyle="1" w:styleId="55">
    <w:name w:val="样式 标题 2标题 2XWh2l22nd levelTitre2Header 2节标题 1.1BSH-2标题 ..."/>
    <w:basedOn w:val="5"/>
    <w:next w:val="1"/>
    <w:qFormat/>
    <w:uiPriority w:val="0"/>
    <w:pPr>
      <w:spacing w:before="480" w:after="0" w:line="360" w:lineRule="auto"/>
    </w:pPr>
    <w:rPr>
      <w:rFonts w:ascii="宋体" w:hAnsi="宋体" w:eastAsia="宋体" w:cs="宋体"/>
      <w:snapToGrid w:val="0"/>
      <w:color w:val="008000"/>
      <w:kern w:val="0"/>
      <w:sz w:val="30"/>
      <w:szCs w:val="20"/>
    </w:rPr>
  </w:style>
  <w:style w:type="character" w:customStyle="1" w:styleId="56">
    <w:name w:val="正文文本 字符"/>
    <w:basedOn w:val="41"/>
    <w:link w:val="13"/>
    <w:qFormat/>
    <w:uiPriority w:val="0"/>
    <w:rPr>
      <w:rFonts w:ascii="Times New Roman" w:hAnsi="Times New Roman" w:eastAsia="宋体" w:cs="Times New Roman"/>
      <w:szCs w:val="24"/>
    </w:rPr>
  </w:style>
  <w:style w:type="character" w:customStyle="1" w:styleId="57">
    <w:name w:val="纯文本 字符"/>
    <w:basedOn w:val="41"/>
    <w:link w:val="2"/>
    <w:qFormat/>
    <w:uiPriority w:val="99"/>
    <w:rPr>
      <w:rFonts w:ascii="宋体" w:hAnsi="Courier New" w:eastAsia="宋体" w:cs="Times New Roman"/>
      <w:sz w:val="28"/>
      <w:szCs w:val="20"/>
    </w:rPr>
  </w:style>
  <w:style w:type="character" w:customStyle="1" w:styleId="58">
    <w:name w:val="专业网格 Char"/>
    <w:qFormat/>
    <w:uiPriority w:val="0"/>
    <w:rPr>
      <w:rFonts w:eastAsia="宋体"/>
      <w:kern w:val="2"/>
      <w:sz w:val="21"/>
      <w:szCs w:val="21"/>
      <w:lang w:val="en-US" w:eastAsia="zh-CN" w:bidi="ar-SA"/>
    </w:rPr>
  </w:style>
  <w:style w:type="character" w:customStyle="1" w:styleId="59">
    <w:name w:val="正文缩进 字符"/>
    <w:link w:val="8"/>
    <w:qFormat/>
    <w:uiPriority w:val="0"/>
    <w:rPr>
      <w:rFonts w:ascii="Times New Roman" w:hAnsi="Times New Roman" w:eastAsia="宋体" w:cs="Times New Roman"/>
      <w:sz w:val="24"/>
      <w:szCs w:val="20"/>
    </w:rPr>
  </w:style>
  <w:style w:type="paragraph" w:customStyle="1" w:styleId="60">
    <w:name w:val="样式1"/>
    <w:basedOn w:val="1"/>
    <w:qFormat/>
    <w:uiPriority w:val="0"/>
    <w:pPr>
      <w:spacing w:line="360" w:lineRule="auto"/>
      <w:ind w:firstLine="510"/>
    </w:pPr>
    <w:rPr>
      <w:rFonts w:ascii="Times New Roman" w:hAnsi="Times New Roman" w:eastAsia="宋体" w:cs="Times New Roman"/>
      <w:sz w:val="24"/>
      <w:szCs w:val="20"/>
    </w:rPr>
  </w:style>
  <w:style w:type="character" w:customStyle="1" w:styleId="61">
    <w:name w:val="正文文本缩进 字符"/>
    <w:basedOn w:val="41"/>
    <w:link w:val="14"/>
    <w:qFormat/>
    <w:uiPriority w:val="0"/>
    <w:rPr>
      <w:rFonts w:ascii="Times New Roman" w:hAnsi="Times New Roman" w:eastAsia="宋体" w:cs="Times New Roman"/>
      <w:szCs w:val="24"/>
    </w:rPr>
  </w:style>
  <w:style w:type="character" w:customStyle="1" w:styleId="62">
    <w:name w:val="正文首行缩进 2 字符"/>
    <w:basedOn w:val="61"/>
    <w:link w:val="38"/>
    <w:qFormat/>
    <w:uiPriority w:val="0"/>
    <w:rPr>
      <w:rFonts w:ascii="Times New Roman" w:hAnsi="Times New Roman" w:eastAsia="宋体" w:cs="Times New Roman"/>
      <w:szCs w:val="24"/>
    </w:rPr>
  </w:style>
  <w:style w:type="paragraph" w:customStyle="1" w:styleId="63">
    <w:name w:val="正正正文"/>
    <w:basedOn w:val="1"/>
    <w:link w:val="64"/>
    <w:qFormat/>
    <w:uiPriority w:val="0"/>
    <w:pPr>
      <w:numPr>
        <w:ilvl w:val="0"/>
        <w:numId w:val="1"/>
      </w:numPr>
      <w:snapToGrid w:val="0"/>
      <w:spacing w:line="360" w:lineRule="auto"/>
      <w:ind w:left="959"/>
      <w:jc w:val="left"/>
    </w:pPr>
    <w:rPr>
      <w:rFonts w:ascii="宋体" w:hAnsi="宋体" w:eastAsia="宋体" w:cs="Times New Roman"/>
      <w:snapToGrid w:val="0"/>
      <w:kern w:val="44"/>
      <w:sz w:val="24"/>
    </w:rPr>
  </w:style>
  <w:style w:type="character" w:customStyle="1" w:styleId="64">
    <w:name w:val="正正正文 Char"/>
    <w:link w:val="63"/>
    <w:qFormat/>
    <w:uiPriority w:val="0"/>
    <w:rPr>
      <w:rFonts w:ascii="宋体" w:hAnsi="宋体" w:eastAsia="宋体" w:cs="Times New Roman"/>
      <w:snapToGrid w:val="0"/>
      <w:kern w:val="44"/>
      <w:sz w:val="24"/>
      <w:szCs w:val="24"/>
    </w:rPr>
  </w:style>
  <w:style w:type="character" w:customStyle="1" w:styleId="65">
    <w:name w:val="批注框文本 字符"/>
    <w:link w:val="21"/>
    <w:qFormat/>
    <w:uiPriority w:val="0"/>
    <w:rPr>
      <w:rFonts w:eastAsia="宋体"/>
      <w:b/>
      <w:bCs/>
      <w:szCs w:val="32"/>
    </w:rPr>
  </w:style>
  <w:style w:type="character" w:customStyle="1" w:styleId="66">
    <w:name w:val="批注框文本 Char1"/>
    <w:basedOn w:val="41"/>
    <w:semiHidden/>
    <w:qFormat/>
    <w:uiPriority w:val="99"/>
    <w:rPr>
      <w:sz w:val="18"/>
      <w:szCs w:val="18"/>
    </w:rPr>
  </w:style>
  <w:style w:type="character" w:customStyle="1" w:styleId="67">
    <w:name w:val="正文文本缩进 3 字符"/>
    <w:basedOn w:val="41"/>
    <w:link w:val="29"/>
    <w:qFormat/>
    <w:uiPriority w:val="0"/>
    <w:rPr>
      <w:rFonts w:ascii="Times New Roman" w:hAnsi="Times New Roman" w:eastAsia="宋体" w:cs="Times New Roman"/>
      <w:sz w:val="16"/>
      <w:szCs w:val="16"/>
    </w:rPr>
  </w:style>
  <w:style w:type="character" w:customStyle="1" w:styleId="68">
    <w:name w:val="正文文本 3 字符"/>
    <w:basedOn w:val="41"/>
    <w:link w:val="12"/>
    <w:qFormat/>
    <w:uiPriority w:val="0"/>
    <w:rPr>
      <w:rFonts w:ascii="Times New Roman" w:hAnsi="Times New Roman" w:eastAsia="宋体" w:cs="Times New Roman"/>
      <w:sz w:val="16"/>
      <w:szCs w:val="16"/>
    </w:rPr>
  </w:style>
  <w:style w:type="paragraph" w:customStyle="1" w:styleId="69">
    <w:name w:val="表格文字1"/>
    <w:basedOn w:val="1"/>
    <w:qFormat/>
    <w:uiPriority w:val="0"/>
    <w:pPr>
      <w:snapToGrid w:val="0"/>
      <w:spacing w:line="360" w:lineRule="auto"/>
      <w:jc w:val="center"/>
    </w:pPr>
    <w:rPr>
      <w:rFonts w:ascii="Times New Roman" w:hAnsi="Times New Roman" w:eastAsia="宋体" w:cs="Times New Roman"/>
      <w:snapToGrid w:val="0"/>
      <w:kern w:val="0"/>
      <w:szCs w:val="21"/>
    </w:rPr>
  </w:style>
  <w:style w:type="character" w:customStyle="1" w:styleId="70">
    <w:name w:val="正文文本 2 字符"/>
    <w:basedOn w:val="41"/>
    <w:link w:val="32"/>
    <w:qFormat/>
    <w:uiPriority w:val="0"/>
    <w:rPr>
      <w:rFonts w:ascii="Times New Roman" w:hAnsi="Times New Roman" w:eastAsia="宋体" w:cs="Times New Roman"/>
      <w:szCs w:val="24"/>
    </w:rPr>
  </w:style>
  <w:style w:type="character" w:customStyle="1" w:styleId="71">
    <w:name w:val="HTML 预设格式 字符"/>
    <w:basedOn w:val="41"/>
    <w:link w:val="33"/>
    <w:qFormat/>
    <w:uiPriority w:val="99"/>
    <w:rPr>
      <w:rFonts w:ascii="Arial Unicode MS" w:hAnsi="Arial Unicode MS" w:eastAsia="Arial Unicode MS" w:cs="Arial Unicode MS"/>
      <w:kern w:val="0"/>
      <w:sz w:val="20"/>
      <w:szCs w:val="20"/>
    </w:rPr>
  </w:style>
  <w:style w:type="paragraph" w:customStyle="1" w:styleId="72">
    <w:name w:val="段"/>
    <w:basedOn w:val="1"/>
    <w:qFormat/>
    <w:uiPriority w:val="0"/>
    <w:pPr>
      <w:overflowPunct w:val="0"/>
      <w:topLinePunct/>
      <w:spacing w:line="360" w:lineRule="auto"/>
      <w:ind w:firstLine="560" w:firstLineChars="200"/>
    </w:pPr>
    <w:rPr>
      <w:rFonts w:ascii="宋体" w:hAnsi="宋体" w:eastAsia="宋体" w:cs="Times New Roman"/>
      <w:color w:val="000000"/>
      <w:sz w:val="28"/>
      <w:szCs w:val="28"/>
    </w:rPr>
  </w:style>
  <w:style w:type="character" w:customStyle="1" w:styleId="73">
    <w:name w:val="正文文本缩进 2 字符"/>
    <w:basedOn w:val="41"/>
    <w:link w:val="20"/>
    <w:qFormat/>
    <w:uiPriority w:val="0"/>
    <w:rPr>
      <w:rFonts w:ascii="Times New Roman" w:hAnsi="Times New Roman" w:eastAsia="宋体" w:cs="Times New Roman"/>
      <w:szCs w:val="24"/>
    </w:rPr>
  </w:style>
  <w:style w:type="character" w:customStyle="1" w:styleId="74">
    <w:name w:val="批注文字 字符"/>
    <w:basedOn w:val="41"/>
    <w:link w:val="11"/>
    <w:qFormat/>
    <w:uiPriority w:val="0"/>
    <w:rPr>
      <w:rFonts w:ascii="Times New Roman" w:hAnsi="Times New Roman" w:eastAsia="宋体" w:cs="Times New Roman"/>
      <w:szCs w:val="24"/>
    </w:rPr>
  </w:style>
  <w:style w:type="paragraph" w:customStyle="1" w:styleId="7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76">
    <w:name w:val="样式5"/>
    <w:basedOn w:val="1"/>
    <w:qFormat/>
    <w:uiPriority w:val="0"/>
    <w:pPr>
      <w:spacing w:line="500" w:lineRule="exact"/>
      <w:ind w:firstLine="527"/>
    </w:pPr>
    <w:rPr>
      <w:rFonts w:ascii="Times New Roman" w:hAnsi="Times New Roman" w:eastAsia="仿宋_GB2312" w:cs="Times New Roman"/>
      <w:sz w:val="28"/>
      <w:szCs w:val="20"/>
    </w:rPr>
  </w:style>
  <w:style w:type="paragraph" w:customStyle="1" w:styleId="77">
    <w:name w:val="表格文字"/>
    <w:basedOn w:val="1"/>
    <w:link w:val="96"/>
    <w:qFormat/>
    <w:uiPriority w:val="0"/>
    <w:pPr>
      <w:spacing w:line="320" w:lineRule="exact"/>
      <w:jc w:val="center"/>
    </w:pPr>
    <w:rPr>
      <w:rFonts w:ascii="Times New Roman" w:hAnsi="Times New Roman" w:eastAsia="宋体" w:cs="Times New Roman"/>
      <w:sz w:val="24"/>
    </w:rPr>
  </w:style>
  <w:style w:type="character" w:customStyle="1" w:styleId="78">
    <w:name w:val="纯文本 Char Char1"/>
    <w:qFormat/>
    <w:uiPriority w:val="0"/>
    <w:rPr>
      <w:rFonts w:ascii="宋体" w:hAnsi="Courier New" w:eastAsia="宋体"/>
      <w:kern w:val="2"/>
      <w:sz w:val="21"/>
      <w:lang w:val="en-US" w:eastAsia="zh-CN" w:bidi="ar-SA"/>
    </w:rPr>
  </w:style>
  <w:style w:type="paragraph" w:customStyle="1" w:styleId="7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
    <w:name w:val="Char Char"/>
    <w:qFormat/>
    <w:uiPriority w:val="0"/>
    <w:rPr>
      <w:rFonts w:eastAsia="宋体"/>
      <w:kern w:val="2"/>
      <w:sz w:val="21"/>
      <w:szCs w:val="21"/>
      <w:lang w:val="en-US" w:eastAsia="zh-CN" w:bidi="ar-SA"/>
    </w:rPr>
  </w:style>
  <w:style w:type="paragraph" w:customStyle="1" w:styleId="81">
    <w:name w:val="标题五"/>
    <w:basedOn w:val="1"/>
    <w:qFormat/>
    <w:uiPriority w:val="0"/>
    <w:pPr>
      <w:spacing w:line="500" w:lineRule="atLeast"/>
      <w:jc w:val="center"/>
    </w:pPr>
    <w:rPr>
      <w:rFonts w:ascii="宋体" w:hAnsi="宋体" w:eastAsia="宋体" w:cs="Times New Roman"/>
      <w:sz w:val="24"/>
    </w:rPr>
  </w:style>
  <w:style w:type="character" w:customStyle="1" w:styleId="82">
    <w:name w:val="at_6"/>
    <w:basedOn w:val="41"/>
    <w:qFormat/>
    <w:uiPriority w:val="0"/>
  </w:style>
  <w:style w:type="character" w:customStyle="1" w:styleId="83">
    <w:name w:val="headline-content2"/>
    <w:basedOn w:val="41"/>
    <w:qFormat/>
    <w:uiPriority w:val="0"/>
  </w:style>
  <w:style w:type="paragraph" w:customStyle="1" w:styleId="84">
    <w:name w:val="表中值"/>
    <w:basedOn w:val="1"/>
    <w:qFormat/>
    <w:uiPriority w:val="0"/>
    <w:pPr>
      <w:keepLines/>
      <w:widowControl/>
      <w:spacing w:line="360" w:lineRule="exact"/>
      <w:jc w:val="center"/>
    </w:pPr>
    <w:rPr>
      <w:rFonts w:ascii="Times New Roman" w:hAnsi="Times New Roman" w:eastAsia="宋体" w:cs="Times New Roman"/>
      <w:spacing w:val="4"/>
      <w:szCs w:val="20"/>
    </w:rPr>
  </w:style>
  <w:style w:type="paragraph" w:customStyle="1" w:styleId="85">
    <w:name w:val="TOC 标题1"/>
    <w:basedOn w:val="4"/>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6">
    <w:name w:val="p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87">
    <w:name w:val="bb141"/>
    <w:qFormat/>
    <w:uiPriority w:val="0"/>
    <w:rPr>
      <w:spacing w:val="360"/>
      <w:sz w:val="21"/>
      <w:szCs w:val="21"/>
    </w:rPr>
  </w:style>
  <w:style w:type="character" w:customStyle="1" w:styleId="88">
    <w:name w:val="表格 Char Char"/>
    <w:qFormat/>
    <w:uiPriority w:val="0"/>
    <w:rPr>
      <w:rFonts w:eastAsia="宋体"/>
      <w:kern w:val="2"/>
      <w:sz w:val="21"/>
      <w:szCs w:val="21"/>
      <w:lang w:val="en-US" w:eastAsia="zh-CN" w:bidi="ar-SA"/>
    </w:rPr>
  </w:style>
  <w:style w:type="character" w:customStyle="1" w:styleId="89">
    <w:name w:val="文档结构图 字符"/>
    <w:basedOn w:val="41"/>
    <w:link w:val="10"/>
    <w:semiHidden/>
    <w:qFormat/>
    <w:uiPriority w:val="0"/>
    <w:rPr>
      <w:rFonts w:ascii="Times New Roman" w:hAnsi="Times New Roman" w:eastAsia="宋体" w:cs="Times New Roman"/>
      <w:szCs w:val="24"/>
      <w:shd w:val="clear" w:color="auto" w:fill="000080"/>
    </w:rPr>
  </w:style>
  <w:style w:type="paragraph" w:customStyle="1" w:styleId="90">
    <w:name w:val="表标题"/>
    <w:basedOn w:val="1"/>
    <w:link w:val="91"/>
    <w:qFormat/>
    <w:uiPriority w:val="0"/>
    <w:pPr>
      <w:spacing w:beforeLines="50"/>
      <w:jc w:val="center"/>
    </w:pPr>
    <w:rPr>
      <w:rFonts w:ascii="Times New Roman" w:hAnsi="Times New Roman" w:eastAsia="宋体" w:cs="宋体"/>
      <w:b/>
      <w:sz w:val="24"/>
      <w:szCs w:val="22"/>
    </w:rPr>
  </w:style>
  <w:style w:type="character" w:customStyle="1" w:styleId="91">
    <w:name w:val="表标题 Char"/>
    <w:link w:val="90"/>
    <w:qFormat/>
    <w:uiPriority w:val="0"/>
    <w:rPr>
      <w:rFonts w:ascii="Times New Roman" w:hAnsi="Times New Roman" w:eastAsia="宋体" w:cs="宋体"/>
      <w:b/>
      <w:sz w:val="24"/>
    </w:rPr>
  </w:style>
  <w:style w:type="paragraph" w:customStyle="1" w:styleId="92">
    <w:name w:val="中文报告书样式"/>
    <w:basedOn w:val="1"/>
    <w:qFormat/>
    <w:uiPriority w:val="0"/>
    <w:pPr>
      <w:adjustRightInd w:val="0"/>
      <w:spacing w:line="480" w:lineRule="atLeast"/>
      <w:ind w:firstLine="482"/>
      <w:textAlignment w:val="baseline"/>
    </w:pPr>
    <w:rPr>
      <w:rFonts w:ascii="Times New Roman" w:hAnsi="Times New Roman" w:eastAsia="宋体" w:cs="Times New Roman"/>
      <w:kern w:val="24"/>
      <w:sz w:val="24"/>
      <w:szCs w:val="20"/>
    </w:rPr>
  </w:style>
  <w:style w:type="paragraph" w:customStyle="1" w:styleId="93">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paragraph" w:customStyle="1" w:styleId="94">
    <w:name w:val="中文报告书"/>
    <w:basedOn w:val="1"/>
    <w:qFormat/>
    <w:uiPriority w:val="0"/>
    <w:pPr>
      <w:adjustRightInd w:val="0"/>
      <w:spacing w:after="80" w:line="420" w:lineRule="atLeast"/>
      <w:jc w:val="left"/>
      <w:textAlignment w:val="baseline"/>
    </w:pPr>
    <w:rPr>
      <w:rFonts w:ascii="Times New Roman" w:hAnsi="Times New Roman" w:eastAsia="宋体" w:cs="Times New Roman"/>
      <w:kern w:val="0"/>
      <w:sz w:val="24"/>
      <w:szCs w:val="20"/>
    </w:rPr>
  </w:style>
  <w:style w:type="character" w:customStyle="1" w:styleId="95">
    <w:name w:val="宏文本 字符"/>
    <w:basedOn w:val="41"/>
    <w:link w:val="3"/>
    <w:semiHidden/>
    <w:qFormat/>
    <w:uiPriority w:val="0"/>
    <w:rPr>
      <w:rFonts w:ascii="Courier New" w:hAnsi="Courier New" w:eastAsia="宋体" w:cs="Courier New"/>
      <w:kern w:val="0"/>
      <w:sz w:val="24"/>
      <w:szCs w:val="24"/>
    </w:rPr>
  </w:style>
  <w:style w:type="character" w:customStyle="1" w:styleId="96">
    <w:name w:val="表格文字 Char"/>
    <w:link w:val="77"/>
    <w:qFormat/>
    <w:uiPriority w:val="0"/>
    <w:rPr>
      <w:rFonts w:ascii="Times New Roman" w:hAnsi="Times New Roman" w:eastAsia="宋体" w:cs="Times New Roman"/>
      <w:sz w:val="24"/>
      <w:szCs w:val="24"/>
    </w:rPr>
  </w:style>
  <w:style w:type="character" w:customStyle="1" w:styleId="97">
    <w:name w:val="批注主题 字符"/>
    <w:basedOn w:val="74"/>
    <w:link w:val="36"/>
    <w:qFormat/>
    <w:uiPriority w:val="0"/>
    <w:rPr>
      <w:rFonts w:ascii="Times New Roman" w:hAnsi="Times New Roman" w:eastAsia="宋体" w:cs="Times New Roman"/>
      <w:b/>
      <w:bCs/>
      <w:szCs w:val="24"/>
    </w:rPr>
  </w:style>
  <w:style w:type="paragraph" w:customStyle="1" w:styleId="98">
    <w:name w:val="晋宁路正文"/>
    <w:basedOn w:val="1"/>
    <w:qFormat/>
    <w:uiPriority w:val="0"/>
    <w:pPr>
      <w:adjustRightInd w:val="0"/>
      <w:snapToGrid w:val="0"/>
      <w:spacing w:line="360" w:lineRule="auto"/>
      <w:ind w:firstLine="480" w:firstLineChars="200"/>
    </w:pPr>
    <w:rPr>
      <w:rFonts w:ascii="Times New Roman" w:hAnsi="Times New Roman" w:eastAsia="宋体" w:cs="Times New Roman"/>
      <w:color w:val="000000"/>
      <w:kern w:val="0"/>
      <w:sz w:val="24"/>
    </w:rPr>
  </w:style>
  <w:style w:type="paragraph" w:customStyle="1" w:styleId="99">
    <w:name w:val="Char Char Char Char"/>
    <w:basedOn w:val="1"/>
    <w:semiHidden/>
    <w:qFormat/>
    <w:uiPriority w:val="0"/>
    <w:rPr>
      <w:rFonts w:ascii="Times New Roman" w:hAnsi="Times New Roman" w:eastAsia="宋体" w:cs="Times New Roman"/>
    </w:rPr>
  </w:style>
  <w:style w:type="character" w:customStyle="1" w:styleId="100">
    <w:name w:val="sdafuhsurjt1"/>
    <w:qFormat/>
    <w:uiPriority w:val="0"/>
    <w:rPr>
      <w:vanish/>
    </w:rPr>
  </w:style>
  <w:style w:type="paragraph" w:customStyle="1" w:styleId="101">
    <w:name w:val="表格头"/>
    <w:basedOn w:val="1"/>
    <w:qFormat/>
    <w:uiPriority w:val="0"/>
    <w:pPr>
      <w:snapToGrid w:val="0"/>
      <w:ind w:left="105" w:leftChars="50" w:right="105" w:rightChars="50"/>
      <w:jc w:val="center"/>
    </w:pPr>
    <w:rPr>
      <w:rFonts w:ascii="Times New Roman" w:hAnsi="Times New Roman" w:eastAsia="宋体" w:cs="Times New Roman"/>
      <w:b/>
      <w:sz w:val="24"/>
    </w:rPr>
  </w:style>
  <w:style w:type="paragraph" w:customStyle="1" w:styleId="102">
    <w:name w:val="pic-info"/>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3">
    <w:name w:val="apple-style-span"/>
    <w:qFormat/>
    <w:uiPriority w:val="0"/>
  </w:style>
  <w:style w:type="character" w:customStyle="1" w:styleId="104">
    <w:name w:val="表标题 Char Char"/>
    <w:qFormat/>
    <w:uiPriority w:val="0"/>
    <w:rPr>
      <w:rFonts w:ascii="华文新魏" w:eastAsia="华文新魏"/>
      <w:kern w:val="2"/>
      <w:sz w:val="24"/>
      <w:szCs w:val="24"/>
      <w:lang w:val="en-US" w:eastAsia="zh-CN" w:bidi="ar-SA"/>
    </w:rPr>
  </w:style>
  <w:style w:type="paragraph" w:customStyle="1" w:styleId="105">
    <w:name w:val="表头格式"/>
    <w:basedOn w:val="1"/>
    <w:qFormat/>
    <w:uiPriority w:val="0"/>
    <w:pPr>
      <w:spacing w:beforeLines="50" w:line="360" w:lineRule="auto"/>
      <w:ind w:firstLine="200" w:firstLineChars="200"/>
      <w:jc w:val="center"/>
    </w:pPr>
    <w:rPr>
      <w:rFonts w:ascii="宋体" w:hAnsi="宋体" w:eastAsia="宋体" w:cs="Times New Roman"/>
      <w:b/>
      <w:color w:val="FF0000"/>
      <w:szCs w:val="21"/>
    </w:rPr>
  </w:style>
  <w:style w:type="paragraph" w:customStyle="1" w:styleId="106">
    <w:name w:val="图文"/>
    <w:basedOn w:val="1"/>
    <w:qFormat/>
    <w:uiPriority w:val="0"/>
    <w:pPr>
      <w:spacing w:line="360" w:lineRule="auto"/>
      <w:jc w:val="center"/>
    </w:pPr>
    <w:rPr>
      <w:rFonts w:ascii="宋体" w:hAnsi="宋体" w:eastAsia="宋体" w:cs="Times New Roman"/>
      <w:color w:val="FF0000"/>
      <w:szCs w:val="21"/>
    </w:rPr>
  </w:style>
  <w:style w:type="character" w:customStyle="1" w:styleId="107">
    <w:name w:val="正文 Char Char"/>
    <w:link w:val="108"/>
    <w:qFormat/>
    <w:uiPriority w:val="0"/>
    <w:rPr>
      <w:rFonts w:hAnsi="宋体"/>
      <w:color w:val="FF0000"/>
      <w:sz w:val="24"/>
      <w:szCs w:val="24"/>
    </w:rPr>
  </w:style>
  <w:style w:type="paragraph" w:customStyle="1" w:styleId="108">
    <w:name w:val="正文3"/>
    <w:basedOn w:val="1"/>
    <w:link w:val="107"/>
    <w:qFormat/>
    <w:uiPriority w:val="0"/>
    <w:pPr>
      <w:spacing w:line="360" w:lineRule="auto"/>
      <w:ind w:firstLine="200" w:firstLineChars="200"/>
    </w:pPr>
    <w:rPr>
      <w:rFonts w:hAnsi="宋体"/>
      <w:color w:val="FF0000"/>
      <w:sz w:val="24"/>
    </w:rPr>
  </w:style>
  <w:style w:type="character" w:customStyle="1" w:styleId="109">
    <w:name w:val="题注 字符"/>
    <w:link w:val="9"/>
    <w:qFormat/>
    <w:uiPriority w:val="0"/>
    <w:rPr>
      <w:rFonts w:ascii="Times New Roman" w:hAnsi="Times New Roman" w:eastAsia="宋体" w:cs="Times New Roman"/>
      <w:b/>
      <w:szCs w:val="20"/>
    </w:rPr>
  </w:style>
  <w:style w:type="paragraph" w:customStyle="1" w:styleId="110">
    <w:name w:val="正文01"/>
    <w:basedOn w:val="1"/>
    <w:qFormat/>
    <w:uiPriority w:val="0"/>
    <w:pPr>
      <w:spacing w:before="60" w:line="460" w:lineRule="exact"/>
      <w:ind w:firstLine="200" w:firstLineChars="200"/>
    </w:pPr>
    <w:rPr>
      <w:rFonts w:ascii="Times New Roman" w:hAnsi="Times New Roman" w:eastAsia="宋体" w:cs="Times New Roman"/>
      <w:sz w:val="24"/>
    </w:rPr>
  </w:style>
  <w:style w:type="character" w:customStyle="1" w:styleId="111">
    <w:name w:val="样式"/>
    <w:qFormat/>
    <w:uiPriority w:val="0"/>
    <w:rPr>
      <w:color w:val="auto"/>
      <w:spacing w:val="8"/>
      <w:w w:val="100"/>
      <w:position w:val="0"/>
    </w:rPr>
  </w:style>
  <w:style w:type="paragraph" w:customStyle="1" w:styleId="112">
    <w:name w:val="三级标题"/>
    <w:basedOn w:val="1"/>
    <w:qFormat/>
    <w:uiPriority w:val="0"/>
    <w:pPr>
      <w:autoSpaceDE w:val="0"/>
      <w:autoSpaceDN w:val="0"/>
      <w:adjustRightInd w:val="0"/>
      <w:spacing w:before="120" w:after="120" w:line="440" w:lineRule="exact"/>
      <w:jc w:val="left"/>
    </w:pPr>
    <w:rPr>
      <w:rFonts w:ascii="黑体" w:hAnsi="ˎ̥" w:eastAsia="黑体" w:cs="宋体"/>
      <w:sz w:val="28"/>
      <w:szCs w:val="28"/>
    </w:rPr>
  </w:style>
  <w:style w:type="character" w:customStyle="1" w:styleId="113">
    <w:name w:val="表格文字 Char Char"/>
    <w:qFormat/>
    <w:uiPriority w:val="0"/>
    <w:rPr>
      <w:rFonts w:eastAsia="宋体"/>
      <w:kern w:val="2"/>
      <w:position w:val="-28"/>
      <w:sz w:val="24"/>
      <w:lang w:val="en-US" w:eastAsia="zh-CN" w:bidi="ar-SA"/>
    </w:rPr>
  </w:style>
  <w:style w:type="paragraph" w:customStyle="1" w:styleId="114">
    <w:name w:val="列出段落1"/>
    <w:qFormat/>
    <w:uiPriority w:val="0"/>
    <w:pPr>
      <w:ind w:firstLine="420" w:firstLineChars="200"/>
    </w:pPr>
    <w:rPr>
      <w:rFonts w:ascii="Times New Roman" w:hAnsi="Times New Roman" w:eastAsia="宋体" w:cs="Times New Roman"/>
      <w:lang w:val="en-US" w:eastAsia="zh-CN" w:bidi="ar-SA"/>
    </w:rPr>
  </w:style>
  <w:style w:type="paragraph" w:customStyle="1" w:styleId="115">
    <w:name w:val="正文样式1"/>
    <w:basedOn w:val="1"/>
    <w:qFormat/>
    <w:uiPriority w:val="0"/>
    <w:pPr>
      <w:adjustRightInd w:val="0"/>
      <w:spacing w:line="288" w:lineRule="auto"/>
      <w:ind w:firstLine="360" w:firstLineChars="150"/>
      <w:textAlignment w:val="baseline"/>
    </w:pPr>
    <w:rPr>
      <w:rFonts w:ascii="Times New Roman" w:hAnsi="Times New Roman" w:eastAsia="宋体" w:cs="Times New Roman"/>
      <w:kern w:val="0"/>
      <w:sz w:val="24"/>
      <w:szCs w:val="20"/>
    </w:rPr>
  </w:style>
  <w:style w:type="character" w:customStyle="1" w:styleId="116">
    <w:name w:val="表格 Char"/>
    <w:qFormat/>
    <w:uiPriority w:val="0"/>
    <w:rPr>
      <w:rFonts w:ascii="Times New Roman" w:hAnsi="Times New Roman"/>
      <w:color w:val="000000"/>
      <w:spacing w:val="24"/>
      <w:sz w:val="21"/>
      <w:szCs w:val="21"/>
    </w:rPr>
  </w:style>
  <w:style w:type="paragraph" w:customStyle="1" w:styleId="117">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118">
    <w:name w:val="正文▲"/>
    <w:link w:val="119"/>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character" w:customStyle="1" w:styleId="119">
    <w:name w:val="正文▲ Char"/>
    <w:link w:val="118"/>
    <w:qFormat/>
    <w:uiPriority w:val="0"/>
    <w:rPr>
      <w:rFonts w:ascii="Times New Roman" w:hAnsi="Times New Roman" w:eastAsia="宋体" w:cs="Times New Roman"/>
      <w:color w:val="000000"/>
      <w:sz w:val="24"/>
      <w:szCs w:val="24"/>
    </w:rPr>
  </w:style>
  <w:style w:type="paragraph" w:customStyle="1" w:styleId="120">
    <w:name w:val="小标题"/>
    <w:basedOn w:val="1"/>
    <w:next w:val="1"/>
    <w:link w:val="121"/>
    <w:qFormat/>
    <w:uiPriority w:val="0"/>
    <w:pPr>
      <w:spacing w:beforeLines="20" w:line="360" w:lineRule="auto"/>
      <w:ind w:firstLine="100" w:firstLineChars="100"/>
      <w:jc w:val="left"/>
    </w:pPr>
    <w:rPr>
      <w:rFonts w:ascii="Times New Roman" w:hAnsi="Times New Roman" w:eastAsia="宋体" w:cs="Times New Roman"/>
      <w:b/>
      <w:sz w:val="28"/>
    </w:rPr>
  </w:style>
  <w:style w:type="character" w:customStyle="1" w:styleId="121">
    <w:name w:val="小标题 Char"/>
    <w:link w:val="120"/>
    <w:qFormat/>
    <w:uiPriority w:val="0"/>
    <w:rPr>
      <w:rFonts w:ascii="Times New Roman" w:hAnsi="Times New Roman" w:eastAsia="宋体" w:cs="Times New Roman"/>
      <w:b/>
      <w:sz w:val="28"/>
      <w:szCs w:val="24"/>
    </w:rPr>
  </w:style>
  <w:style w:type="paragraph" w:customStyle="1" w:styleId="122">
    <w:name w:val="正文a"/>
    <w:basedOn w:val="1"/>
    <w:link w:val="123"/>
    <w:qFormat/>
    <w:uiPriority w:val="0"/>
    <w:pPr>
      <w:autoSpaceDE w:val="0"/>
      <w:spacing w:line="360" w:lineRule="auto"/>
      <w:ind w:firstLine="200" w:firstLineChars="200"/>
    </w:pPr>
    <w:rPr>
      <w:rFonts w:ascii="宋体" w:hAnsi="宋体" w:eastAsia="宋体" w:cs="Times New Roman"/>
      <w:b/>
      <w:sz w:val="24"/>
    </w:rPr>
  </w:style>
  <w:style w:type="character" w:customStyle="1" w:styleId="123">
    <w:name w:val="正文a Char"/>
    <w:link w:val="122"/>
    <w:qFormat/>
    <w:uiPriority w:val="0"/>
    <w:rPr>
      <w:rFonts w:ascii="宋体" w:hAnsi="宋体" w:eastAsia="宋体" w:cs="Times New Roman"/>
      <w:b/>
      <w:sz w:val="24"/>
      <w:szCs w:val="24"/>
    </w:rPr>
  </w:style>
  <w:style w:type="paragraph" w:customStyle="1" w:styleId="124">
    <w:name w:val="报告正文"/>
    <w:basedOn w:val="1"/>
    <w:link w:val="171"/>
    <w:qFormat/>
    <w:uiPriority w:val="0"/>
    <w:pPr>
      <w:tabs>
        <w:tab w:val="left" w:pos="0"/>
      </w:tabs>
      <w:spacing w:line="360" w:lineRule="auto"/>
      <w:ind w:hanging="360"/>
    </w:pPr>
    <w:rPr>
      <w:rFonts w:ascii="Times New Roman" w:hAnsi="宋体" w:eastAsia="宋体" w:cs="Times New Roman"/>
      <w:kern w:val="0"/>
      <w:sz w:val="24"/>
      <w:szCs w:val="20"/>
    </w:rPr>
  </w:style>
  <w:style w:type="paragraph" w:customStyle="1" w:styleId="125">
    <w:name w:val="环评正文"/>
    <w:basedOn w:val="1"/>
    <w:link w:val="126"/>
    <w:qFormat/>
    <w:uiPriority w:val="0"/>
    <w:pPr>
      <w:spacing w:line="360" w:lineRule="auto"/>
      <w:ind w:left="50" w:right="50" w:firstLine="482" w:firstLineChars="200"/>
    </w:pPr>
    <w:rPr>
      <w:rFonts w:ascii="Times New Roman" w:hAnsi="Times New Roman" w:cs="Times New Roman"/>
      <w:b/>
      <w:snapToGrid w:val="0"/>
      <w:kern w:val="0"/>
      <w:sz w:val="24"/>
      <w:szCs w:val="28"/>
    </w:rPr>
  </w:style>
  <w:style w:type="character" w:customStyle="1" w:styleId="126">
    <w:name w:val="环评正文 Char Char"/>
    <w:link w:val="125"/>
    <w:qFormat/>
    <w:uiPriority w:val="0"/>
    <w:rPr>
      <w:rFonts w:ascii="Times New Roman" w:hAnsi="Times New Roman" w:cs="Times New Roman"/>
      <w:b/>
      <w:snapToGrid w:val="0"/>
      <w:kern w:val="0"/>
      <w:sz w:val="24"/>
      <w:szCs w:val="28"/>
    </w:rPr>
  </w:style>
  <w:style w:type="paragraph" w:customStyle="1" w:styleId="127">
    <w:name w:val="南华正文"/>
    <w:basedOn w:val="1"/>
    <w:qFormat/>
    <w:uiPriority w:val="0"/>
    <w:pPr>
      <w:tabs>
        <w:tab w:val="left" w:pos="3795"/>
      </w:tabs>
      <w:adjustRightInd w:val="0"/>
      <w:snapToGrid w:val="0"/>
      <w:spacing w:line="360" w:lineRule="auto"/>
      <w:ind w:firstLine="482" w:firstLineChars="200"/>
      <w:jc w:val="left"/>
    </w:pPr>
    <w:rPr>
      <w:rFonts w:ascii="Times New Roman" w:hAnsi="Times New Roman" w:eastAsia="宋体" w:cs="Times New Roman"/>
      <w:color w:val="000000"/>
      <w:sz w:val="24"/>
      <w:szCs w:val="20"/>
    </w:rPr>
  </w:style>
  <w:style w:type="paragraph" w:customStyle="1" w:styleId="128">
    <w:name w:val="报告表格"/>
    <w:basedOn w:val="1"/>
    <w:link w:val="129"/>
    <w:qFormat/>
    <w:uiPriority w:val="0"/>
    <w:pPr>
      <w:widowControl/>
      <w:autoSpaceDE w:val="0"/>
      <w:autoSpaceDN w:val="0"/>
      <w:adjustRightInd w:val="0"/>
      <w:snapToGrid w:val="0"/>
      <w:spacing w:before="40" w:after="40" w:line="360" w:lineRule="auto"/>
      <w:ind w:firstLine="200" w:firstLineChars="200"/>
      <w:jc w:val="center"/>
    </w:pPr>
    <w:rPr>
      <w:rFonts w:ascii="Times New Roman" w:hAnsi="Times New Roman" w:eastAsia="宋体" w:cs="Times New Roman"/>
      <w:kern w:val="0"/>
      <w:sz w:val="24"/>
      <w:szCs w:val="20"/>
      <w:lang w:val="zh-CN"/>
    </w:rPr>
  </w:style>
  <w:style w:type="character" w:customStyle="1" w:styleId="129">
    <w:name w:val="报告表格 Char"/>
    <w:link w:val="128"/>
    <w:qFormat/>
    <w:uiPriority w:val="0"/>
    <w:rPr>
      <w:rFonts w:ascii="Times New Roman" w:hAnsi="Times New Roman" w:eastAsia="宋体" w:cs="Times New Roman"/>
      <w:kern w:val="0"/>
      <w:sz w:val="24"/>
      <w:szCs w:val="20"/>
      <w:lang w:val="zh-CN" w:eastAsia="zh-CN"/>
    </w:rPr>
  </w:style>
  <w:style w:type="character" w:customStyle="1" w:styleId="130">
    <w:name w:val="表的标题 Char"/>
    <w:link w:val="131"/>
    <w:qFormat/>
    <w:uiPriority w:val="0"/>
    <w:rPr>
      <w:b/>
      <w:sz w:val="24"/>
      <w:szCs w:val="24"/>
    </w:rPr>
  </w:style>
  <w:style w:type="paragraph" w:customStyle="1" w:styleId="131">
    <w:name w:val="表的标题"/>
    <w:basedOn w:val="1"/>
    <w:link w:val="130"/>
    <w:qFormat/>
    <w:uiPriority w:val="0"/>
    <w:pPr>
      <w:adjustRightInd w:val="0"/>
      <w:snapToGrid w:val="0"/>
      <w:jc w:val="center"/>
    </w:pPr>
    <w:rPr>
      <w:b/>
      <w:sz w:val="24"/>
    </w:rPr>
  </w:style>
  <w:style w:type="character" w:customStyle="1" w:styleId="132">
    <w:name w:val="南华小标题 Char"/>
    <w:link w:val="133"/>
    <w:qFormat/>
    <w:uiPriority w:val="0"/>
    <w:rPr>
      <w:rFonts w:ascii="宋体" w:hAnsi="宋体"/>
      <w:b/>
      <w:sz w:val="24"/>
    </w:rPr>
  </w:style>
  <w:style w:type="paragraph" w:customStyle="1" w:styleId="133">
    <w:name w:val="南华小标题"/>
    <w:basedOn w:val="1"/>
    <w:link w:val="132"/>
    <w:qFormat/>
    <w:uiPriority w:val="0"/>
    <w:pPr>
      <w:adjustRightInd w:val="0"/>
      <w:snapToGrid w:val="0"/>
      <w:spacing w:line="360" w:lineRule="auto"/>
      <w:ind w:firstLine="200" w:firstLineChars="200"/>
      <w:jc w:val="left"/>
    </w:pPr>
    <w:rPr>
      <w:rFonts w:ascii="宋体" w:hAnsi="宋体"/>
      <w:b/>
      <w:sz w:val="24"/>
      <w:szCs w:val="22"/>
    </w:rPr>
  </w:style>
  <w:style w:type="paragraph" w:customStyle="1" w:styleId="134">
    <w:name w:val="样式 标题 1 + 四号 段前: 0 磅 段后: 0 磅 行距: 1.5 倍行距"/>
    <w:basedOn w:val="135"/>
    <w:next w:val="1"/>
    <w:qFormat/>
    <w:uiPriority w:val="0"/>
    <w:pPr>
      <w:adjustRightInd w:val="0"/>
      <w:snapToGrid w:val="0"/>
      <w:spacing w:line="360" w:lineRule="auto"/>
      <w:jc w:val="center"/>
    </w:pPr>
    <w:rPr>
      <w:rFonts w:ascii="Times New Roman" w:hAnsi="Times New Roman" w:eastAsia="宋体" w:cs="Times New Roman"/>
      <w:sz w:val="28"/>
      <w:szCs w:val="20"/>
    </w:rPr>
  </w:style>
  <w:style w:type="paragraph" w:customStyle="1" w:styleId="135">
    <w:name w:val="1正文"/>
    <w:basedOn w:val="1"/>
    <w:qFormat/>
    <w:uiPriority w:val="0"/>
    <w:pPr>
      <w:spacing w:line="500" w:lineRule="exact"/>
      <w:ind w:firstLine="588" w:firstLineChars="196"/>
    </w:pPr>
    <w:rPr>
      <w:rFonts w:eastAsia="楷体_GB2312"/>
      <w:sz w:val="30"/>
      <w:szCs w:val="30"/>
    </w:rPr>
  </w:style>
  <w:style w:type="paragraph" w:customStyle="1" w:styleId="136">
    <w:name w:val="文本正文"/>
    <w:basedOn w:val="1"/>
    <w:qFormat/>
    <w:uiPriority w:val="0"/>
    <w:pPr>
      <w:snapToGrid w:val="0"/>
      <w:spacing w:line="360" w:lineRule="auto"/>
      <w:ind w:firstLine="510"/>
      <w:jc w:val="left"/>
    </w:pPr>
    <w:rPr>
      <w:spacing w:val="4"/>
      <w:kern w:val="24"/>
      <w:lang w:val="zh-CN"/>
    </w:rPr>
  </w:style>
  <w:style w:type="paragraph" w:customStyle="1" w:styleId="137">
    <w:name w:val="表格字体"/>
    <w:basedOn w:val="1"/>
    <w:qFormat/>
    <w:uiPriority w:val="0"/>
    <w:pPr>
      <w:widowControl/>
      <w:jc w:val="center"/>
    </w:pPr>
    <w:rPr>
      <w:rFonts w:ascii="Times New Roman" w:hAnsi="Times New Roman" w:eastAsia="宋体" w:cs="Times New Roman"/>
    </w:rPr>
  </w:style>
  <w:style w:type="character" w:customStyle="1" w:styleId="138">
    <w:name w:val="description"/>
    <w:basedOn w:val="41"/>
    <w:qFormat/>
    <w:uiPriority w:val="0"/>
  </w:style>
  <w:style w:type="character" w:customStyle="1" w:styleId="139">
    <w:name w:val="apple-converted-space"/>
    <w:basedOn w:val="41"/>
    <w:qFormat/>
    <w:uiPriority w:val="0"/>
  </w:style>
  <w:style w:type="paragraph" w:customStyle="1" w:styleId="140">
    <w:name w:val="表格内容"/>
    <w:basedOn w:val="1"/>
    <w:link w:val="141"/>
    <w:qFormat/>
    <w:uiPriority w:val="0"/>
    <w:pPr>
      <w:jc w:val="center"/>
    </w:pPr>
    <w:rPr>
      <w:rFonts w:ascii="Times New Roman" w:hAnsi="Times New Roman" w:eastAsia="宋体" w:cs="Times New Roman"/>
      <w:szCs w:val="22"/>
    </w:rPr>
  </w:style>
  <w:style w:type="character" w:customStyle="1" w:styleId="141">
    <w:name w:val="表格内容 Char"/>
    <w:link w:val="140"/>
    <w:qFormat/>
    <w:uiPriority w:val="0"/>
    <w:rPr>
      <w:rFonts w:ascii="Times New Roman" w:hAnsi="Times New Roman" w:eastAsia="宋体" w:cs="Times New Roman"/>
    </w:rPr>
  </w:style>
  <w:style w:type="paragraph" w:customStyle="1" w:styleId="142">
    <w:name w:val="正文标1"/>
    <w:basedOn w:val="1"/>
    <w:qFormat/>
    <w:uiPriority w:val="0"/>
    <w:pPr>
      <w:adjustRightInd w:val="0"/>
      <w:snapToGrid w:val="0"/>
      <w:spacing w:line="360" w:lineRule="auto"/>
    </w:pPr>
    <w:rPr>
      <w:rFonts w:ascii="Times New Roman" w:hAnsi="Times New Roman" w:eastAsia="宋体" w:cs="Times New Roman"/>
      <w:b/>
      <w:sz w:val="28"/>
      <w:szCs w:val="20"/>
    </w:rPr>
  </w:style>
  <w:style w:type="character" w:customStyle="1" w:styleId="143">
    <w:name w:val="标题 3 Char1"/>
    <w:qFormat/>
    <w:uiPriority w:val="0"/>
    <w:rPr>
      <w:rFonts w:ascii="宋体" w:hAnsi="宋体" w:eastAsia="宋体"/>
      <w:b/>
      <w:color w:val="000000"/>
      <w:kern w:val="2"/>
      <w:sz w:val="24"/>
      <w:lang w:val="en-US" w:eastAsia="zh-CN"/>
    </w:rPr>
  </w:style>
  <w:style w:type="paragraph" w:customStyle="1" w:styleId="144">
    <w:name w:val="正文标2"/>
    <w:basedOn w:val="142"/>
    <w:next w:val="1"/>
    <w:qFormat/>
    <w:uiPriority w:val="0"/>
    <w:pPr>
      <w:ind w:firstLine="200" w:firstLineChars="200"/>
    </w:pPr>
    <w:rPr>
      <w:sz w:val="24"/>
    </w:rPr>
  </w:style>
  <w:style w:type="character" w:customStyle="1" w:styleId="145">
    <w:name w:val="日期 字符"/>
    <w:basedOn w:val="41"/>
    <w:link w:val="19"/>
    <w:qFormat/>
    <w:uiPriority w:val="0"/>
    <w:rPr>
      <w:rFonts w:ascii="Times New Roman" w:hAnsi="Times New Roman" w:eastAsia="宋体" w:cs="Times New Roman"/>
      <w:sz w:val="28"/>
      <w:szCs w:val="20"/>
      <w:lang w:val="zh-CN" w:eastAsia="zh-CN"/>
    </w:rPr>
  </w:style>
  <w:style w:type="paragraph" w:customStyle="1" w:styleId="146">
    <w:name w:val="表格小五"/>
    <w:basedOn w:val="1"/>
    <w:qFormat/>
    <w:uiPriority w:val="0"/>
    <w:pPr>
      <w:adjustRightInd w:val="0"/>
      <w:snapToGrid w:val="0"/>
      <w:spacing w:after="30" w:afterLines="30" w:line="360" w:lineRule="auto"/>
      <w:ind w:firstLine="510" w:firstLineChars="200"/>
      <w:jc w:val="left"/>
    </w:pPr>
    <w:rPr>
      <w:rFonts w:ascii="Times New Roman" w:hAnsi="Times New Roman" w:eastAsia="宋体" w:cs="Times New Roman"/>
      <w:spacing w:val="16"/>
      <w:kern w:val="0"/>
      <w:sz w:val="18"/>
      <w:szCs w:val="20"/>
    </w:rPr>
  </w:style>
  <w:style w:type="paragraph" w:customStyle="1" w:styleId="147">
    <w:name w:val="Char Char Char Char1"/>
    <w:basedOn w:val="1"/>
    <w:qFormat/>
    <w:uiPriority w:val="0"/>
    <w:pPr>
      <w:ind w:firstLine="200" w:firstLineChars="200"/>
    </w:pPr>
    <w:rPr>
      <w:rFonts w:ascii="Times New Roman" w:hAnsi="Times New Roman" w:eastAsia="宋体" w:cs="Times New Roman"/>
      <w:sz w:val="24"/>
    </w:rPr>
  </w:style>
  <w:style w:type="table" w:customStyle="1" w:styleId="148">
    <w:name w:val="专业网格1"/>
    <w:basedOn w:val="39"/>
    <w:qFormat/>
    <w:uiPriority w:val="59"/>
    <w:pPr>
      <w:widowControl w:val="0"/>
      <w:spacing w:line="240" w:lineRule="atLeast"/>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9">
    <w:name w:val="默认段落字体 Para Char"/>
    <w:basedOn w:val="1"/>
    <w:qFormat/>
    <w:uiPriority w:val="0"/>
    <w:pPr>
      <w:spacing w:line="360" w:lineRule="auto"/>
      <w:ind w:firstLine="200" w:firstLineChars="200"/>
    </w:pPr>
    <w:rPr>
      <w:rFonts w:ascii="宋体" w:hAnsi="宋体" w:eastAsia="宋体" w:cs="宋体"/>
      <w:sz w:val="24"/>
    </w:rPr>
  </w:style>
  <w:style w:type="paragraph" w:customStyle="1" w:styleId="150">
    <w:name w:val="Char"/>
    <w:basedOn w:val="1"/>
    <w:next w:val="38"/>
    <w:qFormat/>
    <w:uiPriority w:val="0"/>
    <w:pPr>
      <w:spacing w:line="360" w:lineRule="auto"/>
      <w:ind w:firstLine="200" w:firstLineChars="200"/>
    </w:pPr>
    <w:rPr>
      <w:rFonts w:ascii="Times New Roman" w:hAnsi="Times New Roman" w:eastAsia="宋体" w:cs="Times New Roman"/>
      <w:sz w:val="24"/>
    </w:rPr>
  </w:style>
  <w:style w:type="paragraph" w:customStyle="1" w:styleId="15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eastAsia="宋体" w:cs="Times New Roman"/>
      <w:kern w:val="0"/>
      <w:sz w:val="24"/>
    </w:rPr>
  </w:style>
  <w:style w:type="paragraph" w:customStyle="1" w:styleId="152">
    <w:name w:val="1正文段落"/>
    <w:basedOn w:val="1"/>
    <w:qFormat/>
    <w:uiPriority w:val="0"/>
    <w:pPr>
      <w:spacing w:line="360" w:lineRule="auto"/>
      <w:ind w:firstLine="480" w:firstLineChars="200"/>
      <w:jc w:val="left"/>
    </w:pPr>
    <w:rPr>
      <w:rFonts w:ascii="Times New Roman" w:hAnsi="Times New Roman" w:eastAsia="宋体" w:cs="Times New Roman"/>
      <w:snapToGrid w:val="0"/>
      <w:kern w:val="0"/>
      <w:sz w:val="24"/>
    </w:rPr>
  </w:style>
  <w:style w:type="paragraph" w:customStyle="1" w:styleId="153">
    <w:name w:val="简单回函地址"/>
    <w:basedOn w:val="1"/>
    <w:qFormat/>
    <w:uiPriority w:val="0"/>
    <w:pPr>
      <w:ind w:firstLine="200" w:firstLineChars="200"/>
    </w:pPr>
    <w:rPr>
      <w:rFonts w:ascii="Times New Roman" w:hAnsi="Times New Roman" w:eastAsia="宋体" w:cs="Times New Roman"/>
      <w:sz w:val="24"/>
      <w:szCs w:val="20"/>
    </w:rPr>
  </w:style>
  <w:style w:type="character" w:customStyle="1" w:styleId="154">
    <w:name w:val="副标题 字符"/>
    <w:basedOn w:val="41"/>
    <w:link w:val="26"/>
    <w:qFormat/>
    <w:uiPriority w:val="0"/>
    <w:rPr>
      <w:rFonts w:ascii="Cambria" w:hAnsi="Cambria" w:eastAsia="宋体" w:cs="Times New Roman"/>
      <w:b/>
      <w:bCs/>
      <w:kern w:val="28"/>
      <w:sz w:val="32"/>
      <w:szCs w:val="32"/>
      <w:lang w:val="zh-CN" w:eastAsia="zh-CN"/>
    </w:rPr>
  </w:style>
  <w:style w:type="paragraph" w:customStyle="1" w:styleId="155">
    <w:name w:val="无间隔11"/>
    <w:basedOn w:val="13"/>
    <w:link w:val="156"/>
    <w:qFormat/>
    <w:uiPriority w:val="0"/>
    <w:pPr>
      <w:spacing w:after="0" w:line="360" w:lineRule="auto"/>
      <w:ind w:firstLine="200" w:firstLineChars="200"/>
    </w:pPr>
    <w:rPr>
      <w:sz w:val="24"/>
      <w:lang w:val="zh-CN"/>
    </w:rPr>
  </w:style>
  <w:style w:type="character" w:customStyle="1" w:styleId="156">
    <w:name w:val="无间隔 Char"/>
    <w:link w:val="155"/>
    <w:qFormat/>
    <w:uiPriority w:val="0"/>
    <w:rPr>
      <w:rFonts w:ascii="Times New Roman" w:hAnsi="Times New Roman" w:eastAsia="宋体" w:cs="Times New Roman"/>
      <w:sz w:val="24"/>
      <w:szCs w:val="24"/>
      <w:lang w:val="zh-CN" w:eastAsia="zh-CN"/>
    </w:rPr>
  </w:style>
  <w:style w:type="character" w:customStyle="1" w:styleId="157">
    <w:name w:val="不明显强调1"/>
    <w:qFormat/>
    <w:uiPriority w:val="19"/>
    <w:rPr>
      <w:i/>
      <w:iCs/>
      <w:color w:val="808080"/>
    </w:rPr>
  </w:style>
  <w:style w:type="character" w:customStyle="1" w:styleId="158">
    <w:name w:val="明显引用 Char"/>
    <w:link w:val="48"/>
    <w:qFormat/>
    <w:uiPriority w:val="30"/>
    <w:rPr>
      <w:rFonts w:ascii="Times New Roman" w:hAnsi="Times New Roman" w:eastAsia="宋体" w:cs="Times New Roman"/>
      <w:b/>
      <w:bCs/>
      <w:iCs/>
      <w:sz w:val="24"/>
      <w:szCs w:val="24"/>
      <w:lang w:val="zh-CN" w:eastAsia="zh-CN"/>
    </w:rPr>
  </w:style>
  <w:style w:type="paragraph" w:customStyle="1" w:styleId="159">
    <w:name w:val="正文(B)"/>
    <w:basedOn w:val="13"/>
    <w:link w:val="160"/>
    <w:qFormat/>
    <w:uiPriority w:val="0"/>
    <w:pPr>
      <w:spacing w:line="360" w:lineRule="auto"/>
      <w:ind w:firstLine="200" w:firstLineChars="200"/>
    </w:pPr>
    <w:rPr>
      <w:rFonts w:ascii="宋体" w:hAnsi="宋体"/>
      <w:sz w:val="24"/>
      <w:lang w:val="zh-CN"/>
    </w:rPr>
  </w:style>
  <w:style w:type="character" w:customStyle="1" w:styleId="160">
    <w:name w:val="正文(B) Char"/>
    <w:link w:val="159"/>
    <w:qFormat/>
    <w:uiPriority w:val="0"/>
    <w:rPr>
      <w:rFonts w:ascii="宋体" w:hAnsi="宋体" w:eastAsia="宋体" w:cs="Times New Roman"/>
      <w:sz w:val="24"/>
      <w:szCs w:val="24"/>
      <w:lang w:val="zh-CN" w:eastAsia="zh-CN"/>
    </w:rPr>
  </w:style>
  <w:style w:type="paragraph" w:customStyle="1" w:styleId="161">
    <w:name w:val="着重强调"/>
    <w:link w:val="164"/>
    <w:qFormat/>
    <w:uiPriority w:val="0"/>
    <w:pPr>
      <w:spacing w:before="93" w:beforeLines="30" w:after="62" w:afterLines="20"/>
      <w:jc w:val="center"/>
    </w:pPr>
    <w:rPr>
      <w:rFonts w:ascii="Times New Roman" w:hAnsi="Times New Roman" w:eastAsia="宋体" w:cs="Times New Roman"/>
      <w:b/>
      <w:kern w:val="2"/>
      <w:sz w:val="24"/>
      <w:szCs w:val="22"/>
      <w:lang w:val="zh-CN" w:eastAsia="zh-CN" w:bidi="ar-SA"/>
    </w:rPr>
  </w:style>
  <w:style w:type="character" w:customStyle="1" w:styleId="162">
    <w:name w:val="样式 Char"/>
    <w:basedOn w:val="123"/>
    <w:qFormat/>
    <w:uiPriority w:val="0"/>
    <w:rPr>
      <w:rFonts w:ascii="宋体" w:hAnsi="宋体" w:eastAsia="宋体" w:cs="Times New Roman"/>
      <w:kern w:val="2"/>
      <w:sz w:val="24"/>
      <w:szCs w:val="24"/>
      <w:lang w:val="zh-CN" w:eastAsia="zh-CN"/>
    </w:rPr>
  </w:style>
  <w:style w:type="paragraph" w:customStyle="1" w:styleId="163">
    <w:name w:val="突出强调"/>
    <w:basedOn w:val="161"/>
    <w:next w:val="1"/>
    <w:link w:val="165"/>
    <w:qFormat/>
    <w:uiPriority w:val="0"/>
    <w:pPr>
      <w:spacing w:before="30" w:after="10" w:afterLines="10"/>
      <w:ind w:firstLine="20" w:firstLineChars="20"/>
    </w:pPr>
    <w:rPr>
      <w:rFonts w:ascii="宋体" w:hAnsi="宋体"/>
      <w:sz w:val="28"/>
    </w:rPr>
  </w:style>
  <w:style w:type="character" w:customStyle="1" w:styleId="164">
    <w:name w:val="着重强调 Char"/>
    <w:basedOn w:val="162"/>
    <w:link w:val="161"/>
    <w:qFormat/>
    <w:uiPriority w:val="0"/>
    <w:rPr>
      <w:rFonts w:ascii="Times New Roman" w:hAnsi="Times New Roman" w:eastAsia="宋体" w:cs="Times New Roman"/>
      <w:kern w:val="2"/>
      <w:sz w:val="24"/>
      <w:szCs w:val="24"/>
      <w:lang w:val="zh-CN" w:eastAsia="zh-CN"/>
    </w:rPr>
  </w:style>
  <w:style w:type="character" w:customStyle="1" w:styleId="165">
    <w:name w:val="突出强调 Char"/>
    <w:link w:val="163"/>
    <w:qFormat/>
    <w:uiPriority w:val="0"/>
    <w:rPr>
      <w:rFonts w:ascii="宋体" w:hAnsi="宋体" w:eastAsia="宋体" w:cs="Times New Roman"/>
      <w:b/>
      <w:sz w:val="28"/>
      <w:szCs w:val="24"/>
      <w:lang w:val="zh-CN" w:eastAsia="zh-CN"/>
    </w:rPr>
  </w:style>
  <w:style w:type="character" w:customStyle="1" w:styleId="166">
    <w:name w:val="Char Char1"/>
    <w:qFormat/>
    <w:uiPriority w:val="0"/>
    <w:rPr>
      <w:rFonts w:eastAsia="宋体"/>
      <w:kern w:val="2"/>
      <w:sz w:val="21"/>
      <w:szCs w:val="21"/>
      <w:lang w:val="en-US" w:eastAsia="zh-CN" w:bidi="ar-SA"/>
    </w:rPr>
  </w:style>
  <w:style w:type="paragraph" w:customStyle="1" w:styleId="167">
    <w:name w:val="Char Char Char Char Char Char Char"/>
    <w:basedOn w:val="1"/>
    <w:qFormat/>
    <w:uiPriority w:val="0"/>
    <w:pPr>
      <w:ind w:firstLine="200" w:firstLineChars="200"/>
    </w:pPr>
    <w:rPr>
      <w:rFonts w:ascii="Times New Roman" w:hAnsi="Times New Roman" w:eastAsia="宋体" w:cs="Times New Roman"/>
      <w:szCs w:val="20"/>
    </w:rPr>
  </w:style>
  <w:style w:type="paragraph" w:customStyle="1" w:styleId="168">
    <w:name w:val="论文正文"/>
    <w:basedOn w:val="1"/>
    <w:qFormat/>
    <w:uiPriority w:val="0"/>
    <w:pPr>
      <w:adjustRightInd w:val="0"/>
      <w:snapToGrid w:val="0"/>
      <w:spacing w:line="360" w:lineRule="auto"/>
      <w:ind w:firstLine="480" w:firstLineChars="200"/>
    </w:pPr>
    <w:rPr>
      <w:rFonts w:ascii="Times New Roman" w:hAnsi="Times New Roman" w:eastAsia="宋体" w:cs="Times New Roman"/>
      <w:bCs/>
      <w:color w:val="000000"/>
      <w:sz w:val="24"/>
    </w:rPr>
  </w:style>
  <w:style w:type="paragraph" w:customStyle="1" w:styleId="169">
    <w:name w:val="环报告正文"/>
    <w:basedOn w:val="1"/>
    <w:link w:val="170"/>
    <w:qFormat/>
    <w:uiPriority w:val="0"/>
    <w:pPr>
      <w:spacing w:line="360" w:lineRule="auto"/>
      <w:ind w:firstLine="480" w:firstLineChars="200"/>
      <w:jc w:val="left"/>
    </w:pPr>
    <w:rPr>
      <w:rFonts w:ascii="Times New Roman" w:hAnsi="Calibri" w:eastAsia="宋体" w:cs="Times New Roman"/>
      <w:sz w:val="24"/>
      <w:lang w:val="zh-CN"/>
    </w:rPr>
  </w:style>
  <w:style w:type="character" w:customStyle="1" w:styleId="170">
    <w:name w:val="环报告正文 Char"/>
    <w:link w:val="169"/>
    <w:qFormat/>
    <w:uiPriority w:val="0"/>
    <w:rPr>
      <w:rFonts w:ascii="Times New Roman" w:hAnsi="Calibri" w:eastAsia="宋体" w:cs="Times New Roman"/>
      <w:sz w:val="24"/>
      <w:szCs w:val="24"/>
      <w:lang w:val="zh-CN" w:eastAsia="zh-CN"/>
    </w:rPr>
  </w:style>
  <w:style w:type="character" w:customStyle="1" w:styleId="171">
    <w:name w:val="报告正文 Char1"/>
    <w:link w:val="124"/>
    <w:qFormat/>
    <w:uiPriority w:val="0"/>
    <w:rPr>
      <w:rFonts w:ascii="Times New Roman" w:hAnsi="宋体" w:eastAsia="宋体" w:cs="Times New Roman"/>
      <w:kern w:val="0"/>
      <w:sz w:val="24"/>
      <w:szCs w:val="20"/>
    </w:rPr>
  </w:style>
  <w:style w:type="paragraph" w:customStyle="1" w:styleId="172">
    <w:name w:val="表格式"/>
    <w:basedOn w:val="27"/>
    <w:qFormat/>
    <w:uiPriority w:val="0"/>
    <w:pPr>
      <w:spacing w:before="156" w:beforeLines="50" w:after="156" w:afterLines="50" w:line="240" w:lineRule="exact"/>
      <w:ind w:left="0" w:firstLine="200" w:firstLineChars="200"/>
      <w:jc w:val="center"/>
    </w:pPr>
  </w:style>
  <w:style w:type="character" w:customStyle="1" w:styleId="173">
    <w:name w:val="表格内容 Char Char"/>
    <w:qFormat/>
    <w:uiPriority w:val="0"/>
    <w:rPr>
      <w:sz w:val="21"/>
      <w:lang w:val="zh-CN"/>
    </w:rPr>
  </w:style>
  <w:style w:type="paragraph" w:customStyle="1" w:styleId="174">
    <w:name w:val="环正文"/>
    <w:basedOn w:val="1"/>
    <w:qFormat/>
    <w:uiPriority w:val="0"/>
    <w:pPr>
      <w:widowControl/>
      <w:suppressAutoHyphens/>
      <w:adjustRightInd w:val="0"/>
      <w:spacing w:line="360" w:lineRule="auto"/>
      <w:ind w:firstLine="187" w:firstLineChars="187"/>
      <w:textAlignment w:val="baseline"/>
    </w:pPr>
    <w:rPr>
      <w:rFonts w:ascii="Times New Roman" w:hAnsi="Times New Roman" w:eastAsia="宋体" w:cs="Times New Roman"/>
      <w:bCs/>
      <w:color w:val="000000"/>
      <w:kern w:val="0"/>
      <w:sz w:val="24"/>
      <w:szCs w:val="21"/>
    </w:rPr>
  </w:style>
  <w:style w:type="paragraph" w:customStyle="1" w:styleId="175">
    <w:name w:val="Char Char Char"/>
    <w:basedOn w:val="1"/>
    <w:qFormat/>
    <w:uiPriority w:val="0"/>
    <w:rPr>
      <w:rFonts w:ascii="Times New Roman" w:hAnsi="Times New Roman" w:eastAsia="宋体" w:cs="Times New Roman"/>
      <w:sz w:val="24"/>
    </w:rPr>
  </w:style>
  <w:style w:type="character" w:customStyle="1" w:styleId="176">
    <w:name w:val="表内容 Char"/>
    <w:link w:val="177"/>
    <w:qFormat/>
    <w:uiPriority w:val="0"/>
    <w:rPr>
      <w:b/>
      <w:sz w:val="24"/>
      <w:szCs w:val="24"/>
    </w:rPr>
  </w:style>
  <w:style w:type="paragraph" w:customStyle="1" w:styleId="177">
    <w:name w:val="表内容"/>
    <w:basedOn w:val="1"/>
    <w:link w:val="176"/>
    <w:qFormat/>
    <w:uiPriority w:val="0"/>
    <w:pPr>
      <w:adjustRightInd w:val="0"/>
      <w:snapToGrid w:val="0"/>
      <w:jc w:val="center"/>
    </w:pPr>
    <w:rPr>
      <w:b/>
      <w:sz w:val="24"/>
    </w:rPr>
  </w:style>
  <w:style w:type="character" w:customStyle="1" w:styleId="178">
    <w:name w:val="引用 Char"/>
    <w:link w:val="179"/>
    <w:qFormat/>
    <w:uiPriority w:val="29"/>
    <w:rPr>
      <w:iCs/>
      <w:color w:val="000000"/>
    </w:rPr>
  </w:style>
  <w:style w:type="paragraph" w:customStyle="1" w:styleId="179">
    <w:name w:val="引用1"/>
    <w:basedOn w:val="1"/>
    <w:next w:val="1"/>
    <w:link w:val="178"/>
    <w:qFormat/>
    <w:uiPriority w:val="29"/>
    <w:pPr>
      <w:adjustRightInd w:val="0"/>
      <w:snapToGrid w:val="0"/>
      <w:jc w:val="center"/>
    </w:pPr>
    <w:rPr>
      <w:iCs/>
      <w:color w:val="000000"/>
      <w:szCs w:val="22"/>
    </w:rPr>
  </w:style>
  <w:style w:type="character" w:customStyle="1" w:styleId="180">
    <w:name w:val="引用 Char1"/>
    <w:basedOn w:val="41"/>
    <w:qFormat/>
    <w:uiPriority w:val="29"/>
    <w:rPr>
      <w:i/>
      <w:iCs/>
      <w:color w:val="000000" w:themeColor="text1"/>
      <w:szCs w:val="24"/>
      <w14:textFill>
        <w14:solidFill>
          <w14:schemeClr w14:val="tx1"/>
        </w14:solidFill>
      </w14:textFill>
    </w:rPr>
  </w:style>
  <w:style w:type="paragraph" w:customStyle="1" w:styleId="181">
    <w:name w:val="样式 正文首行缩进:  2 字符 +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182">
    <w:name w:val="F正文"/>
    <w:basedOn w:val="1"/>
    <w:link w:val="183"/>
    <w:qFormat/>
    <w:uiPriority w:val="0"/>
    <w:pPr>
      <w:framePr w:wrap="notBeside" w:vAnchor="text" w:hAnchor="text" w:y="1"/>
      <w:spacing w:line="360" w:lineRule="auto"/>
      <w:ind w:firstLine="200" w:firstLineChars="200"/>
    </w:pPr>
    <w:rPr>
      <w:rFonts w:ascii="Times New Roman" w:hAnsi="Times New Roman" w:eastAsia="宋体" w:cs="Times New Roman"/>
      <w:color w:val="000000"/>
      <w:kern w:val="0"/>
      <w:sz w:val="24"/>
      <w:lang w:val="zh-CN"/>
    </w:rPr>
  </w:style>
  <w:style w:type="character" w:customStyle="1" w:styleId="183">
    <w:name w:val="F正文 Char"/>
    <w:link w:val="182"/>
    <w:qFormat/>
    <w:uiPriority w:val="0"/>
    <w:rPr>
      <w:rFonts w:ascii="Times New Roman" w:hAnsi="Times New Roman" w:eastAsia="宋体" w:cs="Times New Roman"/>
      <w:color w:val="000000"/>
      <w:kern w:val="0"/>
      <w:sz w:val="24"/>
      <w:szCs w:val="24"/>
      <w:lang w:val="zh-CN" w:eastAsia="zh-CN"/>
    </w:rPr>
  </w:style>
  <w:style w:type="paragraph" w:customStyle="1" w:styleId="184">
    <w:name w:val="表头"/>
    <w:basedOn w:val="1"/>
    <w:link w:val="186"/>
    <w:qFormat/>
    <w:uiPriority w:val="0"/>
    <w:pPr>
      <w:jc w:val="center"/>
    </w:pPr>
    <w:rPr>
      <w:rFonts w:ascii="Times New Roman" w:hAnsi="Times New Roman" w:eastAsia="宋体" w:cs="Times New Roman"/>
      <w:b/>
      <w:color w:val="000000"/>
      <w:sz w:val="24"/>
      <w:lang w:val="zh-CN"/>
    </w:rPr>
  </w:style>
  <w:style w:type="paragraph" w:customStyle="1" w:styleId="185">
    <w:name w:val="表格表头"/>
    <w:basedOn w:val="1"/>
    <w:link w:val="187"/>
    <w:qFormat/>
    <w:uiPriority w:val="0"/>
    <w:pPr>
      <w:widowControl/>
      <w:snapToGrid w:val="0"/>
      <w:jc w:val="center"/>
    </w:pPr>
    <w:rPr>
      <w:rFonts w:ascii="Times New Roman" w:hAnsi="Times New Roman" w:eastAsia="宋体" w:cs="Times New Roman"/>
      <w:b/>
      <w:snapToGrid w:val="0"/>
      <w:kern w:val="0"/>
      <w:sz w:val="24"/>
      <w:lang w:val="zh-CN"/>
    </w:rPr>
  </w:style>
  <w:style w:type="character" w:customStyle="1" w:styleId="186">
    <w:name w:val="表头 Char"/>
    <w:link w:val="184"/>
    <w:qFormat/>
    <w:uiPriority w:val="0"/>
    <w:rPr>
      <w:rFonts w:ascii="Times New Roman" w:hAnsi="Times New Roman" w:eastAsia="宋体" w:cs="Times New Roman"/>
      <w:b/>
      <w:color w:val="000000"/>
      <w:sz w:val="24"/>
      <w:szCs w:val="24"/>
      <w:lang w:val="zh-CN" w:eastAsia="zh-CN"/>
    </w:rPr>
  </w:style>
  <w:style w:type="character" w:customStyle="1" w:styleId="187">
    <w:name w:val="表格表头 Char"/>
    <w:link w:val="185"/>
    <w:qFormat/>
    <w:uiPriority w:val="0"/>
    <w:rPr>
      <w:rFonts w:ascii="Times New Roman" w:hAnsi="Times New Roman" w:eastAsia="宋体" w:cs="Times New Roman"/>
      <w:b/>
      <w:snapToGrid w:val="0"/>
      <w:kern w:val="0"/>
      <w:sz w:val="24"/>
      <w:szCs w:val="24"/>
      <w:lang w:val="zh-CN" w:eastAsia="zh-CN"/>
    </w:rPr>
  </w:style>
  <w:style w:type="paragraph" w:customStyle="1" w:styleId="188">
    <w:name w:val="表头或表尾"/>
    <w:basedOn w:val="155"/>
    <w:next w:val="122"/>
    <w:link w:val="189"/>
    <w:qFormat/>
    <w:uiPriority w:val="0"/>
    <w:pPr>
      <w:adjustRightInd w:val="0"/>
      <w:snapToGrid w:val="0"/>
      <w:spacing w:before="20" w:beforeLines="20"/>
      <w:jc w:val="center"/>
    </w:pPr>
    <w:rPr>
      <w:b/>
    </w:rPr>
  </w:style>
  <w:style w:type="character" w:customStyle="1" w:styleId="189">
    <w:name w:val="表头或表尾 Char"/>
    <w:link w:val="188"/>
    <w:qFormat/>
    <w:uiPriority w:val="0"/>
    <w:rPr>
      <w:rFonts w:ascii="Times New Roman" w:hAnsi="Times New Roman" w:eastAsia="宋体" w:cs="Times New Roman"/>
      <w:b/>
      <w:sz w:val="24"/>
      <w:szCs w:val="24"/>
      <w:lang w:val="zh-CN" w:eastAsia="zh-CN"/>
    </w:rPr>
  </w:style>
  <w:style w:type="paragraph" w:customStyle="1" w:styleId="190">
    <w:name w:val="副标题2"/>
    <w:basedOn w:val="1"/>
    <w:link w:val="191"/>
    <w:qFormat/>
    <w:uiPriority w:val="0"/>
    <w:pPr>
      <w:adjustRightInd w:val="0"/>
      <w:snapToGrid w:val="0"/>
      <w:spacing w:beforeLines="50" w:line="360" w:lineRule="auto"/>
    </w:pPr>
    <w:rPr>
      <w:rFonts w:ascii="Times New Roman" w:hAnsi="Times New Roman" w:eastAsia="宋体" w:cs="Times New Roman"/>
      <w:b/>
      <w:sz w:val="28"/>
      <w:szCs w:val="21"/>
      <w:lang w:val="zh-CN"/>
    </w:rPr>
  </w:style>
  <w:style w:type="character" w:customStyle="1" w:styleId="191">
    <w:name w:val="副标题2 Char"/>
    <w:link w:val="190"/>
    <w:qFormat/>
    <w:uiPriority w:val="0"/>
    <w:rPr>
      <w:rFonts w:ascii="Times New Roman" w:hAnsi="Times New Roman" w:eastAsia="宋体" w:cs="Times New Roman"/>
      <w:b/>
      <w:sz w:val="28"/>
      <w:szCs w:val="21"/>
      <w:lang w:val="zh-CN" w:eastAsia="zh-CN"/>
    </w:rPr>
  </w:style>
  <w:style w:type="paragraph" w:customStyle="1" w:styleId="192">
    <w:name w:val="正文2"/>
    <w:basedOn w:val="1"/>
    <w:link w:val="193"/>
    <w:qFormat/>
    <w:uiPriority w:val="0"/>
    <w:pPr>
      <w:adjustRightInd w:val="0"/>
      <w:snapToGrid w:val="0"/>
      <w:spacing w:line="360" w:lineRule="auto"/>
      <w:ind w:firstLine="200" w:firstLineChars="200"/>
    </w:pPr>
    <w:rPr>
      <w:rFonts w:ascii="Times New Roman" w:hAnsi="Times New Roman" w:eastAsia="宋体" w:cs="Times New Roman"/>
      <w:sz w:val="24"/>
      <w:lang w:val="zh-CN"/>
    </w:rPr>
  </w:style>
  <w:style w:type="character" w:customStyle="1" w:styleId="193">
    <w:name w:val="正文2 Char"/>
    <w:link w:val="192"/>
    <w:qFormat/>
    <w:uiPriority w:val="0"/>
    <w:rPr>
      <w:rFonts w:ascii="Times New Roman" w:hAnsi="Times New Roman" w:eastAsia="宋体" w:cs="Times New Roman"/>
      <w:sz w:val="24"/>
      <w:szCs w:val="24"/>
      <w:lang w:val="zh-CN" w:eastAsia="zh-CN"/>
    </w:rPr>
  </w:style>
  <w:style w:type="paragraph" w:customStyle="1" w:styleId="194">
    <w:name w:val="正文0"/>
    <w:basedOn w:val="1"/>
    <w:link w:val="195"/>
    <w:qFormat/>
    <w:uiPriority w:val="0"/>
    <w:pPr>
      <w:spacing w:line="360" w:lineRule="auto"/>
      <w:ind w:firstLine="480" w:firstLineChars="200"/>
    </w:pPr>
    <w:rPr>
      <w:rFonts w:ascii="Times New Roman" w:hAnsi="Times New Roman" w:eastAsia="宋体" w:cs="Times New Roman"/>
      <w:bCs/>
      <w:color w:val="FF0000"/>
      <w:kern w:val="0"/>
      <w:sz w:val="24"/>
      <w:shd w:val="clear" w:color="auto" w:fill="FFFFFF"/>
      <w:lang w:val="zh-CN"/>
    </w:rPr>
  </w:style>
  <w:style w:type="character" w:customStyle="1" w:styleId="195">
    <w:name w:val="正文0 Char"/>
    <w:link w:val="194"/>
    <w:qFormat/>
    <w:uiPriority w:val="0"/>
    <w:rPr>
      <w:rFonts w:ascii="Times New Roman" w:hAnsi="Times New Roman" w:eastAsia="宋体" w:cs="Times New Roman"/>
      <w:bCs/>
      <w:color w:val="FF0000"/>
      <w:kern w:val="0"/>
      <w:sz w:val="24"/>
      <w:szCs w:val="24"/>
      <w:lang w:val="zh-CN" w:eastAsia="zh-CN"/>
    </w:rPr>
  </w:style>
  <w:style w:type="paragraph" w:customStyle="1" w:styleId="196">
    <w:name w:val="表后标题"/>
    <w:basedOn w:val="185"/>
    <w:qFormat/>
    <w:uiPriority w:val="0"/>
    <w:pPr>
      <w:spacing w:before="50" w:beforeLines="50" w:line="360" w:lineRule="auto"/>
      <w:ind w:firstLine="200" w:firstLineChars="200"/>
      <w:jc w:val="left"/>
    </w:pPr>
  </w:style>
  <w:style w:type="paragraph" w:customStyle="1" w:styleId="197">
    <w:name w:val="表头图尾"/>
    <w:basedOn w:val="1"/>
    <w:link w:val="198"/>
    <w:qFormat/>
    <w:uiPriority w:val="0"/>
    <w:pPr>
      <w:spacing w:beforeLines="50" w:afterLines="30"/>
      <w:jc w:val="center"/>
    </w:pPr>
    <w:rPr>
      <w:rFonts w:ascii="Times New Roman" w:hAnsi="Times New Roman" w:eastAsia="宋体" w:cs="Times New Roman"/>
      <w:b/>
      <w:sz w:val="24"/>
      <w:lang w:val="zh-CN"/>
    </w:rPr>
  </w:style>
  <w:style w:type="character" w:customStyle="1" w:styleId="198">
    <w:name w:val="表头图尾 Char"/>
    <w:link w:val="197"/>
    <w:qFormat/>
    <w:uiPriority w:val="0"/>
    <w:rPr>
      <w:rFonts w:ascii="Times New Roman" w:hAnsi="Times New Roman" w:eastAsia="宋体" w:cs="Times New Roman"/>
      <w:b/>
      <w:sz w:val="24"/>
      <w:szCs w:val="24"/>
      <w:lang w:val="zh-CN" w:eastAsia="zh-CN"/>
    </w:rPr>
  </w:style>
  <w:style w:type="paragraph" w:customStyle="1" w:styleId="199">
    <w:name w:val="af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00">
    <w:name w:val="iceant内"/>
    <w:basedOn w:val="1"/>
    <w:link w:val="201"/>
    <w:qFormat/>
    <w:uiPriority w:val="0"/>
    <w:pPr>
      <w:jc w:val="center"/>
    </w:pPr>
    <w:rPr>
      <w:rFonts w:ascii="Times New Roman" w:hAnsi="Times New Roman" w:eastAsia="宋体" w:cs="Times New Roman"/>
      <w:szCs w:val="21"/>
      <w:lang w:val="zh-CN"/>
    </w:rPr>
  </w:style>
  <w:style w:type="character" w:customStyle="1" w:styleId="201">
    <w:name w:val="iceant内 Char"/>
    <w:link w:val="200"/>
    <w:qFormat/>
    <w:uiPriority w:val="0"/>
    <w:rPr>
      <w:rFonts w:ascii="Times New Roman" w:hAnsi="Times New Roman" w:eastAsia="宋体" w:cs="Times New Roman"/>
      <w:szCs w:val="21"/>
      <w:lang w:val="zh-CN" w:eastAsia="zh-CN"/>
    </w:rPr>
  </w:style>
  <w:style w:type="table" w:customStyle="1" w:styleId="202">
    <w:name w:val="表格1"/>
    <w:basedOn w:val="39"/>
    <w:qFormat/>
    <w:uiPriority w:val="59"/>
    <w:pPr>
      <w:widowControl w:val="0"/>
      <w:jc w:val="both"/>
    </w:pPr>
    <w:rPr>
      <w:rFonts w:ascii="Calibri" w:hAnsi="Calibri"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3">
    <w:name w:val="报告表  段 Char Char"/>
    <w:link w:val="204"/>
    <w:qFormat/>
    <w:uiPriority w:val="0"/>
    <w:rPr>
      <w:rFonts w:ascii="宋体" w:cs="宋体"/>
      <w:bCs/>
      <w:sz w:val="24"/>
      <w:szCs w:val="24"/>
    </w:rPr>
  </w:style>
  <w:style w:type="paragraph" w:customStyle="1" w:styleId="204">
    <w:name w:val="报告表  段"/>
    <w:basedOn w:val="1"/>
    <w:link w:val="203"/>
    <w:qFormat/>
    <w:uiPriority w:val="0"/>
    <w:pPr>
      <w:adjustRightInd w:val="0"/>
      <w:spacing w:line="360" w:lineRule="auto"/>
      <w:ind w:firstLine="505"/>
      <w:textAlignment w:val="baseline"/>
    </w:pPr>
    <w:rPr>
      <w:rFonts w:ascii="宋体" w:cs="宋体"/>
      <w:bCs/>
      <w:sz w:val="24"/>
    </w:rPr>
  </w:style>
  <w:style w:type="character" w:customStyle="1" w:styleId="205">
    <w:name w:val="正文首行缩进 字符"/>
    <w:basedOn w:val="56"/>
    <w:link w:val="37"/>
    <w:qFormat/>
    <w:uiPriority w:val="0"/>
    <w:rPr>
      <w:rFonts w:ascii="Times New Roman" w:hAnsi="Times New Roman" w:eastAsia="宋体" w:cs="Times New Roman"/>
      <w:sz w:val="24"/>
      <w:szCs w:val="24"/>
    </w:rPr>
  </w:style>
  <w:style w:type="paragraph" w:customStyle="1" w:styleId="206">
    <w:name w:val="正文环评"/>
    <w:basedOn w:val="1"/>
    <w:qFormat/>
    <w:uiPriority w:val="0"/>
    <w:pPr>
      <w:spacing w:line="360" w:lineRule="auto"/>
      <w:ind w:firstLine="200" w:firstLineChars="200"/>
    </w:pPr>
    <w:rPr>
      <w:rFonts w:ascii="Times New Roman" w:hAnsi="Times New Roman" w:eastAsia="宋体" w:cs="Times New Roman"/>
      <w:sz w:val="24"/>
      <w:szCs w:val="22"/>
    </w:rPr>
  </w:style>
  <w:style w:type="paragraph" w:customStyle="1" w:styleId="207">
    <w:name w:val="sb-正文"/>
    <w:basedOn w:val="1"/>
    <w:link w:val="208"/>
    <w:qFormat/>
    <w:uiPriority w:val="0"/>
    <w:pPr>
      <w:tabs>
        <w:tab w:val="left" w:pos="3120"/>
        <w:tab w:val="left" w:pos="6376"/>
      </w:tabs>
      <w:spacing w:line="360" w:lineRule="auto"/>
      <w:ind w:firstLine="480" w:firstLineChars="200"/>
    </w:pPr>
    <w:rPr>
      <w:rFonts w:ascii="Times New Roman" w:hAnsi="Times New Roman" w:eastAsia="宋体" w:cs="Times New Roman"/>
      <w:sz w:val="24"/>
      <w:szCs w:val="22"/>
      <w:lang w:val="zh-CN"/>
    </w:rPr>
  </w:style>
  <w:style w:type="character" w:customStyle="1" w:styleId="208">
    <w:name w:val="sb-正文 Char Char"/>
    <w:link w:val="207"/>
    <w:qFormat/>
    <w:uiPriority w:val="0"/>
    <w:rPr>
      <w:rFonts w:ascii="Times New Roman" w:hAnsi="Times New Roman" w:eastAsia="宋体" w:cs="Times New Roman"/>
      <w:sz w:val="24"/>
      <w:lang w:val="zh-CN" w:eastAsia="zh-CN"/>
    </w:rPr>
  </w:style>
  <w:style w:type="table" w:customStyle="1" w:styleId="209">
    <w:name w:val="表格2"/>
    <w:basedOn w:val="39"/>
    <w:qFormat/>
    <w:uiPriority w:val="59"/>
    <w:pPr>
      <w:widowControl w:val="0"/>
      <w:jc w:val="both"/>
    </w:pPr>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0">
    <w:name w:val="南华表标题"/>
    <w:basedOn w:val="1"/>
    <w:qFormat/>
    <w:uiPriority w:val="0"/>
    <w:pPr>
      <w:tabs>
        <w:tab w:val="left" w:pos="3795"/>
      </w:tabs>
      <w:spacing w:beforeLines="50" w:afterLines="50" w:line="360" w:lineRule="auto"/>
      <w:jc w:val="center"/>
    </w:pPr>
    <w:rPr>
      <w:rFonts w:ascii="Times New Roman" w:hAnsi="Times New Roman" w:eastAsia="宋体" w:cs="Times New Roman"/>
      <w:b/>
      <w:color w:val="000000"/>
      <w:sz w:val="24"/>
      <w:szCs w:val="20"/>
    </w:rPr>
  </w:style>
  <w:style w:type="paragraph" w:customStyle="1" w:styleId="211">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lang w:val="en-US" w:eastAsia="zh-CN" w:bidi="ar-SA"/>
    </w:rPr>
  </w:style>
  <w:style w:type="paragraph" w:customStyle="1" w:styleId="212">
    <w:name w:val="前面附图附件"/>
    <w:basedOn w:val="1"/>
    <w:next w:val="1"/>
    <w:qFormat/>
    <w:uiPriority w:val="0"/>
    <w:pPr>
      <w:spacing w:line="360" w:lineRule="auto"/>
      <w:jc w:val="left"/>
    </w:pPr>
    <w:rPr>
      <w:rFonts w:ascii="Calibri" w:hAnsi="Calibri" w:eastAsia="宋体" w:cs="宋体"/>
      <w:b/>
      <w:bCs/>
      <w:sz w:val="24"/>
    </w:rPr>
  </w:style>
  <w:style w:type="character" w:customStyle="1" w:styleId="213">
    <w:name w:val="10"/>
    <w:basedOn w:val="41"/>
    <w:qFormat/>
    <w:uiPriority w:val="0"/>
    <w:rPr>
      <w:rFonts w:hint="default" w:ascii="Times New Roman" w:hAnsi="Times New Roman" w:cs="Times New Roman"/>
    </w:rPr>
  </w:style>
  <w:style w:type="character" w:customStyle="1" w:styleId="214">
    <w:name w:val="15"/>
    <w:basedOn w:val="41"/>
    <w:qFormat/>
    <w:uiPriority w:val="0"/>
    <w:rPr>
      <w:rFonts w:hint="default" w:ascii="Times New Roman" w:hAnsi="Times New Roman" w:cs="Times New Roman"/>
    </w:rPr>
  </w:style>
  <w:style w:type="paragraph" w:customStyle="1" w:styleId="215">
    <w:name w:val="昆明中海正文"/>
    <w:basedOn w:val="1"/>
    <w:qFormat/>
    <w:uiPriority w:val="0"/>
    <w:pPr>
      <w:spacing w:line="360" w:lineRule="auto"/>
      <w:ind w:firstLine="567"/>
    </w:pPr>
    <w:rPr>
      <w:rFonts w:ascii="宋体" w:hAnsi="宋体"/>
      <w:bCs/>
      <w:snapToGrid w:val="0"/>
      <w:spacing w:val="12"/>
      <w:kern w:val="0"/>
      <w:sz w:val="24"/>
    </w:rPr>
  </w:style>
  <w:style w:type="paragraph" w:customStyle="1" w:styleId="216">
    <w:name w:val="正文22"/>
    <w:basedOn w:val="1"/>
    <w:qFormat/>
    <w:uiPriority w:val="0"/>
    <w:pPr>
      <w:widowControl/>
      <w:spacing w:line="360" w:lineRule="auto"/>
      <w:ind w:firstLine="200" w:firstLineChars="200"/>
    </w:pPr>
    <w:rPr>
      <w:rFonts w:ascii="Times New Roman" w:hAnsi="Times New Roman"/>
      <w:sz w:val="24"/>
    </w:rPr>
  </w:style>
  <w:style w:type="paragraph" w:customStyle="1" w:styleId="217">
    <w:name w:val="Body Text 21"/>
    <w:basedOn w:val="1"/>
    <w:qFormat/>
    <w:uiPriority w:val="0"/>
    <w:pPr>
      <w:autoSpaceDE w:val="0"/>
      <w:autoSpaceDN w:val="0"/>
      <w:adjustRightInd w:val="0"/>
      <w:spacing w:line="480" w:lineRule="exact"/>
      <w:ind w:firstLine="540"/>
      <w:textAlignment w:val="baseline"/>
    </w:pPr>
    <w:rPr>
      <w:rFonts w:ascii="宋体" w:hAnsi="Tms Rmn"/>
      <w:kern w:val="0"/>
      <w:sz w:val="24"/>
      <w:szCs w:val="20"/>
    </w:rPr>
  </w:style>
  <w:style w:type="paragraph" w:customStyle="1" w:styleId="218">
    <w:name w:val="Table Paragraph"/>
    <w:basedOn w:val="1"/>
    <w:qFormat/>
    <w:uiPriority w:val="1"/>
    <w:pPr>
      <w:jc w:val="center"/>
    </w:pPr>
    <w:rPr>
      <w:rFonts w:hint="eastAsia"/>
      <w:sz w:val="24"/>
    </w:rPr>
  </w:style>
  <w:style w:type="paragraph" w:customStyle="1" w:styleId="219">
    <w:name w:val="正文（首行缩进两字）m"/>
    <w:basedOn w:val="8"/>
    <w:qFormat/>
    <w:uiPriority w:val="0"/>
    <w:pPr>
      <w:tabs>
        <w:tab w:val="left" w:pos="1848"/>
        <w:tab w:val="left" w:pos="6061"/>
        <w:tab w:val="left" w:pos="8665"/>
      </w:tabs>
      <w:adjustRightInd w:val="0"/>
      <w:snapToGrid w:val="0"/>
      <w:spacing w:before="156" w:beforeLines="50" w:line="460" w:lineRule="exact"/>
      <w:ind w:firstLine="480"/>
    </w:pPr>
    <w:rPr>
      <w:color w:val="339966"/>
    </w:rPr>
  </w:style>
  <w:style w:type="character" w:customStyle="1" w:styleId="220">
    <w:name w:val="正文文本_"/>
    <w:link w:val="221"/>
    <w:unhideWhenUsed/>
    <w:qFormat/>
    <w:uiPriority w:val="99"/>
    <w:rPr>
      <w:rFonts w:hint="eastAsia" w:ascii="MingLiU" w:hAnsi="MingLiU" w:eastAsia="MingLiU"/>
      <w:spacing w:val="10"/>
      <w:sz w:val="22"/>
    </w:rPr>
  </w:style>
  <w:style w:type="paragraph" w:customStyle="1" w:styleId="221">
    <w:name w:val="正文文本1"/>
    <w:basedOn w:val="1"/>
    <w:link w:val="220"/>
    <w:unhideWhenUsed/>
    <w:qFormat/>
    <w:uiPriority w:val="99"/>
    <w:pPr>
      <w:shd w:val="clear" w:color="auto" w:fill="FFFFFF"/>
      <w:spacing w:before="4200" w:after="2580" w:line="1248" w:lineRule="exact"/>
      <w:jc w:val="center"/>
    </w:pPr>
    <w:rPr>
      <w:rFonts w:hint="eastAsia" w:ascii="MingLiU" w:hAnsi="MingLiU" w:eastAsia="MingLiU"/>
      <w:spacing w:val="10"/>
      <w:sz w:val="22"/>
    </w:rPr>
  </w:style>
  <w:style w:type="paragraph" w:customStyle="1" w:styleId="222">
    <w:name w:val="表格"/>
    <w:basedOn w:val="1"/>
    <w:qFormat/>
    <w:uiPriority w:val="0"/>
    <w:pPr>
      <w:snapToGrid w:val="0"/>
      <w:jc w:val="center"/>
    </w:pPr>
    <w:rPr>
      <w:rFonts w:ascii="Times New Roman"/>
      <w:sz w:val="24"/>
    </w:rPr>
  </w:style>
  <w:style w:type="paragraph" w:customStyle="1" w:styleId="223">
    <w:name w:val="wlm表头"/>
    <w:basedOn w:val="1"/>
    <w:qFormat/>
    <w:uiPriority w:val="0"/>
    <w:pPr>
      <w:jc w:val="center"/>
    </w:pPr>
    <w:rPr>
      <w:rFonts w:ascii="Times New Roman" w:hAnsi="Times New Roman"/>
      <w:b/>
      <w:szCs w:val="21"/>
    </w:rPr>
  </w:style>
  <w:style w:type="paragraph" w:customStyle="1" w:styleId="224">
    <w:name w:val="wlm表格"/>
    <w:basedOn w:val="1"/>
    <w:qFormat/>
    <w:uiPriority w:val="0"/>
    <w:pPr>
      <w:snapToGrid w:val="0"/>
      <w:jc w:val="center"/>
    </w:pPr>
    <w:rPr>
      <w:rFonts w:ascii="Times New Roman" w:hAnsi="Times New Roman" w:eastAsia="宋体"/>
      <w:spacing w:val="2"/>
      <w:szCs w:val="21"/>
    </w:rPr>
  </w:style>
  <w:style w:type="paragraph" w:customStyle="1" w:styleId="225">
    <w:name w:val="List Paragraph"/>
    <w:basedOn w:val="1"/>
    <w:qFormat/>
    <w:uiPriority w:val="1"/>
    <w:pPr>
      <w:spacing w:before="1"/>
      <w:ind w:left="480" w:hanging="602"/>
    </w:pPr>
    <w:rPr>
      <w:rFonts w:ascii="宋体" w:hAnsi="宋体" w:eastAsia="宋体" w:cs="宋体"/>
    </w:rPr>
  </w:style>
  <w:style w:type="table" w:customStyle="1" w:styleId="226">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jpeg"/><Relationship Id="rId16" Type="http://schemas.openxmlformats.org/officeDocument/2006/relationships/image" Target="media/image5.png"/><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217263-CFCA-41B2-A8B2-A7352911F7A9}">
  <ds:schemaRefs/>
</ds:datastoreItem>
</file>

<file path=docProps/app.xml><?xml version="1.0" encoding="utf-8"?>
<Properties xmlns="http://schemas.openxmlformats.org/officeDocument/2006/extended-properties" xmlns:vt="http://schemas.openxmlformats.org/officeDocument/2006/docPropsVTypes">
  <Template>Normal</Template>
  <Pages>69</Pages>
  <Words>7941</Words>
  <Characters>45268</Characters>
  <Lines>377</Lines>
  <Paragraphs>106</Paragraphs>
  <TotalTime>0</TotalTime>
  <ScaleCrop>false</ScaleCrop>
  <LinksUpToDate>false</LinksUpToDate>
  <CharactersWithSpaces>53103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2018-06-04T09:40:00Z</dcterms:created>
  <dc:creator>ASUS</dc:creator>
  <cp:lastModifiedBy>鹿</cp:lastModifiedBy>
  <cp:lastPrinted>2018-10-11T07:58:00Z</cp:lastPrinted>
  <dcterms:modified xsi:type="dcterms:W3CDTF">2024-07-11T07:39:54Z</dcterms:modified>
  <cp:revision>1939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8752C0746BDD46E1A3985F1834EF6C9F</vt:lpwstr>
  </property>
</Properties>
</file>